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BE993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outlineLvl w:val="1"/>
        <w:rPr>
          <w:rFonts w:hint="eastAsia" w:hAnsi="宋体" w:cs="宋体"/>
          <w:b/>
          <w:bCs/>
          <w:spacing w:val="-23"/>
          <w:sz w:val="44"/>
          <w:szCs w:val="44"/>
          <w:lang w:val="en-US" w:eastAsia="zh-CN"/>
        </w:rPr>
      </w:pPr>
      <w:bookmarkStart w:id="0" w:name="_GoBack"/>
      <w:bookmarkEnd w:id="0"/>
      <w:r>
        <w:rPr>
          <w:rFonts w:hint="eastAsia" w:ascii="宋体" w:hAnsi="宋体" w:eastAsia="宋体" w:cs="宋体"/>
          <w:b/>
          <w:bCs/>
          <w:spacing w:val="-23"/>
          <w:sz w:val="44"/>
          <w:szCs w:val="44"/>
          <w:lang w:eastAsia="zh-CN"/>
        </w:rPr>
        <w:t>魏</w:t>
      </w:r>
      <w:r>
        <w:rPr>
          <w:rFonts w:hint="eastAsia" w:ascii="宋体" w:hAnsi="宋体" w:eastAsia="宋体" w:cs="宋体"/>
          <w:b/>
          <w:bCs/>
          <w:spacing w:val="-23"/>
          <w:sz w:val="44"/>
          <w:szCs w:val="44"/>
        </w:rPr>
        <w:t>县</w:t>
      </w:r>
      <w:r>
        <w:rPr>
          <w:rFonts w:hint="eastAsia" w:ascii="宋体" w:hAnsi="宋体" w:eastAsia="宋体" w:cs="宋体"/>
          <w:b/>
          <w:bCs/>
          <w:spacing w:val="-23"/>
          <w:sz w:val="44"/>
          <w:szCs w:val="44"/>
          <w:lang w:val="en-US" w:eastAsia="zh-CN"/>
        </w:rPr>
        <w:t>2026年省级</w:t>
      </w:r>
      <w:r>
        <w:rPr>
          <w:rFonts w:hint="eastAsia" w:hAnsi="宋体" w:cs="宋体"/>
          <w:b/>
          <w:bCs/>
          <w:spacing w:val="-23"/>
          <w:sz w:val="44"/>
          <w:szCs w:val="44"/>
          <w:lang w:val="en-US" w:eastAsia="zh-CN"/>
        </w:rPr>
        <w:t>特色产业高效节水项目</w:t>
      </w:r>
    </w:p>
    <w:p w14:paraId="711C91D8">
      <w:pPr>
        <w:keepNext w:val="0"/>
        <w:keepLines w:val="0"/>
        <w:pageBreakBefore w:val="0"/>
        <w:widowControl w:val="0"/>
        <w:kinsoku/>
        <w:wordWrap/>
        <w:overflowPunct/>
        <w:topLinePunct w:val="0"/>
        <w:autoSpaceDE/>
        <w:autoSpaceDN/>
        <w:bidi w:val="0"/>
        <w:adjustRightInd w:val="0"/>
        <w:snapToGrid w:val="0"/>
        <w:spacing w:after="313" w:afterLines="100" w:line="560" w:lineRule="exact"/>
        <w:ind w:left="0" w:leftChars="0" w:right="0" w:rightChars="0" w:firstLine="0" w:firstLineChars="0"/>
        <w:jc w:val="center"/>
        <w:textAlignment w:val="auto"/>
        <w:rPr>
          <w:rFonts w:hint="eastAsia" w:ascii="宋体" w:hAnsi="宋体" w:eastAsia="宋体" w:cs="宋体"/>
          <w:b/>
          <w:bCs/>
          <w:color w:val="auto"/>
          <w:spacing w:val="-23"/>
          <w:sz w:val="44"/>
          <w:szCs w:val="44"/>
          <w:highlight w:val="none"/>
        </w:rPr>
      </w:pPr>
      <w:r>
        <w:rPr>
          <w:rFonts w:hint="eastAsia" w:ascii="宋体" w:hAnsi="宋体" w:eastAsia="宋体" w:cs="宋体"/>
          <w:b/>
          <w:bCs/>
          <w:color w:val="auto"/>
          <w:spacing w:val="-23"/>
          <w:sz w:val="44"/>
          <w:szCs w:val="44"/>
          <w:highlight w:val="none"/>
          <w:lang w:eastAsia="zh-CN"/>
        </w:rPr>
        <w:t>实施</w:t>
      </w:r>
      <w:r>
        <w:rPr>
          <w:rFonts w:hint="eastAsia" w:ascii="宋体" w:hAnsi="宋体" w:eastAsia="宋体" w:cs="宋体"/>
          <w:b/>
          <w:bCs/>
          <w:color w:val="auto"/>
          <w:spacing w:val="-23"/>
          <w:sz w:val="44"/>
          <w:szCs w:val="44"/>
          <w:highlight w:val="none"/>
        </w:rPr>
        <w:t>方案</w:t>
      </w:r>
    </w:p>
    <w:p w14:paraId="33A80486">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bCs/>
          <w:sz w:val="32"/>
          <w:szCs w:val="32"/>
          <w:lang w:val="en-US" w:eastAsia="zh-CN"/>
        </w:rPr>
        <w:t>按照河北省农业农村厅《2026年中央和省级财政提前下达农业转移支付项目实施方案》的通知（冀农财发〔2026〕1号）文件要求立足魏县实际，围绕“一县一品”（梨）三年行动方案，编制了2026年省级特色产业高效节水项目实施方案。</w:t>
      </w:r>
    </w:p>
    <w:p w14:paraId="7EBDEB5E">
      <w:pPr>
        <w:pStyle w:val="5"/>
        <w:keepNext w:val="0"/>
        <w:keepLines w:val="0"/>
        <w:pageBreakBefore w:val="0"/>
        <w:numPr>
          <w:ilvl w:val="0"/>
          <w:numId w:val="0"/>
        </w:numPr>
        <w:kinsoku/>
        <w:wordWrap/>
        <w:overflowPunct/>
        <w:topLinePunct w:val="0"/>
        <w:bidi w:val="0"/>
        <w:snapToGrid/>
        <w:spacing w:before="0" w:beforeAutospacing="0" w:line="560" w:lineRule="exact"/>
        <w:ind w:left="0" w:leftChars="0" w:firstLine="640" w:firstLineChars="200"/>
        <w:jc w:val="both"/>
        <w:textAlignment w:val="auto"/>
        <w:outlineLvl w:val="0"/>
        <w:rPr>
          <w:rFonts w:hint="eastAsia" w:ascii="黑体" w:hAnsi="黑体" w:eastAsia="黑体"/>
          <w:sz w:val="32"/>
          <w:szCs w:val="32"/>
          <w:lang w:eastAsia="zh-CN"/>
        </w:rPr>
      </w:pPr>
      <w:r>
        <w:rPr>
          <w:rFonts w:hint="eastAsia" w:ascii="黑体" w:hAnsi="黑体" w:eastAsia="黑体"/>
          <w:sz w:val="32"/>
          <w:szCs w:val="32"/>
          <w:lang w:val="en-US" w:eastAsia="zh-CN"/>
        </w:rPr>
        <w:t>一、</w:t>
      </w:r>
      <w:r>
        <w:rPr>
          <w:rFonts w:hint="eastAsia" w:ascii="黑体" w:hAnsi="黑体" w:eastAsia="黑体"/>
          <w:sz w:val="32"/>
          <w:szCs w:val="32"/>
          <w:lang w:eastAsia="zh-CN"/>
        </w:rPr>
        <w:t>梨产业发展现状</w:t>
      </w:r>
    </w:p>
    <w:p w14:paraId="773A9FD6">
      <w:pPr>
        <w:pStyle w:val="5"/>
        <w:keepNext w:val="0"/>
        <w:keepLines w:val="0"/>
        <w:pageBreakBefore w:val="0"/>
        <w:numPr>
          <w:ilvl w:val="0"/>
          <w:numId w:val="0"/>
        </w:numPr>
        <w:kinsoku/>
        <w:wordWrap/>
        <w:overflowPunct/>
        <w:topLinePunct w:val="0"/>
        <w:bidi w:val="0"/>
        <w:snapToGrid/>
        <w:spacing w:before="0" w:beforeAutospacing="0" w:line="560" w:lineRule="exact"/>
        <w:ind w:left="0" w:lef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（一）栽培历史悠久</w:t>
      </w:r>
    </w:p>
    <w:p w14:paraId="57C07115">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ascii="仿宋_GB2312" w:hAnsi="仿宋_GB2312" w:eastAsia="仿宋_GB2312"/>
          <w:sz w:val="32"/>
          <w:szCs w:val="32"/>
        </w:rPr>
      </w:pPr>
      <w:r>
        <w:rPr>
          <w:rFonts w:hint="eastAsia" w:ascii="仿宋" w:hAnsi="仿宋" w:eastAsia="仿宋" w:cs="仿宋"/>
          <w:bCs/>
          <w:sz w:val="32"/>
          <w:szCs w:val="32"/>
          <w:lang w:val="en-US" w:eastAsia="zh-CN"/>
        </w:rPr>
        <w:t>魏县是著名的“中国鸭梨之乡”，魏县鸭梨也是国家地理标志保护产品。魏县梨树种植始于秦汉、兴于宋明，已有2000多年的栽培历史。相传“孔融让梨”故事中，那枚彰显谦让美德的梨就是魏县鸭梨。</w:t>
      </w:r>
    </w:p>
    <w:p w14:paraId="46C5CBAF">
      <w:pPr>
        <w:pStyle w:val="5"/>
        <w:keepNext w:val="0"/>
        <w:keepLines w:val="0"/>
        <w:pageBreakBefore w:val="0"/>
        <w:kinsoku/>
        <w:wordWrap/>
        <w:overflowPunct/>
        <w:topLinePunct w:val="0"/>
        <w:bidi w:val="0"/>
        <w:snapToGrid/>
        <w:spacing w:before="0"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（二）种植规模庞大</w:t>
      </w:r>
    </w:p>
    <w:p w14:paraId="0CEDC0EB">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_GB2312" w:hAnsi="仿宋_GB2312" w:eastAsia="仿宋_GB2312"/>
          <w:sz w:val="32"/>
          <w:szCs w:val="32"/>
          <w:lang w:val="en-US" w:eastAsia="zh-CN"/>
        </w:rPr>
      </w:pPr>
      <w:r>
        <w:rPr>
          <w:rFonts w:hint="eastAsia" w:ascii="仿宋" w:hAnsi="仿宋" w:eastAsia="仿宋" w:cs="仿宋"/>
          <w:bCs/>
          <w:sz w:val="32"/>
          <w:szCs w:val="32"/>
          <w:lang w:val="en-US" w:eastAsia="zh-CN"/>
        </w:rPr>
        <w:t>全县果树面积13.4万亩，年产量约 46.46万吨。其中梨树总面积10.98万亩，年产量为39.23万吨。</w:t>
      </w:r>
    </w:p>
    <w:p w14:paraId="561062F2">
      <w:pPr>
        <w:pStyle w:val="5"/>
        <w:keepNext w:val="0"/>
        <w:keepLines w:val="0"/>
        <w:pageBreakBefore w:val="0"/>
        <w:kinsoku/>
        <w:wordWrap/>
        <w:overflowPunct/>
        <w:topLinePunct w:val="0"/>
        <w:bidi w:val="0"/>
        <w:snapToGrid/>
        <w:spacing w:before="0"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（三）梨果品质优价格高</w:t>
      </w:r>
    </w:p>
    <w:p w14:paraId="6947E5BA">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魏县鸭梨具有果形端正、个大皮薄、核小渣少等特点，数次荣获全省梨王争霸赛“果王”和“梨王”称号；2025年8月“魏县鸭梨”被中国果品流通协会浙江大学CARD中国农业品牌研究中心评估品牌价值为16.25亿元。凭借果形端正、个大皮薄、核小渣少等出色品质，魏县鸭梨售价每斤比周边产区高出0.3-0.5元，享有“河北鸭梨第一贵”的美誉。</w:t>
      </w:r>
    </w:p>
    <w:p w14:paraId="47370030">
      <w:pPr>
        <w:keepNext w:val="0"/>
        <w:keepLines w:val="0"/>
        <w:pageBreakBefore w:val="0"/>
        <w:kinsoku/>
        <w:wordWrap/>
        <w:overflowPunct/>
        <w:topLinePunct w:val="0"/>
        <w:bidi w:val="0"/>
        <w:snapToGrid/>
        <w:spacing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（四）技术支撑有力</w:t>
      </w:r>
    </w:p>
    <w:p w14:paraId="29828A0E">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魏县先后与中国农业科学院果树研究所、河北农业大学、河北工程大学、河北省农林科学院、石家庄果树研究所、南京农业大学等高等院校和科研院所建立长期合作关系，为梨产业发展提供了强有力的技术支撑。同时，魏县充分发挥国家梨产业体系综合试验示范县优势，全面加强与农业高校和科研院所合作，先后完成科研成果5项，其中4项通过省认定。</w:t>
      </w:r>
    </w:p>
    <w:p w14:paraId="466F524C">
      <w:pPr>
        <w:pStyle w:val="14"/>
        <w:keepNext w:val="0"/>
        <w:keepLines w:val="0"/>
        <w:pageBreakBefore w:val="0"/>
        <w:kinsoku/>
        <w:wordWrap/>
        <w:overflowPunct/>
        <w:topLinePunct w:val="0"/>
        <w:bidi w:val="0"/>
        <w:snapToGrid/>
        <w:spacing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（五）产业融合发展</w:t>
      </w:r>
    </w:p>
    <w:p w14:paraId="79E6B885">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一是品牌优势进一步凸显。依托魏县“中国鸭梨之乡”这一金字招牌，培育打造了“魏鑫”“卓旭”等多个地方果品品牌，进一步提升魏县鸭梨知名度和美誉度，扩大销售份额，提高果品销售能力；同时，积极拓展梨果销售渠道，提高果品销售能力，在做好线下销售的同时，重点打造线上销售；二是配套服务进一步完善。全县现有与梨相配套的制箱、装潢、包装、运销、中介组织、专业服务组织近100家，运输专业户1000家以上，经纪人4000多人。全县现有恒温库107座，总储藏量6.26万吨，占邯郸市储藏总量的73.1%，占鸭梨年产量的18%。</w:t>
      </w:r>
    </w:p>
    <w:p w14:paraId="7B5B5BAE">
      <w:pPr>
        <w:keepNext w:val="0"/>
        <w:keepLines w:val="0"/>
        <w:pageBreakBefore w:val="0"/>
        <w:numPr>
          <w:ilvl w:val="0"/>
          <w:numId w:val="0"/>
        </w:numPr>
        <w:kinsoku/>
        <w:wordWrap/>
        <w:topLinePunct w:val="0"/>
        <w:bidi w:val="0"/>
        <w:snapToGrid/>
        <w:spacing w:line="560" w:lineRule="exact"/>
        <w:ind w:left="0" w:leftChars="0" w:firstLine="640" w:firstLineChars="200"/>
        <w:jc w:val="both"/>
        <w:textAlignment w:val="auto"/>
        <w:outlineLvl w:val="0"/>
        <w:rPr>
          <w:rFonts w:ascii="黑体" w:hAnsi="宋体" w:eastAsia="黑体" w:cs="黑体"/>
          <w:color w:val="000000"/>
          <w:kern w:val="0"/>
          <w:sz w:val="32"/>
          <w:szCs w:val="32"/>
          <w:lang w:val="en-US" w:eastAsia="zh-CN" w:bidi="ar"/>
        </w:rPr>
      </w:pPr>
      <w:r>
        <w:rPr>
          <w:rFonts w:hint="eastAsia" w:ascii="黑体" w:hAnsi="宋体" w:eastAsia="黑体" w:cs="黑体"/>
          <w:color w:val="000000"/>
          <w:kern w:val="0"/>
          <w:sz w:val="32"/>
          <w:szCs w:val="32"/>
          <w:lang w:val="en-US" w:eastAsia="zh-CN" w:bidi="ar"/>
        </w:rPr>
        <w:t>二、</w:t>
      </w:r>
      <w:r>
        <w:rPr>
          <w:rFonts w:ascii="黑体" w:hAnsi="宋体" w:eastAsia="黑体" w:cs="黑体"/>
          <w:color w:val="000000"/>
          <w:kern w:val="0"/>
          <w:sz w:val="32"/>
          <w:szCs w:val="32"/>
          <w:lang w:val="en-US" w:eastAsia="zh-CN" w:bidi="ar"/>
        </w:rPr>
        <w:t xml:space="preserve">实施主体情况 </w:t>
      </w:r>
    </w:p>
    <w:p w14:paraId="7C0654D9">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按照“集中连片、规模发展”原则，遴选交通便利、园貌整齐、树势健壮、管理水平高、示范带动能力强的新型经营主体为实施主体。</w:t>
      </w:r>
    </w:p>
    <w:p w14:paraId="44A200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（一）魏县台头乡汤前村双生家庭农场</w:t>
      </w:r>
    </w:p>
    <w:p w14:paraId="4A263E0E">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2013年9月注册成立，2019年栽植密植梨，面积110亩，梨园位于北台头乡西汤村，栽植品种为秋月梨，亩产3700斤，亩收益7000元左右。</w:t>
      </w:r>
    </w:p>
    <w:p w14:paraId="50949F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（二）魏县祥顺种植专业合作社</w:t>
      </w:r>
    </w:p>
    <w:p w14:paraId="318836F0">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2019年1月注册成立，2019年栽植密植梨，面积100亩，梨园位于边马镇东楼底村，栽植品种为鸭梨、黄冠等，亩产3500斤，亩收益6500元左右。</w:t>
      </w:r>
    </w:p>
    <w:p w14:paraId="6AD7D0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（三）魏县云通种植家庭农场</w:t>
      </w:r>
    </w:p>
    <w:p w14:paraId="05A43349">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bCs/>
          <w:sz w:val="32"/>
          <w:szCs w:val="32"/>
          <w:lang w:val="en-US" w:eastAsia="zh-CN"/>
        </w:rPr>
        <w:t>2023年5月注册成立，2020年栽植密植梨，面积90亩，梨园位于北皋镇西上后村，栽植品种为秋月、新梨七号等，亩产3500斤，亩收益7000元左右。</w:t>
      </w:r>
    </w:p>
    <w:p w14:paraId="190A4E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（四）魏县泊口乡昝关印家庭种植农场</w:t>
      </w:r>
    </w:p>
    <w:p w14:paraId="64B80046">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2019年6月注册成立，2019年栽植密植梨，面积100亩，梨园位于泊口镇井西村，栽植品种为秋月梨，亩产3000斤，亩收益5500元左右。</w:t>
      </w:r>
    </w:p>
    <w:p w14:paraId="68CA25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（五）魏县国雨国顺种植基地</w:t>
      </w:r>
    </w:p>
    <w:p w14:paraId="031E783A">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2019年2月注册成立，2019年种植密植梨面积100亩，梨园位于双井镇更化村，主栽品种为秋月梨等，亩产3000斤，亩收益6000元左右。</w:t>
      </w:r>
    </w:p>
    <w:p w14:paraId="5F8CDE75">
      <w:pPr>
        <w:pStyle w:val="5"/>
        <w:keepNext w:val="0"/>
        <w:keepLines w:val="0"/>
        <w:pageBreakBefore w:val="0"/>
        <w:kinsoku/>
        <w:wordWrap/>
        <w:overflowPunct/>
        <w:topLinePunct w:val="0"/>
        <w:bidi w:val="0"/>
        <w:snapToGrid/>
        <w:spacing w:before="0" w:beforeAutospacing="0" w:line="560" w:lineRule="exact"/>
        <w:ind w:left="0" w:leftChars="0" w:firstLine="640" w:firstLineChars="200"/>
        <w:jc w:val="both"/>
        <w:textAlignment w:val="auto"/>
        <w:outlineLvl w:val="0"/>
        <w:rPr>
          <w:rFonts w:hint="eastAsia" w:ascii="黑体" w:hAnsi="黑体" w:eastAsia="黑体" w:cs="黑体"/>
          <w:sz w:val="32"/>
          <w:szCs w:val="32"/>
          <w:lang w:val="en-US" w:eastAsia="zh-CN"/>
        </w:rPr>
      </w:pPr>
      <w:r>
        <w:rPr>
          <w:rFonts w:hint="eastAsia" w:ascii="黑体" w:hAnsi="宋体" w:eastAsia="黑体" w:cs="黑体"/>
          <w:color w:val="000000"/>
          <w:kern w:val="0"/>
          <w:sz w:val="32"/>
          <w:szCs w:val="32"/>
          <w:lang w:val="en-US" w:eastAsia="zh-CN" w:bidi="ar"/>
        </w:rPr>
        <w:t>三、建设内容</w:t>
      </w:r>
      <w:r>
        <w:rPr>
          <w:rFonts w:hint="eastAsia" w:ascii="黑体" w:hAnsi="黑体" w:eastAsia="黑体" w:cs="黑体"/>
          <w:sz w:val="32"/>
          <w:szCs w:val="32"/>
          <w:lang w:val="en-US" w:eastAsia="zh-CN"/>
        </w:rPr>
        <w:t>及补助资金用途</w:t>
      </w:r>
    </w:p>
    <w:p w14:paraId="732A73D6">
      <w:pPr>
        <w:keepNext w:val="0"/>
        <w:keepLines w:val="0"/>
        <w:pageBreakBefore w:val="0"/>
        <w:widowControl w:val="0"/>
        <w:kinsoku/>
        <w:wordWrap/>
        <w:overflowPunct/>
        <w:topLinePunct w:val="0"/>
        <w:autoSpaceDE w:val="0"/>
        <w:autoSpaceDN/>
        <w:bidi w:val="0"/>
        <w:adjustRightInd/>
        <w:snapToGrid/>
        <w:spacing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（一）建设内容</w:t>
      </w:r>
    </w:p>
    <w:p w14:paraId="5B24B036">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3" w:firstLineChars="200"/>
        <w:jc w:val="both"/>
        <w:textAlignment w:val="auto"/>
        <w:outlineLvl w:val="9"/>
        <w:rPr>
          <w:rFonts w:hint="default" w:ascii="仿宋" w:hAnsi="仿宋" w:eastAsia="仿宋" w:cs="仿宋"/>
          <w:bCs/>
          <w:sz w:val="32"/>
          <w:szCs w:val="32"/>
          <w:lang w:val="en-US" w:eastAsia="zh-CN"/>
        </w:rPr>
      </w:pPr>
      <w:r>
        <w:rPr>
          <w:rFonts w:hint="eastAsia" w:ascii="楷体" w:hAnsi="楷体" w:eastAsia="楷体" w:cs="楷体"/>
          <w:b/>
          <w:bCs w:val="0"/>
          <w:sz w:val="32"/>
          <w:szCs w:val="32"/>
          <w:lang w:val="en-US" w:eastAsia="zh-CN"/>
        </w:rPr>
        <w:t>1.水肥一体化建设。</w:t>
      </w:r>
      <w:r>
        <w:rPr>
          <w:rFonts w:hint="eastAsia" w:ascii="仿宋" w:hAnsi="仿宋" w:eastAsia="仿宋" w:cs="仿宋"/>
          <w:bCs/>
          <w:sz w:val="32"/>
          <w:szCs w:val="32"/>
          <w:lang w:val="en-US" w:eastAsia="zh-CN"/>
        </w:rPr>
        <w:t>项目总投资200万元，其中省级财政补助资金100万元，带动社会投入100万元。补助资金重点用于梨园新建节水设施设备，包括水肥一体化设施设备</w:t>
      </w:r>
      <w:r>
        <w:rPr>
          <w:rFonts w:hint="default" w:ascii="仿宋" w:hAnsi="仿宋" w:eastAsia="仿宋" w:cs="仿宋"/>
          <w:bCs/>
          <w:sz w:val="32"/>
          <w:szCs w:val="32"/>
          <w:lang w:val="en-US" w:eastAsia="zh-CN"/>
        </w:rPr>
        <w:t>首部、过滤器、施肥罐、管道</w:t>
      </w:r>
      <w:r>
        <w:rPr>
          <w:rFonts w:hint="eastAsia" w:ascii="仿宋" w:hAnsi="仿宋" w:eastAsia="仿宋" w:cs="仿宋"/>
          <w:bCs/>
          <w:sz w:val="32"/>
          <w:szCs w:val="32"/>
          <w:lang w:val="en-US" w:eastAsia="zh-CN"/>
        </w:rPr>
        <w:t>等基础设施建设，实施微喷灌技术，实现水肥资源高效利用</w:t>
      </w:r>
      <w:r>
        <w:rPr>
          <w:rFonts w:hint="default" w:ascii="仿宋" w:hAnsi="仿宋" w:eastAsia="仿宋" w:cs="仿宋"/>
          <w:bCs/>
          <w:sz w:val="32"/>
          <w:szCs w:val="32"/>
          <w:lang w:val="en-US" w:eastAsia="zh-CN"/>
        </w:rPr>
        <w:t>。</w:t>
      </w:r>
    </w:p>
    <w:p w14:paraId="78189301">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水肥一体化</w:t>
      </w:r>
      <w:r>
        <w:rPr>
          <w:rFonts w:hint="default" w:ascii="仿宋" w:hAnsi="仿宋" w:eastAsia="仿宋" w:cs="仿宋"/>
          <w:bCs/>
          <w:sz w:val="32"/>
          <w:szCs w:val="32"/>
          <w:lang w:val="en-US" w:eastAsia="zh-CN"/>
        </w:rPr>
        <w:t>建设面积</w:t>
      </w:r>
      <w:r>
        <w:rPr>
          <w:rFonts w:hint="eastAsia" w:ascii="仿宋" w:hAnsi="仿宋" w:eastAsia="仿宋" w:cs="仿宋"/>
          <w:bCs/>
          <w:sz w:val="32"/>
          <w:szCs w:val="32"/>
          <w:lang w:val="en-US" w:eastAsia="zh-CN"/>
        </w:rPr>
        <w:t>500</w:t>
      </w:r>
      <w:r>
        <w:rPr>
          <w:rFonts w:hint="default" w:ascii="仿宋" w:hAnsi="仿宋" w:eastAsia="仿宋" w:cs="仿宋"/>
          <w:bCs/>
          <w:sz w:val="32"/>
          <w:szCs w:val="32"/>
          <w:lang w:val="en-US" w:eastAsia="zh-CN"/>
        </w:rPr>
        <w:t>亩，</w:t>
      </w:r>
      <w:r>
        <w:rPr>
          <w:rFonts w:hint="eastAsia" w:ascii="仿宋" w:hAnsi="仿宋" w:eastAsia="仿宋" w:cs="仿宋"/>
          <w:bCs/>
          <w:sz w:val="32"/>
          <w:szCs w:val="32"/>
          <w:lang w:val="en-US" w:eastAsia="zh-CN"/>
        </w:rPr>
        <w:t>涉及5家实施主体，其中魏县台头乡汤前村双生家庭农场110亩、魏县祥顺种植专业合作社100亩、魏县云通种植家庭农场90亩、魏县泊口乡昝关印家庭种植农场100亩、魏县国雨国顺种植基地100亩。</w:t>
      </w:r>
    </w:p>
    <w:p w14:paraId="51C4CCA0">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3" w:firstLineChars="200"/>
        <w:jc w:val="both"/>
        <w:textAlignment w:val="auto"/>
        <w:outlineLvl w:val="9"/>
        <w:rPr>
          <w:rFonts w:hint="default" w:ascii="仿宋" w:hAnsi="仿宋" w:eastAsia="仿宋" w:cs="仿宋"/>
          <w:bCs/>
          <w:sz w:val="32"/>
          <w:szCs w:val="32"/>
          <w:lang w:val="en-US" w:eastAsia="zh-CN"/>
        </w:rPr>
      </w:pPr>
      <w:r>
        <w:rPr>
          <w:rFonts w:hint="eastAsia" w:ascii="楷体" w:hAnsi="楷体" w:eastAsia="楷体" w:cs="楷体"/>
          <w:b/>
          <w:bCs w:val="0"/>
          <w:sz w:val="32"/>
          <w:szCs w:val="32"/>
          <w:lang w:val="en-US" w:eastAsia="zh-CN"/>
        </w:rPr>
        <w:t>2.建设</w:t>
      </w:r>
      <w:r>
        <w:rPr>
          <w:rFonts w:hint="default" w:ascii="楷体" w:hAnsi="楷体" w:eastAsia="楷体" w:cs="楷体"/>
          <w:b/>
          <w:bCs w:val="0"/>
          <w:sz w:val="32"/>
          <w:szCs w:val="32"/>
          <w:lang w:val="en-US" w:eastAsia="zh-CN"/>
        </w:rPr>
        <w:t>标准与规格</w:t>
      </w:r>
      <w:r>
        <w:rPr>
          <w:rFonts w:hint="eastAsia" w:ascii="楷体" w:hAnsi="楷体" w:eastAsia="楷体" w:cs="楷体"/>
          <w:b/>
          <w:bCs w:val="0"/>
          <w:sz w:val="32"/>
          <w:szCs w:val="32"/>
          <w:lang w:val="en-US" w:eastAsia="zh-CN"/>
        </w:rPr>
        <w:t>。</w:t>
      </w:r>
      <w:r>
        <w:rPr>
          <w:rFonts w:hint="eastAsia" w:ascii="仿宋" w:hAnsi="仿宋" w:eastAsia="仿宋" w:cs="仿宋"/>
          <w:bCs/>
          <w:sz w:val="32"/>
          <w:szCs w:val="32"/>
          <w:lang w:val="en-US" w:eastAsia="zh-CN"/>
        </w:rPr>
        <w:t>根据地块大小，原则上一个果园配一套首部，每个首部配备安装一座泵房，首部连接园内地下主管道，地下主管道连接地下支管，地下支管连接地上毛管，毛管上安装喷头，水由喷头喷洒于树盘内。首部配件与规格：复合板泵房一座，规格4m×6m×3.2m；直径0.8m沙石过滤器2组1台；DP2-3进出口4寸自动反冲洗叠片过滤器1台；3通道施肥机1台；500L施肥罐（带搅拌器）3个；DN4寸铸铁逆止阀1个；1.0MPA远传压力表1个；DN80焊接钢管25米; 18.5KW变频柜1台；60cm×80cm壁挂配电箱1套；15KW增压泵（50m</w:t>
      </w:r>
      <w:r>
        <w:rPr>
          <w:rFonts w:hint="eastAsia" w:ascii="仿宋" w:hAnsi="仿宋" w:eastAsia="仿宋" w:cs="仿宋"/>
          <w:bCs/>
          <w:sz w:val="32"/>
          <w:szCs w:val="32"/>
          <w:vertAlign w:val="superscript"/>
          <w:lang w:val="en-US" w:eastAsia="zh-CN"/>
        </w:rPr>
        <w:t>3</w:t>
      </w:r>
      <w:r>
        <w:rPr>
          <w:rFonts w:hint="eastAsia" w:ascii="仿宋" w:hAnsi="仿宋" w:eastAsia="仿宋" w:cs="仿宋"/>
          <w:bCs/>
          <w:sz w:val="32"/>
          <w:szCs w:val="32"/>
          <w:lang w:val="en-US" w:eastAsia="zh-CN"/>
        </w:rPr>
        <w:t>-45m扬程)1台。地下设施与规格：首部连接的主管道为110PE管（热熔连接），并安装110管阀一个，配套门井为外套直径0.5m、深0.8m水泥管；按照15KW增压泵（50m</w:t>
      </w:r>
      <w:r>
        <w:rPr>
          <w:rFonts w:hint="eastAsia" w:ascii="仿宋" w:hAnsi="仿宋" w:eastAsia="仿宋" w:cs="仿宋"/>
          <w:bCs/>
          <w:sz w:val="32"/>
          <w:szCs w:val="32"/>
          <w:vertAlign w:val="superscript"/>
          <w:lang w:val="en-US" w:eastAsia="zh-CN"/>
        </w:rPr>
        <w:t>3</w:t>
      </w:r>
      <w:r>
        <w:rPr>
          <w:rFonts w:hint="eastAsia" w:ascii="仿宋" w:hAnsi="仿宋" w:eastAsia="仿宋" w:cs="仿宋"/>
          <w:bCs/>
          <w:sz w:val="32"/>
          <w:szCs w:val="32"/>
          <w:lang w:val="en-US" w:eastAsia="zh-CN"/>
        </w:rPr>
        <w:t>-45m扬程)的出水量，每5亩左右地为一个轮换组，每个轮换组由110主管上热熔连接支管道63PE管，并加装63管阀一个进行分控，门井为外套直径0.3m、深0.8m</w:t>
      </w:r>
      <w:r>
        <w:rPr>
          <w:rFonts w:hint="default" w:ascii="仿宋" w:hAnsi="仿宋" w:eastAsia="仿宋" w:cs="仿宋"/>
          <w:bCs/>
          <w:sz w:val="32"/>
          <w:szCs w:val="32"/>
          <w:lang w:val="en-US" w:eastAsia="zh-CN"/>
        </w:rPr>
        <w:t>水泥管</w:t>
      </w:r>
      <w:r>
        <w:rPr>
          <w:rFonts w:hint="eastAsia" w:ascii="仿宋" w:hAnsi="仿宋" w:eastAsia="仿宋" w:cs="仿宋"/>
          <w:bCs/>
          <w:sz w:val="32"/>
          <w:szCs w:val="32"/>
          <w:lang w:val="en-US" w:eastAsia="zh-CN"/>
        </w:rPr>
        <w:t>；每个轮换组内</w:t>
      </w:r>
      <w:r>
        <w:rPr>
          <w:rFonts w:hint="default" w:ascii="仿宋" w:hAnsi="仿宋" w:eastAsia="仿宋" w:cs="仿宋"/>
          <w:bCs/>
          <w:sz w:val="32"/>
          <w:szCs w:val="32"/>
          <w:lang w:val="en-US" w:eastAsia="zh-CN"/>
        </w:rPr>
        <w:t>主管道110PE管</w:t>
      </w:r>
      <w:r>
        <w:rPr>
          <w:rFonts w:hint="eastAsia" w:ascii="仿宋" w:hAnsi="仿宋" w:eastAsia="仿宋" w:cs="仿宋"/>
          <w:bCs/>
          <w:sz w:val="32"/>
          <w:szCs w:val="32"/>
          <w:lang w:val="en-US" w:eastAsia="zh-CN"/>
        </w:rPr>
        <w:t>、</w:t>
      </w:r>
      <w:r>
        <w:rPr>
          <w:rFonts w:hint="default" w:ascii="仿宋" w:hAnsi="仿宋" w:eastAsia="仿宋" w:cs="仿宋"/>
          <w:bCs/>
          <w:sz w:val="32"/>
          <w:szCs w:val="32"/>
          <w:lang w:val="en-US" w:eastAsia="zh-CN"/>
        </w:rPr>
        <w:t>支管道63PE管</w:t>
      </w:r>
      <w:r>
        <w:rPr>
          <w:rFonts w:hint="eastAsia" w:ascii="仿宋" w:hAnsi="仿宋" w:eastAsia="仿宋" w:cs="仿宋"/>
          <w:bCs/>
          <w:sz w:val="32"/>
          <w:szCs w:val="32"/>
          <w:lang w:val="en-US" w:eastAsia="zh-CN"/>
        </w:rPr>
        <w:t>用量要根据地块实际情况，确定管道走向设计，确定用量</w:t>
      </w:r>
      <w:r>
        <w:rPr>
          <w:rFonts w:hint="default" w:ascii="仿宋" w:hAnsi="仿宋" w:eastAsia="仿宋" w:cs="仿宋"/>
          <w:bCs/>
          <w:sz w:val="32"/>
          <w:szCs w:val="32"/>
          <w:lang w:val="en-US" w:eastAsia="zh-CN"/>
        </w:rPr>
        <w:t>。地上设施与规格：</w:t>
      </w:r>
      <w:r>
        <w:rPr>
          <w:rFonts w:hint="eastAsia" w:ascii="仿宋" w:hAnsi="仿宋" w:eastAsia="仿宋" w:cs="仿宋"/>
          <w:bCs/>
          <w:sz w:val="32"/>
          <w:szCs w:val="32"/>
          <w:lang w:val="en-US" w:eastAsia="zh-CN"/>
        </w:rPr>
        <w:t>不低于</w:t>
      </w:r>
      <w:r>
        <w:rPr>
          <w:rFonts w:hint="default" w:ascii="仿宋" w:hAnsi="仿宋" w:eastAsia="仿宋" w:cs="仿宋"/>
          <w:bCs/>
          <w:sz w:val="32"/>
          <w:szCs w:val="32"/>
          <w:lang w:val="en-US" w:eastAsia="zh-CN"/>
        </w:rPr>
        <w:t>2</w:t>
      </w:r>
      <w:r>
        <w:rPr>
          <w:rFonts w:hint="eastAsia" w:ascii="仿宋" w:hAnsi="仿宋" w:eastAsia="仿宋" w:cs="仿宋"/>
          <w:bCs/>
          <w:sz w:val="32"/>
          <w:szCs w:val="32"/>
          <w:lang w:val="en-US" w:eastAsia="zh-CN"/>
        </w:rPr>
        <w:t>0</w:t>
      </w:r>
      <w:r>
        <w:rPr>
          <w:rFonts w:hint="default" w:ascii="仿宋" w:hAnsi="仿宋" w:eastAsia="仿宋" w:cs="仿宋"/>
          <w:bCs/>
          <w:sz w:val="32"/>
          <w:szCs w:val="32"/>
          <w:lang w:val="en-US" w:eastAsia="zh-CN"/>
        </w:rPr>
        <w:t>PE毛管（快接）顺树行穿过，与树行保持在一条线上，毛管距地面80cm-100cm</w:t>
      </w:r>
      <w:r>
        <w:rPr>
          <w:rFonts w:hint="eastAsia" w:ascii="仿宋" w:hAnsi="仿宋" w:eastAsia="仿宋" w:cs="仿宋"/>
          <w:bCs/>
          <w:sz w:val="32"/>
          <w:szCs w:val="32"/>
          <w:lang w:val="en-US" w:eastAsia="zh-CN"/>
        </w:rPr>
        <w:t>或架于棚架上</w:t>
      </w:r>
      <w:r>
        <w:rPr>
          <w:rFonts w:hint="default" w:ascii="仿宋" w:hAnsi="仿宋" w:eastAsia="仿宋" w:cs="仿宋"/>
          <w:bCs/>
          <w:sz w:val="32"/>
          <w:szCs w:val="32"/>
          <w:lang w:val="en-US" w:eastAsia="zh-CN"/>
        </w:rPr>
        <w:t>；管阀门约50m左右一个；</w:t>
      </w:r>
      <w:r>
        <w:rPr>
          <w:rFonts w:hint="eastAsia" w:ascii="仿宋" w:hAnsi="仿宋" w:eastAsia="仿宋" w:cs="仿宋"/>
          <w:bCs/>
          <w:sz w:val="32"/>
          <w:szCs w:val="32"/>
          <w:lang w:val="en-US" w:eastAsia="zh-CN"/>
        </w:rPr>
        <w:t>毛</w:t>
      </w:r>
      <w:r>
        <w:rPr>
          <w:rFonts w:hint="default" w:ascii="仿宋" w:hAnsi="仿宋" w:eastAsia="仿宋" w:cs="仿宋"/>
          <w:bCs/>
          <w:sz w:val="32"/>
          <w:szCs w:val="32"/>
          <w:lang w:val="en-US" w:eastAsia="zh-CN"/>
        </w:rPr>
        <w:t>管上每2m左右快接安装241T（70L-80L/小时）带配重的喷头一个，喷头距地面50cm-60cm。(详见附件</w:t>
      </w:r>
      <w:r>
        <w:rPr>
          <w:rFonts w:hint="eastAsia" w:ascii="仿宋" w:hAnsi="仿宋" w:eastAsia="仿宋" w:cs="仿宋"/>
          <w:bCs/>
          <w:sz w:val="32"/>
          <w:szCs w:val="32"/>
          <w:lang w:val="en-US" w:eastAsia="zh-CN"/>
        </w:rPr>
        <w:t>5</w:t>
      </w:r>
      <w:r>
        <w:rPr>
          <w:rFonts w:hint="default" w:ascii="仿宋" w:hAnsi="仿宋" w:eastAsia="仿宋" w:cs="仿宋"/>
          <w:bCs/>
          <w:sz w:val="32"/>
          <w:szCs w:val="32"/>
          <w:lang w:val="en-US" w:eastAsia="zh-CN"/>
        </w:rPr>
        <w:t>：水肥一体化配套设施</w:t>
      </w:r>
      <w:r>
        <w:rPr>
          <w:rFonts w:hint="eastAsia" w:ascii="仿宋" w:hAnsi="仿宋" w:eastAsia="仿宋" w:cs="仿宋"/>
          <w:bCs/>
          <w:sz w:val="32"/>
          <w:szCs w:val="32"/>
          <w:lang w:val="en-US" w:eastAsia="zh-CN"/>
        </w:rPr>
        <w:t>测算清单</w:t>
      </w:r>
      <w:r>
        <w:rPr>
          <w:rFonts w:hint="default" w:ascii="仿宋" w:hAnsi="仿宋" w:eastAsia="仿宋" w:cs="仿宋"/>
          <w:bCs/>
          <w:sz w:val="32"/>
          <w:szCs w:val="32"/>
          <w:lang w:val="en-US" w:eastAsia="zh-CN"/>
        </w:rPr>
        <w:t>)</w:t>
      </w:r>
    </w:p>
    <w:p w14:paraId="7289A3C9">
      <w:pPr>
        <w:pStyle w:val="11"/>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spacing w:before="0" w:beforeAutospacing="0" w:after="0" w:afterAutospacing="0" w:line="560" w:lineRule="exact"/>
        <w:ind w:left="0" w:lef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（二）补助资金用途</w:t>
      </w:r>
    </w:p>
    <w:p w14:paraId="4447562D">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本项目水肥一体化建设每亩投资4000元，省级财政资金补助每亩不超过2000元。魏县台头乡汤前村双生家庭农场投资44万元，其中财政补助22万元，带动社会投入22万元；魏县祥顺种植专业合作社投资40万元，其中财政补助20万元，带动社会投入20万元；魏县云通种植家庭农场投资36万元，其中财政补助18万元，带动社会投入18万元；魏县泊口乡昝关印家庭种植农场投资40万元，其中财政补助20万元，带动社会投入20万元；魏县国雨国顺种植基地投资40万元，其中财政补助20万元，带动社会投入资金20万元。财政资金使用的方式为先建后补。</w:t>
      </w:r>
    </w:p>
    <w:p w14:paraId="4314AECA">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项目建成后，聘请第三方出具项目竣工财务决算报告和工程验收报告，县级依据提供的项目竣工财务决算报告及工程验收报告及时组织人员进行验收，验收合格后将省级补助资金直接补助给实施主体。</w:t>
      </w:r>
    </w:p>
    <w:p w14:paraId="3287D5F9">
      <w:pPr>
        <w:pStyle w:val="11"/>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spacing w:before="0" w:beforeAutospacing="0" w:after="0" w:afterAutospacing="0" w:line="560" w:lineRule="exact"/>
        <w:ind w:left="0" w:lef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（三）实施进度</w:t>
      </w:r>
    </w:p>
    <w:p w14:paraId="4CD9950C">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3" w:firstLineChars="200"/>
        <w:jc w:val="both"/>
        <w:textAlignment w:val="auto"/>
        <w:outlineLvl w:val="9"/>
        <w:rPr>
          <w:rFonts w:hint="eastAsia" w:ascii="仿宋" w:hAnsi="仿宋" w:eastAsia="仿宋" w:cs="仿宋"/>
          <w:bCs/>
          <w:sz w:val="32"/>
          <w:szCs w:val="32"/>
          <w:lang w:val="en-US" w:eastAsia="zh-CN"/>
        </w:rPr>
      </w:pPr>
      <w:r>
        <w:rPr>
          <w:rFonts w:hint="eastAsia" w:ascii="楷体" w:hAnsi="楷体" w:eastAsia="楷体" w:cs="楷体"/>
          <w:b/>
          <w:bCs w:val="0"/>
          <w:sz w:val="32"/>
          <w:szCs w:val="32"/>
          <w:lang w:val="en-US" w:eastAsia="zh-CN"/>
        </w:rPr>
        <w:t>1.项目实施阶段。</w:t>
      </w:r>
      <w:r>
        <w:rPr>
          <w:rFonts w:hint="eastAsia" w:ascii="仿宋" w:hAnsi="仿宋" w:eastAsia="仿宋" w:cs="仿宋"/>
          <w:bCs/>
          <w:sz w:val="32"/>
          <w:szCs w:val="32"/>
          <w:lang w:val="en-US" w:eastAsia="zh-CN"/>
        </w:rPr>
        <w:t>2026年3月—2026年11月，按要求完成项目内容的实施。</w:t>
      </w:r>
    </w:p>
    <w:p w14:paraId="6B99AB87">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3" w:firstLineChars="200"/>
        <w:jc w:val="both"/>
        <w:textAlignment w:val="auto"/>
        <w:outlineLvl w:val="9"/>
        <w:rPr>
          <w:rFonts w:hint="eastAsia" w:ascii="仿宋" w:hAnsi="仿宋" w:eastAsia="仿宋" w:cs="仿宋"/>
          <w:bCs/>
          <w:sz w:val="32"/>
          <w:szCs w:val="32"/>
          <w:lang w:val="en-US" w:eastAsia="zh-CN"/>
        </w:rPr>
      </w:pPr>
      <w:r>
        <w:rPr>
          <w:rFonts w:hint="eastAsia" w:ascii="楷体" w:hAnsi="楷体" w:eastAsia="楷体" w:cs="楷体"/>
          <w:b/>
          <w:bCs w:val="0"/>
          <w:sz w:val="32"/>
          <w:szCs w:val="32"/>
          <w:lang w:val="en-US" w:eastAsia="zh-CN"/>
        </w:rPr>
        <w:t>2.项目总结及验收阶段。</w:t>
      </w:r>
      <w:r>
        <w:rPr>
          <w:rFonts w:hint="eastAsia" w:ascii="仿宋" w:hAnsi="仿宋" w:eastAsia="仿宋" w:cs="仿宋"/>
          <w:bCs/>
          <w:sz w:val="32"/>
          <w:szCs w:val="32"/>
          <w:lang w:val="en-US" w:eastAsia="zh-CN"/>
        </w:rPr>
        <w:t>2026年12月，完成项目总结、绩效考核、自验、拨付资金，并及时完善项目相关资料，申请市级验收。项目建设期限一年。</w:t>
      </w:r>
    </w:p>
    <w:p w14:paraId="28713607">
      <w:pPr>
        <w:pStyle w:val="11"/>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spacing w:before="0" w:beforeAutospacing="0" w:after="0" w:afterAutospacing="0" w:line="560" w:lineRule="exact"/>
        <w:ind w:left="0" w:leftChars="0" w:firstLine="640" w:firstLineChars="200"/>
        <w:jc w:val="both"/>
        <w:textAlignment w:val="auto"/>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四、效益分析</w:t>
      </w:r>
    </w:p>
    <w:p w14:paraId="622E5119">
      <w:pPr>
        <w:keepNext w:val="0"/>
        <w:keepLines w:val="0"/>
        <w:pageBreakBefore w:val="0"/>
        <w:widowControl w:val="0"/>
        <w:kinsoku/>
        <w:wordWrap/>
        <w:overflowPunct/>
        <w:topLinePunct w:val="0"/>
        <w:autoSpaceDE w:val="0"/>
        <w:autoSpaceDN/>
        <w:bidi w:val="0"/>
        <w:adjustRightInd/>
        <w:snapToGrid/>
        <w:spacing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（一）经济效益</w:t>
      </w:r>
    </w:p>
    <w:p w14:paraId="3268F5BD">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default" w:ascii="仿宋" w:hAnsi="仿宋" w:eastAsia="仿宋_GB2312" w:cs="仿宋"/>
          <w:b w:val="0"/>
          <w:bCs w:val="0"/>
          <w:kern w:val="2"/>
          <w:sz w:val="32"/>
          <w:szCs w:val="32"/>
          <w:lang w:val="en-US" w:eastAsia="zh-CN" w:bidi="ar-SA"/>
        </w:rPr>
      </w:pPr>
      <w:r>
        <w:rPr>
          <w:rFonts w:hint="default" w:ascii="仿宋" w:hAnsi="仿宋" w:eastAsia="仿宋" w:cs="仿宋"/>
          <w:bCs/>
          <w:sz w:val="32"/>
          <w:szCs w:val="32"/>
          <w:lang w:val="en-US" w:eastAsia="zh-CN"/>
        </w:rPr>
        <w:t>针对魏县梨产业灌溉周期长、需水量</w:t>
      </w:r>
      <w:r>
        <w:rPr>
          <w:rFonts w:hint="eastAsia" w:ascii="仿宋" w:hAnsi="仿宋" w:eastAsia="仿宋" w:cs="仿宋"/>
          <w:bCs/>
          <w:sz w:val="32"/>
          <w:szCs w:val="32"/>
          <w:lang w:val="en-US" w:eastAsia="zh-CN"/>
        </w:rPr>
        <w:t>大的</w:t>
      </w:r>
      <w:r>
        <w:rPr>
          <w:rFonts w:hint="default" w:ascii="仿宋" w:hAnsi="仿宋" w:eastAsia="仿宋" w:cs="仿宋"/>
          <w:bCs/>
          <w:sz w:val="32"/>
          <w:szCs w:val="32"/>
          <w:lang w:val="en-US" w:eastAsia="zh-CN"/>
        </w:rPr>
        <w:t>需求，推广</w:t>
      </w:r>
      <w:r>
        <w:rPr>
          <w:rFonts w:hint="eastAsia" w:ascii="仿宋" w:hAnsi="仿宋" w:eastAsia="仿宋" w:cs="仿宋"/>
          <w:bCs/>
          <w:sz w:val="32"/>
          <w:szCs w:val="32"/>
          <w:lang w:val="en-US" w:eastAsia="zh-CN"/>
        </w:rPr>
        <w:t>微喷灌</w:t>
      </w:r>
      <w:r>
        <w:rPr>
          <w:rFonts w:hint="default" w:ascii="仿宋" w:hAnsi="仿宋" w:eastAsia="仿宋" w:cs="仿宋"/>
          <w:bCs/>
          <w:sz w:val="32"/>
          <w:szCs w:val="32"/>
          <w:lang w:val="en-US" w:eastAsia="zh-CN"/>
        </w:rPr>
        <w:t>水肥一体化等节水技术，可大幅减少灌溉用水消耗，较传统漫灌方式节水</w:t>
      </w:r>
      <w:r>
        <w:rPr>
          <w:rFonts w:hint="eastAsia" w:ascii="仿宋" w:hAnsi="仿宋" w:eastAsia="仿宋" w:cs="仿宋"/>
          <w:bCs/>
          <w:sz w:val="32"/>
          <w:szCs w:val="32"/>
          <w:lang w:val="en-US" w:eastAsia="zh-CN"/>
        </w:rPr>
        <w:t>30</w:t>
      </w:r>
      <w:r>
        <w:rPr>
          <w:rFonts w:hint="default" w:ascii="仿宋" w:hAnsi="仿宋" w:eastAsia="仿宋" w:cs="仿宋"/>
          <w:bCs/>
          <w:sz w:val="32"/>
          <w:szCs w:val="32"/>
          <w:lang w:val="en-US" w:eastAsia="zh-CN"/>
        </w:rPr>
        <w:t>%</w:t>
      </w:r>
      <w:r>
        <w:rPr>
          <w:rFonts w:hint="eastAsia" w:ascii="仿宋" w:hAnsi="仿宋" w:eastAsia="仿宋" w:cs="仿宋"/>
          <w:bCs/>
          <w:sz w:val="32"/>
          <w:szCs w:val="32"/>
          <w:lang w:val="en-US" w:eastAsia="zh-CN"/>
        </w:rPr>
        <w:t>左右</w:t>
      </w:r>
      <w:r>
        <w:rPr>
          <w:rFonts w:hint="default" w:ascii="仿宋" w:hAnsi="仿宋" w:eastAsia="仿宋" w:cs="仿宋"/>
          <w:bCs/>
          <w:sz w:val="32"/>
          <w:szCs w:val="32"/>
          <w:lang w:val="en-US" w:eastAsia="zh-CN"/>
        </w:rPr>
        <w:t>。一方面直接降低水费、抽水能耗及人工灌溉成本，尤其在干旱季节可避免因水资源短缺导致的灌溉不及时问题，保障梨果产量稳定；另一方面，节水灌溉能精准控制水分供给，配合精准施肥，提升梨果品质，增强产品市场竞争力，实现“节水即节本、节水即增值”。</w:t>
      </w:r>
    </w:p>
    <w:p w14:paraId="738FB8E6">
      <w:pPr>
        <w:keepNext w:val="0"/>
        <w:keepLines w:val="0"/>
        <w:pageBreakBefore w:val="0"/>
        <w:kinsoku/>
        <w:wordWrap/>
        <w:overflowPunct w:val="0"/>
        <w:topLinePunct w:val="0"/>
        <w:bidi w:val="0"/>
        <w:snapToGrid/>
        <w:spacing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（二）社会效益</w:t>
      </w:r>
    </w:p>
    <w:p w14:paraId="6F486F0C">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_GB2312" w:hAnsi="仿宋" w:eastAsia="仿宋_GB2312" w:cs="宋体"/>
          <w:sz w:val="32"/>
          <w:szCs w:val="32"/>
          <w:lang w:eastAsia="zh-CN"/>
        </w:rPr>
      </w:pPr>
      <w:r>
        <w:rPr>
          <w:rFonts w:hint="eastAsia" w:ascii="仿宋" w:hAnsi="仿宋" w:eastAsia="仿宋" w:cs="仿宋"/>
          <w:bCs/>
          <w:sz w:val="32"/>
          <w:szCs w:val="32"/>
          <w:lang w:val="en-US" w:eastAsia="zh-CN"/>
        </w:rPr>
        <w:t>项目建成后，可减少成本投入，促进农民增收。在此基础上，还可以改变果农的小农经济观念，提高市场意识，还能为周边果农树立样板，当好示范。</w:t>
      </w:r>
    </w:p>
    <w:p w14:paraId="7115DB0B">
      <w:pPr>
        <w:keepNext w:val="0"/>
        <w:keepLines w:val="0"/>
        <w:pageBreakBefore w:val="0"/>
        <w:kinsoku/>
        <w:wordWrap/>
        <w:overflowPunct w:val="0"/>
        <w:topLinePunct w:val="0"/>
        <w:bidi w:val="0"/>
        <w:snapToGrid/>
        <w:spacing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（三）生态效益</w:t>
      </w:r>
    </w:p>
    <w:p w14:paraId="0565691F">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eastAsia="仿宋_GB2312"/>
          <w:sz w:val="32"/>
          <w:szCs w:val="32"/>
          <w:highlight w:val="none"/>
        </w:rPr>
      </w:pPr>
      <w:r>
        <w:rPr>
          <w:rFonts w:hint="eastAsia" w:ascii="仿宋" w:hAnsi="仿宋" w:eastAsia="仿宋" w:cs="仿宋"/>
          <w:bCs/>
          <w:sz w:val="32"/>
          <w:szCs w:val="32"/>
          <w:lang w:val="en-US" w:eastAsia="zh-CN"/>
        </w:rPr>
        <w:t>项目建成后，能够有效减少梨园浇灌所需水量，还可进一步稳定和扩大梨树种植面积，有效防风固沙、调节小气候、保护天敌，改善生态环境。</w:t>
      </w:r>
    </w:p>
    <w:p w14:paraId="59A9731F">
      <w:pPr>
        <w:keepNext w:val="0"/>
        <w:keepLines w:val="0"/>
        <w:pageBreakBefore w:val="0"/>
        <w:widowControl/>
        <w:kinsoku/>
        <w:wordWrap/>
        <w:overflowPunct/>
        <w:topLinePunct w:val="0"/>
        <w:autoSpaceDE/>
        <w:autoSpaceDN/>
        <w:bidi w:val="0"/>
        <w:adjustRightInd/>
        <w:snapToGrid/>
        <w:spacing w:beforeAutospacing="0" w:line="560" w:lineRule="exact"/>
        <w:ind w:left="0" w:leftChars="0" w:right="0" w:rightChars="0" w:firstLine="640" w:firstLineChars="200"/>
        <w:jc w:val="left"/>
        <w:textAlignment w:val="auto"/>
        <w:outlineLvl w:val="0"/>
        <w:rPr>
          <w:rFonts w:hint="eastAsia" w:ascii="黑体" w:hAnsi="宋体" w:eastAsia="黑体" w:cs="黑体"/>
          <w:color w:val="000000"/>
          <w:kern w:val="0"/>
          <w:sz w:val="32"/>
          <w:szCs w:val="32"/>
          <w:lang w:val="en-US" w:eastAsia="zh-CN" w:bidi="ar"/>
        </w:rPr>
      </w:pPr>
      <w:r>
        <w:rPr>
          <w:rFonts w:hint="eastAsia" w:ascii="黑体" w:hAnsi="宋体" w:eastAsia="黑体" w:cs="黑体"/>
          <w:color w:val="000000"/>
          <w:kern w:val="0"/>
          <w:sz w:val="32"/>
          <w:szCs w:val="32"/>
          <w:lang w:val="en-US" w:eastAsia="zh-CN" w:bidi="ar"/>
        </w:rPr>
        <w:t>五、保障措施</w:t>
      </w:r>
    </w:p>
    <w:p w14:paraId="4D49D7A1">
      <w:pPr>
        <w:keepNext w:val="0"/>
        <w:keepLines w:val="0"/>
        <w:pageBreakBefore w:val="0"/>
        <w:widowControl w:val="0"/>
        <w:suppressLineNumbers w:val="0"/>
        <w:kinsoku/>
        <w:wordWrap/>
        <w:overflowPunct/>
        <w:topLinePunct w:val="0"/>
        <w:autoSpaceDE/>
        <w:autoSpaceDN/>
        <w:bidi w:val="0"/>
        <w:adjustRightInd/>
        <w:snapToGrid/>
        <w:spacing w:beforeAutospacing="0" w:line="560" w:lineRule="exact"/>
        <w:ind w:left="0" w:leftChars="0" w:right="0" w:rightChars="0" w:firstLine="643" w:firstLineChars="200"/>
        <w:jc w:val="left"/>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（一）成立组织机构，切实加强领导</w:t>
      </w:r>
    </w:p>
    <w:p w14:paraId="1BBBECD6">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成立魏县2026年省级特色产业高效节水项目工作领导小组，由政府副县长吴瑞丽任组长，政府办副主任张晓彬、农业农村局局长段晓明、林果开发服务中心主任王发民任副组长，县林果开发服务中心、县财政局、县农业农村局等相关部门人员为成员,领导小组下设办公室，办公室主任由县林果开发服务中心主任王发民兼任，</w:t>
      </w:r>
      <w:r>
        <w:rPr>
          <w:rFonts w:hint="eastAsia" w:ascii="仿宋" w:hAnsi="仿宋" w:eastAsia="仿宋" w:cs="仿宋"/>
          <w:bCs/>
          <w:sz w:val="32"/>
          <w:szCs w:val="32"/>
          <w:lang w:val="zh-CN" w:eastAsia="zh-CN"/>
        </w:rPr>
        <w:t>具体</w:t>
      </w:r>
      <w:r>
        <w:rPr>
          <w:rFonts w:hint="eastAsia" w:ascii="仿宋" w:hAnsi="仿宋" w:eastAsia="仿宋" w:cs="仿宋"/>
          <w:bCs/>
          <w:sz w:val="32"/>
          <w:szCs w:val="32"/>
          <w:lang w:val="en-US" w:eastAsia="zh-CN"/>
        </w:rPr>
        <w:t>负责魏县2026年省级特色产业高效节水项目的组织领导和日常工作，指导督促各部门和项目实施主体共同抓好魏县2026年省级特色产业高效节水项目。同时，成立魏县2026年省级特色产业高效节水项目工作专家组，特邀河北农大张玉星教授、河北工程大学程福厚教授等知名专家教授为顾问，积极开展研究、试验示范和推广工作，并在关键农时季节进行巡回指导、技术培训等，确保项目建设技术支撑强劲有力。</w:t>
      </w:r>
    </w:p>
    <w:p w14:paraId="5EDDCAD1">
      <w:pPr>
        <w:keepNext w:val="0"/>
        <w:keepLines w:val="0"/>
        <w:pageBreakBefore w:val="0"/>
        <w:widowControl/>
        <w:kinsoku/>
        <w:wordWrap/>
        <w:overflowPunct/>
        <w:topLinePunct w:val="0"/>
        <w:autoSpaceDE/>
        <w:autoSpaceDN/>
        <w:bidi w:val="0"/>
        <w:adjustRightInd/>
        <w:snapToGrid/>
        <w:spacing w:beforeAutospacing="0" w:line="560" w:lineRule="exact"/>
        <w:ind w:left="0" w:leftChars="0" w:right="0" w:rightChars="0" w:firstLine="643" w:firstLineChars="200"/>
        <w:jc w:val="left"/>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（二）抓好宣传发动，营造良好氛围</w:t>
      </w:r>
    </w:p>
    <w:p w14:paraId="68EDA214">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充分利用广播、电视、报刊、网站等媒体，多渠道、多途径加大对发展梨特色产业的宣传力度，普及新技术，推广新品种，进一步提高梨农种植积极性，稳定和扩大梨树种植面积，提升市场知名度和竞争力，喊响叫亮“中国鸭梨之乡”这一金字招牌。</w:t>
      </w:r>
    </w:p>
    <w:p w14:paraId="14C8793A">
      <w:pPr>
        <w:keepNext w:val="0"/>
        <w:keepLines w:val="0"/>
        <w:pageBreakBefore w:val="0"/>
        <w:widowControl/>
        <w:numPr>
          <w:ilvl w:val="0"/>
          <w:numId w:val="0"/>
        </w:numPr>
        <w:kinsoku/>
        <w:wordWrap/>
        <w:overflowPunct/>
        <w:topLinePunct w:val="0"/>
        <w:autoSpaceDE/>
        <w:autoSpaceDN/>
        <w:bidi w:val="0"/>
        <w:adjustRightInd/>
        <w:snapToGrid/>
        <w:spacing w:beforeAutospacing="0" w:line="560" w:lineRule="exact"/>
        <w:ind w:left="0" w:leftChars="0" w:right="0" w:rightChars="0" w:firstLine="643" w:firstLineChars="200"/>
        <w:jc w:val="left"/>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（三）规范项目管理，强化督导考核</w:t>
      </w:r>
    </w:p>
    <w:p w14:paraId="2FE60525">
      <w:pPr>
        <w:keepNext w:val="0"/>
        <w:keepLines w:val="0"/>
        <w:pageBreakBefore w:val="0"/>
        <w:widowControl/>
        <w:numPr>
          <w:ilvl w:val="0"/>
          <w:numId w:val="0"/>
        </w:numPr>
        <w:kinsoku/>
        <w:wordWrap/>
        <w:overflowPunct/>
        <w:topLinePunct w:val="0"/>
        <w:autoSpaceDE/>
        <w:autoSpaceDN/>
        <w:bidi w:val="0"/>
        <w:adjustRightInd/>
        <w:snapToGrid/>
        <w:spacing w:beforeAutospacing="0" w:line="560" w:lineRule="exact"/>
        <w:ind w:left="0" w:leftChars="0" w:right="0" w:rightChars="0" w:firstLine="640" w:firstLineChars="200"/>
        <w:jc w:val="left"/>
        <w:textAlignment w:val="auto"/>
        <w:outlineLvl w:val="9"/>
        <w:rPr>
          <w:rFonts w:hint="eastAsia" w:ascii="仿宋_GB2312" w:hAnsi="仿宋_GB2312" w:eastAsia="仿宋_GB2312" w:cs="宋体"/>
          <w:kern w:val="2"/>
          <w:sz w:val="32"/>
          <w:szCs w:val="32"/>
        </w:rPr>
      </w:pPr>
      <w:r>
        <w:rPr>
          <w:rFonts w:hint="eastAsia" w:ascii="仿宋" w:hAnsi="仿宋" w:eastAsia="仿宋" w:cs="仿宋"/>
          <w:bCs/>
          <w:kern w:val="2"/>
          <w:sz w:val="32"/>
          <w:szCs w:val="32"/>
          <w:lang w:val="en-US" w:eastAsia="zh-CN" w:bidi="ar-SA"/>
        </w:rPr>
        <w:t>严格按照实施方案施工，保证建设进度和建设质量，确保按期完成各项任务目标。加强项目档案管理，及时将有关文件、工作总结、绩效开合报告等收集归档，形成完整、齐全的项目实施档案。实施主体完成项目建设后，按程序进行验收，并拨付项目扶持资金。</w:t>
      </w:r>
    </w:p>
    <w:p w14:paraId="032399AA">
      <w:pPr>
        <w:pStyle w:val="14"/>
        <w:keepNext w:val="0"/>
        <w:keepLines w:val="0"/>
        <w:pageBreakBefore w:val="0"/>
        <w:kinsoku/>
        <w:wordWrap/>
        <w:overflowPunct/>
        <w:topLinePunct w:val="0"/>
        <w:bidi w:val="0"/>
        <w:snapToGrid/>
        <w:spacing w:beforeAutospacing="0" w:line="560" w:lineRule="exact"/>
        <w:ind w:left="0" w:leftChars="0" w:right="0" w:rightChars="0" w:firstLine="643" w:firstLineChars="200"/>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（四）严格资金管理，明确目标任务</w:t>
      </w:r>
    </w:p>
    <w:p w14:paraId="5B96398D">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严格按照国家有关规定和项目实施方案内容使用资金，做到专款专用。任何单位和个人不得套取、挤占、截留、挪用和超范围支出，不得大额提现、白条入账。建立和落实工作责任制，加强对项目资金的监督检查，切实提高资金使用效益。对出现违法违纪行为的，依照有关法律、法规追究有关单位及责任人的法律责任。</w:t>
      </w:r>
    </w:p>
    <w:p w14:paraId="4DFD7B43">
      <w:pPr>
        <w:keepNext w:val="0"/>
        <w:keepLines w:val="0"/>
        <w:pageBreakBefore w:val="0"/>
        <w:widowControl/>
        <w:kinsoku/>
        <w:wordWrap/>
        <w:overflowPunct/>
        <w:topLinePunct w:val="0"/>
        <w:autoSpaceDE/>
        <w:autoSpaceDN/>
        <w:bidi w:val="0"/>
        <w:adjustRightInd/>
        <w:snapToGrid/>
        <w:spacing w:beforeAutospacing="0" w:line="560" w:lineRule="exact"/>
        <w:ind w:left="0" w:leftChars="0" w:right="0" w:rightChars="0" w:firstLine="640" w:firstLineChars="200"/>
        <w:jc w:val="both"/>
        <w:textAlignment w:val="auto"/>
        <w:outlineLvl w:val="0"/>
        <w:rPr>
          <w:rFonts w:hint="eastAsia" w:ascii="黑体" w:hAnsi="宋体" w:eastAsia="黑体" w:cs="黑体"/>
          <w:color w:val="000000"/>
          <w:kern w:val="0"/>
          <w:sz w:val="32"/>
          <w:szCs w:val="32"/>
          <w:highlight w:val="none"/>
          <w:lang w:val="en-US" w:eastAsia="zh-CN" w:bidi="ar"/>
        </w:rPr>
      </w:pPr>
      <w:r>
        <w:rPr>
          <w:rFonts w:hint="eastAsia" w:ascii="黑体" w:hAnsi="宋体" w:eastAsia="黑体" w:cs="黑体"/>
          <w:color w:val="000000"/>
          <w:kern w:val="0"/>
          <w:sz w:val="32"/>
          <w:szCs w:val="32"/>
          <w:highlight w:val="none"/>
          <w:lang w:val="en-US" w:eastAsia="zh-CN" w:bidi="ar"/>
        </w:rPr>
        <w:t xml:space="preserve">五、相关附件 </w:t>
      </w:r>
    </w:p>
    <w:p w14:paraId="4FD80CED">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 xml:space="preserve">附件1：魏县2026年省级特色产业高效节水项目工作领导小组   </w:t>
      </w:r>
    </w:p>
    <w:p w14:paraId="428B0D96">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附件2：魏县2026年省级特色产业高效节水项目工作专家组</w:t>
      </w:r>
    </w:p>
    <w:p w14:paraId="26462C38">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附件3：魏县2026年省级特色产业高效节水项目资金使用分配表</w:t>
      </w:r>
    </w:p>
    <w:p w14:paraId="37CDA0BC">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附件4：魏县2026年省级特色产业高效节水项目区示意图</w:t>
      </w:r>
    </w:p>
    <w:p w14:paraId="74B193E9">
      <w:pPr>
        <w:pStyle w:val="5"/>
        <w:keepNext w:val="0"/>
        <w:keepLines w:val="0"/>
        <w:pageBreakBefore w:val="0"/>
        <w:widowControl w:val="0"/>
        <w:numPr>
          <w:ilvl w:val="0"/>
          <w:numId w:val="0"/>
        </w:numPr>
        <w:kinsoku/>
        <w:wordWrap/>
        <w:overflowPunct/>
        <w:topLinePunct w:val="0"/>
        <w:autoSpaceDE/>
        <w:autoSpaceDN/>
        <w:bidi w:val="0"/>
        <w:adjustRightInd/>
        <w:snapToGrid/>
        <w:spacing w:before="0" w:beforeAutospacing="0" w:line="560" w:lineRule="exact"/>
        <w:ind w:leftChars="0" w:firstLine="640" w:firstLineChars="200"/>
        <w:jc w:val="both"/>
        <w:textAlignment w:val="auto"/>
        <w:outlineLvl w:val="9"/>
        <w:rPr>
          <w:rFonts w:hint="eastAsia" w:ascii="仿宋_GB2312" w:hAnsi="仿宋_GB2312" w:eastAsia="仿宋_GB2312" w:cs="仿宋_GB2312"/>
          <w:bCs/>
          <w:color w:val="auto"/>
          <w:sz w:val="32"/>
          <w:szCs w:val="32"/>
        </w:rPr>
      </w:pPr>
      <w:r>
        <w:rPr>
          <w:rFonts w:hint="eastAsia" w:ascii="仿宋" w:hAnsi="仿宋" w:eastAsia="仿宋" w:cs="仿宋"/>
          <w:bCs/>
          <w:sz w:val="32"/>
          <w:szCs w:val="32"/>
          <w:lang w:val="en-US" w:eastAsia="zh-CN"/>
        </w:rPr>
        <w:t>附件5：智能水肥一体化配套设施明细表</w:t>
      </w:r>
    </w:p>
    <w:p w14:paraId="3313AFC2">
      <w:pPr>
        <w:keepNext w:val="0"/>
        <w:keepLines w:val="0"/>
        <w:pageBreakBefore w:val="0"/>
        <w:tabs>
          <w:tab w:val="center" w:pos="6883"/>
        </w:tabs>
        <w:kinsoku/>
        <w:wordWrap/>
        <w:topLinePunct w:val="0"/>
        <w:bidi w:val="0"/>
        <w:snapToGrid/>
        <w:spacing w:beforeAutospacing="0" w:line="570" w:lineRule="exact"/>
        <w:ind w:left="0" w:leftChars="0" w:right="0" w:rightChars="0"/>
        <w:jc w:val="left"/>
        <w:outlineLvl w:val="0"/>
        <w:rPr>
          <w:rFonts w:hint="eastAsia" w:ascii="黑体" w:hAnsi="黑体" w:eastAsia="黑体" w:cs="黑体"/>
          <w:spacing w:val="-4"/>
          <w:sz w:val="32"/>
          <w:szCs w:val="32"/>
        </w:rPr>
      </w:pPr>
    </w:p>
    <w:p w14:paraId="64BCAA6D">
      <w:pPr>
        <w:keepNext w:val="0"/>
        <w:keepLines w:val="0"/>
        <w:pageBreakBefore w:val="0"/>
        <w:tabs>
          <w:tab w:val="center" w:pos="6883"/>
        </w:tabs>
        <w:kinsoku/>
        <w:wordWrap/>
        <w:topLinePunct w:val="0"/>
        <w:bidi w:val="0"/>
        <w:snapToGrid/>
        <w:spacing w:beforeAutospacing="0" w:line="570" w:lineRule="exact"/>
        <w:ind w:left="0" w:leftChars="0" w:right="0" w:rightChars="0"/>
        <w:jc w:val="left"/>
        <w:outlineLvl w:val="0"/>
        <w:rPr>
          <w:rFonts w:hint="eastAsia" w:ascii="黑体" w:hAnsi="黑体" w:eastAsia="黑体" w:cs="黑体"/>
          <w:spacing w:val="-4"/>
          <w:sz w:val="32"/>
          <w:szCs w:val="32"/>
        </w:rPr>
      </w:pPr>
    </w:p>
    <w:p w14:paraId="7AF0DAFE">
      <w:pPr>
        <w:keepNext w:val="0"/>
        <w:keepLines w:val="0"/>
        <w:pageBreakBefore w:val="0"/>
        <w:tabs>
          <w:tab w:val="center" w:pos="6883"/>
        </w:tabs>
        <w:kinsoku/>
        <w:wordWrap/>
        <w:topLinePunct w:val="0"/>
        <w:bidi w:val="0"/>
        <w:snapToGrid/>
        <w:spacing w:beforeAutospacing="0" w:line="570" w:lineRule="exact"/>
        <w:ind w:left="0" w:leftChars="0" w:right="0" w:rightChars="0"/>
        <w:jc w:val="left"/>
        <w:outlineLvl w:val="0"/>
        <w:rPr>
          <w:rFonts w:hint="eastAsia" w:ascii="黑体" w:hAnsi="黑体" w:eastAsia="黑体" w:cs="黑体"/>
          <w:spacing w:val="-4"/>
          <w:sz w:val="32"/>
          <w:szCs w:val="32"/>
        </w:rPr>
      </w:pPr>
    </w:p>
    <w:p w14:paraId="7E0FD48E">
      <w:pPr>
        <w:keepNext w:val="0"/>
        <w:keepLines w:val="0"/>
        <w:pageBreakBefore w:val="0"/>
        <w:tabs>
          <w:tab w:val="center" w:pos="6883"/>
        </w:tabs>
        <w:kinsoku/>
        <w:wordWrap/>
        <w:topLinePunct w:val="0"/>
        <w:bidi w:val="0"/>
        <w:snapToGrid/>
        <w:spacing w:beforeAutospacing="0" w:line="570" w:lineRule="exact"/>
        <w:ind w:left="0" w:leftChars="0" w:right="0" w:rightChars="0"/>
        <w:jc w:val="left"/>
        <w:outlineLvl w:val="0"/>
        <w:rPr>
          <w:rFonts w:hint="eastAsia" w:ascii="仿宋_GB2312" w:hAnsi="仿宋" w:eastAsia="仿宋_GB2312"/>
          <w:spacing w:val="-4"/>
          <w:sz w:val="32"/>
          <w:szCs w:val="32"/>
        </w:rPr>
      </w:pPr>
      <w:r>
        <w:rPr>
          <w:rFonts w:hint="eastAsia" w:ascii="黑体" w:hAnsi="黑体" w:eastAsia="黑体" w:cs="黑体"/>
          <w:spacing w:val="-4"/>
          <w:sz w:val="32"/>
          <w:szCs w:val="32"/>
        </w:rPr>
        <w:t>附件1</w:t>
      </w:r>
    </w:p>
    <w:p w14:paraId="1337E313">
      <w:pPr>
        <w:keepNext w:val="0"/>
        <w:keepLines w:val="0"/>
        <w:pageBreakBefore w:val="0"/>
        <w:widowControl w:val="0"/>
        <w:kinsoku/>
        <w:wordWrap/>
        <w:overflowPunct/>
        <w:topLinePunct w:val="0"/>
        <w:autoSpaceDE/>
        <w:autoSpaceDN/>
        <w:bidi w:val="0"/>
        <w:adjustRightInd/>
        <w:snapToGrid/>
        <w:spacing w:beforeAutospacing="0" w:line="570" w:lineRule="exact"/>
        <w:ind w:leftChars="0" w:right="0" w:firstLine="0" w:firstLineChars="0"/>
        <w:jc w:val="center"/>
        <w:textAlignment w:val="auto"/>
        <w:rPr>
          <w:rFonts w:hint="eastAsia" w:ascii="方正小标宋_GBK" w:hAnsi="方正小标宋_GBK" w:eastAsia="方正小标宋_GBK" w:cs="方正小标宋_GBK"/>
          <w:spacing w:val="0"/>
          <w:sz w:val="44"/>
          <w:szCs w:val="44"/>
          <w:lang w:eastAsia="zh-CN"/>
        </w:rPr>
      </w:pPr>
      <w:r>
        <w:rPr>
          <w:rFonts w:hint="eastAsia" w:ascii="方正小标宋_GBK" w:hAnsi="方正小标宋_GBK" w:eastAsia="方正小标宋_GBK" w:cs="方正小标宋_GBK"/>
          <w:spacing w:val="0"/>
          <w:sz w:val="44"/>
          <w:szCs w:val="44"/>
          <w:lang w:eastAsia="zh-CN"/>
        </w:rPr>
        <w:t>魏县2026年省级特色产业高效节水项目</w:t>
      </w:r>
    </w:p>
    <w:p w14:paraId="5DE4EF80">
      <w:pPr>
        <w:keepNext w:val="0"/>
        <w:keepLines w:val="0"/>
        <w:pageBreakBefore w:val="0"/>
        <w:widowControl w:val="0"/>
        <w:kinsoku/>
        <w:wordWrap/>
        <w:overflowPunct/>
        <w:topLinePunct w:val="0"/>
        <w:autoSpaceDE/>
        <w:autoSpaceDN/>
        <w:bidi w:val="0"/>
        <w:adjustRightInd/>
        <w:snapToGrid/>
        <w:spacing w:beforeAutospacing="0" w:line="57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pacing w:val="0"/>
          <w:sz w:val="44"/>
          <w:szCs w:val="44"/>
          <w:lang w:eastAsia="zh-CN"/>
        </w:rPr>
      </w:pPr>
      <w:r>
        <w:rPr>
          <w:rFonts w:hint="eastAsia" w:ascii="方正小标宋_GBK" w:hAnsi="方正小标宋_GBK" w:eastAsia="方正小标宋_GBK" w:cs="方正小标宋_GBK"/>
          <w:spacing w:val="0"/>
          <w:sz w:val="44"/>
          <w:szCs w:val="44"/>
          <w:lang w:eastAsia="zh-CN"/>
        </w:rPr>
        <w:t>工作领导小组</w:t>
      </w:r>
    </w:p>
    <w:p w14:paraId="4885323C">
      <w:pPr>
        <w:keepNext w:val="0"/>
        <w:keepLines w:val="0"/>
        <w:pageBreakBefore w:val="0"/>
        <w:widowControl w:val="0"/>
        <w:kinsoku/>
        <w:wordWrap/>
        <w:overflowPunct/>
        <w:topLinePunct w:val="0"/>
        <w:autoSpaceDE/>
        <w:autoSpaceDN/>
        <w:bidi w:val="0"/>
        <w:adjustRightInd/>
        <w:snapToGrid/>
        <w:spacing w:beforeAutospacing="0" w:line="570" w:lineRule="exact"/>
        <w:ind w:leftChars="0" w:right="0" w:firstLine="0" w:firstLineChars="0"/>
        <w:jc w:val="center"/>
        <w:textAlignment w:val="auto"/>
        <w:rPr>
          <w:rFonts w:hint="eastAsia" w:ascii="方正小标宋_GBK" w:hAnsi="方正小标宋_GBK" w:eastAsia="方正小标宋_GBK" w:cs="方正小标宋_GBK"/>
          <w:spacing w:val="0"/>
          <w:sz w:val="30"/>
          <w:szCs w:val="30"/>
          <w:lang w:eastAsia="zh-CN"/>
        </w:rPr>
      </w:pPr>
    </w:p>
    <w:p w14:paraId="522C398B">
      <w:pPr>
        <w:keepNext w:val="0"/>
        <w:keepLines w:val="0"/>
        <w:pageBreakBefore w:val="0"/>
        <w:kinsoku/>
        <w:wordWrap/>
        <w:topLinePunct w:val="0"/>
        <w:bidi w:val="0"/>
        <w:snapToGrid/>
        <w:spacing w:beforeAutospacing="0" w:line="570" w:lineRule="exact"/>
        <w:ind w:leftChars="0" w:right="0" w:firstLine="624" w:firstLineChars="200"/>
        <w:rPr>
          <w:rFonts w:ascii="仿宋_GB2312" w:hAnsi="仿宋" w:eastAsia="仿宋_GB2312"/>
          <w:spacing w:val="-4"/>
          <w:sz w:val="32"/>
          <w:szCs w:val="32"/>
        </w:rPr>
      </w:pPr>
      <w:r>
        <w:rPr>
          <w:rFonts w:hint="eastAsia" w:ascii="仿宋_GB2312" w:hAnsi="仿宋" w:eastAsia="仿宋_GB2312"/>
          <w:spacing w:val="-4"/>
          <w:sz w:val="32"/>
          <w:szCs w:val="32"/>
        </w:rPr>
        <w:t>组  长：</w:t>
      </w:r>
      <w:r>
        <w:rPr>
          <w:rFonts w:hint="eastAsia" w:ascii="仿宋_GB2312" w:hAnsi="仿宋_GB2312" w:eastAsia="仿宋_GB2312" w:cs="仿宋_GB2312"/>
          <w:color w:val="auto"/>
          <w:sz w:val="32"/>
          <w:szCs w:val="32"/>
          <w:lang w:val="en-US" w:eastAsia="zh-CN"/>
        </w:rPr>
        <w:t>吴瑞丽</w:t>
      </w:r>
      <w:r>
        <w:rPr>
          <w:rFonts w:hint="eastAsia" w:ascii="仿宋_GB2312" w:hAnsi="仿宋" w:eastAsia="仿宋_GB2312"/>
          <w:spacing w:val="-4"/>
          <w:sz w:val="32"/>
          <w:szCs w:val="32"/>
        </w:rPr>
        <w:t xml:space="preserve">   县政府副县长</w:t>
      </w:r>
    </w:p>
    <w:p w14:paraId="0D4C4130">
      <w:pPr>
        <w:keepNext w:val="0"/>
        <w:keepLines w:val="0"/>
        <w:pageBreakBefore w:val="0"/>
        <w:kinsoku/>
        <w:wordWrap/>
        <w:topLinePunct w:val="0"/>
        <w:bidi w:val="0"/>
        <w:snapToGrid/>
        <w:spacing w:beforeAutospacing="0" w:line="570" w:lineRule="exact"/>
        <w:ind w:leftChars="0" w:right="0" w:firstLine="624" w:firstLineChars="200"/>
        <w:rPr>
          <w:rFonts w:hint="eastAsia" w:ascii="仿宋_GB2312" w:hAnsi="仿宋" w:eastAsia="仿宋_GB2312"/>
          <w:spacing w:val="-4"/>
          <w:sz w:val="32"/>
          <w:szCs w:val="32"/>
          <w:lang w:val="en-US" w:eastAsia="zh-CN"/>
        </w:rPr>
      </w:pPr>
      <w:r>
        <w:rPr>
          <w:rFonts w:hint="eastAsia" w:ascii="仿宋_GB2312" w:hAnsi="仿宋" w:eastAsia="仿宋_GB2312"/>
          <w:spacing w:val="-4"/>
          <w:sz w:val="32"/>
          <w:szCs w:val="32"/>
        </w:rPr>
        <w:t>副组长：</w:t>
      </w:r>
      <w:r>
        <w:rPr>
          <w:rFonts w:hint="eastAsia" w:ascii="仿宋_GB2312" w:hAnsi="仿宋" w:eastAsia="仿宋_GB2312"/>
          <w:spacing w:val="-4"/>
          <w:sz w:val="32"/>
          <w:szCs w:val="32"/>
          <w:lang w:val="en-US" w:eastAsia="zh-CN"/>
        </w:rPr>
        <w:t>张晓彬</w:t>
      </w:r>
      <w:r>
        <w:rPr>
          <w:rFonts w:hint="eastAsia" w:ascii="仿宋_GB2312" w:hAnsi="仿宋" w:eastAsia="仿宋_GB2312"/>
          <w:spacing w:val="-4"/>
          <w:sz w:val="32"/>
          <w:szCs w:val="32"/>
        </w:rPr>
        <w:t xml:space="preserve">   县</w:t>
      </w:r>
      <w:r>
        <w:rPr>
          <w:rFonts w:hint="eastAsia" w:ascii="仿宋_GB2312" w:hAnsi="仿宋" w:eastAsia="仿宋_GB2312"/>
          <w:spacing w:val="-4"/>
          <w:sz w:val="32"/>
          <w:szCs w:val="32"/>
          <w:lang w:eastAsia="zh-CN"/>
        </w:rPr>
        <w:t>政府办副主任</w:t>
      </w:r>
    </w:p>
    <w:p w14:paraId="2D28A559">
      <w:pPr>
        <w:keepNext w:val="0"/>
        <w:keepLines w:val="0"/>
        <w:pageBreakBefore w:val="0"/>
        <w:tabs>
          <w:tab w:val="left" w:pos="2009"/>
        </w:tabs>
        <w:kinsoku/>
        <w:wordWrap/>
        <w:topLinePunct w:val="0"/>
        <w:bidi w:val="0"/>
        <w:snapToGrid/>
        <w:spacing w:beforeAutospacing="0" w:line="570" w:lineRule="exact"/>
        <w:ind w:right="0" w:firstLine="1920" w:firstLineChars="600"/>
        <w:rPr>
          <w:rFonts w:hint="eastAsia" w:ascii="仿宋_GB2312" w:hAnsi="仿宋" w:eastAsia="仿宋_GB2312"/>
          <w:spacing w:val="-4"/>
          <w:sz w:val="32"/>
          <w:szCs w:val="32"/>
          <w:lang w:eastAsia="zh-CN"/>
        </w:rPr>
      </w:pPr>
      <w:r>
        <w:rPr>
          <w:rFonts w:hint="eastAsia" w:ascii="仿宋_GB2312" w:hAnsi="仿宋_GB2312" w:eastAsia="仿宋_GB2312" w:cs="仿宋_GB2312"/>
          <w:color w:val="auto"/>
          <w:sz w:val="32"/>
          <w:szCs w:val="32"/>
          <w:lang w:val="en-US" w:eastAsia="zh-CN"/>
        </w:rPr>
        <w:t xml:space="preserve">段晓明  </w:t>
      </w:r>
      <w:r>
        <w:rPr>
          <w:rFonts w:hint="eastAsia" w:ascii="仿宋_GB2312" w:hAnsi="仿宋" w:eastAsia="仿宋_GB2312"/>
          <w:spacing w:val="-4"/>
          <w:sz w:val="32"/>
          <w:szCs w:val="32"/>
        </w:rPr>
        <w:t>县农业农村局</w:t>
      </w:r>
      <w:r>
        <w:rPr>
          <w:rFonts w:hint="eastAsia" w:ascii="仿宋_GB2312" w:hAnsi="仿宋" w:eastAsia="仿宋_GB2312"/>
          <w:spacing w:val="-4"/>
          <w:sz w:val="32"/>
          <w:szCs w:val="32"/>
          <w:lang w:eastAsia="zh-CN"/>
        </w:rPr>
        <w:t>局长</w:t>
      </w:r>
    </w:p>
    <w:p w14:paraId="77F53781">
      <w:pPr>
        <w:keepNext w:val="0"/>
        <w:keepLines w:val="0"/>
        <w:pageBreakBefore w:val="0"/>
        <w:kinsoku/>
        <w:wordWrap/>
        <w:topLinePunct w:val="0"/>
        <w:bidi w:val="0"/>
        <w:snapToGrid/>
        <w:spacing w:beforeAutospacing="0" w:line="570" w:lineRule="exact"/>
        <w:ind w:leftChars="0" w:right="0" w:firstLine="1872" w:firstLineChars="600"/>
        <w:rPr>
          <w:rFonts w:ascii="仿宋_GB2312" w:hAnsi="仿宋" w:eastAsia="仿宋_GB2312"/>
          <w:spacing w:val="-4"/>
          <w:sz w:val="32"/>
          <w:szCs w:val="32"/>
        </w:rPr>
      </w:pPr>
      <w:r>
        <w:rPr>
          <w:rFonts w:hint="eastAsia" w:ascii="仿宋_GB2312" w:hAnsi="仿宋" w:eastAsia="仿宋_GB2312"/>
          <w:spacing w:val="-4"/>
          <w:sz w:val="32"/>
          <w:szCs w:val="32"/>
          <w:lang w:eastAsia="zh-CN"/>
        </w:rPr>
        <w:t>王发民</w:t>
      </w:r>
      <w:r>
        <w:rPr>
          <w:rFonts w:hint="eastAsia" w:ascii="仿宋_GB2312" w:hAnsi="仿宋" w:eastAsia="仿宋_GB2312"/>
          <w:spacing w:val="-4"/>
          <w:sz w:val="32"/>
          <w:szCs w:val="32"/>
        </w:rPr>
        <w:t xml:space="preserve">   县林果开发服务中心主任</w:t>
      </w:r>
    </w:p>
    <w:p w14:paraId="66E7ED21">
      <w:pPr>
        <w:keepNext w:val="0"/>
        <w:keepLines w:val="0"/>
        <w:pageBreakBefore w:val="0"/>
        <w:kinsoku/>
        <w:wordWrap/>
        <w:topLinePunct w:val="0"/>
        <w:bidi w:val="0"/>
        <w:snapToGrid/>
        <w:spacing w:beforeAutospacing="0" w:line="570" w:lineRule="exact"/>
        <w:ind w:leftChars="0" w:right="0" w:firstLine="624" w:firstLineChars="200"/>
        <w:rPr>
          <w:rFonts w:hint="eastAsia" w:ascii="仿宋_GB2312" w:hAnsi="仿宋" w:eastAsia="仿宋_GB2312"/>
          <w:spacing w:val="-4"/>
          <w:sz w:val="32"/>
          <w:szCs w:val="32"/>
          <w:u w:val="none"/>
          <w:lang w:eastAsia="zh-CN"/>
        </w:rPr>
      </w:pPr>
      <w:r>
        <w:rPr>
          <w:rFonts w:hint="eastAsia" w:ascii="仿宋_GB2312" w:hAnsi="仿宋" w:eastAsia="仿宋_GB2312"/>
          <w:spacing w:val="-4"/>
          <w:sz w:val="32"/>
          <w:szCs w:val="32"/>
        </w:rPr>
        <w:t>成  员：郭延凯   县林果开发服务中心</w:t>
      </w:r>
      <w:r>
        <w:rPr>
          <w:rFonts w:hint="eastAsia" w:ascii="仿宋_GB2312" w:hAnsi="仿宋" w:eastAsia="仿宋_GB2312"/>
          <w:spacing w:val="-4"/>
          <w:sz w:val="32"/>
          <w:szCs w:val="32"/>
          <w:u w:val="none"/>
          <w:lang w:val="en-US" w:eastAsia="zh-CN"/>
        </w:rPr>
        <w:t>二级主任科员</w:t>
      </w:r>
    </w:p>
    <w:p w14:paraId="4577A21F">
      <w:pPr>
        <w:keepNext w:val="0"/>
        <w:keepLines w:val="0"/>
        <w:pageBreakBefore w:val="0"/>
        <w:kinsoku/>
        <w:wordWrap/>
        <w:topLinePunct w:val="0"/>
        <w:bidi w:val="0"/>
        <w:snapToGrid/>
        <w:spacing w:beforeAutospacing="0" w:line="570" w:lineRule="exact"/>
        <w:ind w:leftChars="0" w:right="0" w:firstLine="624" w:firstLineChars="200"/>
        <w:rPr>
          <w:rFonts w:ascii="仿宋_GB2312" w:hAnsi="仿宋" w:eastAsia="仿宋_GB2312"/>
          <w:color w:val="auto"/>
          <w:spacing w:val="-4"/>
          <w:sz w:val="32"/>
          <w:szCs w:val="32"/>
        </w:rPr>
      </w:pPr>
      <w:r>
        <w:rPr>
          <w:rFonts w:hint="eastAsia" w:ascii="仿宋_GB2312" w:hAnsi="仿宋" w:eastAsia="仿宋_GB2312"/>
          <w:spacing w:val="-4"/>
          <w:sz w:val="32"/>
          <w:szCs w:val="32"/>
        </w:rPr>
        <w:t xml:space="preserve">        </w:t>
      </w:r>
      <w:r>
        <w:rPr>
          <w:rFonts w:hint="eastAsia" w:ascii="仿宋_GB2312" w:hAnsi="仿宋" w:eastAsia="仿宋_GB2312"/>
          <w:spacing w:val="-4"/>
          <w:sz w:val="32"/>
          <w:szCs w:val="32"/>
          <w:lang w:val="en-US" w:eastAsia="zh-CN"/>
        </w:rPr>
        <w:t>闫  丽</w:t>
      </w:r>
      <w:r>
        <w:rPr>
          <w:rFonts w:hint="eastAsia" w:ascii="仿宋_GB2312" w:hAnsi="仿宋" w:eastAsia="仿宋_GB2312"/>
          <w:color w:val="C00000"/>
          <w:spacing w:val="-4"/>
          <w:sz w:val="32"/>
          <w:szCs w:val="32"/>
          <w:lang w:val="en-US" w:eastAsia="zh-CN"/>
        </w:rPr>
        <w:t xml:space="preserve"> </w:t>
      </w:r>
      <w:r>
        <w:rPr>
          <w:rFonts w:hint="eastAsia" w:ascii="仿宋_GB2312" w:hAnsi="仿宋" w:eastAsia="仿宋_GB2312"/>
          <w:color w:val="C00000"/>
          <w:spacing w:val="-4"/>
          <w:sz w:val="32"/>
          <w:szCs w:val="32"/>
        </w:rPr>
        <w:t xml:space="preserve">  </w:t>
      </w:r>
      <w:r>
        <w:rPr>
          <w:rFonts w:hint="eastAsia" w:ascii="仿宋_GB2312" w:hAnsi="仿宋" w:eastAsia="仿宋_GB2312"/>
          <w:color w:val="auto"/>
          <w:spacing w:val="-4"/>
          <w:sz w:val="32"/>
          <w:szCs w:val="32"/>
        </w:rPr>
        <w:t>县财政局副局长</w:t>
      </w:r>
    </w:p>
    <w:p w14:paraId="75968E80">
      <w:pPr>
        <w:keepNext w:val="0"/>
        <w:keepLines w:val="0"/>
        <w:pageBreakBefore w:val="0"/>
        <w:kinsoku/>
        <w:wordWrap/>
        <w:topLinePunct w:val="0"/>
        <w:bidi w:val="0"/>
        <w:snapToGrid/>
        <w:spacing w:beforeAutospacing="0" w:line="570" w:lineRule="exact"/>
        <w:ind w:leftChars="0" w:right="0" w:firstLine="624" w:firstLineChars="200"/>
        <w:rPr>
          <w:rFonts w:ascii="仿宋_GB2312" w:hAnsi="仿宋" w:eastAsia="仿宋_GB2312"/>
          <w:color w:val="C00000"/>
          <w:spacing w:val="-4"/>
          <w:sz w:val="32"/>
          <w:szCs w:val="32"/>
        </w:rPr>
      </w:pPr>
      <w:r>
        <w:rPr>
          <w:rFonts w:hint="eastAsia" w:ascii="仿宋_GB2312" w:hAnsi="仿宋" w:eastAsia="仿宋_GB2312"/>
          <w:color w:val="auto"/>
          <w:spacing w:val="-4"/>
          <w:sz w:val="32"/>
          <w:szCs w:val="32"/>
        </w:rPr>
        <w:t xml:space="preserve">        </w:t>
      </w:r>
      <w:r>
        <w:rPr>
          <w:rFonts w:hint="eastAsia" w:ascii="仿宋_GB2312" w:hAnsi="仿宋" w:eastAsia="仿宋_GB2312"/>
          <w:color w:val="auto"/>
          <w:spacing w:val="-4"/>
          <w:sz w:val="32"/>
          <w:szCs w:val="32"/>
          <w:lang w:val="en-US" w:eastAsia="zh-CN"/>
        </w:rPr>
        <w:t>童利军</w:t>
      </w:r>
      <w:r>
        <w:rPr>
          <w:rFonts w:hint="eastAsia" w:ascii="仿宋_GB2312" w:hAnsi="仿宋" w:eastAsia="仿宋_GB2312"/>
          <w:color w:val="auto"/>
          <w:spacing w:val="-4"/>
          <w:sz w:val="32"/>
          <w:szCs w:val="32"/>
        </w:rPr>
        <w:t xml:space="preserve">   县农业农村局副局长</w:t>
      </w:r>
    </w:p>
    <w:p w14:paraId="0C3AE8EA">
      <w:pPr>
        <w:pStyle w:val="14"/>
        <w:keepNext w:val="0"/>
        <w:keepLines w:val="0"/>
        <w:pageBreakBefore w:val="0"/>
        <w:kinsoku/>
        <w:wordWrap/>
        <w:topLinePunct w:val="0"/>
        <w:bidi w:val="0"/>
        <w:snapToGrid/>
        <w:spacing w:beforeAutospacing="0" w:line="570" w:lineRule="exact"/>
        <w:ind w:leftChars="0" w:right="0" w:firstLine="640" w:firstLineChars="200"/>
        <w:jc w:val="both"/>
        <w:rPr>
          <w:rFonts w:hint="eastAsia" w:ascii="仿宋_GB2312" w:hAnsi="仿宋_GB2312" w:eastAsia="仿宋_GB2312" w:cs="宋体"/>
          <w:color w:val="auto"/>
          <w:sz w:val="32"/>
          <w:szCs w:val="32"/>
          <w:lang w:eastAsia="zh-CN"/>
        </w:rPr>
      </w:pPr>
      <w:r>
        <w:rPr>
          <w:rFonts w:hint="eastAsia" w:ascii="仿宋_GB2312" w:hAnsi="仿宋_GB2312" w:eastAsia="仿宋_GB2312" w:cs="宋体"/>
          <w:color w:val="auto"/>
          <w:sz w:val="32"/>
          <w:szCs w:val="32"/>
        </w:rPr>
        <w:t>领导小组下设办公室，办公室设在县林果开发服务中心，办公室主任由县林果服务中心主任兼任，具体负责</w:t>
      </w:r>
      <w:r>
        <w:rPr>
          <w:rFonts w:hint="eastAsia" w:ascii="仿宋_GB2312" w:hAnsi="仿宋_GB2312" w:eastAsia="仿宋_GB2312" w:cs="宋体"/>
          <w:color w:val="auto"/>
          <w:sz w:val="32"/>
          <w:szCs w:val="32"/>
          <w:lang w:eastAsia="zh-CN"/>
        </w:rPr>
        <w:t>魏县</w:t>
      </w:r>
      <w:r>
        <w:rPr>
          <w:rFonts w:hint="eastAsia" w:ascii="仿宋_GB2312" w:hAnsi="仿宋_GB2312" w:eastAsia="仿宋_GB2312" w:cs="宋体"/>
          <w:color w:val="auto"/>
          <w:sz w:val="32"/>
          <w:szCs w:val="32"/>
          <w:lang w:val="en-US" w:eastAsia="zh-CN"/>
        </w:rPr>
        <w:t>特色产业高效节水</w:t>
      </w:r>
      <w:r>
        <w:rPr>
          <w:rFonts w:hint="eastAsia" w:ascii="仿宋_GB2312" w:hAnsi="仿宋_GB2312" w:eastAsia="仿宋_GB2312" w:cs="宋体"/>
          <w:color w:val="auto"/>
          <w:sz w:val="32"/>
          <w:szCs w:val="32"/>
          <w:lang w:eastAsia="zh-CN"/>
        </w:rPr>
        <w:t>项目</w:t>
      </w:r>
      <w:r>
        <w:rPr>
          <w:rFonts w:hint="eastAsia" w:ascii="仿宋_GB2312" w:hAnsi="仿宋_GB2312" w:eastAsia="仿宋_GB2312" w:cs="宋体"/>
          <w:color w:val="auto"/>
          <w:sz w:val="32"/>
          <w:szCs w:val="32"/>
        </w:rPr>
        <w:t>的组织领导和日常工作，指导督促各部门和项目实施主体</w:t>
      </w:r>
      <w:r>
        <w:rPr>
          <w:rFonts w:hint="eastAsia" w:ascii="仿宋_GB2312" w:hAnsi="仿宋_GB2312" w:eastAsia="仿宋_GB2312" w:cs="宋体"/>
          <w:color w:val="auto"/>
          <w:sz w:val="32"/>
          <w:szCs w:val="32"/>
          <w:lang w:eastAsia="zh-CN"/>
        </w:rPr>
        <w:t>共同抓好魏县</w:t>
      </w:r>
      <w:r>
        <w:rPr>
          <w:rFonts w:hint="eastAsia" w:ascii="仿宋_GB2312" w:hAnsi="仿宋_GB2312" w:eastAsia="仿宋_GB2312" w:cs="宋体"/>
          <w:color w:val="auto"/>
          <w:sz w:val="32"/>
          <w:szCs w:val="32"/>
          <w:lang w:val="en-US" w:eastAsia="zh-CN"/>
        </w:rPr>
        <w:t>特色产业高效节水</w:t>
      </w:r>
      <w:r>
        <w:rPr>
          <w:rFonts w:hint="eastAsia" w:ascii="仿宋_GB2312" w:hAnsi="仿宋_GB2312" w:eastAsia="仿宋_GB2312" w:cs="宋体"/>
          <w:color w:val="auto"/>
          <w:sz w:val="32"/>
          <w:szCs w:val="32"/>
          <w:lang w:eastAsia="zh-CN"/>
        </w:rPr>
        <w:t>项目。</w:t>
      </w:r>
    </w:p>
    <w:p w14:paraId="37D93CC3">
      <w:pPr>
        <w:pStyle w:val="14"/>
        <w:keepNext w:val="0"/>
        <w:keepLines w:val="0"/>
        <w:pageBreakBefore w:val="0"/>
        <w:kinsoku/>
        <w:wordWrap/>
        <w:topLinePunct w:val="0"/>
        <w:bidi w:val="0"/>
        <w:snapToGrid/>
        <w:spacing w:beforeAutospacing="0" w:line="570" w:lineRule="exact"/>
        <w:ind w:leftChars="0" w:right="0"/>
        <w:jc w:val="both"/>
      </w:pPr>
    </w:p>
    <w:p w14:paraId="606B553D">
      <w:pPr>
        <w:keepNext w:val="0"/>
        <w:keepLines w:val="0"/>
        <w:pageBreakBefore w:val="0"/>
        <w:widowControl/>
        <w:kinsoku/>
        <w:wordWrap/>
        <w:topLinePunct w:val="0"/>
        <w:bidi w:val="0"/>
        <w:snapToGrid/>
        <w:spacing w:beforeAutospacing="0" w:line="570" w:lineRule="exact"/>
        <w:ind w:left="0" w:leftChars="0" w:right="0" w:rightChars="0"/>
        <w:jc w:val="left"/>
        <w:outlineLvl w:val="9"/>
        <w:rPr>
          <w:rFonts w:hint="eastAsia" w:ascii="仿宋_GB2312" w:hAnsi="仿宋_GB2312" w:eastAsia="仿宋_GB2312" w:cs="仿宋_GB2312"/>
          <w:kern w:val="0"/>
          <w:sz w:val="32"/>
          <w:szCs w:val="32"/>
        </w:rPr>
      </w:pPr>
      <w:r>
        <w:rPr>
          <w:rFonts w:ascii="仿宋_GB2312" w:hAnsi="宋体" w:eastAsia="仿宋_GB2312"/>
          <w:sz w:val="44"/>
          <w:szCs w:val="44"/>
        </w:rPr>
        <w:br w:type="page"/>
      </w:r>
      <w:r>
        <w:rPr>
          <w:rFonts w:hint="eastAsia" w:ascii="黑体" w:hAnsi="黑体" w:eastAsia="黑体" w:cs="黑体"/>
          <w:kern w:val="0"/>
          <w:sz w:val="32"/>
          <w:szCs w:val="32"/>
        </w:rPr>
        <w:t>附件2</w:t>
      </w:r>
    </w:p>
    <w:p w14:paraId="23B92FA4">
      <w:pPr>
        <w:keepNext w:val="0"/>
        <w:keepLines w:val="0"/>
        <w:pageBreakBefore w:val="0"/>
        <w:widowControl/>
        <w:kinsoku/>
        <w:wordWrap/>
        <w:topLinePunct w:val="0"/>
        <w:bidi w:val="0"/>
        <w:snapToGrid/>
        <w:spacing w:beforeAutospacing="0" w:line="570" w:lineRule="exact"/>
        <w:ind w:right="0"/>
        <w:jc w:val="center"/>
        <w:rPr>
          <w:rFonts w:hint="eastAsia" w:ascii="方正小标宋_GBK" w:hAnsi="方正小标宋_GBK" w:eastAsia="方正小标宋_GBK" w:cs="方正小标宋_GBK"/>
          <w:b w:val="0"/>
          <w:bCs w:val="0"/>
          <w:spacing w:val="0"/>
          <w:sz w:val="44"/>
          <w:szCs w:val="44"/>
        </w:rPr>
      </w:pPr>
      <w:r>
        <w:rPr>
          <w:rFonts w:hint="eastAsia" w:ascii="方正小标宋_GBK" w:hAnsi="方正小标宋_GBK" w:eastAsia="方正小标宋_GBK" w:cs="方正小标宋_GBK"/>
          <w:b w:val="0"/>
          <w:bCs w:val="0"/>
          <w:spacing w:val="0"/>
          <w:sz w:val="44"/>
          <w:szCs w:val="44"/>
          <w:lang w:eastAsia="zh-CN"/>
        </w:rPr>
        <w:t>魏县2026年省级特色产业高效节水项目</w:t>
      </w:r>
    </w:p>
    <w:p w14:paraId="043725D8">
      <w:pPr>
        <w:keepNext w:val="0"/>
        <w:keepLines w:val="0"/>
        <w:pageBreakBefore w:val="0"/>
        <w:tabs>
          <w:tab w:val="center" w:pos="6883"/>
        </w:tabs>
        <w:kinsoku/>
        <w:wordWrap/>
        <w:topLinePunct w:val="0"/>
        <w:bidi w:val="0"/>
        <w:snapToGrid/>
        <w:spacing w:beforeAutospacing="0" w:line="570" w:lineRule="exact"/>
        <w:ind w:leftChars="0" w:right="0"/>
        <w:jc w:val="center"/>
        <w:rPr>
          <w:rFonts w:hint="eastAsia" w:ascii="方正小标宋_GBK" w:hAnsi="方正小标宋_GBK" w:eastAsia="方正小标宋_GBK" w:cs="方正小标宋_GBK"/>
          <w:b w:val="0"/>
          <w:bCs w:val="0"/>
          <w:spacing w:val="0"/>
          <w:kern w:val="0"/>
          <w:sz w:val="28"/>
          <w:szCs w:val="28"/>
        </w:rPr>
      </w:pPr>
      <w:r>
        <w:rPr>
          <w:rFonts w:hint="eastAsia" w:ascii="方正小标宋_GBK" w:hAnsi="方正小标宋_GBK" w:eastAsia="方正小标宋_GBK" w:cs="方正小标宋_GBK"/>
          <w:b w:val="0"/>
          <w:bCs w:val="0"/>
          <w:spacing w:val="0"/>
          <w:sz w:val="44"/>
          <w:szCs w:val="44"/>
        </w:rPr>
        <w:t>工作专家组</w:t>
      </w:r>
    </w:p>
    <w:p w14:paraId="22DB1394">
      <w:pPr>
        <w:keepNext w:val="0"/>
        <w:keepLines w:val="0"/>
        <w:pageBreakBefore w:val="0"/>
        <w:kinsoku/>
        <w:wordWrap/>
        <w:topLinePunct w:val="0"/>
        <w:bidi w:val="0"/>
        <w:snapToGrid/>
        <w:spacing w:beforeAutospacing="0" w:line="570" w:lineRule="exact"/>
        <w:ind w:leftChars="0" w:right="0" w:firstLine="624" w:firstLineChars="200"/>
        <w:rPr>
          <w:rFonts w:ascii="仿宋_GB2312" w:hAnsi="仿宋" w:eastAsia="仿宋_GB2312"/>
          <w:spacing w:val="-4"/>
          <w:sz w:val="32"/>
          <w:szCs w:val="32"/>
        </w:rPr>
      </w:pPr>
    </w:p>
    <w:p w14:paraId="1812A4B3">
      <w:pPr>
        <w:keepNext w:val="0"/>
        <w:keepLines w:val="0"/>
        <w:pageBreakBefore w:val="0"/>
        <w:widowControl w:val="0"/>
        <w:kinsoku/>
        <w:wordWrap/>
        <w:overflowPunct/>
        <w:topLinePunct w:val="0"/>
        <w:autoSpaceDE/>
        <w:autoSpaceDN/>
        <w:bidi w:val="0"/>
        <w:adjustRightInd/>
        <w:snapToGrid/>
        <w:spacing w:beforeAutospacing="0" w:line="570" w:lineRule="exact"/>
        <w:ind w:leftChars="0" w:right="0" w:firstLine="640" w:firstLineChars="200"/>
        <w:jc w:val="left"/>
        <w:rPr>
          <w:rFonts w:hint="eastAsia" w:ascii="仿宋_GB2312" w:hAnsi="仿宋" w:eastAsia="仿宋_GB2312"/>
          <w:spacing w:val="-4"/>
          <w:sz w:val="32"/>
          <w:szCs w:val="32"/>
          <w:lang w:eastAsia="zh-CN"/>
        </w:rPr>
      </w:pPr>
      <w:r>
        <w:rPr>
          <w:rFonts w:hint="eastAsia" w:ascii="仿宋_GB2312" w:hAnsi="仿宋" w:eastAsia="仿宋_GB2312"/>
          <w:sz w:val="32"/>
          <w:szCs w:val="32"/>
        </w:rPr>
        <w:t>组    长</w:t>
      </w:r>
      <w:r>
        <w:rPr>
          <w:rFonts w:hint="eastAsia" w:ascii="仿宋_GB2312" w:hAnsi="仿宋" w:eastAsia="仿宋_GB2312"/>
          <w:sz w:val="32"/>
          <w:szCs w:val="32"/>
          <w:lang w:eastAsia="zh-CN"/>
        </w:rPr>
        <w:t>：</w:t>
      </w:r>
      <w:r>
        <w:rPr>
          <w:rFonts w:hint="eastAsia" w:ascii="仿宋_GB2312" w:hAnsi="仿宋" w:eastAsia="仿宋_GB2312"/>
          <w:spacing w:val="-4"/>
          <w:sz w:val="32"/>
          <w:szCs w:val="32"/>
        </w:rPr>
        <w:t>郭延凯  县林果开发服务中心</w:t>
      </w:r>
      <w:r>
        <w:rPr>
          <w:rFonts w:hint="eastAsia" w:ascii="仿宋_GB2312" w:hAnsi="仿宋" w:eastAsia="仿宋_GB2312"/>
          <w:spacing w:val="-4"/>
          <w:sz w:val="32"/>
          <w:szCs w:val="32"/>
          <w:lang w:eastAsia="zh-CN"/>
        </w:rPr>
        <w:t>二级主任科员</w:t>
      </w:r>
    </w:p>
    <w:p w14:paraId="3AA5B3E1">
      <w:pPr>
        <w:keepNext w:val="0"/>
        <w:keepLines w:val="0"/>
        <w:pageBreakBefore w:val="0"/>
        <w:widowControl w:val="0"/>
        <w:kinsoku/>
        <w:wordWrap/>
        <w:overflowPunct/>
        <w:topLinePunct w:val="0"/>
        <w:autoSpaceDE/>
        <w:autoSpaceDN/>
        <w:bidi w:val="0"/>
        <w:adjustRightInd/>
        <w:snapToGrid/>
        <w:spacing w:beforeAutospacing="0" w:line="570" w:lineRule="exact"/>
        <w:ind w:leftChars="0" w:right="0" w:firstLine="640" w:firstLineChars="200"/>
        <w:jc w:val="left"/>
        <w:rPr>
          <w:rFonts w:ascii="仿宋_GB2312" w:hAnsi="仿宋" w:eastAsia="仿宋_GB2312"/>
          <w:sz w:val="32"/>
          <w:szCs w:val="32"/>
        </w:rPr>
      </w:pPr>
      <w:r>
        <w:rPr>
          <w:rFonts w:hint="eastAsia" w:ascii="仿宋_GB2312" w:hAnsi="仿宋" w:eastAsia="仿宋_GB2312"/>
          <w:sz w:val="32"/>
          <w:szCs w:val="32"/>
        </w:rPr>
        <w:t>副 组 长</w:t>
      </w:r>
      <w:r>
        <w:rPr>
          <w:rFonts w:hint="eastAsia" w:ascii="仿宋_GB2312" w:hAnsi="仿宋" w:eastAsia="仿宋_GB2312"/>
          <w:sz w:val="32"/>
          <w:szCs w:val="32"/>
          <w:lang w:eastAsia="zh-CN"/>
        </w:rPr>
        <w:t>：</w:t>
      </w:r>
      <w:r>
        <w:rPr>
          <w:rFonts w:hint="eastAsia" w:ascii="仿宋_GB2312" w:hAnsi="仿宋" w:eastAsia="仿宋_GB2312"/>
          <w:spacing w:val="-4"/>
          <w:sz w:val="32"/>
          <w:szCs w:val="32"/>
        </w:rPr>
        <w:t>李振江  县林果开发服务中心</w:t>
      </w:r>
      <w:r>
        <w:rPr>
          <w:rFonts w:hint="eastAsia" w:ascii="仿宋_GB2312" w:hAnsi="仿宋" w:eastAsia="仿宋_GB2312"/>
          <w:spacing w:val="-4"/>
          <w:sz w:val="32"/>
          <w:szCs w:val="32"/>
          <w:lang w:val="en-US" w:eastAsia="zh-CN"/>
        </w:rPr>
        <w:t>推广</w:t>
      </w:r>
      <w:r>
        <w:rPr>
          <w:rFonts w:hint="eastAsia" w:ascii="仿宋_GB2312" w:hAnsi="仿宋" w:eastAsia="仿宋_GB2312"/>
          <w:spacing w:val="-4"/>
          <w:sz w:val="32"/>
          <w:szCs w:val="32"/>
        </w:rPr>
        <w:t>研究员</w:t>
      </w:r>
    </w:p>
    <w:p w14:paraId="0B8D1E4E">
      <w:pPr>
        <w:keepNext w:val="0"/>
        <w:keepLines w:val="0"/>
        <w:pageBreakBefore w:val="0"/>
        <w:widowControl w:val="0"/>
        <w:kinsoku/>
        <w:wordWrap/>
        <w:overflowPunct/>
        <w:topLinePunct w:val="0"/>
        <w:autoSpaceDE/>
        <w:autoSpaceDN/>
        <w:bidi w:val="0"/>
        <w:adjustRightInd/>
        <w:snapToGrid/>
        <w:spacing w:beforeAutospacing="0" w:line="570" w:lineRule="exact"/>
        <w:ind w:leftChars="0" w:right="0" w:firstLine="640" w:firstLineChars="200"/>
        <w:jc w:val="left"/>
        <w:rPr>
          <w:rFonts w:hint="eastAsia" w:ascii="仿宋_GB2312" w:hAnsi="仿宋" w:eastAsia="仿宋_GB2312"/>
          <w:spacing w:val="0"/>
          <w:sz w:val="32"/>
          <w:szCs w:val="32"/>
        </w:rPr>
      </w:pPr>
      <w:r>
        <w:rPr>
          <w:rFonts w:hint="eastAsia" w:ascii="仿宋_GB2312" w:hAnsi="仿宋" w:eastAsia="仿宋_GB2312"/>
          <w:sz w:val="32"/>
          <w:szCs w:val="32"/>
        </w:rPr>
        <w:t>特聘顾问</w:t>
      </w:r>
      <w:r>
        <w:rPr>
          <w:rFonts w:hint="eastAsia" w:ascii="仿宋_GB2312" w:hAnsi="仿宋" w:eastAsia="仿宋_GB2312"/>
          <w:sz w:val="32"/>
          <w:szCs w:val="32"/>
          <w:lang w:eastAsia="zh-CN"/>
        </w:rPr>
        <w:t>：</w:t>
      </w:r>
      <w:r>
        <w:rPr>
          <w:rFonts w:hint="eastAsia" w:ascii="仿宋_GB2312" w:hAnsi="仿宋" w:eastAsia="仿宋_GB2312"/>
          <w:spacing w:val="-4"/>
          <w:sz w:val="32"/>
          <w:szCs w:val="32"/>
        </w:rPr>
        <w:t xml:space="preserve">张玉星  </w:t>
      </w:r>
      <w:r>
        <w:rPr>
          <w:rFonts w:hint="eastAsia" w:ascii="仿宋_GB2312" w:hAnsi="仿宋" w:eastAsia="仿宋_GB2312"/>
          <w:spacing w:val="0"/>
          <w:sz w:val="32"/>
          <w:szCs w:val="32"/>
        </w:rPr>
        <w:t>河北农业大学教授</w:t>
      </w:r>
    </w:p>
    <w:p w14:paraId="36EA1ADD">
      <w:pPr>
        <w:pStyle w:val="15"/>
        <w:keepNext w:val="0"/>
        <w:keepLines w:val="0"/>
        <w:pageBreakBefore w:val="0"/>
        <w:widowControl w:val="0"/>
        <w:kinsoku/>
        <w:wordWrap/>
        <w:overflowPunct/>
        <w:topLinePunct w:val="0"/>
        <w:autoSpaceDE/>
        <w:autoSpaceDN/>
        <w:bidi w:val="0"/>
        <w:adjustRightInd/>
        <w:snapToGrid/>
        <w:spacing w:beforeAutospacing="0" w:line="570" w:lineRule="exact"/>
        <w:ind w:left="0" w:leftChars="0" w:right="0" w:firstLine="2240" w:firstLineChars="700"/>
        <w:jc w:val="both"/>
        <w:rPr>
          <w:rFonts w:hint="eastAsia" w:ascii="仿宋_GB2312" w:hAnsi="仿宋" w:eastAsia="仿宋_GB2312"/>
          <w:spacing w:val="0"/>
          <w:sz w:val="32"/>
          <w:szCs w:val="32"/>
          <w:lang w:val="en-US" w:eastAsia="zh-CN"/>
        </w:rPr>
      </w:pPr>
      <w:r>
        <w:rPr>
          <w:rFonts w:hint="eastAsia" w:ascii="仿宋_GB2312" w:hAnsi="仿宋" w:eastAsia="仿宋_GB2312"/>
          <w:spacing w:val="0"/>
          <w:sz w:val="32"/>
          <w:szCs w:val="32"/>
          <w:lang w:val="en-US" w:eastAsia="zh-CN"/>
        </w:rPr>
        <w:t>程福厚  河北工程大学教授</w:t>
      </w:r>
    </w:p>
    <w:p w14:paraId="3EE32208">
      <w:pPr>
        <w:pStyle w:val="15"/>
        <w:keepNext w:val="0"/>
        <w:keepLines w:val="0"/>
        <w:pageBreakBefore w:val="0"/>
        <w:widowControl w:val="0"/>
        <w:kinsoku/>
        <w:wordWrap/>
        <w:overflowPunct/>
        <w:topLinePunct w:val="0"/>
        <w:autoSpaceDE/>
        <w:autoSpaceDN/>
        <w:bidi w:val="0"/>
        <w:adjustRightInd/>
        <w:snapToGrid/>
        <w:spacing w:beforeAutospacing="0" w:line="570" w:lineRule="exact"/>
        <w:ind w:right="0"/>
        <w:jc w:val="both"/>
        <w:rPr>
          <w:rFonts w:hint="eastAsia" w:ascii="仿宋_GB2312" w:hAnsi="仿宋" w:eastAsia="仿宋_GB2312"/>
          <w:sz w:val="32"/>
          <w:szCs w:val="32"/>
          <w:lang w:eastAsia="zh-CN"/>
        </w:rPr>
      </w:pPr>
      <w:r>
        <w:rPr>
          <w:rFonts w:hint="eastAsia" w:ascii="仿宋_GB2312" w:hAnsi="仿宋" w:eastAsia="仿宋_GB2312"/>
          <w:sz w:val="32"/>
          <w:szCs w:val="32"/>
        </w:rPr>
        <w:t xml:space="preserve">成   </w:t>
      </w: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rPr>
        <w:t>员</w:t>
      </w:r>
      <w:r>
        <w:rPr>
          <w:rFonts w:hint="eastAsia" w:ascii="仿宋_GB2312" w:hAnsi="仿宋" w:eastAsia="仿宋_GB2312"/>
          <w:sz w:val="32"/>
          <w:szCs w:val="32"/>
          <w:lang w:eastAsia="zh-CN"/>
        </w:rPr>
        <w:t>：</w:t>
      </w:r>
      <w:r>
        <w:rPr>
          <w:rFonts w:hint="eastAsia" w:ascii="仿宋_GB2312" w:hAnsi="仿宋" w:eastAsia="仿宋_GB2312"/>
          <w:sz w:val="32"/>
          <w:szCs w:val="32"/>
        </w:rPr>
        <w:t>李云峰  县林果中心</w:t>
      </w:r>
      <w:r>
        <w:rPr>
          <w:rFonts w:hint="eastAsia" w:ascii="仿宋_GB2312" w:hAnsi="仿宋" w:eastAsia="仿宋_GB2312"/>
          <w:sz w:val="32"/>
          <w:szCs w:val="32"/>
          <w:lang w:eastAsia="zh-CN"/>
        </w:rPr>
        <w:t>推广研究员</w:t>
      </w:r>
    </w:p>
    <w:p w14:paraId="704A3E94">
      <w:pPr>
        <w:keepNext w:val="0"/>
        <w:keepLines w:val="0"/>
        <w:pageBreakBefore w:val="0"/>
        <w:widowControl w:val="0"/>
        <w:kinsoku/>
        <w:wordWrap/>
        <w:overflowPunct/>
        <w:topLinePunct w:val="0"/>
        <w:autoSpaceDE/>
        <w:autoSpaceDN/>
        <w:bidi w:val="0"/>
        <w:adjustRightInd/>
        <w:snapToGrid/>
        <w:spacing w:beforeAutospacing="0" w:line="570" w:lineRule="exact"/>
        <w:ind w:right="0" w:firstLine="2240" w:firstLineChars="700"/>
        <w:jc w:val="both"/>
        <w:rPr>
          <w:rFonts w:ascii="仿宋_GB2312" w:hAnsi="仿宋" w:eastAsia="仿宋_GB2312"/>
          <w:sz w:val="32"/>
          <w:szCs w:val="32"/>
        </w:rPr>
      </w:pPr>
      <w:r>
        <w:rPr>
          <w:rFonts w:hint="eastAsia" w:ascii="仿宋_GB2312" w:hAnsi="仿宋" w:eastAsia="仿宋_GB2312"/>
          <w:sz w:val="32"/>
          <w:szCs w:val="32"/>
        </w:rPr>
        <w:t>安金明  县林果中心</w:t>
      </w:r>
      <w:r>
        <w:rPr>
          <w:rFonts w:hint="eastAsia" w:ascii="仿宋_GB2312" w:hAnsi="仿宋" w:eastAsia="仿宋_GB2312"/>
          <w:sz w:val="32"/>
          <w:szCs w:val="32"/>
          <w:lang w:eastAsia="zh-CN"/>
        </w:rPr>
        <w:t>推广研究员</w:t>
      </w:r>
    </w:p>
    <w:p w14:paraId="67841529">
      <w:pPr>
        <w:keepNext w:val="0"/>
        <w:keepLines w:val="0"/>
        <w:pageBreakBefore w:val="0"/>
        <w:widowControl w:val="0"/>
        <w:kinsoku/>
        <w:wordWrap/>
        <w:overflowPunct/>
        <w:topLinePunct w:val="0"/>
        <w:autoSpaceDE/>
        <w:autoSpaceDN/>
        <w:bidi w:val="0"/>
        <w:adjustRightInd/>
        <w:snapToGrid/>
        <w:spacing w:beforeAutospacing="0" w:line="570" w:lineRule="exact"/>
        <w:ind w:right="0" w:firstLine="2240" w:firstLineChars="700"/>
        <w:jc w:val="left"/>
        <w:rPr>
          <w:rFonts w:hint="eastAsia" w:ascii="仿宋_GB2312" w:hAnsi="仿宋" w:eastAsia="仿宋_GB2312"/>
          <w:sz w:val="32"/>
          <w:szCs w:val="32"/>
          <w:lang w:eastAsia="zh-CN"/>
        </w:rPr>
      </w:pPr>
      <w:r>
        <w:rPr>
          <w:rFonts w:hint="eastAsia" w:ascii="仿宋_GB2312" w:hAnsi="仿宋" w:eastAsia="仿宋_GB2312"/>
          <w:sz w:val="32"/>
          <w:szCs w:val="32"/>
        </w:rPr>
        <w:t>李书凤  县林果中心</w:t>
      </w:r>
      <w:r>
        <w:rPr>
          <w:rFonts w:hint="eastAsia" w:ascii="仿宋_GB2312" w:hAnsi="仿宋" w:eastAsia="仿宋_GB2312"/>
          <w:sz w:val="32"/>
          <w:szCs w:val="32"/>
          <w:lang w:eastAsia="zh-CN"/>
        </w:rPr>
        <w:t>推广研究员</w:t>
      </w:r>
    </w:p>
    <w:p w14:paraId="53B926A8">
      <w:pPr>
        <w:keepNext w:val="0"/>
        <w:keepLines w:val="0"/>
        <w:pageBreakBefore w:val="0"/>
        <w:widowControl w:val="0"/>
        <w:tabs>
          <w:tab w:val="left" w:pos="1911"/>
        </w:tabs>
        <w:kinsoku/>
        <w:wordWrap/>
        <w:overflowPunct/>
        <w:topLinePunct w:val="0"/>
        <w:autoSpaceDE/>
        <w:autoSpaceDN/>
        <w:bidi w:val="0"/>
        <w:adjustRightInd/>
        <w:snapToGrid/>
        <w:spacing w:beforeAutospacing="0" w:line="570" w:lineRule="exact"/>
        <w:ind w:right="0" w:firstLine="1920" w:firstLineChars="600"/>
        <w:jc w:val="left"/>
        <w:rPr>
          <w:rFonts w:hint="default" w:ascii="仿宋_GB2312" w:hAnsi="仿宋" w:eastAsia="仿宋_GB2312"/>
          <w:sz w:val="32"/>
          <w:szCs w:val="32"/>
          <w:lang w:val="en-US" w:eastAsia="zh-CN"/>
        </w:rPr>
      </w:pPr>
      <w:r>
        <w:rPr>
          <w:rFonts w:hint="eastAsia" w:ascii="仿宋_GB2312" w:hAnsi="仿宋" w:eastAsia="仿宋_GB2312"/>
          <w:sz w:val="32"/>
          <w:szCs w:val="32"/>
          <w:lang w:eastAsia="zh-CN"/>
        </w:rPr>
        <w:tab/>
      </w:r>
      <w:r>
        <w:rPr>
          <w:rFonts w:hint="eastAsia" w:ascii="仿宋_GB2312" w:hAnsi="仿宋" w:eastAsia="仿宋_GB2312"/>
          <w:sz w:val="32"/>
          <w:szCs w:val="32"/>
          <w:lang w:val="en-US" w:eastAsia="zh-CN"/>
        </w:rPr>
        <w:t xml:space="preserve"> 李慧娟  </w:t>
      </w:r>
      <w:r>
        <w:rPr>
          <w:rFonts w:hint="eastAsia" w:ascii="仿宋_GB2312" w:hAnsi="仿宋" w:eastAsia="仿宋_GB2312"/>
          <w:sz w:val="32"/>
          <w:szCs w:val="32"/>
        </w:rPr>
        <w:t>县林果中心</w:t>
      </w:r>
      <w:r>
        <w:rPr>
          <w:rFonts w:hint="eastAsia" w:ascii="仿宋_GB2312" w:hAnsi="仿宋" w:eastAsia="仿宋_GB2312"/>
          <w:sz w:val="32"/>
          <w:szCs w:val="32"/>
          <w:lang w:eastAsia="zh-CN"/>
        </w:rPr>
        <w:t>助理</w:t>
      </w:r>
      <w:r>
        <w:rPr>
          <w:rFonts w:hint="eastAsia" w:ascii="仿宋_GB2312" w:hAnsi="仿宋" w:eastAsia="仿宋_GB2312"/>
          <w:sz w:val="32"/>
          <w:szCs w:val="32"/>
          <w:lang w:val="en-US" w:eastAsia="zh-CN"/>
        </w:rPr>
        <w:t>农艺师</w:t>
      </w:r>
    </w:p>
    <w:p w14:paraId="0377A517">
      <w:pPr>
        <w:keepNext w:val="0"/>
        <w:keepLines w:val="0"/>
        <w:pageBreakBefore w:val="0"/>
        <w:widowControl w:val="0"/>
        <w:tabs>
          <w:tab w:val="left" w:pos="1911"/>
        </w:tabs>
        <w:kinsoku/>
        <w:wordWrap/>
        <w:overflowPunct/>
        <w:topLinePunct w:val="0"/>
        <w:autoSpaceDE/>
        <w:autoSpaceDN/>
        <w:bidi w:val="0"/>
        <w:adjustRightInd/>
        <w:snapToGrid/>
        <w:spacing w:beforeAutospacing="0" w:line="570" w:lineRule="exact"/>
        <w:ind w:right="0" w:firstLine="1920" w:firstLineChars="600"/>
        <w:jc w:val="left"/>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王志博  </w:t>
      </w:r>
      <w:r>
        <w:rPr>
          <w:rFonts w:hint="eastAsia" w:ascii="仿宋_GB2312" w:hAnsi="仿宋" w:eastAsia="仿宋_GB2312"/>
          <w:sz w:val="32"/>
          <w:szCs w:val="32"/>
        </w:rPr>
        <w:t>县林果中心</w:t>
      </w:r>
      <w:r>
        <w:rPr>
          <w:rFonts w:hint="eastAsia" w:ascii="仿宋_GB2312" w:hAnsi="仿宋" w:eastAsia="仿宋_GB2312"/>
          <w:sz w:val="32"/>
          <w:szCs w:val="32"/>
          <w:lang w:eastAsia="zh-CN"/>
        </w:rPr>
        <w:t>助理</w:t>
      </w:r>
      <w:r>
        <w:rPr>
          <w:rFonts w:hint="eastAsia" w:ascii="仿宋_GB2312" w:hAnsi="仿宋" w:eastAsia="仿宋_GB2312"/>
          <w:sz w:val="32"/>
          <w:szCs w:val="32"/>
          <w:lang w:val="en-US" w:eastAsia="zh-CN"/>
        </w:rPr>
        <w:t>农艺师</w:t>
      </w:r>
    </w:p>
    <w:p w14:paraId="1864DE3F">
      <w:pPr>
        <w:keepNext w:val="0"/>
        <w:keepLines w:val="0"/>
        <w:pageBreakBefore w:val="0"/>
        <w:widowControl w:val="0"/>
        <w:tabs>
          <w:tab w:val="left" w:pos="1911"/>
        </w:tabs>
        <w:kinsoku/>
        <w:wordWrap/>
        <w:overflowPunct/>
        <w:topLinePunct w:val="0"/>
        <w:autoSpaceDE/>
        <w:autoSpaceDN/>
        <w:bidi w:val="0"/>
        <w:adjustRightInd/>
        <w:snapToGrid/>
        <w:spacing w:beforeAutospacing="0" w:line="570" w:lineRule="exact"/>
        <w:ind w:right="0" w:firstLine="1920" w:firstLineChars="600"/>
        <w:jc w:val="left"/>
        <w:rPr>
          <w:rFonts w:hint="default" w:ascii="仿宋_GB2312" w:hAnsi="仿宋" w:eastAsia="仿宋_GB2312"/>
          <w:sz w:val="32"/>
          <w:szCs w:val="32"/>
          <w:lang w:val="en-US" w:eastAsia="zh-CN"/>
        </w:rPr>
      </w:pPr>
    </w:p>
    <w:p w14:paraId="2B35BADE">
      <w:pPr>
        <w:keepNext w:val="0"/>
        <w:keepLines w:val="0"/>
        <w:pageBreakBefore w:val="0"/>
        <w:widowControl w:val="0"/>
        <w:tabs>
          <w:tab w:val="left" w:pos="1911"/>
        </w:tabs>
        <w:kinsoku/>
        <w:wordWrap/>
        <w:overflowPunct/>
        <w:topLinePunct w:val="0"/>
        <w:autoSpaceDE/>
        <w:autoSpaceDN/>
        <w:bidi w:val="0"/>
        <w:adjustRightInd/>
        <w:snapToGrid/>
        <w:spacing w:beforeAutospacing="0" w:line="570" w:lineRule="exact"/>
        <w:ind w:right="0" w:firstLine="1920" w:firstLineChars="600"/>
        <w:jc w:val="left"/>
        <w:rPr>
          <w:rFonts w:hint="eastAsia" w:ascii="仿宋_GB2312" w:hAnsi="仿宋" w:eastAsia="仿宋_GB2312"/>
          <w:sz w:val="32"/>
          <w:szCs w:val="32"/>
          <w:lang w:eastAsia="zh-CN"/>
        </w:rPr>
      </w:pPr>
    </w:p>
    <w:p w14:paraId="44B6AD3C">
      <w:pPr>
        <w:keepNext w:val="0"/>
        <w:keepLines w:val="0"/>
        <w:pageBreakBefore w:val="0"/>
        <w:widowControl w:val="0"/>
        <w:tabs>
          <w:tab w:val="left" w:pos="1911"/>
        </w:tabs>
        <w:kinsoku/>
        <w:wordWrap/>
        <w:overflowPunct/>
        <w:topLinePunct w:val="0"/>
        <w:autoSpaceDE/>
        <w:autoSpaceDN/>
        <w:bidi w:val="0"/>
        <w:adjustRightInd/>
        <w:snapToGrid/>
        <w:spacing w:beforeAutospacing="0" w:line="570" w:lineRule="exact"/>
        <w:ind w:right="0" w:firstLine="1920" w:firstLineChars="600"/>
        <w:jc w:val="left"/>
        <w:rPr>
          <w:rFonts w:hint="eastAsia" w:ascii="仿宋_GB2312" w:hAnsi="仿宋" w:eastAsia="仿宋_GB2312"/>
          <w:sz w:val="32"/>
          <w:szCs w:val="32"/>
          <w:lang w:eastAsia="zh-CN"/>
        </w:rPr>
      </w:pPr>
    </w:p>
    <w:p w14:paraId="3B1F45C8">
      <w:pPr>
        <w:rPr>
          <w:rFonts w:hint="eastAsia" w:ascii="仿宋_GB2312" w:hAnsi="仿宋" w:eastAsia="仿宋_GB2312"/>
          <w:sz w:val="32"/>
          <w:szCs w:val="32"/>
          <w:lang w:eastAsia="zh-CN"/>
        </w:rPr>
      </w:pPr>
      <w:r>
        <w:rPr>
          <w:rFonts w:hint="eastAsia" w:ascii="仿宋_GB2312" w:hAnsi="仿宋" w:eastAsia="仿宋_GB2312"/>
          <w:sz w:val="32"/>
          <w:szCs w:val="32"/>
          <w:lang w:eastAsia="zh-CN"/>
        </w:rPr>
        <w:br w:type="page"/>
      </w:r>
    </w:p>
    <w:p w14:paraId="6EC5ADCD">
      <w:pPr>
        <w:keepNext w:val="0"/>
        <w:keepLines w:val="0"/>
        <w:pageBreakBefore w:val="0"/>
        <w:widowControl w:val="0"/>
        <w:tabs>
          <w:tab w:val="left" w:pos="1911"/>
        </w:tabs>
        <w:kinsoku/>
        <w:wordWrap/>
        <w:overflowPunct/>
        <w:topLinePunct w:val="0"/>
        <w:autoSpaceDE/>
        <w:autoSpaceDN/>
        <w:bidi w:val="0"/>
        <w:adjustRightInd/>
        <w:snapToGrid/>
        <w:spacing w:beforeAutospacing="0" w:line="570" w:lineRule="exact"/>
        <w:ind w:right="0"/>
        <w:jc w:val="left"/>
        <w:rPr>
          <w:rFonts w:hint="eastAsia" w:ascii="仿宋_GB2312" w:hAnsi="仿宋" w:eastAsia="仿宋_GB2312"/>
          <w:sz w:val="32"/>
          <w:szCs w:val="32"/>
          <w:lang w:eastAsia="zh-CN"/>
        </w:rPr>
        <w:sectPr>
          <w:footerReference r:id="rId3" w:type="default"/>
          <w:pgSz w:w="11906" w:h="16838"/>
          <w:pgMar w:top="2098" w:right="1531" w:bottom="1984" w:left="1531" w:header="851" w:footer="992" w:gutter="0"/>
          <w:pgNumType w:fmt="decimal" w:start="1"/>
          <w:cols w:space="0" w:num="1"/>
          <w:rtlGutter w:val="0"/>
          <w:docGrid w:type="lines" w:linePitch="312" w:charSpace="0"/>
        </w:sectPr>
      </w:pPr>
    </w:p>
    <w:p w14:paraId="107AA356">
      <w:pPr>
        <w:keepNext w:val="0"/>
        <w:keepLines w:val="0"/>
        <w:pageBreakBefore w:val="0"/>
        <w:tabs>
          <w:tab w:val="center" w:pos="6883"/>
        </w:tabs>
        <w:kinsoku/>
        <w:wordWrap/>
        <w:topLinePunct w:val="0"/>
        <w:bidi w:val="0"/>
        <w:snapToGrid/>
        <w:spacing w:beforeAutospacing="0" w:line="570" w:lineRule="exact"/>
        <w:ind w:left="0" w:leftChars="0" w:right="0" w:rightChars="0"/>
        <w:jc w:val="left"/>
        <w:outlineLvl w:val="0"/>
        <w:rPr>
          <w:rFonts w:hint="eastAsia" w:ascii="黑体" w:hAnsi="黑体" w:eastAsia="黑体" w:cs="黑体"/>
          <w:spacing w:val="-4"/>
          <w:sz w:val="32"/>
          <w:szCs w:val="32"/>
          <w:lang w:val="en-US" w:eastAsia="zh-CN"/>
        </w:rPr>
      </w:pPr>
      <w:r>
        <w:rPr>
          <w:rFonts w:hint="eastAsia" w:ascii="黑体" w:hAnsi="黑体" w:eastAsia="黑体" w:cs="黑体"/>
          <w:spacing w:val="-4"/>
          <w:sz w:val="32"/>
          <w:szCs w:val="32"/>
          <w:lang w:val="en-US" w:eastAsia="zh-CN"/>
        </w:rPr>
        <w:t>附件3</w:t>
      </w:r>
    </w:p>
    <w:p w14:paraId="428AF6E3">
      <w:pPr>
        <w:keepNext w:val="0"/>
        <w:keepLines w:val="0"/>
        <w:pageBreakBefore w:val="0"/>
        <w:widowControl/>
        <w:kinsoku/>
        <w:wordWrap/>
        <w:topLinePunct w:val="0"/>
        <w:bidi w:val="0"/>
        <w:snapToGrid/>
        <w:spacing w:beforeAutospacing="0" w:line="570" w:lineRule="exact"/>
        <w:ind w:right="0"/>
        <w:jc w:val="center"/>
        <w:rPr>
          <w:rFonts w:hint="eastAsia" w:ascii="方正小标宋_GBK" w:hAnsi="方正小标宋_GBK" w:eastAsia="方正小标宋_GBK" w:cs="方正小标宋_GBK"/>
          <w:b w:val="0"/>
          <w:bCs w:val="0"/>
          <w:spacing w:val="0"/>
          <w:sz w:val="44"/>
          <w:szCs w:val="44"/>
          <w:lang w:val="en-US" w:eastAsia="zh-CN"/>
        </w:rPr>
      </w:pPr>
      <w:r>
        <w:rPr>
          <w:rFonts w:hint="eastAsia" w:ascii="方正小标宋_GBK" w:hAnsi="方正小标宋_GBK" w:eastAsia="方正小标宋_GBK" w:cs="方正小标宋_GBK"/>
          <w:b w:val="0"/>
          <w:bCs w:val="0"/>
          <w:spacing w:val="0"/>
          <w:sz w:val="44"/>
          <w:szCs w:val="44"/>
          <w:lang w:val="en-US" w:eastAsia="zh-CN"/>
        </w:rPr>
        <w:t>魏县2026年省级特色产业高效节水项目资金使用分配表</w:t>
      </w:r>
    </w:p>
    <w:tbl>
      <w:tblPr>
        <w:tblStyle w:val="12"/>
        <w:tblpPr w:leftFromText="180" w:rightFromText="180" w:vertAnchor="text" w:horzAnchor="page" w:tblpXSpec="center" w:tblpY="267"/>
        <w:tblOverlap w:val="never"/>
        <w:tblW w:w="119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
        <w:gridCol w:w="728"/>
        <w:gridCol w:w="1965"/>
        <w:gridCol w:w="1115"/>
        <w:gridCol w:w="3002"/>
        <w:gridCol w:w="1074"/>
        <w:gridCol w:w="1109"/>
        <w:gridCol w:w="1247"/>
        <w:gridCol w:w="1285"/>
      </w:tblGrid>
      <w:tr w14:paraId="36D45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2" w:type="dxa"/>
            <w:vMerge w:val="restart"/>
            <w:tcBorders>
              <w:top w:val="single" w:color="000000" w:sz="4" w:space="0"/>
              <w:left w:val="single" w:color="000000" w:sz="4" w:space="0"/>
              <w:bottom w:val="single" w:color="000000" w:sz="4" w:space="0"/>
              <w:right w:val="single" w:color="000000" w:sz="4" w:space="0"/>
            </w:tcBorders>
            <w:noWrap w:val="0"/>
            <w:vAlign w:val="center"/>
          </w:tcPr>
          <w:p w14:paraId="3A74EB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728" w:type="dxa"/>
            <w:vMerge w:val="restart"/>
            <w:tcBorders>
              <w:top w:val="single" w:color="000000" w:sz="4" w:space="0"/>
              <w:left w:val="single" w:color="000000" w:sz="4" w:space="0"/>
              <w:bottom w:val="single" w:color="000000" w:sz="4" w:space="0"/>
              <w:right w:val="single" w:color="000000" w:sz="4" w:space="0"/>
            </w:tcBorders>
            <w:noWrap w:val="0"/>
            <w:vAlign w:val="center"/>
          </w:tcPr>
          <w:p w14:paraId="14D5C5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kern w:val="0"/>
                <w:sz w:val="16"/>
                <w:szCs w:val="16"/>
                <w:u w:val="none"/>
                <w:lang w:val="en-US" w:eastAsia="zh-CN" w:bidi="ar"/>
              </w:rPr>
            </w:pPr>
            <w:r>
              <w:rPr>
                <w:rFonts w:hint="eastAsia" w:ascii="宋体" w:hAnsi="宋体" w:eastAsia="宋体" w:cs="宋体"/>
                <w:b/>
                <w:bCs/>
                <w:i w:val="0"/>
                <w:iCs w:val="0"/>
                <w:color w:val="000000"/>
                <w:kern w:val="0"/>
                <w:sz w:val="16"/>
                <w:szCs w:val="16"/>
                <w:u w:val="none"/>
                <w:lang w:val="en-US" w:eastAsia="zh-CN" w:bidi="ar"/>
              </w:rPr>
              <w:t>建设县</w:t>
            </w:r>
          </w:p>
          <w:p w14:paraId="21BFC3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color w:val="000000"/>
              </w:rPr>
            </w:pPr>
            <w:r>
              <w:rPr>
                <w:rFonts w:hint="eastAsia" w:ascii="宋体" w:hAnsi="宋体" w:eastAsia="宋体" w:cs="宋体"/>
                <w:b/>
                <w:bCs/>
                <w:i w:val="0"/>
                <w:iCs w:val="0"/>
                <w:color w:val="000000"/>
                <w:kern w:val="0"/>
                <w:sz w:val="16"/>
                <w:szCs w:val="16"/>
                <w:u w:val="none"/>
                <w:lang w:val="en-US" w:eastAsia="zh-CN" w:bidi="ar"/>
              </w:rPr>
              <w:t>（市）</w:t>
            </w:r>
          </w:p>
        </w:tc>
        <w:tc>
          <w:tcPr>
            <w:tcW w:w="3080" w:type="dxa"/>
            <w:gridSpan w:val="2"/>
            <w:tcBorders>
              <w:top w:val="single" w:color="000000" w:sz="4" w:space="0"/>
              <w:left w:val="single" w:color="000000" w:sz="4" w:space="0"/>
              <w:bottom w:val="single" w:color="000000" w:sz="4" w:space="0"/>
              <w:right w:val="single" w:color="000000" w:sz="4" w:space="0"/>
            </w:tcBorders>
            <w:noWrap w:val="0"/>
            <w:vAlign w:val="center"/>
          </w:tcPr>
          <w:p w14:paraId="335755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建设主体</w:t>
            </w:r>
          </w:p>
        </w:tc>
        <w:tc>
          <w:tcPr>
            <w:tcW w:w="3002" w:type="dxa"/>
            <w:vMerge w:val="restart"/>
            <w:tcBorders>
              <w:top w:val="single" w:color="000000" w:sz="4" w:space="0"/>
              <w:left w:val="single" w:color="000000" w:sz="4" w:space="0"/>
              <w:right w:val="single" w:color="000000" w:sz="4" w:space="0"/>
            </w:tcBorders>
            <w:noWrap w:val="0"/>
            <w:vAlign w:val="center"/>
          </w:tcPr>
          <w:p w14:paraId="118467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建设内容</w:t>
            </w:r>
          </w:p>
        </w:tc>
        <w:tc>
          <w:tcPr>
            <w:tcW w:w="3430" w:type="dxa"/>
            <w:gridSpan w:val="3"/>
            <w:tcBorders>
              <w:top w:val="single" w:color="000000" w:sz="4" w:space="0"/>
              <w:left w:val="single" w:color="000000" w:sz="4" w:space="0"/>
              <w:bottom w:val="single" w:color="000000" w:sz="4" w:space="0"/>
              <w:right w:val="single" w:color="000000" w:sz="4" w:space="0"/>
            </w:tcBorders>
            <w:noWrap w:val="0"/>
            <w:vAlign w:val="center"/>
          </w:tcPr>
          <w:p w14:paraId="7E1BA5C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投资总额（万元）</w:t>
            </w:r>
          </w:p>
        </w:tc>
        <w:tc>
          <w:tcPr>
            <w:tcW w:w="1285" w:type="dxa"/>
            <w:vMerge w:val="restart"/>
            <w:tcBorders>
              <w:top w:val="single" w:color="000000" w:sz="4" w:space="0"/>
              <w:left w:val="single" w:color="000000" w:sz="4" w:space="0"/>
              <w:bottom w:val="single" w:color="000000" w:sz="4" w:space="0"/>
              <w:right w:val="single" w:color="000000" w:sz="4" w:space="0"/>
            </w:tcBorders>
            <w:noWrap w:val="0"/>
            <w:vAlign w:val="center"/>
          </w:tcPr>
          <w:p w14:paraId="3E9C2C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备注</w:t>
            </w:r>
          </w:p>
        </w:tc>
      </w:tr>
      <w:tr w14:paraId="6C2C1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4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311393">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6"/>
                <w:szCs w:val="16"/>
                <w:u w:val="none"/>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F33ACF">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6"/>
                <w:szCs w:val="16"/>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646C82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单位名称</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3146FD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cs="宋体"/>
                <w:b/>
                <w:bCs/>
                <w:i w:val="0"/>
                <w:iCs w:val="0"/>
                <w:color w:val="000000"/>
                <w:kern w:val="0"/>
                <w:sz w:val="16"/>
                <w:szCs w:val="16"/>
                <w:u w:val="none"/>
                <w:lang w:val="en-US" w:eastAsia="zh-CN" w:bidi="ar"/>
              </w:rPr>
              <w:t>建设地点</w:t>
            </w:r>
          </w:p>
        </w:tc>
        <w:tc>
          <w:tcPr>
            <w:tcW w:w="3002" w:type="dxa"/>
            <w:vMerge w:val="continue"/>
            <w:tcBorders>
              <w:left w:val="single" w:color="000000" w:sz="4" w:space="0"/>
              <w:bottom w:val="single" w:color="000000" w:sz="4" w:space="0"/>
              <w:right w:val="single" w:color="000000" w:sz="4" w:space="0"/>
            </w:tcBorders>
            <w:noWrap w:val="0"/>
            <w:vAlign w:val="center"/>
          </w:tcPr>
          <w:p w14:paraId="26CCF6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p>
        </w:tc>
        <w:tc>
          <w:tcPr>
            <w:tcW w:w="1074" w:type="dxa"/>
            <w:tcBorders>
              <w:top w:val="single" w:color="000000" w:sz="4" w:space="0"/>
              <w:left w:val="single" w:color="000000" w:sz="4" w:space="0"/>
              <w:bottom w:val="single" w:color="000000" w:sz="4" w:space="0"/>
              <w:right w:val="single" w:color="000000" w:sz="4" w:space="0"/>
            </w:tcBorders>
            <w:noWrap w:val="0"/>
            <w:vAlign w:val="center"/>
          </w:tcPr>
          <w:p w14:paraId="35EF8F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合计</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08E093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财政资金</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250500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b/>
                <w:bCs/>
                <w:i w:val="0"/>
                <w:iCs w:val="0"/>
                <w:color w:val="000000"/>
                <w:sz w:val="16"/>
                <w:szCs w:val="16"/>
                <w:u w:val="none"/>
                <w:lang w:val="en-US"/>
              </w:rPr>
            </w:pPr>
            <w:r>
              <w:rPr>
                <w:rFonts w:hint="eastAsia" w:ascii="宋体" w:hAnsi="宋体" w:cs="宋体"/>
                <w:b/>
                <w:bCs/>
                <w:i w:val="0"/>
                <w:iCs w:val="0"/>
                <w:color w:val="000000"/>
                <w:kern w:val="0"/>
                <w:sz w:val="16"/>
                <w:szCs w:val="16"/>
                <w:u w:val="none"/>
                <w:lang w:val="en-US" w:eastAsia="zh-CN" w:bidi="ar"/>
              </w:rPr>
              <w:t>带动社会投入</w:t>
            </w:r>
          </w:p>
        </w:tc>
        <w:tc>
          <w:tcPr>
            <w:tcW w:w="12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E3357">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i w:val="0"/>
                <w:iCs w:val="0"/>
                <w:color w:val="000000"/>
                <w:sz w:val="16"/>
                <w:szCs w:val="16"/>
                <w:u w:val="none"/>
              </w:rPr>
            </w:pPr>
          </w:p>
        </w:tc>
      </w:tr>
      <w:tr w14:paraId="2DADB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54A701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97D59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sz w:val="18"/>
                <w:szCs w:val="18"/>
                <w:u w:val="none"/>
                <w:lang w:val="en-US"/>
              </w:rPr>
            </w:pPr>
            <w:r>
              <w:rPr>
                <w:rFonts w:hint="eastAsia" w:ascii="仿宋_GB2312" w:hAnsi="仿宋_GB2312" w:eastAsia="仿宋_GB2312" w:cs="仿宋_GB2312"/>
                <w:i w:val="0"/>
                <w:iCs w:val="0"/>
                <w:color w:val="000000"/>
                <w:kern w:val="0"/>
                <w:sz w:val="18"/>
                <w:szCs w:val="18"/>
                <w:u w:val="none"/>
                <w:lang w:val="en-US" w:eastAsia="zh-CN" w:bidi="ar"/>
              </w:rPr>
              <w:t xml:space="preserve">魏县 </w:t>
            </w:r>
          </w:p>
        </w:tc>
        <w:tc>
          <w:tcPr>
            <w:tcW w:w="1965" w:type="dxa"/>
            <w:tcBorders>
              <w:top w:val="single" w:color="000000" w:sz="4" w:space="0"/>
              <w:left w:val="single" w:color="000000" w:sz="4" w:space="0"/>
              <w:bottom w:val="nil"/>
              <w:right w:val="single" w:color="000000" w:sz="4" w:space="0"/>
            </w:tcBorders>
            <w:noWrap w:val="0"/>
            <w:vAlign w:val="center"/>
          </w:tcPr>
          <w:p w14:paraId="41B35E3A">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bidi="ar-SA"/>
              </w:rPr>
            </w:pPr>
            <w:r>
              <w:rPr>
                <w:rFonts w:hint="eastAsia" w:ascii="仿宋_GB2312" w:hAnsi="仿宋_GB2312" w:eastAsia="仿宋_GB2312" w:cs="仿宋_GB2312"/>
                <w:color w:val="000000"/>
                <w:kern w:val="0"/>
                <w:sz w:val="18"/>
                <w:szCs w:val="18"/>
                <w:lang w:val="en-US" w:eastAsia="zh-CN"/>
              </w:rPr>
              <w:t>魏县台头乡汤前村双生家庭农场</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58D60BE2">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lang w:val="en-US" w:eastAsia="zh-CN"/>
              </w:rPr>
              <w:t>北台头乡西汤村</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14:paraId="5052757B">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lang w:val="en-US" w:eastAsia="zh-CN"/>
              </w:rPr>
              <w:t>建设水肥一体化110</w:t>
            </w:r>
            <w:r>
              <w:rPr>
                <w:rFonts w:hint="eastAsia" w:ascii="仿宋_GB2312" w:hAnsi="仿宋_GB2312" w:eastAsia="仿宋_GB2312" w:cs="仿宋_GB2312"/>
                <w:color w:val="auto"/>
                <w:kern w:val="0"/>
                <w:sz w:val="18"/>
                <w:szCs w:val="18"/>
                <w:highlight w:val="none"/>
              </w:rPr>
              <w:t>亩，</w:t>
            </w:r>
            <w:r>
              <w:rPr>
                <w:rFonts w:hint="eastAsia" w:ascii="仿宋_GB2312" w:hAnsi="仿宋_GB2312" w:eastAsia="仿宋_GB2312" w:cs="仿宋_GB2312"/>
                <w:color w:val="auto"/>
                <w:kern w:val="0"/>
                <w:sz w:val="18"/>
                <w:szCs w:val="18"/>
                <w:highlight w:val="none"/>
                <w:lang w:eastAsia="zh-CN"/>
              </w:rPr>
              <w:t>补助资金用于购买</w:t>
            </w:r>
            <w:r>
              <w:rPr>
                <w:rFonts w:hint="eastAsia" w:ascii="仿宋_GB2312" w:hAnsi="仿宋_GB2312" w:eastAsia="仿宋_GB2312" w:cs="仿宋_GB2312"/>
                <w:color w:val="auto"/>
                <w:kern w:val="0"/>
                <w:sz w:val="18"/>
                <w:szCs w:val="18"/>
                <w:highlight w:val="none"/>
              </w:rPr>
              <w:t>首部、过滤器、施肥罐、管道等</w:t>
            </w:r>
            <w:r>
              <w:rPr>
                <w:rFonts w:hint="eastAsia" w:ascii="仿宋_GB2312" w:hAnsi="仿宋_GB2312" w:eastAsia="仿宋_GB2312" w:cs="仿宋_GB2312"/>
                <w:color w:val="auto"/>
                <w:kern w:val="0"/>
                <w:sz w:val="18"/>
                <w:szCs w:val="18"/>
                <w:highlight w:val="none"/>
                <w:lang w:eastAsia="zh-CN"/>
              </w:rPr>
              <w:t>基础设施建设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14:paraId="54AC96D6">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bidi="ar-SA"/>
              </w:rPr>
            </w:pPr>
            <w:r>
              <w:rPr>
                <w:rFonts w:hint="eastAsia" w:ascii="仿宋_GB2312" w:hAnsi="仿宋_GB2312" w:eastAsia="仿宋_GB2312" w:cs="仿宋_GB2312"/>
                <w:color w:val="000000"/>
                <w:kern w:val="0"/>
                <w:sz w:val="18"/>
                <w:szCs w:val="18"/>
                <w:lang w:val="en-US" w:eastAsia="zh-CN"/>
              </w:rPr>
              <w:t>44</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8F062B2">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22</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4CA64985">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22</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F32CE8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先建后补</w:t>
            </w:r>
          </w:p>
        </w:tc>
      </w:tr>
      <w:tr w14:paraId="6A6BD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1"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1565F1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2</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0DC7DCB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魏县</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1D63A7A5">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魏县祥顺种植专业合作社</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6259799E">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color w:val="auto"/>
                <w:kern w:val="0"/>
                <w:sz w:val="18"/>
                <w:szCs w:val="18"/>
                <w:highlight w:val="none"/>
                <w:lang w:val="en-US" w:eastAsia="zh-CN"/>
              </w:rPr>
              <w:t>边马镇东楼底村</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14:paraId="4797580D">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lang w:val="en-US" w:eastAsia="zh-CN"/>
              </w:rPr>
              <w:t>建设水肥一体化100</w:t>
            </w:r>
            <w:r>
              <w:rPr>
                <w:rFonts w:hint="eastAsia" w:ascii="仿宋_GB2312" w:hAnsi="仿宋_GB2312" w:eastAsia="仿宋_GB2312" w:cs="仿宋_GB2312"/>
                <w:color w:val="auto"/>
                <w:kern w:val="0"/>
                <w:sz w:val="18"/>
                <w:szCs w:val="18"/>
                <w:highlight w:val="none"/>
              </w:rPr>
              <w:t>亩，</w:t>
            </w:r>
            <w:r>
              <w:rPr>
                <w:rFonts w:hint="eastAsia" w:ascii="仿宋_GB2312" w:hAnsi="仿宋_GB2312" w:eastAsia="仿宋_GB2312" w:cs="仿宋_GB2312"/>
                <w:color w:val="auto"/>
                <w:kern w:val="0"/>
                <w:sz w:val="18"/>
                <w:szCs w:val="18"/>
                <w:highlight w:val="none"/>
                <w:lang w:eastAsia="zh-CN"/>
              </w:rPr>
              <w:t>补助资金用于购买</w:t>
            </w:r>
            <w:r>
              <w:rPr>
                <w:rFonts w:hint="eastAsia" w:ascii="仿宋_GB2312" w:hAnsi="仿宋_GB2312" w:eastAsia="仿宋_GB2312" w:cs="仿宋_GB2312"/>
                <w:color w:val="auto"/>
                <w:kern w:val="0"/>
                <w:sz w:val="18"/>
                <w:szCs w:val="18"/>
                <w:highlight w:val="none"/>
              </w:rPr>
              <w:t>首部、过滤器、施肥罐、管道等</w:t>
            </w:r>
            <w:r>
              <w:rPr>
                <w:rFonts w:hint="eastAsia" w:ascii="仿宋_GB2312" w:hAnsi="仿宋_GB2312" w:eastAsia="仿宋_GB2312" w:cs="仿宋_GB2312"/>
                <w:color w:val="auto"/>
                <w:kern w:val="0"/>
                <w:sz w:val="18"/>
                <w:szCs w:val="18"/>
                <w:highlight w:val="none"/>
                <w:lang w:eastAsia="zh-CN"/>
              </w:rPr>
              <w:t>基础设施建设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14:paraId="34D8F870">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40</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045D321">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20</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35990841">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bidi="ar-SA"/>
              </w:rPr>
            </w:pPr>
            <w:r>
              <w:rPr>
                <w:rFonts w:hint="eastAsia" w:ascii="仿宋_GB2312" w:hAnsi="仿宋_GB2312" w:eastAsia="仿宋_GB2312" w:cs="仿宋_GB2312"/>
                <w:color w:val="000000"/>
                <w:kern w:val="0"/>
                <w:sz w:val="18"/>
                <w:szCs w:val="18"/>
                <w:lang w:val="en-US" w:eastAsia="zh-CN"/>
              </w:rPr>
              <w:t>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B841C3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先建后补</w:t>
            </w:r>
          </w:p>
        </w:tc>
      </w:tr>
      <w:tr w14:paraId="5CF74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2"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7B5F53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3</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0EC0EF0F">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魏县</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5904967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魏县云通种植家庭农场</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5840A981">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auto"/>
                <w:kern w:val="0"/>
                <w:sz w:val="18"/>
                <w:szCs w:val="18"/>
                <w:highlight w:val="none"/>
                <w:lang w:val="en-US" w:eastAsia="zh-CN"/>
              </w:rPr>
            </w:pPr>
            <w:r>
              <w:rPr>
                <w:rFonts w:hint="eastAsia" w:ascii="仿宋_GB2312" w:hAnsi="仿宋_GB2312" w:eastAsia="仿宋_GB2312" w:cs="仿宋_GB2312"/>
                <w:color w:val="auto"/>
                <w:kern w:val="0"/>
                <w:sz w:val="18"/>
                <w:szCs w:val="18"/>
                <w:highlight w:val="none"/>
                <w:lang w:val="en-US" w:eastAsia="zh-CN"/>
              </w:rPr>
              <w:t>北皋镇西上后村</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14:paraId="300D473B">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lang w:val="en-US" w:eastAsia="zh-CN"/>
              </w:rPr>
              <w:t>建设水肥一体化90</w:t>
            </w:r>
            <w:r>
              <w:rPr>
                <w:rFonts w:hint="eastAsia" w:ascii="仿宋_GB2312" w:hAnsi="仿宋_GB2312" w:eastAsia="仿宋_GB2312" w:cs="仿宋_GB2312"/>
                <w:color w:val="auto"/>
                <w:kern w:val="0"/>
                <w:sz w:val="18"/>
                <w:szCs w:val="18"/>
                <w:highlight w:val="none"/>
              </w:rPr>
              <w:t>亩，</w:t>
            </w:r>
            <w:r>
              <w:rPr>
                <w:rFonts w:hint="eastAsia" w:ascii="仿宋_GB2312" w:hAnsi="仿宋_GB2312" w:eastAsia="仿宋_GB2312" w:cs="仿宋_GB2312"/>
                <w:color w:val="auto"/>
                <w:kern w:val="0"/>
                <w:sz w:val="18"/>
                <w:szCs w:val="18"/>
                <w:highlight w:val="none"/>
                <w:lang w:eastAsia="zh-CN"/>
              </w:rPr>
              <w:t>补助资金用于购买</w:t>
            </w:r>
            <w:r>
              <w:rPr>
                <w:rFonts w:hint="eastAsia" w:ascii="仿宋_GB2312" w:hAnsi="仿宋_GB2312" w:eastAsia="仿宋_GB2312" w:cs="仿宋_GB2312"/>
                <w:color w:val="auto"/>
                <w:kern w:val="0"/>
                <w:sz w:val="18"/>
                <w:szCs w:val="18"/>
                <w:highlight w:val="none"/>
              </w:rPr>
              <w:t>首部、过滤器、施肥罐、管道等</w:t>
            </w:r>
            <w:r>
              <w:rPr>
                <w:rFonts w:hint="eastAsia" w:ascii="仿宋_GB2312" w:hAnsi="仿宋_GB2312" w:eastAsia="仿宋_GB2312" w:cs="仿宋_GB2312"/>
                <w:color w:val="auto"/>
                <w:kern w:val="0"/>
                <w:sz w:val="18"/>
                <w:szCs w:val="18"/>
                <w:highlight w:val="none"/>
                <w:lang w:eastAsia="zh-CN"/>
              </w:rPr>
              <w:t>基础设施建设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14:paraId="023D682A">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36</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4EC691A1">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18</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767E4217">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bidi="ar-SA"/>
              </w:rPr>
            </w:pPr>
            <w:r>
              <w:rPr>
                <w:rFonts w:hint="eastAsia" w:ascii="仿宋_GB2312" w:hAnsi="仿宋_GB2312" w:eastAsia="仿宋_GB2312" w:cs="仿宋_GB2312"/>
                <w:color w:val="000000"/>
                <w:kern w:val="0"/>
                <w:sz w:val="18"/>
                <w:szCs w:val="18"/>
                <w:lang w:val="en-US" w:eastAsia="zh-CN"/>
              </w:rPr>
              <w:t>18</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1B618038">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先建后补</w:t>
            </w:r>
          </w:p>
        </w:tc>
      </w:tr>
      <w:tr w14:paraId="20508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419238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r>
              <w:rPr>
                <w:rFonts w:hint="eastAsia" w:ascii="仿宋_GB2312" w:hAnsi="仿宋_GB2312" w:eastAsia="仿宋_GB2312" w:cs="仿宋_GB2312"/>
                <w:i w:val="0"/>
                <w:iCs w:val="0"/>
                <w:color w:val="000000"/>
                <w:kern w:val="0"/>
                <w:sz w:val="18"/>
                <w:szCs w:val="18"/>
                <w:u w:val="none"/>
                <w:lang w:val="en-US" w:eastAsia="zh-CN" w:bidi="ar"/>
              </w:rPr>
              <w:t>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3A4729CC">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i w:val="0"/>
                <w:iCs w:val="0"/>
                <w:color w:val="000000"/>
                <w:sz w:val="18"/>
                <w:szCs w:val="18"/>
                <w:u w:val="none"/>
              </w:rPr>
            </w:pPr>
            <w:r>
              <w:rPr>
                <w:rFonts w:hint="eastAsia" w:ascii="仿宋_GB2312" w:hAnsi="仿宋_GB2312" w:eastAsia="仿宋_GB2312" w:cs="仿宋_GB2312"/>
                <w:i w:val="0"/>
                <w:iCs w:val="0"/>
                <w:color w:val="000000"/>
                <w:kern w:val="0"/>
                <w:sz w:val="18"/>
                <w:szCs w:val="18"/>
                <w:u w:val="none"/>
                <w:lang w:val="en-US" w:eastAsia="zh-CN" w:bidi="ar"/>
              </w:rPr>
              <w:t>魏县</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360924AB">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lang w:val="en-US" w:eastAsia="zh-CN"/>
              </w:rPr>
              <w:t>魏县泊口乡昝关印家庭种植农场</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22CF49D2">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auto"/>
                <w:kern w:val="0"/>
                <w:sz w:val="18"/>
                <w:szCs w:val="18"/>
                <w:highlight w:val="none"/>
                <w:lang w:val="en-US" w:eastAsia="zh-CN"/>
              </w:rPr>
            </w:pPr>
            <w:r>
              <w:rPr>
                <w:rFonts w:hint="eastAsia" w:ascii="仿宋_GB2312" w:hAnsi="仿宋_GB2312" w:eastAsia="仿宋_GB2312" w:cs="仿宋_GB2312"/>
                <w:color w:val="auto"/>
                <w:kern w:val="0"/>
                <w:sz w:val="18"/>
                <w:szCs w:val="18"/>
                <w:highlight w:val="none"/>
                <w:lang w:val="en-US" w:eastAsia="zh-CN"/>
              </w:rPr>
              <w:t>泊口镇井西村</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14:paraId="38D6CB0F">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auto"/>
                <w:kern w:val="2"/>
                <w:sz w:val="18"/>
                <w:szCs w:val="18"/>
                <w:highlight w:val="none"/>
                <w:lang w:val="en-US" w:eastAsia="zh-CN" w:bidi="ar-SA"/>
              </w:rPr>
            </w:pPr>
            <w:r>
              <w:rPr>
                <w:rFonts w:hint="eastAsia" w:ascii="仿宋_GB2312" w:hAnsi="仿宋_GB2312" w:eastAsia="仿宋_GB2312" w:cs="仿宋_GB2312"/>
                <w:color w:val="auto"/>
                <w:kern w:val="0"/>
                <w:sz w:val="18"/>
                <w:szCs w:val="18"/>
                <w:highlight w:val="none"/>
                <w:lang w:val="en-US" w:eastAsia="zh-CN"/>
              </w:rPr>
              <w:t>建设水肥一体化100</w:t>
            </w:r>
            <w:r>
              <w:rPr>
                <w:rFonts w:hint="eastAsia" w:ascii="仿宋_GB2312" w:hAnsi="仿宋_GB2312" w:eastAsia="仿宋_GB2312" w:cs="仿宋_GB2312"/>
                <w:color w:val="auto"/>
                <w:kern w:val="0"/>
                <w:sz w:val="18"/>
                <w:szCs w:val="18"/>
                <w:highlight w:val="none"/>
              </w:rPr>
              <w:t>亩，</w:t>
            </w:r>
            <w:r>
              <w:rPr>
                <w:rFonts w:hint="eastAsia" w:ascii="仿宋_GB2312" w:hAnsi="仿宋_GB2312" w:eastAsia="仿宋_GB2312" w:cs="仿宋_GB2312"/>
                <w:color w:val="auto"/>
                <w:kern w:val="0"/>
                <w:sz w:val="18"/>
                <w:szCs w:val="18"/>
                <w:highlight w:val="none"/>
                <w:lang w:eastAsia="zh-CN"/>
              </w:rPr>
              <w:t>补助资金用于购买</w:t>
            </w:r>
            <w:r>
              <w:rPr>
                <w:rFonts w:hint="eastAsia" w:ascii="仿宋_GB2312" w:hAnsi="仿宋_GB2312" w:eastAsia="仿宋_GB2312" w:cs="仿宋_GB2312"/>
                <w:color w:val="auto"/>
                <w:kern w:val="0"/>
                <w:sz w:val="18"/>
                <w:szCs w:val="18"/>
                <w:highlight w:val="none"/>
              </w:rPr>
              <w:t>首部、过滤器、施肥罐、管道等</w:t>
            </w:r>
            <w:r>
              <w:rPr>
                <w:rFonts w:hint="eastAsia" w:ascii="仿宋_GB2312" w:hAnsi="仿宋_GB2312" w:eastAsia="仿宋_GB2312" w:cs="仿宋_GB2312"/>
                <w:color w:val="auto"/>
                <w:kern w:val="0"/>
                <w:sz w:val="18"/>
                <w:szCs w:val="18"/>
                <w:highlight w:val="none"/>
                <w:lang w:eastAsia="zh-CN"/>
              </w:rPr>
              <w:t>基础设施建设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14:paraId="5A3F3A1A">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40</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F95C935">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20</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70DB1C03">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bidi="ar-SA"/>
              </w:rPr>
            </w:pPr>
            <w:r>
              <w:rPr>
                <w:rFonts w:hint="eastAsia" w:ascii="仿宋_GB2312" w:hAnsi="仿宋_GB2312" w:eastAsia="仿宋_GB2312" w:cs="仿宋_GB2312"/>
                <w:color w:val="000000"/>
                <w:kern w:val="0"/>
                <w:sz w:val="18"/>
                <w:szCs w:val="18"/>
                <w:lang w:val="en-US" w:eastAsia="zh-CN"/>
              </w:rPr>
              <w:t>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4CF4EA0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先建后补</w:t>
            </w:r>
          </w:p>
        </w:tc>
      </w:tr>
      <w:tr w14:paraId="7B8AB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068CFF38">
            <w:pPr>
              <w:keepNext w:val="0"/>
              <w:keepLines w:val="0"/>
              <w:pageBreakBefore w:val="0"/>
              <w:widowControl/>
              <w:kinsoku/>
              <w:wordWrap/>
              <w:overflowPunct/>
              <w:topLinePunct w:val="0"/>
              <w:autoSpaceDE/>
              <w:autoSpaceDN/>
              <w:bidi w:val="0"/>
              <w:adjustRightInd/>
              <w:snapToGrid/>
              <w:spacing w:line="240" w:lineRule="exact"/>
              <w:jc w:val="left"/>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5</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C709112">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lang w:val="en-US" w:eastAsia="zh-CN"/>
              </w:rPr>
              <w:t>魏县</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14:paraId="2AEAE026">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魏县国雨国顺种植基地</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7450C89E">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auto"/>
                <w:kern w:val="0"/>
                <w:sz w:val="18"/>
                <w:szCs w:val="18"/>
                <w:highlight w:val="none"/>
                <w:lang w:val="en-US" w:eastAsia="zh-CN"/>
              </w:rPr>
            </w:pPr>
            <w:r>
              <w:rPr>
                <w:rFonts w:hint="eastAsia" w:ascii="仿宋_GB2312" w:hAnsi="仿宋_GB2312" w:eastAsia="仿宋_GB2312" w:cs="仿宋_GB2312"/>
                <w:color w:val="auto"/>
                <w:kern w:val="0"/>
                <w:sz w:val="18"/>
                <w:szCs w:val="18"/>
                <w:highlight w:val="none"/>
                <w:lang w:val="en-US" w:eastAsia="zh-CN"/>
              </w:rPr>
              <w:t>双井镇更化村</w:t>
            </w:r>
          </w:p>
        </w:tc>
        <w:tc>
          <w:tcPr>
            <w:tcW w:w="3002" w:type="dxa"/>
            <w:tcBorders>
              <w:top w:val="single" w:color="000000" w:sz="4" w:space="0"/>
              <w:left w:val="single" w:color="000000" w:sz="4" w:space="0"/>
              <w:bottom w:val="single" w:color="000000" w:sz="4" w:space="0"/>
              <w:right w:val="single" w:color="000000" w:sz="4" w:space="0"/>
            </w:tcBorders>
            <w:noWrap w:val="0"/>
            <w:vAlign w:val="center"/>
          </w:tcPr>
          <w:p w14:paraId="145F8BCD">
            <w:pPr>
              <w:keepNext w:val="0"/>
              <w:keepLines w:val="0"/>
              <w:pageBreakBefore w:val="0"/>
              <w:widowControl/>
              <w:kinsoku/>
              <w:wordWrap/>
              <w:overflowPunct/>
              <w:topLinePunct w:val="0"/>
              <w:autoSpaceDE/>
              <w:autoSpaceDN/>
              <w:bidi w:val="0"/>
              <w:adjustRightInd/>
              <w:snapToGrid/>
              <w:spacing w:line="240" w:lineRule="exact"/>
              <w:jc w:val="left"/>
              <w:rPr>
                <w:rFonts w:hint="eastAsia" w:ascii="仿宋_GB2312" w:hAnsi="仿宋_GB2312" w:eastAsia="仿宋_GB2312" w:cs="仿宋_GB2312"/>
                <w:color w:val="auto"/>
                <w:kern w:val="0"/>
                <w:sz w:val="18"/>
                <w:szCs w:val="18"/>
                <w:highlight w:val="none"/>
                <w:lang w:eastAsia="zh-CN"/>
              </w:rPr>
            </w:pPr>
            <w:r>
              <w:rPr>
                <w:rFonts w:hint="eastAsia" w:ascii="仿宋_GB2312" w:hAnsi="仿宋_GB2312" w:eastAsia="仿宋_GB2312" w:cs="仿宋_GB2312"/>
                <w:color w:val="auto"/>
                <w:kern w:val="0"/>
                <w:sz w:val="18"/>
                <w:szCs w:val="18"/>
                <w:highlight w:val="none"/>
                <w:lang w:val="en-US" w:eastAsia="zh-CN"/>
              </w:rPr>
              <w:t>建设水肥一体化100</w:t>
            </w:r>
            <w:r>
              <w:rPr>
                <w:rFonts w:hint="eastAsia" w:ascii="仿宋_GB2312" w:hAnsi="仿宋_GB2312" w:eastAsia="仿宋_GB2312" w:cs="仿宋_GB2312"/>
                <w:color w:val="auto"/>
                <w:kern w:val="0"/>
                <w:sz w:val="18"/>
                <w:szCs w:val="18"/>
                <w:highlight w:val="none"/>
              </w:rPr>
              <w:t>亩，</w:t>
            </w:r>
            <w:r>
              <w:rPr>
                <w:rFonts w:hint="eastAsia" w:ascii="仿宋_GB2312" w:hAnsi="仿宋_GB2312" w:eastAsia="仿宋_GB2312" w:cs="仿宋_GB2312"/>
                <w:color w:val="auto"/>
                <w:kern w:val="0"/>
                <w:sz w:val="18"/>
                <w:szCs w:val="18"/>
                <w:highlight w:val="none"/>
                <w:lang w:eastAsia="zh-CN"/>
              </w:rPr>
              <w:t>补助资金用于购买</w:t>
            </w:r>
            <w:r>
              <w:rPr>
                <w:rFonts w:hint="eastAsia" w:ascii="仿宋_GB2312" w:hAnsi="仿宋_GB2312" w:eastAsia="仿宋_GB2312" w:cs="仿宋_GB2312"/>
                <w:color w:val="auto"/>
                <w:kern w:val="0"/>
                <w:sz w:val="18"/>
                <w:szCs w:val="18"/>
                <w:highlight w:val="none"/>
              </w:rPr>
              <w:t>首部、过滤器、施肥罐、管道等</w:t>
            </w:r>
            <w:r>
              <w:rPr>
                <w:rFonts w:hint="eastAsia" w:ascii="仿宋_GB2312" w:hAnsi="仿宋_GB2312" w:eastAsia="仿宋_GB2312" w:cs="仿宋_GB2312"/>
                <w:color w:val="auto"/>
                <w:kern w:val="0"/>
                <w:sz w:val="18"/>
                <w:szCs w:val="18"/>
                <w:highlight w:val="none"/>
                <w:lang w:eastAsia="zh-CN"/>
              </w:rPr>
              <w:t>基础设施建设</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14:paraId="3AE63ED7">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40</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125D0698">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20</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07C17B8D">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3FF970C9">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先建后补</w:t>
            </w:r>
          </w:p>
        </w:tc>
      </w:tr>
      <w:tr w14:paraId="5ED43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7242" w:type="dxa"/>
            <w:gridSpan w:val="5"/>
            <w:tcBorders>
              <w:top w:val="single" w:color="000000" w:sz="4" w:space="0"/>
              <w:left w:val="single" w:color="000000" w:sz="4" w:space="0"/>
              <w:bottom w:val="single" w:color="000000" w:sz="4" w:space="0"/>
              <w:right w:val="single" w:color="000000" w:sz="4" w:space="0"/>
            </w:tcBorders>
            <w:noWrap w:val="0"/>
            <w:vAlign w:val="center"/>
          </w:tcPr>
          <w:p w14:paraId="59C936AD">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合计</w:t>
            </w:r>
          </w:p>
        </w:tc>
        <w:tc>
          <w:tcPr>
            <w:tcW w:w="1074" w:type="dxa"/>
            <w:tcBorders>
              <w:top w:val="single" w:color="000000" w:sz="4" w:space="0"/>
              <w:left w:val="single" w:color="000000" w:sz="4" w:space="0"/>
              <w:bottom w:val="single" w:color="000000" w:sz="4" w:space="0"/>
              <w:right w:val="single" w:color="000000" w:sz="4" w:space="0"/>
            </w:tcBorders>
            <w:noWrap w:val="0"/>
            <w:vAlign w:val="center"/>
          </w:tcPr>
          <w:p w14:paraId="0752544A">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200</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1856CF5">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100</w:t>
            </w:r>
          </w:p>
        </w:tc>
        <w:tc>
          <w:tcPr>
            <w:tcW w:w="1247" w:type="dxa"/>
            <w:tcBorders>
              <w:top w:val="single" w:color="000000" w:sz="4" w:space="0"/>
              <w:left w:val="single" w:color="000000" w:sz="4" w:space="0"/>
              <w:bottom w:val="single" w:color="000000" w:sz="4" w:space="0"/>
              <w:right w:val="single" w:color="000000" w:sz="4" w:space="0"/>
            </w:tcBorders>
            <w:noWrap w:val="0"/>
            <w:vAlign w:val="center"/>
          </w:tcPr>
          <w:p w14:paraId="1FEA8592">
            <w:pPr>
              <w:keepNext w:val="0"/>
              <w:keepLines w:val="0"/>
              <w:pageBreakBefore w:val="0"/>
              <w:widowControl/>
              <w:kinsoku/>
              <w:wordWrap/>
              <w:overflowPunct/>
              <w:topLinePunct w:val="0"/>
              <w:autoSpaceDE/>
              <w:autoSpaceDN/>
              <w:bidi w:val="0"/>
              <w:adjustRightInd/>
              <w:snapToGrid/>
              <w:spacing w:line="240" w:lineRule="exact"/>
              <w:jc w:val="center"/>
              <w:rPr>
                <w:rFonts w:hint="default" w:ascii="仿宋_GB2312" w:hAnsi="仿宋_GB2312" w:eastAsia="仿宋_GB2312" w:cs="仿宋_GB2312"/>
                <w:color w:val="000000"/>
                <w:kern w:val="0"/>
                <w:sz w:val="18"/>
                <w:szCs w:val="18"/>
                <w:lang w:val="en-US" w:eastAsia="zh-CN"/>
              </w:rPr>
            </w:pPr>
            <w:r>
              <w:rPr>
                <w:rFonts w:hint="eastAsia" w:ascii="仿宋_GB2312" w:hAnsi="仿宋_GB2312" w:eastAsia="仿宋_GB2312" w:cs="仿宋_GB2312"/>
                <w:color w:val="000000"/>
                <w:kern w:val="0"/>
                <w:sz w:val="18"/>
                <w:szCs w:val="18"/>
                <w:lang w:val="en-US" w:eastAsia="zh-CN"/>
              </w:rPr>
              <w:t>100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14:paraId="01C5E980">
            <w:pPr>
              <w:keepNext w:val="0"/>
              <w:keepLines w:val="0"/>
              <w:pageBreakBefore w:val="0"/>
              <w:widowControl/>
              <w:kinsoku/>
              <w:wordWrap/>
              <w:overflowPunct/>
              <w:topLinePunct w:val="0"/>
              <w:autoSpaceDE/>
              <w:autoSpaceDN/>
              <w:bidi w:val="0"/>
              <w:adjustRightInd/>
              <w:snapToGrid/>
              <w:spacing w:line="240" w:lineRule="exact"/>
              <w:jc w:val="center"/>
              <w:rPr>
                <w:rFonts w:hint="eastAsia" w:ascii="仿宋_GB2312" w:hAnsi="仿宋_GB2312" w:eastAsia="仿宋_GB2312" w:cs="仿宋_GB2312"/>
                <w:color w:val="000000"/>
                <w:kern w:val="0"/>
                <w:sz w:val="18"/>
                <w:szCs w:val="18"/>
                <w:lang w:val="en-US" w:eastAsia="zh-CN"/>
              </w:rPr>
            </w:pPr>
          </w:p>
        </w:tc>
      </w:tr>
    </w:tbl>
    <w:p w14:paraId="2E193A12">
      <w:pPr>
        <w:keepNext w:val="0"/>
        <w:keepLines w:val="0"/>
        <w:pageBreakBefore w:val="0"/>
        <w:widowControl w:val="0"/>
        <w:tabs>
          <w:tab w:val="left" w:pos="1911"/>
        </w:tabs>
        <w:kinsoku/>
        <w:wordWrap/>
        <w:overflowPunct/>
        <w:topLinePunct w:val="0"/>
        <w:autoSpaceDE/>
        <w:autoSpaceDN/>
        <w:bidi w:val="0"/>
        <w:adjustRightInd/>
        <w:snapToGrid/>
        <w:spacing w:beforeAutospacing="0" w:line="570" w:lineRule="exact"/>
        <w:ind w:right="0" w:firstLine="1920" w:firstLineChars="600"/>
        <w:jc w:val="left"/>
        <w:rPr>
          <w:rFonts w:hint="eastAsia" w:ascii="仿宋_GB2312" w:hAnsi="仿宋" w:eastAsia="仿宋_GB2312"/>
          <w:sz w:val="32"/>
          <w:szCs w:val="32"/>
          <w:lang w:eastAsia="zh-CN"/>
        </w:rPr>
      </w:pPr>
    </w:p>
    <w:p w14:paraId="12662C7E">
      <w:pPr>
        <w:tabs>
          <w:tab w:val="left" w:pos="7405"/>
        </w:tabs>
        <w:bidi w:val="0"/>
        <w:jc w:val="left"/>
        <w:rPr>
          <w:rFonts w:hint="eastAsia"/>
          <w:lang w:val="en-US" w:eastAsia="zh-CN"/>
        </w:rPr>
        <w:sectPr>
          <w:pgSz w:w="16838" w:h="11906" w:orient="landscape"/>
          <w:pgMar w:top="1417" w:right="1984" w:bottom="1417" w:left="1984" w:header="851" w:footer="992" w:gutter="0"/>
          <w:pgNumType w:fmt="decimal"/>
          <w:cols w:space="0" w:num="1"/>
          <w:rtlGutter w:val="0"/>
          <w:docGrid w:type="lines" w:linePitch="312" w:charSpace="0"/>
        </w:sectPr>
      </w:pPr>
    </w:p>
    <w:p w14:paraId="59989136">
      <w:pPr>
        <w:keepNext w:val="0"/>
        <w:keepLines w:val="0"/>
        <w:widowControl/>
        <w:suppressLineNumbers w:val="0"/>
        <w:jc w:val="left"/>
        <w:textAlignment w:val="bottom"/>
        <w:outlineLvl w:val="0"/>
        <w:rPr>
          <w:rFonts w:hint="default" w:ascii="黑体" w:hAnsi="黑体" w:eastAsia="黑体" w:cs="黑体"/>
          <w:color w:val="000000"/>
          <w:kern w:val="0"/>
          <w:sz w:val="32"/>
          <w:szCs w:val="32"/>
          <w:lang w:val="en-US" w:eastAsia="zh-CN"/>
        </w:rPr>
      </w:pPr>
      <w:r>
        <w:rPr>
          <w:rFonts w:hint="eastAsia" w:ascii="黑体" w:hAnsi="黑体" w:eastAsia="黑体" w:cs="黑体"/>
          <w:color w:val="000000"/>
          <w:kern w:val="0"/>
          <w:sz w:val="32"/>
          <w:szCs w:val="32"/>
          <w:lang w:val="en-US" w:eastAsia="zh-CN"/>
        </w:rPr>
        <w:t>附件4</w:t>
      </w:r>
    </w:p>
    <w:p w14:paraId="50EA5BA6">
      <w:pPr>
        <w:jc w:val="center"/>
        <w:rPr>
          <w:rFonts w:hint="eastAsia" w:ascii="黑体" w:hAnsi="黑体" w:eastAsia="黑体" w:cs="黑体"/>
          <w:kern w:val="0"/>
          <w:sz w:val="44"/>
          <w:szCs w:val="44"/>
        </w:rPr>
      </w:pPr>
      <w:r>
        <w:rPr>
          <w:rFonts w:hint="eastAsia" w:ascii="黑体" w:hAnsi="黑体" w:eastAsia="黑体" w:cs="黑体"/>
          <w:kern w:val="0"/>
          <w:sz w:val="44"/>
          <w:szCs w:val="44"/>
          <w:lang w:eastAsia="zh-CN"/>
        </w:rPr>
        <w:drawing>
          <wp:anchor distT="0" distB="0" distL="114300" distR="114300" simplePos="0" relativeHeight="251659264" behindDoc="0" locked="0" layoutInCell="1" allowOverlap="1">
            <wp:simplePos x="0" y="0"/>
            <wp:positionH relativeFrom="column">
              <wp:posOffset>433070</wp:posOffset>
            </wp:positionH>
            <wp:positionV relativeFrom="paragraph">
              <wp:posOffset>562610</wp:posOffset>
            </wp:positionV>
            <wp:extent cx="4857115" cy="7344410"/>
            <wp:effectExtent l="0" t="0" r="635" b="8890"/>
            <wp:wrapNone/>
            <wp:docPr id="3" name="图片 3" descr="王耀河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王耀河_副本"/>
                    <pic:cNvPicPr>
                      <a:picLocks noChangeAspect="1"/>
                    </pic:cNvPicPr>
                  </pic:nvPicPr>
                  <pic:blipFill>
                    <a:blip r:embed="rId5"/>
                    <a:stretch>
                      <a:fillRect/>
                    </a:stretch>
                  </pic:blipFill>
                  <pic:spPr>
                    <a:xfrm>
                      <a:off x="0" y="0"/>
                      <a:ext cx="4857115" cy="7344410"/>
                    </a:xfrm>
                    <a:prstGeom prst="rect">
                      <a:avLst/>
                    </a:prstGeom>
                  </pic:spPr>
                </pic:pic>
              </a:graphicData>
            </a:graphic>
          </wp:anchor>
        </w:drawing>
      </w:r>
      <w:r>
        <w:rPr>
          <w:rFonts w:hint="eastAsia" w:ascii="方正小标宋_GBK" w:hAnsi="方正小标宋_GBK" w:eastAsia="方正小标宋_GBK" w:cs="方正小标宋_GBK"/>
          <w:b w:val="0"/>
          <w:bCs w:val="0"/>
          <w:spacing w:val="0"/>
          <w:w w:val="90"/>
          <w:sz w:val="44"/>
          <w:szCs w:val="44"/>
          <w:lang w:val="en-US" w:eastAsia="zh-CN"/>
        </w:rPr>
        <w:t>魏县2026年省级特色产业高效节水项目区示意图</w:t>
      </w:r>
    </w:p>
    <w:p w14:paraId="152FA31F">
      <w:pPr>
        <w:jc w:val="both"/>
        <w:rPr>
          <w:rFonts w:hint="eastAsia" w:ascii="黑体" w:hAnsi="黑体" w:eastAsia="黑体" w:cs="黑体"/>
          <w:kern w:val="0"/>
          <w:sz w:val="32"/>
          <w:szCs w:val="32"/>
        </w:rPr>
      </w:pPr>
    </w:p>
    <w:p w14:paraId="6FA33BD1">
      <w:pPr>
        <w:jc w:val="both"/>
        <w:rPr>
          <w:rFonts w:hint="eastAsia" w:ascii="黑体" w:hAnsi="黑体" w:eastAsia="黑体" w:cs="黑体"/>
          <w:kern w:val="0"/>
          <w:sz w:val="32"/>
          <w:szCs w:val="32"/>
          <w:lang w:eastAsia="zh-CN"/>
        </w:rPr>
      </w:pPr>
    </w:p>
    <w:p w14:paraId="59C940FA">
      <w:pPr>
        <w:jc w:val="both"/>
        <w:rPr>
          <w:rFonts w:hint="eastAsia" w:ascii="黑体" w:hAnsi="黑体" w:eastAsia="黑体" w:cs="黑体"/>
          <w:kern w:val="0"/>
          <w:sz w:val="32"/>
          <w:szCs w:val="32"/>
        </w:rPr>
      </w:pPr>
    </w:p>
    <w:p w14:paraId="19989978">
      <w:pPr>
        <w:jc w:val="both"/>
        <w:rPr>
          <w:rFonts w:hint="eastAsia" w:ascii="黑体" w:hAnsi="黑体" w:eastAsia="黑体" w:cs="黑体"/>
          <w:kern w:val="0"/>
          <w:sz w:val="32"/>
          <w:szCs w:val="32"/>
        </w:rPr>
      </w:pPr>
    </w:p>
    <w:p w14:paraId="2272CBC4">
      <w:pPr>
        <w:jc w:val="both"/>
        <w:rPr>
          <w:rFonts w:hint="eastAsia" w:ascii="黑体" w:hAnsi="黑体" w:eastAsia="黑体" w:cs="黑体"/>
          <w:kern w:val="0"/>
          <w:sz w:val="32"/>
          <w:szCs w:val="32"/>
        </w:rPr>
      </w:pPr>
    </w:p>
    <w:p w14:paraId="03BD72D1">
      <w:pPr>
        <w:jc w:val="both"/>
        <w:rPr>
          <w:rFonts w:hint="eastAsia" w:ascii="黑体" w:hAnsi="黑体" w:eastAsia="黑体" w:cs="黑体"/>
          <w:kern w:val="0"/>
          <w:sz w:val="32"/>
          <w:szCs w:val="32"/>
        </w:rPr>
      </w:pPr>
    </w:p>
    <w:p w14:paraId="6B3575A8">
      <w:pPr>
        <w:jc w:val="both"/>
        <w:rPr>
          <w:rFonts w:hint="eastAsia" w:ascii="黑体" w:hAnsi="黑体" w:eastAsia="黑体" w:cs="黑体"/>
          <w:kern w:val="0"/>
          <w:sz w:val="32"/>
          <w:szCs w:val="32"/>
        </w:rPr>
      </w:pPr>
    </w:p>
    <w:p w14:paraId="2EDB20B1">
      <w:pPr>
        <w:jc w:val="both"/>
        <w:rPr>
          <w:rFonts w:hint="eastAsia" w:ascii="黑体" w:hAnsi="黑体" w:eastAsia="黑体" w:cs="黑体"/>
          <w:kern w:val="0"/>
          <w:sz w:val="32"/>
          <w:szCs w:val="32"/>
        </w:rPr>
      </w:pPr>
    </w:p>
    <w:p w14:paraId="1FCCFCE1">
      <w:pPr>
        <w:jc w:val="both"/>
        <w:rPr>
          <w:rFonts w:hint="eastAsia" w:ascii="黑体" w:hAnsi="黑体" w:eastAsia="黑体" w:cs="黑体"/>
          <w:kern w:val="0"/>
          <w:sz w:val="32"/>
          <w:szCs w:val="32"/>
        </w:rPr>
      </w:pPr>
    </w:p>
    <w:p w14:paraId="0192D841">
      <w:pPr>
        <w:jc w:val="both"/>
        <w:rPr>
          <w:rFonts w:hint="eastAsia" w:ascii="黑体" w:hAnsi="黑体" w:eastAsia="黑体" w:cs="黑体"/>
          <w:kern w:val="0"/>
          <w:sz w:val="32"/>
          <w:szCs w:val="32"/>
        </w:rPr>
      </w:pPr>
    </w:p>
    <w:p w14:paraId="7EA541A2">
      <w:pPr>
        <w:jc w:val="both"/>
        <w:rPr>
          <w:rFonts w:hint="eastAsia" w:ascii="黑体" w:hAnsi="黑体" w:eastAsia="黑体" w:cs="黑体"/>
          <w:kern w:val="0"/>
          <w:sz w:val="32"/>
          <w:szCs w:val="32"/>
        </w:rPr>
      </w:pPr>
    </w:p>
    <w:p w14:paraId="087AB763">
      <w:pPr>
        <w:jc w:val="both"/>
        <w:rPr>
          <w:rFonts w:hint="eastAsia" w:ascii="黑体" w:hAnsi="黑体" w:eastAsia="黑体" w:cs="黑体"/>
          <w:kern w:val="0"/>
          <w:sz w:val="32"/>
          <w:szCs w:val="32"/>
        </w:rPr>
      </w:pPr>
    </w:p>
    <w:p w14:paraId="01F2B477">
      <w:pPr>
        <w:jc w:val="both"/>
        <w:rPr>
          <w:rFonts w:hint="eastAsia" w:ascii="黑体" w:hAnsi="黑体" w:eastAsia="黑体" w:cs="黑体"/>
          <w:kern w:val="0"/>
          <w:sz w:val="32"/>
          <w:szCs w:val="32"/>
        </w:rPr>
      </w:pPr>
    </w:p>
    <w:p w14:paraId="7BB84674">
      <w:pPr>
        <w:jc w:val="both"/>
        <w:rPr>
          <w:rFonts w:hint="eastAsia" w:ascii="黑体" w:hAnsi="黑体" w:eastAsia="黑体" w:cs="黑体"/>
          <w:kern w:val="0"/>
          <w:sz w:val="32"/>
          <w:szCs w:val="32"/>
        </w:rPr>
      </w:pPr>
    </w:p>
    <w:p w14:paraId="4D394664">
      <w:pPr>
        <w:jc w:val="both"/>
        <w:rPr>
          <w:rFonts w:hint="eastAsia" w:ascii="黑体" w:hAnsi="黑体" w:eastAsia="黑体" w:cs="黑体"/>
          <w:kern w:val="0"/>
          <w:sz w:val="32"/>
          <w:szCs w:val="32"/>
        </w:rPr>
      </w:pPr>
    </w:p>
    <w:p w14:paraId="7C6719CA">
      <w:pPr>
        <w:jc w:val="both"/>
        <w:rPr>
          <w:rFonts w:hint="eastAsia" w:ascii="黑体" w:hAnsi="黑体" w:eastAsia="黑体" w:cs="黑体"/>
          <w:kern w:val="0"/>
          <w:sz w:val="32"/>
          <w:szCs w:val="32"/>
        </w:rPr>
      </w:pPr>
    </w:p>
    <w:p w14:paraId="1C4E96EF">
      <w:pPr>
        <w:jc w:val="both"/>
        <w:rPr>
          <w:rFonts w:hint="eastAsia" w:ascii="黑体" w:hAnsi="黑体" w:eastAsia="黑体" w:cs="黑体"/>
          <w:kern w:val="0"/>
          <w:sz w:val="32"/>
          <w:szCs w:val="32"/>
        </w:rPr>
      </w:pPr>
    </w:p>
    <w:p w14:paraId="3F305218">
      <w:pPr>
        <w:jc w:val="both"/>
        <w:rPr>
          <w:rFonts w:hint="eastAsia" w:ascii="黑体" w:hAnsi="黑体" w:eastAsia="黑体" w:cs="黑体"/>
          <w:kern w:val="0"/>
          <w:sz w:val="32"/>
          <w:szCs w:val="32"/>
        </w:rPr>
      </w:pPr>
    </w:p>
    <w:p w14:paraId="00A67ED3">
      <w:pPr>
        <w:jc w:val="both"/>
        <w:rPr>
          <w:rFonts w:hint="eastAsia" w:ascii="黑体" w:hAnsi="黑体" w:eastAsia="黑体" w:cs="黑体"/>
          <w:kern w:val="0"/>
          <w:sz w:val="32"/>
          <w:szCs w:val="32"/>
        </w:rPr>
      </w:pPr>
      <w:r>
        <w:rPr>
          <w:rFonts w:hint="eastAsia" w:ascii="黑体" w:hAnsi="黑体" w:eastAsia="黑体" w:cs="黑体"/>
          <w:kern w:val="0"/>
          <w:sz w:val="32"/>
          <w:szCs w:val="32"/>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279400</wp:posOffset>
            </wp:positionV>
            <wp:extent cx="5331460" cy="8061325"/>
            <wp:effectExtent l="0" t="0" r="2540" b="3175"/>
            <wp:wrapNone/>
            <wp:docPr id="4" name="图片 4" descr="成现利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成现利_副本"/>
                    <pic:cNvPicPr>
                      <a:picLocks noChangeAspect="1"/>
                    </pic:cNvPicPr>
                  </pic:nvPicPr>
                  <pic:blipFill>
                    <a:blip r:embed="rId6"/>
                    <a:stretch>
                      <a:fillRect/>
                    </a:stretch>
                  </pic:blipFill>
                  <pic:spPr>
                    <a:xfrm>
                      <a:off x="0" y="0"/>
                      <a:ext cx="5331460" cy="8061325"/>
                    </a:xfrm>
                    <a:prstGeom prst="rect">
                      <a:avLst/>
                    </a:prstGeom>
                  </pic:spPr>
                </pic:pic>
              </a:graphicData>
            </a:graphic>
          </wp:anchor>
        </w:drawing>
      </w:r>
    </w:p>
    <w:p w14:paraId="7BF9F5A4">
      <w:pPr>
        <w:jc w:val="both"/>
        <w:rPr>
          <w:rFonts w:hint="eastAsia" w:ascii="黑体" w:hAnsi="黑体" w:eastAsia="黑体" w:cs="黑体"/>
          <w:kern w:val="0"/>
          <w:sz w:val="32"/>
          <w:szCs w:val="32"/>
        </w:rPr>
      </w:pPr>
    </w:p>
    <w:p w14:paraId="6D072C7C">
      <w:pPr>
        <w:jc w:val="both"/>
        <w:rPr>
          <w:rFonts w:hint="eastAsia" w:ascii="黑体" w:hAnsi="黑体" w:eastAsia="黑体" w:cs="黑体"/>
          <w:kern w:val="0"/>
          <w:sz w:val="32"/>
          <w:szCs w:val="32"/>
        </w:rPr>
      </w:pPr>
    </w:p>
    <w:p w14:paraId="4F732738">
      <w:pPr>
        <w:jc w:val="both"/>
        <w:rPr>
          <w:rFonts w:hint="eastAsia" w:ascii="黑体" w:hAnsi="黑体" w:eastAsia="黑体" w:cs="黑体"/>
          <w:kern w:val="0"/>
          <w:sz w:val="32"/>
          <w:szCs w:val="32"/>
        </w:rPr>
      </w:pPr>
    </w:p>
    <w:p w14:paraId="0BDAA08C">
      <w:pPr>
        <w:jc w:val="both"/>
        <w:rPr>
          <w:rFonts w:hint="eastAsia" w:ascii="黑体" w:hAnsi="黑体" w:eastAsia="黑体" w:cs="黑体"/>
          <w:kern w:val="0"/>
          <w:sz w:val="32"/>
          <w:szCs w:val="32"/>
          <w:lang w:eastAsia="zh-CN"/>
        </w:rPr>
      </w:pPr>
    </w:p>
    <w:p w14:paraId="298C9C87">
      <w:pPr>
        <w:jc w:val="both"/>
        <w:rPr>
          <w:rFonts w:hint="eastAsia" w:ascii="黑体" w:hAnsi="黑体" w:eastAsia="黑体" w:cs="黑体"/>
          <w:kern w:val="0"/>
          <w:sz w:val="32"/>
          <w:szCs w:val="32"/>
        </w:rPr>
      </w:pPr>
    </w:p>
    <w:p w14:paraId="28FA8C71">
      <w:pPr>
        <w:jc w:val="both"/>
        <w:rPr>
          <w:rFonts w:hint="eastAsia" w:ascii="黑体" w:hAnsi="黑体" w:eastAsia="黑体" w:cs="黑体"/>
          <w:kern w:val="0"/>
          <w:sz w:val="32"/>
          <w:szCs w:val="32"/>
        </w:rPr>
      </w:pPr>
    </w:p>
    <w:p w14:paraId="05CA4B0E">
      <w:pPr>
        <w:jc w:val="both"/>
        <w:rPr>
          <w:rFonts w:hint="eastAsia" w:ascii="黑体" w:hAnsi="黑体" w:eastAsia="黑体" w:cs="黑体"/>
          <w:kern w:val="0"/>
          <w:sz w:val="32"/>
          <w:szCs w:val="32"/>
        </w:rPr>
      </w:pPr>
    </w:p>
    <w:p w14:paraId="064F6373">
      <w:pPr>
        <w:jc w:val="both"/>
        <w:rPr>
          <w:rFonts w:hint="eastAsia" w:ascii="黑体" w:hAnsi="黑体" w:eastAsia="黑体" w:cs="黑体"/>
          <w:kern w:val="0"/>
          <w:sz w:val="32"/>
          <w:szCs w:val="32"/>
        </w:rPr>
      </w:pPr>
    </w:p>
    <w:p w14:paraId="560EA722">
      <w:pPr>
        <w:jc w:val="both"/>
        <w:rPr>
          <w:rFonts w:hint="eastAsia" w:ascii="黑体" w:hAnsi="黑体" w:eastAsia="黑体" w:cs="黑体"/>
          <w:kern w:val="0"/>
          <w:sz w:val="32"/>
          <w:szCs w:val="32"/>
        </w:rPr>
      </w:pPr>
    </w:p>
    <w:p w14:paraId="369B5326">
      <w:pPr>
        <w:jc w:val="both"/>
        <w:rPr>
          <w:rFonts w:hint="eastAsia" w:ascii="黑体" w:hAnsi="黑体" w:eastAsia="黑体" w:cs="黑体"/>
          <w:kern w:val="0"/>
          <w:sz w:val="32"/>
          <w:szCs w:val="32"/>
        </w:rPr>
      </w:pPr>
    </w:p>
    <w:p w14:paraId="0656D743">
      <w:pPr>
        <w:jc w:val="both"/>
        <w:rPr>
          <w:rFonts w:hint="eastAsia" w:ascii="黑体" w:hAnsi="黑体" w:eastAsia="黑体" w:cs="黑体"/>
          <w:kern w:val="0"/>
          <w:sz w:val="32"/>
          <w:szCs w:val="32"/>
        </w:rPr>
      </w:pPr>
    </w:p>
    <w:p w14:paraId="3AD1C057">
      <w:pPr>
        <w:jc w:val="both"/>
        <w:rPr>
          <w:rFonts w:hint="eastAsia" w:ascii="黑体" w:hAnsi="黑体" w:eastAsia="黑体" w:cs="黑体"/>
          <w:kern w:val="0"/>
          <w:sz w:val="32"/>
          <w:szCs w:val="32"/>
        </w:rPr>
      </w:pPr>
    </w:p>
    <w:p w14:paraId="6177C92D">
      <w:pPr>
        <w:jc w:val="both"/>
        <w:rPr>
          <w:rFonts w:hint="eastAsia" w:ascii="黑体" w:hAnsi="黑体" w:eastAsia="黑体" w:cs="黑体"/>
          <w:kern w:val="0"/>
          <w:sz w:val="32"/>
          <w:szCs w:val="32"/>
        </w:rPr>
      </w:pPr>
    </w:p>
    <w:p w14:paraId="5FB06EEC">
      <w:pPr>
        <w:jc w:val="both"/>
        <w:rPr>
          <w:rFonts w:hint="eastAsia" w:ascii="黑体" w:hAnsi="黑体" w:eastAsia="黑体" w:cs="黑体"/>
          <w:kern w:val="0"/>
          <w:sz w:val="32"/>
          <w:szCs w:val="32"/>
        </w:rPr>
      </w:pPr>
    </w:p>
    <w:p w14:paraId="406F8D19">
      <w:pPr>
        <w:jc w:val="both"/>
        <w:rPr>
          <w:rFonts w:hint="eastAsia" w:ascii="黑体" w:hAnsi="黑体" w:eastAsia="黑体" w:cs="黑体"/>
          <w:kern w:val="0"/>
          <w:sz w:val="32"/>
          <w:szCs w:val="32"/>
        </w:rPr>
      </w:pPr>
    </w:p>
    <w:p w14:paraId="347D068B">
      <w:pPr>
        <w:jc w:val="both"/>
        <w:rPr>
          <w:rFonts w:hint="eastAsia" w:ascii="黑体" w:hAnsi="黑体" w:eastAsia="黑体" w:cs="黑体"/>
          <w:kern w:val="0"/>
          <w:sz w:val="32"/>
          <w:szCs w:val="32"/>
        </w:rPr>
      </w:pPr>
    </w:p>
    <w:p w14:paraId="41E34121">
      <w:pPr>
        <w:jc w:val="both"/>
        <w:rPr>
          <w:rFonts w:hint="eastAsia" w:ascii="黑体" w:hAnsi="黑体" w:eastAsia="黑体" w:cs="黑体"/>
          <w:kern w:val="0"/>
          <w:sz w:val="32"/>
          <w:szCs w:val="32"/>
        </w:rPr>
      </w:pPr>
    </w:p>
    <w:p w14:paraId="3940CCA4">
      <w:pPr>
        <w:jc w:val="both"/>
        <w:rPr>
          <w:rFonts w:hint="eastAsia" w:ascii="黑体" w:hAnsi="黑体" w:eastAsia="黑体" w:cs="黑体"/>
          <w:kern w:val="0"/>
          <w:sz w:val="32"/>
          <w:szCs w:val="32"/>
        </w:rPr>
      </w:pPr>
    </w:p>
    <w:p w14:paraId="2666B27E">
      <w:pPr>
        <w:jc w:val="both"/>
        <w:rPr>
          <w:rFonts w:hint="eastAsia" w:ascii="黑体" w:hAnsi="黑体" w:eastAsia="黑体" w:cs="黑体"/>
          <w:kern w:val="0"/>
          <w:sz w:val="32"/>
          <w:szCs w:val="32"/>
        </w:rPr>
      </w:pPr>
    </w:p>
    <w:p w14:paraId="0193CD9C">
      <w:pPr>
        <w:jc w:val="both"/>
        <w:rPr>
          <w:rFonts w:hint="eastAsia" w:ascii="黑体" w:hAnsi="黑体" w:eastAsia="黑体" w:cs="黑体"/>
          <w:kern w:val="0"/>
          <w:sz w:val="32"/>
          <w:szCs w:val="32"/>
        </w:rPr>
      </w:pPr>
      <w:r>
        <w:rPr>
          <w:rFonts w:hint="eastAsia" w:ascii="黑体" w:hAnsi="黑体" w:eastAsia="黑体" w:cs="黑体"/>
          <w:kern w:val="0"/>
          <w:sz w:val="32"/>
          <w:szCs w:val="32"/>
          <w:lang w:eastAsia="zh-CN"/>
        </w:rPr>
        <w:drawing>
          <wp:anchor distT="0" distB="0" distL="114300" distR="114300" simplePos="0" relativeHeight="251661312" behindDoc="0" locked="0" layoutInCell="1" allowOverlap="1">
            <wp:simplePos x="0" y="0"/>
            <wp:positionH relativeFrom="column">
              <wp:posOffset>299085</wp:posOffset>
            </wp:positionH>
            <wp:positionV relativeFrom="paragraph">
              <wp:posOffset>313690</wp:posOffset>
            </wp:positionV>
            <wp:extent cx="5248275" cy="7935595"/>
            <wp:effectExtent l="0" t="0" r="9525" b="1905"/>
            <wp:wrapNone/>
            <wp:docPr id="5" name="图片 5" descr="陈另根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陈另根_副本"/>
                    <pic:cNvPicPr>
                      <a:picLocks noChangeAspect="1"/>
                    </pic:cNvPicPr>
                  </pic:nvPicPr>
                  <pic:blipFill>
                    <a:blip r:embed="rId7"/>
                    <a:stretch>
                      <a:fillRect/>
                    </a:stretch>
                  </pic:blipFill>
                  <pic:spPr>
                    <a:xfrm>
                      <a:off x="0" y="0"/>
                      <a:ext cx="5248275" cy="7935595"/>
                    </a:xfrm>
                    <a:prstGeom prst="rect">
                      <a:avLst/>
                    </a:prstGeom>
                  </pic:spPr>
                </pic:pic>
              </a:graphicData>
            </a:graphic>
          </wp:anchor>
        </w:drawing>
      </w:r>
    </w:p>
    <w:p w14:paraId="61FEF0A6">
      <w:pPr>
        <w:jc w:val="both"/>
        <w:rPr>
          <w:rFonts w:hint="eastAsia" w:ascii="黑体" w:hAnsi="黑体" w:eastAsia="黑体" w:cs="黑体"/>
          <w:kern w:val="0"/>
          <w:sz w:val="32"/>
          <w:szCs w:val="32"/>
        </w:rPr>
      </w:pPr>
    </w:p>
    <w:p w14:paraId="0D668CF0">
      <w:pPr>
        <w:jc w:val="both"/>
        <w:rPr>
          <w:rFonts w:hint="eastAsia" w:ascii="黑体" w:hAnsi="黑体" w:eastAsia="黑体" w:cs="黑体"/>
          <w:kern w:val="0"/>
          <w:sz w:val="32"/>
          <w:szCs w:val="32"/>
        </w:rPr>
      </w:pPr>
    </w:p>
    <w:p w14:paraId="557D2764">
      <w:pPr>
        <w:jc w:val="both"/>
        <w:rPr>
          <w:rFonts w:hint="eastAsia" w:ascii="黑体" w:hAnsi="黑体" w:eastAsia="黑体" w:cs="黑体"/>
          <w:kern w:val="0"/>
          <w:sz w:val="32"/>
          <w:szCs w:val="32"/>
        </w:rPr>
      </w:pPr>
    </w:p>
    <w:p w14:paraId="6D1B7264">
      <w:pPr>
        <w:jc w:val="both"/>
        <w:rPr>
          <w:rFonts w:hint="eastAsia" w:ascii="黑体" w:hAnsi="黑体" w:eastAsia="黑体" w:cs="黑体"/>
          <w:kern w:val="0"/>
          <w:sz w:val="32"/>
          <w:szCs w:val="32"/>
        </w:rPr>
      </w:pPr>
    </w:p>
    <w:p w14:paraId="5CDF01F4">
      <w:pPr>
        <w:jc w:val="both"/>
        <w:rPr>
          <w:rFonts w:hint="eastAsia" w:ascii="黑体" w:hAnsi="黑体" w:eastAsia="黑体" w:cs="黑体"/>
          <w:kern w:val="0"/>
          <w:sz w:val="32"/>
          <w:szCs w:val="32"/>
          <w:lang w:eastAsia="zh-CN"/>
        </w:rPr>
      </w:pPr>
    </w:p>
    <w:p w14:paraId="769FBE85">
      <w:pPr>
        <w:jc w:val="both"/>
        <w:rPr>
          <w:rFonts w:hint="eastAsia" w:ascii="黑体" w:hAnsi="黑体" w:eastAsia="黑体" w:cs="黑体"/>
          <w:kern w:val="0"/>
          <w:sz w:val="32"/>
          <w:szCs w:val="32"/>
        </w:rPr>
      </w:pPr>
    </w:p>
    <w:p w14:paraId="75CBD850">
      <w:pPr>
        <w:jc w:val="both"/>
        <w:rPr>
          <w:rFonts w:hint="eastAsia" w:ascii="黑体" w:hAnsi="黑体" w:eastAsia="黑体" w:cs="黑体"/>
          <w:kern w:val="0"/>
          <w:sz w:val="32"/>
          <w:szCs w:val="32"/>
        </w:rPr>
      </w:pPr>
    </w:p>
    <w:p w14:paraId="2B189200">
      <w:pPr>
        <w:jc w:val="both"/>
        <w:rPr>
          <w:rFonts w:hint="eastAsia" w:ascii="黑体" w:hAnsi="黑体" w:eastAsia="黑体" w:cs="黑体"/>
          <w:kern w:val="0"/>
          <w:sz w:val="32"/>
          <w:szCs w:val="32"/>
        </w:rPr>
      </w:pPr>
    </w:p>
    <w:p w14:paraId="115743BD">
      <w:pPr>
        <w:jc w:val="both"/>
        <w:rPr>
          <w:rFonts w:hint="eastAsia" w:ascii="黑体" w:hAnsi="黑体" w:eastAsia="黑体" w:cs="黑体"/>
          <w:kern w:val="0"/>
          <w:sz w:val="32"/>
          <w:szCs w:val="32"/>
        </w:rPr>
      </w:pPr>
    </w:p>
    <w:p w14:paraId="6DB4D51D">
      <w:pPr>
        <w:jc w:val="both"/>
        <w:rPr>
          <w:rFonts w:hint="eastAsia" w:ascii="黑体" w:hAnsi="黑体" w:eastAsia="黑体" w:cs="黑体"/>
          <w:kern w:val="0"/>
          <w:sz w:val="32"/>
          <w:szCs w:val="32"/>
        </w:rPr>
      </w:pPr>
    </w:p>
    <w:p w14:paraId="58F8FD23">
      <w:pPr>
        <w:jc w:val="both"/>
        <w:rPr>
          <w:rFonts w:hint="eastAsia" w:ascii="黑体" w:hAnsi="黑体" w:eastAsia="黑体" w:cs="黑体"/>
          <w:kern w:val="0"/>
          <w:sz w:val="32"/>
          <w:szCs w:val="32"/>
        </w:rPr>
      </w:pPr>
    </w:p>
    <w:p w14:paraId="0A0BECE8">
      <w:pPr>
        <w:jc w:val="both"/>
        <w:rPr>
          <w:rFonts w:hint="eastAsia" w:ascii="黑体" w:hAnsi="黑体" w:eastAsia="黑体" w:cs="黑体"/>
          <w:kern w:val="0"/>
          <w:sz w:val="32"/>
          <w:szCs w:val="32"/>
        </w:rPr>
      </w:pPr>
    </w:p>
    <w:p w14:paraId="77AC627B">
      <w:pPr>
        <w:jc w:val="both"/>
        <w:rPr>
          <w:rFonts w:hint="eastAsia" w:ascii="黑体" w:hAnsi="黑体" w:eastAsia="黑体" w:cs="黑体"/>
          <w:kern w:val="0"/>
          <w:sz w:val="32"/>
          <w:szCs w:val="32"/>
        </w:rPr>
      </w:pPr>
    </w:p>
    <w:p w14:paraId="3B3468C6">
      <w:pPr>
        <w:jc w:val="both"/>
        <w:rPr>
          <w:rFonts w:hint="eastAsia" w:ascii="黑体" w:hAnsi="黑体" w:eastAsia="黑体" w:cs="黑体"/>
          <w:kern w:val="0"/>
          <w:sz w:val="32"/>
          <w:szCs w:val="32"/>
        </w:rPr>
      </w:pPr>
    </w:p>
    <w:p w14:paraId="16432DFD">
      <w:pPr>
        <w:jc w:val="both"/>
        <w:rPr>
          <w:rFonts w:hint="eastAsia" w:ascii="黑体" w:hAnsi="黑体" w:eastAsia="黑体" w:cs="黑体"/>
          <w:kern w:val="0"/>
          <w:sz w:val="32"/>
          <w:szCs w:val="32"/>
        </w:rPr>
      </w:pPr>
    </w:p>
    <w:p w14:paraId="5DD3F577">
      <w:pPr>
        <w:jc w:val="both"/>
        <w:rPr>
          <w:rFonts w:hint="eastAsia" w:ascii="黑体" w:hAnsi="黑体" w:eastAsia="黑体" w:cs="黑体"/>
          <w:kern w:val="0"/>
          <w:sz w:val="32"/>
          <w:szCs w:val="32"/>
        </w:rPr>
      </w:pPr>
    </w:p>
    <w:p w14:paraId="2C644F9F">
      <w:pPr>
        <w:jc w:val="both"/>
        <w:rPr>
          <w:rFonts w:hint="eastAsia" w:ascii="黑体" w:hAnsi="黑体" w:eastAsia="黑体" w:cs="黑体"/>
          <w:kern w:val="0"/>
          <w:sz w:val="32"/>
          <w:szCs w:val="32"/>
        </w:rPr>
      </w:pPr>
    </w:p>
    <w:p w14:paraId="7742734B">
      <w:pPr>
        <w:jc w:val="both"/>
        <w:rPr>
          <w:rFonts w:hint="eastAsia" w:ascii="黑体" w:hAnsi="黑体" w:eastAsia="黑体" w:cs="黑体"/>
          <w:kern w:val="0"/>
          <w:sz w:val="32"/>
          <w:szCs w:val="32"/>
        </w:rPr>
      </w:pPr>
    </w:p>
    <w:p w14:paraId="0DDED59A">
      <w:pPr>
        <w:jc w:val="both"/>
        <w:rPr>
          <w:rFonts w:hint="eastAsia" w:ascii="黑体" w:hAnsi="黑体" w:eastAsia="黑体" w:cs="黑体"/>
          <w:kern w:val="0"/>
          <w:sz w:val="32"/>
          <w:szCs w:val="32"/>
        </w:rPr>
      </w:pPr>
    </w:p>
    <w:p w14:paraId="1B01FCFA">
      <w:pPr>
        <w:jc w:val="both"/>
        <w:rPr>
          <w:rFonts w:hint="eastAsia" w:ascii="黑体" w:hAnsi="黑体" w:eastAsia="黑体" w:cs="黑体"/>
          <w:kern w:val="0"/>
          <w:sz w:val="32"/>
          <w:szCs w:val="32"/>
        </w:rPr>
      </w:pPr>
      <w:r>
        <w:rPr>
          <w:rFonts w:hint="eastAsia" w:ascii="黑体" w:hAnsi="黑体" w:eastAsia="黑体" w:cs="黑体"/>
          <w:kern w:val="0"/>
          <w:sz w:val="32"/>
          <w:szCs w:val="32"/>
          <w:lang w:eastAsia="zh-CN"/>
        </w:rPr>
        <w:drawing>
          <wp:anchor distT="0" distB="0" distL="114300" distR="114300" simplePos="0" relativeHeight="251662336" behindDoc="0" locked="0" layoutInCell="1" allowOverlap="1">
            <wp:simplePos x="0" y="0"/>
            <wp:positionH relativeFrom="column">
              <wp:posOffset>172720</wp:posOffset>
            </wp:positionH>
            <wp:positionV relativeFrom="paragraph">
              <wp:posOffset>318770</wp:posOffset>
            </wp:positionV>
            <wp:extent cx="5331460" cy="8061325"/>
            <wp:effectExtent l="0" t="0" r="2540" b="3175"/>
            <wp:wrapNone/>
            <wp:docPr id="7" name="图片 7" descr="暂关印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暂关印_副本"/>
                    <pic:cNvPicPr>
                      <a:picLocks noChangeAspect="1"/>
                    </pic:cNvPicPr>
                  </pic:nvPicPr>
                  <pic:blipFill>
                    <a:blip r:embed="rId8"/>
                    <a:stretch>
                      <a:fillRect/>
                    </a:stretch>
                  </pic:blipFill>
                  <pic:spPr>
                    <a:xfrm>
                      <a:off x="0" y="0"/>
                      <a:ext cx="5331460" cy="8061325"/>
                    </a:xfrm>
                    <a:prstGeom prst="rect">
                      <a:avLst/>
                    </a:prstGeom>
                  </pic:spPr>
                </pic:pic>
              </a:graphicData>
            </a:graphic>
          </wp:anchor>
        </w:drawing>
      </w:r>
    </w:p>
    <w:p w14:paraId="54D7DCA4">
      <w:pPr>
        <w:jc w:val="both"/>
        <w:rPr>
          <w:rFonts w:hint="eastAsia" w:ascii="黑体" w:hAnsi="黑体" w:eastAsia="黑体" w:cs="黑体"/>
          <w:kern w:val="0"/>
          <w:sz w:val="32"/>
          <w:szCs w:val="32"/>
        </w:rPr>
      </w:pPr>
    </w:p>
    <w:p w14:paraId="372BD254">
      <w:pPr>
        <w:jc w:val="both"/>
        <w:rPr>
          <w:rFonts w:hint="eastAsia" w:ascii="黑体" w:hAnsi="黑体" w:eastAsia="黑体" w:cs="黑体"/>
          <w:kern w:val="0"/>
          <w:sz w:val="32"/>
          <w:szCs w:val="32"/>
        </w:rPr>
      </w:pPr>
    </w:p>
    <w:p w14:paraId="09551495">
      <w:pPr>
        <w:jc w:val="both"/>
        <w:rPr>
          <w:rFonts w:hint="eastAsia" w:ascii="黑体" w:hAnsi="黑体" w:eastAsia="黑体" w:cs="黑体"/>
          <w:kern w:val="0"/>
          <w:sz w:val="32"/>
          <w:szCs w:val="32"/>
        </w:rPr>
      </w:pPr>
    </w:p>
    <w:p w14:paraId="1A8D9CE5">
      <w:pPr>
        <w:jc w:val="both"/>
        <w:rPr>
          <w:rFonts w:hint="eastAsia" w:ascii="黑体" w:hAnsi="黑体" w:eastAsia="黑体" w:cs="黑体"/>
          <w:kern w:val="0"/>
          <w:sz w:val="32"/>
          <w:szCs w:val="32"/>
        </w:rPr>
      </w:pPr>
    </w:p>
    <w:p w14:paraId="6CF55C66">
      <w:pPr>
        <w:jc w:val="both"/>
        <w:rPr>
          <w:rFonts w:hint="eastAsia" w:ascii="黑体" w:hAnsi="黑体" w:eastAsia="黑体" w:cs="黑体"/>
          <w:kern w:val="0"/>
          <w:sz w:val="32"/>
          <w:szCs w:val="32"/>
        </w:rPr>
      </w:pPr>
    </w:p>
    <w:p w14:paraId="36E0440F">
      <w:pPr>
        <w:jc w:val="both"/>
        <w:rPr>
          <w:rFonts w:hint="eastAsia" w:ascii="黑体" w:hAnsi="黑体" w:eastAsia="黑体" w:cs="黑体"/>
          <w:kern w:val="0"/>
          <w:sz w:val="32"/>
          <w:szCs w:val="32"/>
        </w:rPr>
      </w:pPr>
    </w:p>
    <w:p w14:paraId="3697B379">
      <w:pPr>
        <w:jc w:val="both"/>
        <w:rPr>
          <w:rFonts w:hint="eastAsia" w:ascii="黑体" w:hAnsi="黑体" w:eastAsia="黑体" w:cs="黑体"/>
          <w:kern w:val="0"/>
          <w:sz w:val="32"/>
          <w:szCs w:val="32"/>
        </w:rPr>
      </w:pPr>
    </w:p>
    <w:p w14:paraId="3DC208F4">
      <w:pPr>
        <w:jc w:val="both"/>
        <w:rPr>
          <w:rFonts w:hint="eastAsia" w:ascii="黑体" w:hAnsi="黑体" w:eastAsia="黑体" w:cs="黑体"/>
          <w:kern w:val="0"/>
          <w:sz w:val="32"/>
          <w:szCs w:val="32"/>
        </w:rPr>
      </w:pPr>
    </w:p>
    <w:p w14:paraId="1A7C3E9E">
      <w:pPr>
        <w:jc w:val="both"/>
        <w:rPr>
          <w:rFonts w:hint="eastAsia" w:ascii="黑体" w:hAnsi="黑体" w:eastAsia="黑体" w:cs="黑体"/>
          <w:kern w:val="0"/>
          <w:sz w:val="32"/>
          <w:szCs w:val="32"/>
          <w:lang w:eastAsia="zh-CN"/>
        </w:rPr>
      </w:pPr>
    </w:p>
    <w:p w14:paraId="05D12C0D">
      <w:pPr>
        <w:jc w:val="both"/>
        <w:rPr>
          <w:rFonts w:hint="eastAsia" w:ascii="黑体" w:hAnsi="黑体" w:eastAsia="黑体" w:cs="黑体"/>
          <w:kern w:val="0"/>
          <w:sz w:val="32"/>
          <w:szCs w:val="32"/>
        </w:rPr>
      </w:pPr>
    </w:p>
    <w:p w14:paraId="23268B06">
      <w:pPr>
        <w:jc w:val="both"/>
        <w:rPr>
          <w:rFonts w:hint="eastAsia" w:ascii="黑体" w:hAnsi="黑体" w:eastAsia="黑体" w:cs="黑体"/>
          <w:kern w:val="0"/>
          <w:sz w:val="32"/>
          <w:szCs w:val="32"/>
        </w:rPr>
      </w:pPr>
    </w:p>
    <w:p w14:paraId="47E5FBC4">
      <w:pPr>
        <w:jc w:val="both"/>
        <w:rPr>
          <w:rFonts w:hint="eastAsia" w:ascii="黑体" w:hAnsi="黑体" w:eastAsia="黑体" w:cs="黑体"/>
          <w:kern w:val="0"/>
          <w:sz w:val="32"/>
          <w:szCs w:val="32"/>
        </w:rPr>
      </w:pPr>
    </w:p>
    <w:p w14:paraId="697B1B51">
      <w:pPr>
        <w:jc w:val="both"/>
        <w:rPr>
          <w:rFonts w:hint="eastAsia" w:ascii="黑体" w:hAnsi="黑体" w:eastAsia="黑体" w:cs="黑体"/>
          <w:kern w:val="0"/>
          <w:sz w:val="32"/>
          <w:szCs w:val="32"/>
        </w:rPr>
      </w:pPr>
    </w:p>
    <w:p w14:paraId="7FFF9C7B">
      <w:pPr>
        <w:jc w:val="both"/>
        <w:rPr>
          <w:rFonts w:hint="eastAsia" w:ascii="黑体" w:hAnsi="黑体" w:eastAsia="黑体" w:cs="黑体"/>
          <w:kern w:val="0"/>
          <w:sz w:val="32"/>
          <w:szCs w:val="32"/>
        </w:rPr>
      </w:pPr>
    </w:p>
    <w:p w14:paraId="49DD2178">
      <w:pPr>
        <w:jc w:val="both"/>
        <w:rPr>
          <w:rFonts w:hint="eastAsia" w:ascii="黑体" w:hAnsi="黑体" w:eastAsia="黑体" w:cs="黑体"/>
          <w:kern w:val="0"/>
          <w:sz w:val="32"/>
          <w:szCs w:val="32"/>
        </w:rPr>
      </w:pPr>
    </w:p>
    <w:p w14:paraId="6796FFFD">
      <w:pPr>
        <w:jc w:val="both"/>
        <w:rPr>
          <w:rFonts w:hint="eastAsia" w:ascii="黑体" w:hAnsi="黑体" w:eastAsia="黑体" w:cs="黑体"/>
          <w:kern w:val="0"/>
          <w:sz w:val="32"/>
          <w:szCs w:val="32"/>
        </w:rPr>
      </w:pPr>
    </w:p>
    <w:p w14:paraId="5C226E42">
      <w:pPr>
        <w:jc w:val="both"/>
        <w:rPr>
          <w:rFonts w:hint="eastAsia" w:ascii="黑体" w:hAnsi="黑体" w:eastAsia="黑体" w:cs="黑体"/>
          <w:kern w:val="0"/>
          <w:sz w:val="32"/>
          <w:szCs w:val="32"/>
        </w:rPr>
      </w:pPr>
    </w:p>
    <w:p w14:paraId="57790F40">
      <w:pPr>
        <w:jc w:val="both"/>
        <w:rPr>
          <w:rFonts w:hint="eastAsia" w:ascii="黑体" w:hAnsi="黑体" w:eastAsia="黑体" w:cs="黑体"/>
          <w:kern w:val="0"/>
          <w:sz w:val="32"/>
          <w:szCs w:val="32"/>
        </w:rPr>
      </w:pPr>
    </w:p>
    <w:p w14:paraId="2A575C83">
      <w:pPr>
        <w:jc w:val="both"/>
        <w:rPr>
          <w:rFonts w:hint="eastAsia" w:ascii="黑体" w:hAnsi="黑体" w:eastAsia="黑体" w:cs="黑体"/>
          <w:kern w:val="0"/>
          <w:sz w:val="32"/>
          <w:szCs w:val="32"/>
        </w:rPr>
      </w:pPr>
    </w:p>
    <w:p w14:paraId="5F0D869A">
      <w:pPr>
        <w:jc w:val="both"/>
        <w:rPr>
          <w:rFonts w:hint="eastAsia" w:ascii="黑体" w:hAnsi="黑体" w:eastAsia="黑体" w:cs="黑体"/>
          <w:kern w:val="0"/>
          <w:sz w:val="32"/>
          <w:szCs w:val="32"/>
        </w:rPr>
      </w:pPr>
      <w:r>
        <w:rPr>
          <w:rFonts w:hint="eastAsia" w:ascii="黑体" w:hAnsi="黑体" w:eastAsia="黑体" w:cs="黑体"/>
          <w:kern w:val="0"/>
          <w:sz w:val="32"/>
          <w:szCs w:val="32"/>
          <w:lang w:eastAsia="zh-CN"/>
        </w:rPr>
        <w:drawing>
          <wp:anchor distT="0" distB="0" distL="114300" distR="114300" simplePos="0" relativeHeight="251663360" behindDoc="0" locked="0" layoutInCell="1" allowOverlap="1">
            <wp:simplePos x="0" y="0"/>
            <wp:positionH relativeFrom="column">
              <wp:posOffset>227330</wp:posOffset>
            </wp:positionH>
            <wp:positionV relativeFrom="paragraph">
              <wp:posOffset>339725</wp:posOffset>
            </wp:positionV>
            <wp:extent cx="5331460" cy="8061325"/>
            <wp:effectExtent l="0" t="0" r="2540" b="3175"/>
            <wp:wrapNone/>
            <wp:docPr id="8" name="图片 8" descr="李国雨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李国雨_副本"/>
                    <pic:cNvPicPr>
                      <a:picLocks noChangeAspect="1"/>
                    </pic:cNvPicPr>
                  </pic:nvPicPr>
                  <pic:blipFill>
                    <a:blip r:embed="rId9"/>
                    <a:stretch>
                      <a:fillRect/>
                    </a:stretch>
                  </pic:blipFill>
                  <pic:spPr>
                    <a:xfrm>
                      <a:off x="0" y="0"/>
                      <a:ext cx="5331460" cy="8061325"/>
                    </a:xfrm>
                    <a:prstGeom prst="rect">
                      <a:avLst/>
                    </a:prstGeom>
                  </pic:spPr>
                </pic:pic>
              </a:graphicData>
            </a:graphic>
          </wp:anchor>
        </w:drawing>
      </w:r>
    </w:p>
    <w:p w14:paraId="534F1204">
      <w:pPr>
        <w:jc w:val="both"/>
        <w:rPr>
          <w:rFonts w:hint="eastAsia" w:ascii="黑体" w:hAnsi="黑体" w:eastAsia="黑体" w:cs="黑体"/>
          <w:kern w:val="0"/>
          <w:sz w:val="32"/>
          <w:szCs w:val="32"/>
        </w:rPr>
      </w:pPr>
    </w:p>
    <w:p w14:paraId="0C065C10">
      <w:pPr>
        <w:jc w:val="both"/>
        <w:rPr>
          <w:rFonts w:hint="eastAsia" w:ascii="黑体" w:hAnsi="黑体" w:eastAsia="黑体" w:cs="黑体"/>
          <w:kern w:val="0"/>
          <w:sz w:val="32"/>
          <w:szCs w:val="32"/>
        </w:rPr>
      </w:pPr>
    </w:p>
    <w:p w14:paraId="14B52B13">
      <w:pPr>
        <w:jc w:val="both"/>
        <w:rPr>
          <w:rFonts w:hint="eastAsia" w:ascii="黑体" w:hAnsi="黑体" w:eastAsia="黑体" w:cs="黑体"/>
          <w:kern w:val="0"/>
          <w:sz w:val="32"/>
          <w:szCs w:val="32"/>
        </w:rPr>
      </w:pPr>
    </w:p>
    <w:p w14:paraId="1539E95A">
      <w:pPr>
        <w:jc w:val="both"/>
        <w:rPr>
          <w:rFonts w:hint="eastAsia" w:ascii="黑体" w:hAnsi="黑体" w:eastAsia="黑体" w:cs="黑体"/>
          <w:kern w:val="0"/>
          <w:sz w:val="32"/>
          <w:szCs w:val="32"/>
        </w:rPr>
      </w:pPr>
    </w:p>
    <w:p w14:paraId="69BBADE8">
      <w:pPr>
        <w:jc w:val="both"/>
        <w:rPr>
          <w:rFonts w:hint="eastAsia" w:ascii="黑体" w:hAnsi="黑体" w:eastAsia="黑体" w:cs="黑体"/>
          <w:kern w:val="0"/>
          <w:sz w:val="32"/>
          <w:szCs w:val="32"/>
        </w:rPr>
      </w:pPr>
    </w:p>
    <w:p w14:paraId="7A25D46C">
      <w:pPr>
        <w:jc w:val="both"/>
        <w:rPr>
          <w:rFonts w:hint="eastAsia" w:ascii="黑体" w:hAnsi="黑体" w:eastAsia="黑体" w:cs="黑体"/>
          <w:kern w:val="0"/>
          <w:sz w:val="32"/>
          <w:szCs w:val="32"/>
          <w:lang w:eastAsia="zh-CN"/>
        </w:rPr>
      </w:pPr>
    </w:p>
    <w:p w14:paraId="444A6C91">
      <w:pPr>
        <w:jc w:val="both"/>
        <w:rPr>
          <w:rFonts w:hint="eastAsia" w:ascii="黑体" w:hAnsi="黑体" w:eastAsia="黑体" w:cs="黑体"/>
          <w:kern w:val="0"/>
          <w:sz w:val="32"/>
          <w:szCs w:val="32"/>
        </w:rPr>
      </w:pPr>
    </w:p>
    <w:p w14:paraId="16F885D7">
      <w:pPr>
        <w:jc w:val="both"/>
        <w:rPr>
          <w:rFonts w:hint="eastAsia" w:ascii="黑体" w:hAnsi="黑体" w:eastAsia="黑体" w:cs="黑体"/>
          <w:kern w:val="0"/>
          <w:sz w:val="32"/>
          <w:szCs w:val="32"/>
        </w:rPr>
      </w:pPr>
    </w:p>
    <w:p w14:paraId="3F0CD159">
      <w:pPr>
        <w:jc w:val="both"/>
        <w:rPr>
          <w:rFonts w:hint="eastAsia" w:ascii="黑体" w:hAnsi="黑体" w:eastAsia="黑体" w:cs="黑体"/>
          <w:kern w:val="0"/>
          <w:sz w:val="32"/>
          <w:szCs w:val="32"/>
        </w:rPr>
      </w:pPr>
    </w:p>
    <w:p w14:paraId="4A83E584">
      <w:pPr>
        <w:jc w:val="both"/>
        <w:rPr>
          <w:rFonts w:hint="eastAsia" w:ascii="黑体" w:hAnsi="黑体" w:eastAsia="黑体" w:cs="黑体"/>
          <w:kern w:val="0"/>
          <w:sz w:val="32"/>
          <w:szCs w:val="32"/>
        </w:rPr>
      </w:pPr>
    </w:p>
    <w:p w14:paraId="7AA50F6D">
      <w:pPr>
        <w:jc w:val="both"/>
        <w:rPr>
          <w:rFonts w:hint="eastAsia" w:ascii="黑体" w:hAnsi="黑体" w:eastAsia="黑体" w:cs="黑体"/>
          <w:kern w:val="0"/>
          <w:sz w:val="32"/>
          <w:szCs w:val="32"/>
        </w:rPr>
      </w:pPr>
    </w:p>
    <w:p w14:paraId="0863D591">
      <w:pPr>
        <w:jc w:val="both"/>
        <w:rPr>
          <w:rFonts w:hint="eastAsia" w:ascii="黑体" w:hAnsi="黑体" w:eastAsia="黑体" w:cs="黑体"/>
          <w:kern w:val="0"/>
          <w:sz w:val="32"/>
          <w:szCs w:val="32"/>
        </w:rPr>
      </w:pPr>
    </w:p>
    <w:p w14:paraId="48CCDFD2">
      <w:pPr>
        <w:jc w:val="both"/>
        <w:rPr>
          <w:rFonts w:hint="eastAsia" w:ascii="黑体" w:hAnsi="黑体" w:eastAsia="黑体" w:cs="黑体"/>
          <w:kern w:val="0"/>
          <w:sz w:val="32"/>
          <w:szCs w:val="32"/>
        </w:rPr>
      </w:pPr>
    </w:p>
    <w:p w14:paraId="72D31A36">
      <w:pPr>
        <w:jc w:val="both"/>
        <w:rPr>
          <w:rFonts w:hint="eastAsia" w:ascii="黑体" w:hAnsi="黑体" w:eastAsia="黑体" w:cs="黑体"/>
          <w:kern w:val="0"/>
          <w:sz w:val="32"/>
          <w:szCs w:val="32"/>
        </w:rPr>
      </w:pPr>
    </w:p>
    <w:p w14:paraId="6E155390">
      <w:pPr>
        <w:jc w:val="both"/>
        <w:rPr>
          <w:rFonts w:hint="eastAsia" w:ascii="黑体" w:hAnsi="黑体" w:eastAsia="黑体" w:cs="黑体"/>
          <w:kern w:val="0"/>
          <w:sz w:val="32"/>
          <w:szCs w:val="32"/>
        </w:rPr>
      </w:pPr>
    </w:p>
    <w:p w14:paraId="5697D1B9">
      <w:pPr>
        <w:jc w:val="both"/>
        <w:rPr>
          <w:rFonts w:hint="eastAsia" w:ascii="黑体" w:hAnsi="黑体" w:eastAsia="黑体" w:cs="黑体"/>
          <w:kern w:val="0"/>
          <w:sz w:val="32"/>
          <w:szCs w:val="32"/>
        </w:rPr>
      </w:pPr>
    </w:p>
    <w:p w14:paraId="7976BDB1">
      <w:pPr>
        <w:jc w:val="both"/>
        <w:rPr>
          <w:rFonts w:hint="eastAsia" w:ascii="黑体" w:hAnsi="黑体" w:eastAsia="黑体" w:cs="黑体"/>
          <w:kern w:val="0"/>
          <w:sz w:val="32"/>
          <w:szCs w:val="32"/>
        </w:rPr>
      </w:pPr>
    </w:p>
    <w:p w14:paraId="06F41933">
      <w:pPr>
        <w:jc w:val="both"/>
        <w:rPr>
          <w:rFonts w:hint="eastAsia" w:ascii="黑体" w:hAnsi="黑体" w:eastAsia="黑体" w:cs="黑体"/>
          <w:kern w:val="0"/>
          <w:sz w:val="32"/>
          <w:szCs w:val="32"/>
        </w:rPr>
      </w:pPr>
    </w:p>
    <w:p w14:paraId="20958875">
      <w:pPr>
        <w:jc w:val="both"/>
        <w:rPr>
          <w:rFonts w:hint="eastAsia" w:ascii="黑体" w:hAnsi="黑体" w:eastAsia="黑体" w:cs="黑体"/>
          <w:kern w:val="0"/>
          <w:sz w:val="32"/>
          <w:szCs w:val="32"/>
        </w:rPr>
      </w:pPr>
    </w:p>
    <w:p w14:paraId="1FB32564">
      <w:pPr>
        <w:jc w:val="both"/>
        <w:outlineLvl w:val="0"/>
        <w:rPr>
          <w:rFonts w:hint="eastAsia" w:ascii="黑体" w:hAnsi="黑体" w:eastAsia="黑体" w:cs="黑体"/>
          <w:lang w:val="en-US" w:eastAsia="zh-CN"/>
        </w:rPr>
      </w:pPr>
      <w:r>
        <w:rPr>
          <w:rFonts w:hint="eastAsia" w:ascii="黑体" w:hAnsi="黑体" w:eastAsia="黑体" w:cs="黑体"/>
          <w:kern w:val="0"/>
          <w:sz w:val="32"/>
          <w:szCs w:val="32"/>
        </w:rPr>
        <w:t>附件</w:t>
      </w:r>
      <w:r>
        <w:rPr>
          <w:rFonts w:hint="eastAsia" w:ascii="黑体" w:hAnsi="黑体" w:eastAsia="黑体" w:cs="黑体"/>
          <w:kern w:val="0"/>
          <w:sz w:val="32"/>
          <w:szCs w:val="32"/>
          <w:lang w:val="en-US" w:eastAsia="zh-CN"/>
        </w:rPr>
        <w:t>5</w:t>
      </w:r>
    </w:p>
    <w:p w14:paraId="051C3449">
      <w:pPr>
        <w:jc w:val="center"/>
        <w:rPr>
          <w:rFonts w:hint="eastAsia" w:ascii="方正小标宋_GBK" w:hAnsi="方正小标宋_GBK" w:eastAsia="方正小标宋_GBK" w:cs="方正小标宋_GBK"/>
          <w:b w:val="0"/>
          <w:bCs w:val="0"/>
          <w:color w:val="000000"/>
          <w:kern w:val="0"/>
          <w:sz w:val="44"/>
          <w:szCs w:val="44"/>
        </w:rPr>
      </w:pPr>
      <w:r>
        <w:rPr>
          <w:rFonts w:hint="eastAsia" w:ascii="方正小标宋_GBK" w:hAnsi="方正小标宋_GBK" w:eastAsia="方正小标宋_GBK" w:cs="方正小标宋_GBK"/>
          <w:b w:val="0"/>
          <w:bCs w:val="0"/>
          <w:color w:val="000000"/>
          <w:kern w:val="0"/>
          <w:sz w:val="44"/>
          <w:szCs w:val="44"/>
        </w:rPr>
        <w:t>水肥一体化配套设</w:t>
      </w:r>
      <w:r>
        <w:rPr>
          <w:rFonts w:hint="eastAsia" w:ascii="方正小标宋_GBK" w:hAnsi="方正小标宋_GBK" w:eastAsia="方正小标宋_GBK" w:cs="方正小标宋_GBK"/>
          <w:b w:val="0"/>
          <w:bCs w:val="0"/>
          <w:color w:val="000000"/>
          <w:kern w:val="0"/>
          <w:sz w:val="44"/>
          <w:szCs w:val="44"/>
          <w:lang w:eastAsia="zh-CN"/>
        </w:rPr>
        <w:t>施</w:t>
      </w:r>
      <w:r>
        <w:rPr>
          <w:rFonts w:hint="eastAsia" w:ascii="方正小标宋_GBK" w:hAnsi="方正小标宋_GBK" w:eastAsia="方正小标宋_GBK" w:cs="方正小标宋_GBK"/>
          <w:b w:val="0"/>
          <w:bCs w:val="0"/>
          <w:color w:val="000000"/>
          <w:kern w:val="0"/>
          <w:sz w:val="44"/>
          <w:szCs w:val="44"/>
          <w:lang w:val="en-US" w:eastAsia="zh-CN"/>
        </w:rPr>
        <w:t>测算清单</w:t>
      </w:r>
    </w:p>
    <w:tbl>
      <w:tblPr>
        <w:tblStyle w:val="12"/>
        <w:tblpPr w:leftFromText="180" w:rightFromText="180" w:vertAnchor="text" w:horzAnchor="page" w:tblpXSpec="center" w:tblpY="155"/>
        <w:tblOverlap w:val="never"/>
        <w:tblW w:w="9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850"/>
        <w:gridCol w:w="2450"/>
        <w:gridCol w:w="850"/>
        <w:gridCol w:w="1055"/>
        <w:gridCol w:w="2978"/>
      </w:tblGrid>
      <w:tr w14:paraId="2D51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87" w:type="dxa"/>
            <w:noWrap w:val="0"/>
            <w:vAlign w:val="center"/>
          </w:tcPr>
          <w:p w14:paraId="3C0E8CF1">
            <w:pPr>
              <w:widowControl/>
              <w:spacing w:line="240" w:lineRule="exact"/>
              <w:jc w:val="center"/>
              <w:rPr>
                <w:rFonts w:ascii="仿宋" w:hAnsi="仿宋" w:eastAsia="仿宋" w:cs="宋体"/>
                <w:color w:val="000000"/>
                <w:kern w:val="0"/>
                <w:sz w:val="24"/>
                <w:szCs w:val="24"/>
              </w:rPr>
            </w:pPr>
          </w:p>
        </w:tc>
        <w:tc>
          <w:tcPr>
            <w:tcW w:w="1850" w:type="dxa"/>
            <w:noWrap w:val="0"/>
            <w:vAlign w:val="center"/>
          </w:tcPr>
          <w:p w14:paraId="3F0D1034">
            <w:pPr>
              <w:widowControl/>
              <w:spacing w:line="240" w:lineRule="exact"/>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名称</w:t>
            </w:r>
          </w:p>
        </w:tc>
        <w:tc>
          <w:tcPr>
            <w:tcW w:w="2450" w:type="dxa"/>
            <w:noWrap w:val="0"/>
            <w:vAlign w:val="center"/>
          </w:tcPr>
          <w:p w14:paraId="2CC7A966">
            <w:pPr>
              <w:widowControl/>
              <w:spacing w:line="240" w:lineRule="exact"/>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标准与规格</w:t>
            </w:r>
          </w:p>
        </w:tc>
        <w:tc>
          <w:tcPr>
            <w:tcW w:w="850" w:type="dxa"/>
            <w:noWrap w:val="0"/>
            <w:vAlign w:val="center"/>
          </w:tcPr>
          <w:p w14:paraId="1CD0156B">
            <w:pPr>
              <w:widowControl/>
              <w:spacing w:line="240" w:lineRule="exact"/>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数量</w:t>
            </w:r>
          </w:p>
        </w:tc>
        <w:tc>
          <w:tcPr>
            <w:tcW w:w="1055" w:type="dxa"/>
            <w:noWrap w:val="0"/>
            <w:vAlign w:val="center"/>
          </w:tcPr>
          <w:p w14:paraId="5A379784">
            <w:pPr>
              <w:widowControl/>
              <w:spacing w:line="240" w:lineRule="exact"/>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单位</w:t>
            </w:r>
          </w:p>
        </w:tc>
        <w:tc>
          <w:tcPr>
            <w:tcW w:w="2978" w:type="dxa"/>
            <w:noWrap w:val="0"/>
            <w:vAlign w:val="center"/>
          </w:tcPr>
          <w:p w14:paraId="3FD52780">
            <w:pPr>
              <w:widowControl/>
              <w:spacing w:line="240" w:lineRule="exact"/>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备注</w:t>
            </w:r>
          </w:p>
        </w:tc>
      </w:tr>
      <w:tr w14:paraId="5AC6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restart"/>
            <w:noWrap w:val="0"/>
            <w:vAlign w:val="center"/>
          </w:tcPr>
          <w:p w14:paraId="55413025">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首部</w:t>
            </w:r>
          </w:p>
        </w:tc>
        <w:tc>
          <w:tcPr>
            <w:tcW w:w="1850" w:type="dxa"/>
            <w:noWrap w:val="0"/>
            <w:vAlign w:val="center"/>
          </w:tcPr>
          <w:p w14:paraId="55ADFF0F">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泵房</w:t>
            </w:r>
          </w:p>
        </w:tc>
        <w:tc>
          <w:tcPr>
            <w:tcW w:w="2450" w:type="dxa"/>
            <w:noWrap w:val="0"/>
            <w:vAlign w:val="center"/>
          </w:tcPr>
          <w:p w14:paraId="4B1C0143">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复合板4m×6m×3.2m</w:t>
            </w:r>
          </w:p>
        </w:tc>
        <w:tc>
          <w:tcPr>
            <w:tcW w:w="850" w:type="dxa"/>
            <w:noWrap w:val="0"/>
            <w:vAlign w:val="center"/>
          </w:tcPr>
          <w:p w14:paraId="6D307A1E">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759B78A8">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座</w:t>
            </w:r>
          </w:p>
        </w:tc>
        <w:tc>
          <w:tcPr>
            <w:tcW w:w="2978" w:type="dxa"/>
            <w:vMerge w:val="restart"/>
            <w:noWrap w:val="0"/>
            <w:vAlign w:val="center"/>
          </w:tcPr>
          <w:p w14:paraId="1EBB8797">
            <w:pPr>
              <w:widowControl/>
              <w:spacing w:line="240" w:lineRule="exact"/>
              <w:jc w:val="left"/>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原则上一个果园配一套首部，每个首部配备安装一座泵房</w:t>
            </w:r>
          </w:p>
        </w:tc>
      </w:tr>
      <w:tr w14:paraId="0845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65EE180C">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42343D73">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沙石过滤器</w:t>
            </w:r>
          </w:p>
        </w:tc>
        <w:tc>
          <w:tcPr>
            <w:tcW w:w="2450" w:type="dxa"/>
            <w:noWrap w:val="0"/>
            <w:vAlign w:val="center"/>
          </w:tcPr>
          <w:p w14:paraId="466D914E">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直径0.8m</w:t>
            </w:r>
            <w:r>
              <w:rPr>
                <w:rFonts w:hint="eastAsia" w:ascii="仿宋_GB2312" w:hAnsi="仿宋" w:eastAsia="仿宋_GB2312" w:cs="宋体"/>
                <w:color w:val="000000"/>
                <w:kern w:val="0"/>
                <w:sz w:val="24"/>
                <w:szCs w:val="24"/>
                <w:lang w:eastAsia="zh-CN"/>
              </w:rPr>
              <w:t>　</w:t>
            </w:r>
            <w:r>
              <w:rPr>
                <w:rFonts w:hint="eastAsia" w:ascii="仿宋_GB2312" w:hAnsi="仿宋" w:eastAsia="仿宋_GB2312" w:cs="宋体"/>
                <w:color w:val="000000"/>
                <w:kern w:val="0"/>
                <w:sz w:val="24"/>
                <w:szCs w:val="24"/>
              </w:rPr>
              <w:t>2组</w:t>
            </w:r>
          </w:p>
        </w:tc>
        <w:tc>
          <w:tcPr>
            <w:tcW w:w="850" w:type="dxa"/>
            <w:noWrap w:val="0"/>
            <w:vAlign w:val="center"/>
          </w:tcPr>
          <w:p w14:paraId="710237A3">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5EC061E5">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台</w:t>
            </w:r>
          </w:p>
        </w:tc>
        <w:tc>
          <w:tcPr>
            <w:tcW w:w="2978" w:type="dxa"/>
            <w:vMerge w:val="continue"/>
            <w:noWrap w:val="0"/>
            <w:vAlign w:val="center"/>
          </w:tcPr>
          <w:p w14:paraId="0B0E379B">
            <w:pPr>
              <w:widowControl/>
              <w:spacing w:line="240" w:lineRule="exact"/>
              <w:jc w:val="center"/>
              <w:rPr>
                <w:rFonts w:ascii="仿宋_GB2312" w:hAnsi="仿宋" w:eastAsia="仿宋_GB2312" w:cs="宋体"/>
                <w:color w:val="000000"/>
                <w:kern w:val="0"/>
                <w:sz w:val="24"/>
                <w:szCs w:val="24"/>
              </w:rPr>
            </w:pPr>
          </w:p>
        </w:tc>
      </w:tr>
      <w:tr w14:paraId="1A0A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87" w:type="dxa"/>
            <w:vMerge w:val="continue"/>
            <w:noWrap w:val="0"/>
            <w:vAlign w:val="center"/>
          </w:tcPr>
          <w:p w14:paraId="12B980D7">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597883D5">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自动反冲洗叠片过滤器</w:t>
            </w:r>
          </w:p>
        </w:tc>
        <w:tc>
          <w:tcPr>
            <w:tcW w:w="2450" w:type="dxa"/>
            <w:noWrap w:val="0"/>
            <w:vAlign w:val="center"/>
          </w:tcPr>
          <w:p w14:paraId="575B0559">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DP2-3进出口4寸</w:t>
            </w:r>
          </w:p>
        </w:tc>
        <w:tc>
          <w:tcPr>
            <w:tcW w:w="850" w:type="dxa"/>
            <w:noWrap w:val="0"/>
            <w:vAlign w:val="center"/>
          </w:tcPr>
          <w:p w14:paraId="4E106845">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7A433F3F">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台</w:t>
            </w:r>
          </w:p>
        </w:tc>
        <w:tc>
          <w:tcPr>
            <w:tcW w:w="2978" w:type="dxa"/>
            <w:vMerge w:val="continue"/>
            <w:noWrap w:val="0"/>
            <w:vAlign w:val="center"/>
          </w:tcPr>
          <w:p w14:paraId="37D1C6CC">
            <w:pPr>
              <w:widowControl/>
              <w:spacing w:line="240" w:lineRule="exact"/>
              <w:jc w:val="center"/>
              <w:rPr>
                <w:rFonts w:ascii="仿宋_GB2312" w:hAnsi="仿宋" w:eastAsia="仿宋_GB2312" w:cs="宋体"/>
                <w:color w:val="000000"/>
                <w:kern w:val="0"/>
                <w:sz w:val="24"/>
                <w:szCs w:val="24"/>
              </w:rPr>
            </w:pPr>
          </w:p>
        </w:tc>
      </w:tr>
      <w:tr w14:paraId="38CE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18245A6F">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327F3002">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施肥机</w:t>
            </w:r>
          </w:p>
        </w:tc>
        <w:tc>
          <w:tcPr>
            <w:tcW w:w="2450" w:type="dxa"/>
            <w:noWrap w:val="0"/>
            <w:vAlign w:val="center"/>
          </w:tcPr>
          <w:p w14:paraId="6ADB2B5E">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3通道</w:t>
            </w:r>
          </w:p>
        </w:tc>
        <w:tc>
          <w:tcPr>
            <w:tcW w:w="850" w:type="dxa"/>
            <w:noWrap w:val="0"/>
            <w:vAlign w:val="center"/>
          </w:tcPr>
          <w:p w14:paraId="017DAC8E">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1695C379">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台</w:t>
            </w:r>
          </w:p>
        </w:tc>
        <w:tc>
          <w:tcPr>
            <w:tcW w:w="2978" w:type="dxa"/>
            <w:vMerge w:val="continue"/>
            <w:noWrap w:val="0"/>
            <w:vAlign w:val="center"/>
          </w:tcPr>
          <w:p w14:paraId="4459E336">
            <w:pPr>
              <w:widowControl/>
              <w:spacing w:line="240" w:lineRule="exact"/>
              <w:jc w:val="center"/>
              <w:rPr>
                <w:rFonts w:ascii="仿宋_GB2312" w:hAnsi="仿宋" w:eastAsia="仿宋_GB2312" w:cs="宋体"/>
                <w:color w:val="000000"/>
                <w:kern w:val="0"/>
                <w:sz w:val="24"/>
                <w:szCs w:val="24"/>
              </w:rPr>
            </w:pPr>
          </w:p>
        </w:tc>
      </w:tr>
      <w:tr w14:paraId="32F3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87" w:type="dxa"/>
            <w:vMerge w:val="continue"/>
            <w:noWrap w:val="0"/>
            <w:vAlign w:val="center"/>
          </w:tcPr>
          <w:p w14:paraId="29B7E8B7">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182E7380">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施肥罐（带搅拌器）</w:t>
            </w:r>
          </w:p>
        </w:tc>
        <w:tc>
          <w:tcPr>
            <w:tcW w:w="2450" w:type="dxa"/>
            <w:noWrap w:val="0"/>
            <w:vAlign w:val="center"/>
          </w:tcPr>
          <w:p w14:paraId="70A0D7AD">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500L</w:t>
            </w:r>
          </w:p>
        </w:tc>
        <w:tc>
          <w:tcPr>
            <w:tcW w:w="850" w:type="dxa"/>
            <w:noWrap w:val="0"/>
            <w:vAlign w:val="center"/>
          </w:tcPr>
          <w:p w14:paraId="34C116FB">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3</w:t>
            </w:r>
          </w:p>
        </w:tc>
        <w:tc>
          <w:tcPr>
            <w:tcW w:w="1055" w:type="dxa"/>
            <w:noWrap w:val="0"/>
            <w:vAlign w:val="center"/>
          </w:tcPr>
          <w:p w14:paraId="1178B48D">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个</w:t>
            </w:r>
          </w:p>
        </w:tc>
        <w:tc>
          <w:tcPr>
            <w:tcW w:w="2978" w:type="dxa"/>
            <w:vMerge w:val="continue"/>
            <w:noWrap w:val="0"/>
            <w:vAlign w:val="center"/>
          </w:tcPr>
          <w:p w14:paraId="5940E865">
            <w:pPr>
              <w:widowControl/>
              <w:spacing w:line="240" w:lineRule="exact"/>
              <w:jc w:val="center"/>
              <w:rPr>
                <w:rFonts w:ascii="仿宋_GB2312" w:hAnsi="仿宋" w:eastAsia="仿宋_GB2312" w:cs="宋体"/>
                <w:color w:val="000000"/>
                <w:kern w:val="0"/>
                <w:sz w:val="24"/>
                <w:szCs w:val="24"/>
              </w:rPr>
            </w:pPr>
          </w:p>
        </w:tc>
      </w:tr>
      <w:tr w14:paraId="1EAB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5136AE52">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2E3F1AFA">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逆止阀</w:t>
            </w:r>
          </w:p>
        </w:tc>
        <w:tc>
          <w:tcPr>
            <w:tcW w:w="2450" w:type="dxa"/>
            <w:noWrap w:val="0"/>
            <w:vAlign w:val="center"/>
          </w:tcPr>
          <w:p w14:paraId="4D21C690">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DN4寸铸铁</w:t>
            </w:r>
          </w:p>
        </w:tc>
        <w:tc>
          <w:tcPr>
            <w:tcW w:w="850" w:type="dxa"/>
            <w:noWrap w:val="0"/>
            <w:vAlign w:val="center"/>
          </w:tcPr>
          <w:p w14:paraId="466CF4F1">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491EFCDD">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个</w:t>
            </w:r>
          </w:p>
        </w:tc>
        <w:tc>
          <w:tcPr>
            <w:tcW w:w="2978" w:type="dxa"/>
            <w:vMerge w:val="continue"/>
            <w:noWrap w:val="0"/>
            <w:vAlign w:val="center"/>
          </w:tcPr>
          <w:p w14:paraId="5383D5DF">
            <w:pPr>
              <w:widowControl/>
              <w:spacing w:line="240" w:lineRule="exact"/>
              <w:jc w:val="center"/>
              <w:rPr>
                <w:rFonts w:ascii="仿宋_GB2312" w:hAnsi="仿宋" w:eastAsia="仿宋_GB2312" w:cs="宋体"/>
                <w:color w:val="000000"/>
                <w:kern w:val="0"/>
                <w:sz w:val="24"/>
                <w:szCs w:val="24"/>
              </w:rPr>
            </w:pPr>
          </w:p>
        </w:tc>
      </w:tr>
      <w:tr w14:paraId="5DAE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4B96A421">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4F8D0ED5">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压力表</w:t>
            </w:r>
          </w:p>
        </w:tc>
        <w:tc>
          <w:tcPr>
            <w:tcW w:w="2450" w:type="dxa"/>
            <w:noWrap w:val="0"/>
            <w:vAlign w:val="center"/>
          </w:tcPr>
          <w:p w14:paraId="09B56649">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1.0MPA远传</w:t>
            </w:r>
          </w:p>
        </w:tc>
        <w:tc>
          <w:tcPr>
            <w:tcW w:w="850" w:type="dxa"/>
            <w:noWrap w:val="0"/>
            <w:vAlign w:val="center"/>
          </w:tcPr>
          <w:p w14:paraId="75B8B84B">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0EA664E3">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个</w:t>
            </w:r>
          </w:p>
        </w:tc>
        <w:tc>
          <w:tcPr>
            <w:tcW w:w="2978" w:type="dxa"/>
            <w:vMerge w:val="continue"/>
            <w:noWrap w:val="0"/>
            <w:vAlign w:val="center"/>
          </w:tcPr>
          <w:p w14:paraId="6638915A">
            <w:pPr>
              <w:widowControl/>
              <w:spacing w:line="240" w:lineRule="exact"/>
              <w:jc w:val="center"/>
              <w:rPr>
                <w:rFonts w:ascii="仿宋_GB2312" w:hAnsi="仿宋" w:eastAsia="仿宋_GB2312" w:cs="宋体"/>
                <w:color w:val="000000"/>
                <w:kern w:val="0"/>
                <w:sz w:val="24"/>
                <w:szCs w:val="24"/>
              </w:rPr>
            </w:pPr>
          </w:p>
        </w:tc>
      </w:tr>
      <w:tr w14:paraId="0FE3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79428876">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2EC6C8ED">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焊接钢管</w:t>
            </w:r>
          </w:p>
        </w:tc>
        <w:tc>
          <w:tcPr>
            <w:tcW w:w="2450" w:type="dxa"/>
            <w:noWrap w:val="0"/>
            <w:vAlign w:val="center"/>
          </w:tcPr>
          <w:p w14:paraId="48D52A6E">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DN80</w:t>
            </w:r>
          </w:p>
        </w:tc>
        <w:tc>
          <w:tcPr>
            <w:tcW w:w="850" w:type="dxa"/>
            <w:noWrap w:val="0"/>
            <w:vAlign w:val="center"/>
          </w:tcPr>
          <w:p w14:paraId="2802E667">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25</w:t>
            </w:r>
          </w:p>
        </w:tc>
        <w:tc>
          <w:tcPr>
            <w:tcW w:w="1055" w:type="dxa"/>
            <w:noWrap w:val="0"/>
            <w:vAlign w:val="center"/>
          </w:tcPr>
          <w:p w14:paraId="3E412044">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m</w:t>
            </w:r>
          </w:p>
        </w:tc>
        <w:tc>
          <w:tcPr>
            <w:tcW w:w="2978" w:type="dxa"/>
            <w:vMerge w:val="continue"/>
            <w:noWrap w:val="0"/>
            <w:vAlign w:val="center"/>
          </w:tcPr>
          <w:p w14:paraId="24591F42">
            <w:pPr>
              <w:widowControl/>
              <w:spacing w:line="240" w:lineRule="exact"/>
              <w:jc w:val="center"/>
              <w:rPr>
                <w:rFonts w:ascii="仿宋_GB2312" w:hAnsi="仿宋" w:eastAsia="仿宋_GB2312" w:cs="宋体"/>
                <w:color w:val="000000"/>
                <w:kern w:val="0"/>
                <w:sz w:val="24"/>
                <w:szCs w:val="24"/>
              </w:rPr>
            </w:pPr>
          </w:p>
        </w:tc>
      </w:tr>
      <w:tr w14:paraId="6259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23964C2D">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565C617D">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变频柜</w:t>
            </w:r>
          </w:p>
        </w:tc>
        <w:tc>
          <w:tcPr>
            <w:tcW w:w="2450" w:type="dxa"/>
            <w:noWrap w:val="0"/>
            <w:vAlign w:val="center"/>
          </w:tcPr>
          <w:p w14:paraId="4C600561">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18.5KW</w:t>
            </w:r>
          </w:p>
        </w:tc>
        <w:tc>
          <w:tcPr>
            <w:tcW w:w="850" w:type="dxa"/>
            <w:noWrap w:val="0"/>
            <w:vAlign w:val="center"/>
          </w:tcPr>
          <w:p w14:paraId="26B8C480">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702C026D">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台</w:t>
            </w:r>
          </w:p>
        </w:tc>
        <w:tc>
          <w:tcPr>
            <w:tcW w:w="2978" w:type="dxa"/>
            <w:vMerge w:val="continue"/>
            <w:noWrap w:val="0"/>
            <w:vAlign w:val="center"/>
          </w:tcPr>
          <w:p w14:paraId="7520A64C">
            <w:pPr>
              <w:widowControl/>
              <w:spacing w:line="240" w:lineRule="exact"/>
              <w:jc w:val="center"/>
              <w:rPr>
                <w:rFonts w:ascii="仿宋_GB2312" w:hAnsi="仿宋" w:eastAsia="仿宋_GB2312" w:cs="宋体"/>
                <w:color w:val="000000"/>
                <w:kern w:val="0"/>
                <w:sz w:val="24"/>
                <w:szCs w:val="24"/>
              </w:rPr>
            </w:pPr>
          </w:p>
        </w:tc>
      </w:tr>
      <w:tr w14:paraId="21AE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74ADEE49">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7462007C">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壁挂配电箱</w:t>
            </w:r>
          </w:p>
        </w:tc>
        <w:tc>
          <w:tcPr>
            <w:tcW w:w="2450" w:type="dxa"/>
            <w:noWrap w:val="0"/>
            <w:vAlign w:val="center"/>
          </w:tcPr>
          <w:p w14:paraId="514450EF">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60cm×80cm</w:t>
            </w:r>
          </w:p>
        </w:tc>
        <w:tc>
          <w:tcPr>
            <w:tcW w:w="850" w:type="dxa"/>
            <w:noWrap w:val="0"/>
            <w:vAlign w:val="center"/>
          </w:tcPr>
          <w:p w14:paraId="62A2FBAA">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57E808F7">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套</w:t>
            </w:r>
          </w:p>
        </w:tc>
        <w:tc>
          <w:tcPr>
            <w:tcW w:w="2978" w:type="dxa"/>
            <w:vMerge w:val="continue"/>
            <w:noWrap w:val="0"/>
            <w:vAlign w:val="center"/>
          </w:tcPr>
          <w:p w14:paraId="1C03F7B2">
            <w:pPr>
              <w:widowControl/>
              <w:spacing w:line="240" w:lineRule="exact"/>
              <w:jc w:val="center"/>
              <w:rPr>
                <w:rFonts w:ascii="仿宋_GB2312" w:hAnsi="仿宋" w:eastAsia="仿宋_GB2312" w:cs="宋体"/>
                <w:color w:val="000000"/>
                <w:kern w:val="0"/>
                <w:sz w:val="24"/>
                <w:szCs w:val="24"/>
              </w:rPr>
            </w:pPr>
          </w:p>
        </w:tc>
      </w:tr>
      <w:tr w14:paraId="4562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4E8140CB">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4D7461D9">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增</w:t>
            </w:r>
            <w:r>
              <w:rPr>
                <w:rFonts w:hint="eastAsia" w:ascii="仿宋_GB2312" w:hAnsi="仿宋" w:eastAsia="仿宋_GB2312" w:cs="宋体"/>
                <w:color w:val="000000"/>
                <w:kern w:val="0"/>
                <w:sz w:val="24"/>
                <w:szCs w:val="24"/>
                <w:lang w:eastAsia="zh-CN"/>
              </w:rPr>
              <w:t>压</w:t>
            </w:r>
            <w:r>
              <w:rPr>
                <w:rFonts w:hint="eastAsia" w:ascii="仿宋_GB2312" w:hAnsi="仿宋" w:eastAsia="仿宋_GB2312" w:cs="宋体"/>
                <w:color w:val="000000"/>
                <w:kern w:val="0"/>
                <w:sz w:val="24"/>
                <w:szCs w:val="24"/>
              </w:rPr>
              <w:t>泵</w:t>
            </w:r>
          </w:p>
        </w:tc>
        <w:tc>
          <w:tcPr>
            <w:tcW w:w="2450" w:type="dxa"/>
            <w:noWrap w:val="0"/>
            <w:vAlign w:val="center"/>
          </w:tcPr>
          <w:p w14:paraId="671547E2">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15KW（</w:t>
            </w:r>
            <w:r>
              <w:rPr>
                <w:rFonts w:hint="eastAsia" w:ascii="仿宋_GB2312" w:hAnsi="仿宋" w:eastAsia="仿宋_GB2312" w:cs="宋体"/>
                <w:color w:val="000000"/>
                <w:kern w:val="0"/>
                <w:sz w:val="24"/>
                <w:szCs w:val="24"/>
                <w:lang w:val="en-US" w:eastAsia="zh-CN"/>
              </w:rPr>
              <w:t>50m</w:t>
            </w:r>
            <w:r>
              <w:rPr>
                <w:rFonts w:hint="eastAsia" w:ascii="仿宋_GB2312" w:hAnsi="仿宋" w:eastAsia="仿宋_GB2312" w:cs="宋体"/>
                <w:color w:val="000000"/>
                <w:kern w:val="0"/>
                <w:sz w:val="24"/>
                <w:szCs w:val="24"/>
                <w:vertAlign w:val="superscript"/>
                <w:lang w:val="en-US" w:eastAsia="zh-CN"/>
              </w:rPr>
              <w:t>3</w:t>
            </w:r>
            <w:r>
              <w:rPr>
                <w:rFonts w:hint="eastAsia" w:ascii="仿宋_GB2312" w:hAnsi="仿宋" w:eastAsia="仿宋_GB2312" w:cs="宋体"/>
                <w:color w:val="000000"/>
                <w:kern w:val="0"/>
                <w:sz w:val="24"/>
                <w:szCs w:val="24"/>
                <w:lang w:val="en-US" w:eastAsia="zh-CN"/>
              </w:rPr>
              <w:t>-45m扬程</w:t>
            </w:r>
            <w:r>
              <w:rPr>
                <w:rFonts w:hint="eastAsia" w:ascii="仿宋_GB2312" w:hAnsi="仿宋" w:eastAsia="仿宋_GB2312" w:cs="宋体"/>
                <w:color w:val="000000"/>
                <w:kern w:val="0"/>
                <w:sz w:val="24"/>
                <w:szCs w:val="24"/>
              </w:rPr>
              <w:t>)</w:t>
            </w:r>
          </w:p>
        </w:tc>
        <w:tc>
          <w:tcPr>
            <w:tcW w:w="850" w:type="dxa"/>
            <w:noWrap w:val="0"/>
            <w:vAlign w:val="center"/>
          </w:tcPr>
          <w:p w14:paraId="76281CC2">
            <w:pPr>
              <w:widowControl/>
              <w:spacing w:line="240" w:lineRule="exact"/>
              <w:jc w:val="center"/>
              <w:rPr>
                <w:rFonts w:hint="eastAsia" w:ascii="仿宋_GB2312" w:hAnsi="仿宋" w:eastAsia="仿宋_GB2312" w:cs="宋体"/>
                <w:color w:val="000000"/>
                <w:kern w:val="0"/>
                <w:sz w:val="24"/>
                <w:szCs w:val="24"/>
                <w:lang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6EFFC4EE">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台</w:t>
            </w:r>
          </w:p>
        </w:tc>
        <w:tc>
          <w:tcPr>
            <w:tcW w:w="2978" w:type="dxa"/>
            <w:vMerge w:val="continue"/>
            <w:noWrap w:val="0"/>
            <w:vAlign w:val="center"/>
          </w:tcPr>
          <w:p w14:paraId="3A0D3357">
            <w:pPr>
              <w:widowControl/>
              <w:spacing w:line="240" w:lineRule="exact"/>
              <w:jc w:val="center"/>
              <w:rPr>
                <w:rFonts w:ascii="仿宋_GB2312" w:hAnsi="仿宋" w:eastAsia="仿宋_GB2312" w:cs="宋体"/>
                <w:color w:val="000000"/>
                <w:kern w:val="0"/>
                <w:sz w:val="24"/>
                <w:szCs w:val="24"/>
              </w:rPr>
            </w:pPr>
          </w:p>
        </w:tc>
      </w:tr>
      <w:tr w14:paraId="169B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restart"/>
            <w:noWrap w:val="0"/>
            <w:vAlign w:val="center"/>
          </w:tcPr>
          <w:p w14:paraId="2DC961B6">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lang w:eastAsia="zh-CN"/>
              </w:rPr>
              <w:t>输水</w:t>
            </w:r>
            <w:r>
              <w:rPr>
                <w:rFonts w:hint="eastAsia" w:ascii="仿宋_GB2312" w:hAnsi="仿宋" w:eastAsia="仿宋_GB2312" w:cs="宋体"/>
                <w:color w:val="000000"/>
                <w:kern w:val="0"/>
                <w:sz w:val="24"/>
                <w:szCs w:val="24"/>
              </w:rPr>
              <w:t>设施</w:t>
            </w:r>
          </w:p>
        </w:tc>
        <w:tc>
          <w:tcPr>
            <w:tcW w:w="1850" w:type="dxa"/>
            <w:noWrap w:val="0"/>
            <w:vAlign w:val="center"/>
          </w:tcPr>
          <w:p w14:paraId="6F143DDB">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主管道</w:t>
            </w:r>
          </w:p>
        </w:tc>
        <w:tc>
          <w:tcPr>
            <w:tcW w:w="2450" w:type="dxa"/>
            <w:noWrap w:val="0"/>
            <w:vAlign w:val="center"/>
          </w:tcPr>
          <w:p w14:paraId="29736C62">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110</w:t>
            </w:r>
            <w:r>
              <w:rPr>
                <w:rFonts w:hint="eastAsia" w:ascii="仿宋_GB2312" w:hAnsi="仿宋" w:eastAsia="仿宋_GB2312" w:cs="宋体"/>
                <w:color w:val="000000"/>
                <w:kern w:val="0"/>
                <w:sz w:val="24"/>
                <w:szCs w:val="24"/>
                <w:lang w:val="en-US" w:eastAsia="zh-CN"/>
              </w:rPr>
              <w:t>PE</w:t>
            </w:r>
            <w:r>
              <w:rPr>
                <w:rFonts w:hint="eastAsia" w:ascii="仿宋_GB2312" w:hAnsi="仿宋" w:eastAsia="仿宋_GB2312" w:cs="宋体"/>
                <w:color w:val="000000"/>
                <w:kern w:val="0"/>
                <w:sz w:val="24"/>
                <w:szCs w:val="24"/>
              </w:rPr>
              <w:t>管</w:t>
            </w:r>
          </w:p>
        </w:tc>
        <w:tc>
          <w:tcPr>
            <w:tcW w:w="850" w:type="dxa"/>
            <w:noWrap w:val="0"/>
            <w:vAlign w:val="center"/>
          </w:tcPr>
          <w:p w14:paraId="61962DA9">
            <w:pPr>
              <w:widowControl/>
              <w:spacing w:line="240" w:lineRule="exact"/>
              <w:jc w:val="center"/>
              <w:rPr>
                <w:rFonts w:hint="default" w:ascii="仿宋_GB2312" w:hAnsi="仿宋" w:eastAsia="仿宋_GB2312" w:cs="宋体"/>
                <w:color w:val="000000"/>
                <w:kern w:val="0"/>
                <w:sz w:val="24"/>
                <w:szCs w:val="24"/>
                <w:lang w:val="en-US" w:eastAsia="zh-CN"/>
              </w:rPr>
            </w:pPr>
            <w:r>
              <w:rPr>
                <w:rFonts w:hint="eastAsia" w:ascii="仿宋_GB2312" w:hAnsi="仿宋" w:eastAsia="仿宋_GB2312" w:cs="宋体"/>
                <w:color w:val="000000"/>
                <w:kern w:val="0"/>
                <w:sz w:val="24"/>
                <w:szCs w:val="24"/>
                <w:lang w:val="en-US" w:eastAsia="zh-CN"/>
              </w:rPr>
              <w:t>30</w:t>
            </w:r>
          </w:p>
        </w:tc>
        <w:tc>
          <w:tcPr>
            <w:tcW w:w="1055" w:type="dxa"/>
            <w:noWrap w:val="0"/>
            <w:vAlign w:val="center"/>
          </w:tcPr>
          <w:p w14:paraId="0DB8AE9F">
            <w:pPr>
              <w:widowControl/>
              <w:spacing w:line="240" w:lineRule="exact"/>
              <w:jc w:val="center"/>
              <w:rPr>
                <w:rFonts w:hint="default" w:ascii="仿宋_GB2312" w:hAnsi="仿宋" w:eastAsia="仿宋_GB2312" w:cs="宋体"/>
                <w:color w:val="000000"/>
                <w:kern w:val="0"/>
                <w:sz w:val="24"/>
                <w:szCs w:val="24"/>
                <w:lang w:val="en-US" w:eastAsia="zh-CN"/>
              </w:rPr>
            </w:pPr>
            <w:r>
              <w:rPr>
                <w:rFonts w:hint="eastAsia" w:ascii="仿宋_GB2312" w:hAnsi="仿宋" w:eastAsia="仿宋_GB2312" w:cs="宋体"/>
                <w:color w:val="000000"/>
                <w:kern w:val="0"/>
                <w:sz w:val="24"/>
                <w:szCs w:val="24"/>
                <w:lang w:val="en-US" w:eastAsia="zh-CN"/>
              </w:rPr>
              <w:t>米/5亩</w:t>
            </w:r>
          </w:p>
        </w:tc>
        <w:tc>
          <w:tcPr>
            <w:tcW w:w="2978" w:type="dxa"/>
            <w:noWrap w:val="0"/>
            <w:vAlign w:val="center"/>
          </w:tcPr>
          <w:p w14:paraId="4FA29C99">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热熔连接</w:t>
            </w:r>
          </w:p>
        </w:tc>
      </w:tr>
      <w:tr w14:paraId="3426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87" w:type="dxa"/>
            <w:vMerge w:val="continue"/>
            <w:noWrap w:val="0"/>
            <w:vAlign w:val="center"/>
          </w:tcPr>
          <w:p w14:paraId="72B6D592">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40511E7F">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110管阀</w:t>
            </w:r>
            <w:r>
              <w:rPr>
                <w:rFonts w:hint="eastAsia" w:ascii="仿宋_GB2312" w:hAnsi="仿宋" w:eastAsia="仿宋_GB2312" w:cs="宋体"/>
                <w:color w:val="000000"/>
                <w:kern w:val="0"/>
                <w:sz w:val="24"/>
                <w:szCs w:val="24"/>
                <w:lang w:eastAsia="zh-CN"/>
              </w:rPr>
              <w:t>、</w:t>
            </w:r>
            <w:r>
              <w:rPr>
                <w:rFonts w:hint="eastAsia" w:ascii="仿宋_GB2312" w:hAnsi="仿宋" w:eastAsia="仿宋_GB2312" w:cs="宋体"/>
                <w:color w:val="000000"/>
                <w:kern w:val="0"/>
                <w:sz w:val="24"/>
                <w:szCs w:val="24"/>
              </w:rPr>
              <w:t>门井外套水泥管</w:t>
            </w:r>
          </w:p>
        </w:tc>
        <w:tc>
          <w:tcPr>
            <w:tcW w:w="2450" w:type="dxa"/>
            <w:noWrap w:val="0"/>
            <w:vAlign w:val="center"/>
          </w:tcPr>
          <w:p w14:paraId="2ED2429C">
            <w:pPr>
              <w:widowControl/>
              <w:spacing w:line="240" w:lineRule="exact"/>
              <w:jc w:val="left"/>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lang w:val="en-US" w:eastAsia="zh-CN"/>
              </w:rPr>
              <w:t>水泥管</w:t>
            </w:r>
            <w:r>
              <w:rPr>
                <w:rFonts w:hint="eastAsia" w:ascii="仿宋_GB2312" w:hAnsi="仿宋" w:eastAsia="仿宋_GB2312" w:cs="宋体"/>
                <w:color w:val="000000"/>
                <w:kern w:val="0"/>
                <w:sz w:val="24"/>
                <w:szCs w:val="24"/>
              </w:rPr>
              <w:t>直径0.5m、深0.8m</w:t>
            </w:r>
          </w:p>
        </w:tc>
        <w:tc>
          <w:tcPr>
            <w:tcW w:w="850" w:type="dxa"/>
            <w:noWrap w:val="0"/>
            <w:vAlign w:val="center"/>
          </w:tcPr>
          <w:p w14:paraId="61BC27EC">
            <w:pPr>
              <w:widowControl/>
              <w:spacing w:line="240" w:lineRule="exact"/>
              <w:jc w:val="center"/>
              <w:rPr>
                <w:rFonts w:hint="eastAsia" w:ascii="仿宋_GB2312" w:hAnsi="仿宋" w:eastAsia="仿宋_GB2312" w:cs="宋体"/>
                <w:color w:val="000000"/>
                <w:kern w:val="0"/>
                <w:sz w:val="24"/>
                <w:szCs w:val="24"/>
                <w:lang w:val="en-US" w:eastAsia="zh-CN"/>
              </w:rPr>
            </w:pPr>
            <w:r>
              <w:rPr>
                <w:rFonts w:hint="eastAsia" w:ascii="仿宋_GB2312" w:hAnsi="仿宋" w:eastAsia="仿宋_GB2312" w:cs="宋体"/>
                <w:color w:val="000000"/>
                <w:kern w:val="0"/>
                <w:sz w:val="24"/>
                <w:szCs w:val="24"/>
                <w:lang w:val="en-US" w:eastAsia="zh-CN"/>
              </w:rPr>
              <w:t>1</w:t>
            </w:r>
          </w:p>
        </w:tc>
        <w:tc>
          <w:tcPr>
            <w:tcW w:w="1055" w:type="dxa"/>
            <w:noWrap w:val="0"/>
            <w:vAlign w:val="center"/>
          </w:tcPr>
          <w:p w14:paraId="1764D0E2">
            <w:pPr>
              <w:widowControl/>
              <w:spacing w:line="240" w:lineRule="exact"/>
              <w:jc w:val="center"/>
              <w:rPr>
                <w:rFonts w:hint="eastAsia" w:ascii="仿宋_GB2312" w:hAnsi="仿宋" w:eastAsia="仿宋_GB2312" w:cs="宋体"/>
                <w:color w:val="000000"/>
                <w:kern w:val="0"/>
                <w:sz w:val="24"/>
                <w:szCs w:val="24"/>
                <w:lang w:val="en-US" w:eastAsia="zh-CN"/>
              </w:rPr>
            </w:pPr>
            <w:r>
              <w:rPr>
                <w:rFonts w:hint="eastAsia" w:ascii="仿宋_GB2312" w:hAnsi="仿宋" w:eastAsia="仿宋_GB2312" w:cs="宋体"/>
                <w:color w:val="000000"/>
                <w:kern w:val="0"/>
                <w:sz w:val="24"/>
                <w:szCs w:val="24"/>
                <w:lang w:val="en-US" w:eastAsia="zh-CN"/>
              </w:rPr>
              <w:t>套</w:t>
            </w:r>
          </w:p>
        </w:tc>
        <w:tc>
          <w:tcPr>
            <w:tcW w:w="2978" w:type="dxa"/>
            <w:noWrap w:val="0"/>
            <w:vAlign w:val="center"/>
          </w:tcPr>
          <w:p w14:paraId="77127D59">
            <w:pPr>
              <w:widowControl/>
              <w:spacing w:line="240" w:lineRule="exact"/>
              <w:jc w:val="center"/>
              <w:rPr>
                <w:rFonts w:hint="eastAsia" w:ascii="仿宋_GB2312" w:hAnsi="仿宋" w:eastAsia="仿宋_GB2312" w:cs="宋体"/>
                <w:color w:val="000000"/>
                <w:kern w:val="0"/>
                <w:sz w:val="24"/>
                <w:szCs w:val="24"/>
                <w:lang w:eastAsia="zh-CN"/>
              </w:rPr>
            </w:pPr>
          </w:p>
        </w:tc>
      </w:tr>
      <w:tr w14:paraId="5AD8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7" w:type="dxa"/>
            <w:vMerge w:val="continue"/>
            <w:noWrap w:val="0"/>
            <w:vAlign w:val="center"/>
          </w:tcPr>
          <w:p w14:paraId="52D6E4C9">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10CEEDA9">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支管道</w:t>
            </w:r>
          </w:p>
        </w:tc>
        <w:tc>
          <w:tcPr>
            <w:tcW w:w="2450" w:type="dxa"/>
            <w:noWrap w:val="0"/>
            <w:vAlign w:val="center"/>
          </w:tcPr>
          <w:p w14:paraId="165D2999">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63</w:t>
            </w:r>
            <w:r>
              <w:rPr>
                <w:rFonts w:hint="eastAsia" w:ascii="仿宋_GB2312" w:hAnsi="仿宋" w:eastAsia="仿宋_GB2312" w:cs="宋体"/>
                <w:color w:val="000000"/>
                <w:kern w:val="0"/>
                <w:sz w:val="24"/>
                <w:szCs w:val="24"/>
                <w:lang w:val="en-US" w:eastAsia="zh-CN"/>
              </w:rPr>
              <w:t>PE</w:t>
            </w:r>
            <w:r>
              <w:rPr>
                <w:rFonts w:hint="eastAsia" w:ascii="仿宋_GB2312" w:hAnsi="仿宋" w:eastAsia="仿宋_GB2312" w:cs="宋体"/>
                <w:color w:val="000000"/>
                <w:kern w:val="0"/>
                <w:sz w:val="24"/>
                <w:szCs w:val="24"/>
              </w:rPr>
              <w:t>管</w:t>
            </w:r>
          </w:p>
        </w:tc>
        <w:tc>
          <w:tcPr>
            <w:tcW w:w="850" w:type="dxa"/>
            <w:noWrap w:val="0"/>
            <w:vAlign w:val="center"/>
          </w:tcPr>
          <w:p w14:paraId="2E11A567">
            <w:pPr>
              <w:widowControl/>
              <w:spacing w:line="240" w:lineRule="exact"/>
              <w:jc w:val="center"/>
              <w:rPr>
                <w:rFonts w:hint="default" w:ascii="仿宋_GB2312" w:hAnsi="仿宋" w:eastAsia="仿宋_GB2312" w:cs="宋体"/>
                <w:color w:val="000000"/>
                <w:kern w:val="0"/>
                <w:sz w:val="24"/>
                <w:szCs w:val="24"/>
                <w:lang w:val="en-US"/>
              </w:rPr>
            </w:pPr>
            <w:r>
              <w:rPr>
                <w:rFonts w:hint="eastAsia" w:ascii="仿宋_GB2312" w:hAnsi="仿宋" w:eastAsia="仿宋_GB2312" w:cs="宋体"/>
                <w:color w:val="000000"/>
                <w:kern w:val="0"/>
                <w:sz w:val="24"/>
                <w:szCs w:val="24"/>
                <w:lang w:val="en-US" w:eastAsia="zh-CN"/>
              </w:rPr>
              <w:t>30</w:t>
            </w:r>
          </w:p>
        </w:tc>
        <w:tc>
          <w:tcPr>
            <w:tcW w:w="1055" w:type="dxa"/>
            <w:noWrap w:val="0"/>
            <w:vAlign w:val="center"/>
          </w:tcPr>
          <w:p w14:paraId="1222A542">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lang w:val="en-US" w:eastAsia="zh-CN"/>
              </w:rPr>
              <w:t>米/5亩</w:t>
            </w:r>
          </w:p>
        </w:tc>
        <w:tc>
          <w:tcPr>
            <w:tcW w:w="2978" w:type="dxa"/>
            <w:noWrap w:val="0"/>
            <w:vAlign w:val="center"/>
          </w:tcPr>
          <w:p w14:paraId="62120398">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热熔连接</w:t>
            </w:r>
          </w:p>
        </w:tc>
      </w:tr>
      <w:tr w14:paraId="23A7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87" w:type="dxa"/>
            <w:vMerge w:val="continue"/>
            <w:noWrap w:val="0"/>
            <w:vAlign w:val="center"/>
          </w:tcPr>
          <w:p w14:paraId="6BF0D8A8">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010128F6">
            <w:pPr>
              <w:widowControl/>
              <w:spacing w:line="240" w:lineRule="exact"/>
              <w:jc w:val="center"/>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63管阀</w:t>
            </w:r>
            <w:r>
              <w:rPr>
                <w:rFonts w:hint="eastAsia" w:ascii="仿宋_GB2312" w:hAnsi="仿宋" w:eastAsia="仿宋_GB2312" w:cs="宋体"/>
                <w:color w:val="000000"/>
                <w:kern w:val="0"/>
                <w:sz w:val="24"/>
                <w:szCs w:val="24"/>
                <w:lang w:eastAsia="zh-CN"/>
              </w:rPr>
              <w:t>、</w:t>
            </w:r>
            <w:r>
              <w:rPr>
                <w:rFonts w:hint="eastAsia" w:ascii="仿宋_GB2312" w:hAnsi="仿宋" w:eastAsia="仿宋_GB2312" w:cs="宋体"/>
                <w:color w:val="000000"/>
                <w:kern w:val="0"/>
                <w:sz w:val="24"/>
                <w:szCs w:val="24"/>
              </w:rPr>
              <w:t>门</w:t>
            </w:r>
            <w:r>
              <w:rPr>
                <w:rFonts w:hint="eastAsia" w:ascii="仿宋_GB2312" w:hAnsi="仿宋" w:eastAsia="仿宋_GB2312" w:cs="宋体"/>
                <w:color w:val="000000"/>
                <w:kern w:val="0"/>
                <w:sz w:val="24"/>
                <w:szCs w:val="24"/>
                <w:lang w:val="en-US" w:eastAsia="zh-CN"/>
              </w:rPr>
              <w:t>井</w:t>
            </w:r>
            <w:r>
              <w:rPr>
                <w:rFonts w:hint="eastAsia" w:ascii="仿宋_GB2312" w:hAnsi="仿宋" w:eastAsia="仿宋_GB2312" w:cs="宋体"/>
                <w:color w:val="000000"/>
                <w:kern w:val="0"/>
                <w:sz w:val="24"/>
                <w:szCs w:val="24"/>
              </w:rPr>
              <w:t>外套水泥管</w:t>
            </w:r>
          </w:p>
        </w:tc>
        <w:tc>
          <w:tcPr>
            <w:tcW w:w="2450" w:type="dxa"/>
            <w:noWrap w:val="0"/>
            <w:vAlign w:val="center"/>
          </w:tcPr>
          <w:p w14:paraId="4BCA3799">
            <w:pPr>
              <w:widowControl/>
              <w:spacing w:line="240" w:lineRule="exact"/>
              <w:jc w:val="left"/>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lang w:val="en-US" w:eastAsia="zh-CN"/>
              </w:rPr>
              <w:t>水泥管</w:t>
            </w:r>
            <w:r>
              <w:rPr>
                <w:rFonts w:hint="eastAsia" w:ascii="仿宋_GB2312" w:hAnsi="仿宋" w:eastAsia="仿宋_GB2312" w:cs="宋体"/>
                <w:color w:val="000000"/>
                <w:kern w:val="0"/>
                <w:sz w:val="24"/>
                <w:szCs w:val="24"/>
              </w:rPr>
              <w:t>直径0.3m、深0.8m</w:t>
            </w:r>
          </w:p>
        </w:tc>
        <w:tc>
          <w:tcPr>
            <w:tcW w:w="850" w:type="dxa"/>
            <w:noWrap w:val="0"/>
            <w:vAlign w:val="center"/>
          </w:tcPr>
          <w:p w14:paraId="1662562A">
            <w:pPr>
              <w:widowControl/>
              <w:spacing w:line="240" w:lineRule="exact"/>
              <w:jc w:val="center"/>
              <w:rPr>
                <w:rFonts w:hint="default" w:ascii="仿宋_GB2312" w:hAnsi="仿宋" w:eastAsia="仿宋_GB2312" w:cs="宋体"/>
                <w:color w:val="000000"/>
                <w:kern w:val="0"/>
                <w:sz w:val="24"/>
                <w:szCs w:val="24"/>
                <w:lang w:val="en-US" w:eastAsia="zh-CN"/>
              </w:rPr>
            </w:pPr>
          </w:p>
        </w:tc>
        <w:tc>
          <w:tcPr>
            <w:tcW w:w="1055" w:type="dxa"/>
            <w:noWrap w:val="0"/>
            <w:vAlign w:val="center"/>
          </w:tcPr>
          <w:p w14:paraId="0C4C6E38">
            <w:pPr>
              <w:widowControl/>
              <w:spacing w:line="240" w:lineRule="exact"/>
              <w:jc w:val="center"/>
              <w:rPr>
                <w:rFonts w:hint="eastAsia" w:ascii="仿宋_GB2312" w:hAnsi="仿宋" w:eastAsia="仿宋_GB2312" w:cs="宋体"/>
                <w:color w:val="000000"/>
                <w:kern w:val="0"/>
                <w:sz w:val="24"/>
                <w:szCs w:val="24"/>
                <w:lang w:val="en-US" w:eastAsia="zh-CN"/>
              </w:rPr>
            </w:pPr>
            <w:r>
              <w:rPr>
                <w:rFonts w:hint="eastAsia" w:ascii="仿宋_GB2312" w:hAnsi="仿宋" w:eastAsia="仿宋_GB2312" w:cs="宋体"/>
                <w:color w:val="000000"/>
                <w:kern w:val="0"/>
                <w:sz w:val="24"/>
                <w:szCs w:val="24"/>
                <w:lang w:val="en-US" w:eastAsia="zh-CN"/>
              </w:rPr>
              <w:t>套</w:t>
            </w:r>
          </w:p>
        </w:tc>
        <w:tc>
          <w:tcPr>
            <w:tcW w:w="2978" w:type="dxa"/>
            <w:noWrap w:val="0"/>
            <w:vAlign w:val="center"/>
          </w:tcPr>
          <w:p w14:paraId="141AC37E">
            <w:pPr>
              <w:widowControl/>
              <w:spacing w:line="240" w:lineRule="exact"/>
              <w:jc w:val="center"/>
              <w:rPr>
                <w:rFonts w:hint="eastAsia" w:ascii="仿宋_GB2312" w:hAnsi="仿宋" w:eastAsia="仿宋_GB2312" w:cs="宋体"/>
                <w:color w:val="000000"/>
                <w:kern w:val="0"/>
                <w:sz w:val="24"/>
                <w:szCs w:val="24"/>
                <w:lang w:val="en-US" w:eastAsia="zh-CN"/>
              </w:rPr>
            </w:pPr>
            <w:r>
              <w:rPr>
                <w:rFonts w:hint="eastAsia" w:ascii="仿宋_GB2312" w:hAnsi="仿宋" w:eastAsia="仿宋_GB2312" w:cs="宋体"/>
                <w:color w:val="000000"/>
                <w:kern w:val="0"/>
                <w:sz w:val="24"/>
                <w:szCs w:val="24"/>
              </w:rPr>
              <w:t>约5亩一</w:t>
            </w:r>
            <w:r>
              <w:rPr>
                <w:rFonts w:hint="eastAsia" w:ascii="仿宋_GB2312" w:hAnsi="仿宋" w:eastAsia="仿宋_GB2312" w:cs="宋体"/>
                <w:color w:val="000000"/>
                <w:kern w:val="0"/>
                <w:sz w:val="24"/>
                <w:szCs w:val="24"/>
                <w:lang w:val="en-US" w:eastAsia="zh-CN"/>
              </w:rPr>
              <w:t>套</w:t>
            </w:r>
          </w:p>
        </w:tc>
      </w:tr>
      <w:tr w14:paraId="2CB7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87" w:type="dxa"/>
            <w:vMerge w:val="continue"/>
            <w:noWrap w:val="0"/>
            <w:vAlign w:val="center"/>
          </w:tcPr>
          <w:p w14:paraId="13E45C5A">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13E11BE6">
            <w:pPr>
              <w:widowControl/>
              <w:spacing w:line="240" w:lineRule="exact"/>
              <w:jc w:val="center"/>
              <w:rPr>
                <w:rFonts w:ascii="仿宋_GB2312" w:hAnsi="仿宋" w:eastAsia="仿宋_GB2312" w:cs="宋体"/>
                <w:color w:val="auto"/>
                <w:kern w:val="0"/>
                <w:sz w:val="24"/>
                <w:szCs w:val="24"/>
                <w:highlight w:val="none"/>
              </w:rPr>
            </w:pPr>
            <w:r>
              <w:rPr>
                <w:rFonts w:hint="eastAsia" w:ascii="仿宋_GB2312" w:hAnsi="仿宋" w:eastAsia="仿宋_GB2312" w:cs="宋体"/>
                <w:color w:val="auto"/>
                <w:kern w:val="0"/>
                <w:sz w:val="24"/>
                <w:szCs w:val="24"/>
                <w:highlight w:val="none"/>
              </w:rPr>
              <w:t>毛管</w:t>
            </w:r>
          </w:p>
        </w:tc>
        <w:tc>
          <w:tcPr>
            <w:tcW w:w="2450" w:type="dxa"/>
            <w:noWrap w:val="0"/>
            <w:vAlign w:val="center"/>
          </w:tcPr>
          <w:p w14:paraId="2AD9D506">
            <w:pPr>
              <w:widowControl/>
              <w:spacing w:line="240" w:lineRule="exact"/>
              <w:jc w:val="center"/>
              <w:rPr>
                <w:rFonts w:ascii="仿宋_GB2312" w:hAnsi="仿宋" w:eastAsia="仿宋_GB2312" w:cs="宋体"/>
                <w:color w:val="auto"/>
                <w:kern w:val="0"/>
                <w:sz w:val="24"/>
                <w:szCs w:val="24"/>
                <w:highlight w:val="none"/>
              </w:rPr>
            </w:pPr>
            <w:r>
              <w:rPr>
                <w:rFonts w:hint="eastAsia" w:ascii="仿宋_GB2312" w:hAnsi="仿宋" w:eastAsia="仿宋_GB2312" w:cs="宋体"/>
                <w:color w:val="auto"/>
                <w:kern w:val="0"/>
                <w:sz w:val="24"/>
                <w:szCs w:val="24"/>
                <w:highlight w:val="none"/>
                <w:lang w:val="en-US" w:eastAsia="zh-CN"/>
              </w:rPr>
              <w:t>不低于</w:t>
            </w:r>
            <w:r>
              <w:rPr>
                <w:rFonts w:hint="eastAsia" w:ascii="仿宋_GB2312" w:hAnsi="仿宋" w:eastAsia="仿宋_GB2312" w:cs="宋体"/>
                <w:color w:val="auto"/>
                <w:kern w:val="0"/>
                <w:sz w:val="24"/>
                <w:szCs w:val="24"/>
                <w:highlight w:val="none"/>
              </w:rPr>
              <w:t>2</w:t>
            </w:r>
            <w:r>
              <w:rPr>
                <w:rFonts w:hint="eastAsia" w:ascii="仿宋_GB2312" w:hAnsi="仿宋" w:eastAsia="仿宋_GB2312" w:cs="宋体"/>
                <w:color w:val="auto"/>
                <w:kern w:val="0"/>
                <w:sz w:val="24"/>
                <w:szCs w:val="24"/>
                <w:highlight w:val="none"/>
                <w:lang w:val="en-US" w:eastAsia="zh-CN"/>
              </w:rPr>
              <w:t>0PE</w:t>
            </w:r>
            <w:r>
              <w:rPr>
                <w:rFonts w:hint="eastAsia" w:ascii="仿宋_GB2312" w:hAnsi="仿宋" w:eastAsia="仿宋_GB2312" w:cs="宋体"/>
                <w:color w:val="auto"/>
                <w:kern w:val="0"/>
                <w:sz w:val="24"/>
                <w:szCs w:val="24"/>
                <w:highlight w:val="none"/>
              </w:rPr>
              <w:t>管</w:t>
            </w:r>
          </w:p>
        </w:tc>
        <w:tc>
          <w:tcPr>
            <w:tcW w:w="850" w:type="dxa"/>
            <w:noWrap w:val="0"/>
            <w:vAlign w:val="center"/>
          </w:tcPr>
          <w:p w14:paraId="4022BCEB">
            <w:pPr>
              <w:widowControl/>
              <w:spacing w:line="240" w:lineRule="exact"/>
              <w:jc w:val="center"/>
              <w:rPr>
                <w:rFonts w:ascii="仿宋_GB2312" w:hAnsi="仿宋" w:eastAsia="仿宋_GB2312" w:cs="宋体"/>
                <w:color w:val="000000"/>
                <w:kern w:val="0"/>
                <w:sz w:val="24"/>
                <w:szCs w:val="24"/>
              </w:rPr>
            </w:pPr>
          </w:p>
        </w:tc>
        <w:tc>
          <w:tcPr>
            <w:tcW w:w="1055" w:type="dxa"/>
            <w:noWrap w:val="0"/>
            <w:vAlign w:val="center"/>
          </w:tcPr>
          <w:p w14:paraId="2986E0CF">
            <w:pPr>
              <w:widowControl/>
              <w:spacing w:line="240" w:lineRule="exact"/>
              <w:jc w:val="center"/>
              <w:rPr>
                <w:rFonts w:ascii="仿宋_GB2312" w:hAnsi="仿宋" w:eastAsia="仿宋_GB2312" w:cs="宋体"/>
                <w:color w:val="000000"/>
                <w:kern w:val="0"/>
                <w:sz w:val="24"/>
                <w:szCs w:val="24"/>
              </w:rPr>
            </w:pPr>
          </w:p>
        </w:tc>
        <w:tc>
          <w:tcPr>
            <w:tcW w:w="2978" w:type="dxa"/>
            <w:noWrap w:val="0"/>
            <w:vAlign w:val="center"/>
          </w:tcPr>
          <w:p w14:paraId="0DEE9BCA">
            <w:pPr>
              <w:widowControl/>
              <w:spacing w:line="240" w:lineRule="exact"/>
              <w:jc w:val="left"/>
              <w:rPr>
                <w:rFonts w:ascii="仿宋_GB2312" w:hAnsi="仿宋" w:eastAsia="仿宋_GB2312" w:cs="宋体"/>
                <w:color w:val="000000"/>
                <w:kern w:val="0"/>
                <w:sz w:val="24"/>
                <w:szCs w:val="24"/>
              </w:rPr>
            </w:pPr>
            <w:r>
              <w:rPr>
                <w:rFonts w:hint="eastAsia" w:ascii="仿宋_GB2312" w:hAnsi="仿宋" w:eastAsia="仿宋_GB2312" w:cs="宋体"/>
                <w:color w:val="000000"/>
                <w:kern w:val="0"/>
                <w:sz w:val="24"/>
                <w:szCs w:val="24"/>
              </w:rPr>
              <w:t>快接，距地面</w:t>
            </w:r>
            <w:r>
              <w:rPr>
                <w:rFonts w:hint="eastAsia" w:ascii="仿宋_GB2312" w:hAnsi="仿宋" w:eastAsia="仿宋_GB2312" w:cs="宋体"/>
                <w:color w:val="000000"/>
                <w:kern w:val="0"/>
                <w:sz w:val="24"/>
                <w:szCs w:val="24"/>
                <w:lang w:val="en-US" w:eastAsia="zh-CN"/>
              </w:rPr>
              <w:t>80</w:t>
            </w:r>
            <w:r>
              <w:rPr>
                <w:rFonts w:hint="eastAsia" w:ascii="仿宋_GB2312" w:hAnsi="仿宋" w:eastAsia="仿宋_GB2312" w:cs="宋体"/>
                <w:color w:val="000000"/>
                <w:kern w:val="0"/>
                <w:sz w:val="24"/>
                <w:szCs w:val="24"/>
              </w:rPr>
              <w:t>cm</w:t>
            </w:r>
            <w:r>
              <w:rPr>
                <w:rFonts w:hint="eastAsia" w:ascii="仿宋_GB2312" w:hAnsi="仿宋" w:eastAsia="仿宋_GB2312" w:cs="宋体"/>
                <w:color w:val="000000"/>
                <w:kern w:val="0"/>
                <w:sz w:val="24"/>
                <w:szCs w:val="24"/>
                <w:lang w:val="en-US" w:eastAsia="zh-CN"/>
              </w:rPr>
              <w:t>-10</w:t>
            </w:r>
            <w:r>
              <w:rPr>
                <w:rFonts w:hint="eastAsia" w:ascii="仿宋_GB2312" w:hAnsi="仿宋" w:eastAsia="仿宋_GB2312" w:cs="宋体"/>
                <w:color w:val="000000"/>
                <w:kern w:val="0"/>
                <w:sz w:val="24"/>
                <w:szCs w:val="24"/>
              </w:rPr>
              <w:t>0cm</w:t>
            </w:r>
            <w:r>
              <w:rPr>
                <w:rFonts w:hint="eastAsia" w:ascii="仿宋_GB2312" w:hAnsi="仿宋" w:eastAsia="仿宋_GB2312" w:cs="宋体"/>
                <w:color w:val="000000"/>
                <w:kern w:val="0"/>
                <w:sz w:val="24"/>
                <w:szCs w:val="24"/>
                <w:lang w:val="en-US" w:eastAsia="zh-CN"/>
              </w:rPr>
              <w:t>或架于棚架上</w:t>
            </w:r>
            <w:r>
              <w:rPr>
                <w:rFonts w:hint="eastAsia" w:ascii="仿宋_GB2312" w:hAnsi="仿宋" w:eastAsia="仿宋_GB2312" w:cs="宋体"/>
                <w:color w:val="000000"/>
                <w:kern w:val="0"/>
                <w:sz w:val="24"/>
                <w:szCs w:val="24"/>
                <w:lang w:eastAsia="zh-CN"/>
              </w:rPr>
              <w:t>，</w:t>
            </w:r>
            <w:r>
              <w:rPr>
                <w:rFonts w:hint="eastAsia" w:ascii="仿宋_GB2312" w:hAnsi="仿宋" w:eastAsia="仿宋_GB2312" w:cs="宋体"/>
                <w:color w:val="000000"/>
                <w:kern w:val="0"/>
                <w:sz w:val="24"/>
                <w:szCs w:val="24"/>
              </w:rPr>
              <w:t>管阀门约50m左右一个</w:t>
            </w:r>
          </w:p>
        </w:tc>
      </w:tr>
      <w:tr w14:paraId="2935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87" w:type="dxa"/>
            <w:vMerge w:val="continue"/>
            <w:noWrap w:val="0"/>
            <w:vAlign w:val="center"/>
          </w:tcPr>
          <w:p w14:paraId="05794D2E">
            <w:pPr>
              <w:widowControl/>
              <w:spacing w:line="240" w:lineRule="exact"/>
              <w:jc w:val="center"/>
              <w:rPr>
                <w:rFonts w:ascii="仿宋_GB2312" w:hAnsi="仿宋" w:eastAsia="仿宋_GB2312" w:cs="宋体"/>
                <w:color w:val="000000"/>
                <w:kern w:val="0"/>
                <w:sz w:val="24"/>
                <w:szCs w:val="24"/>
              </w:rPr>
            </w:pPr>
          </w:p>
        </w:tc>
        <w:tc>
          <w:tcPr>
            <w:tcW w:w="1850" w:type="dxa"/>
            <w:noWrap w:val="0"/>
            <w:vAlign w:val="center"/>
          </w:tcPr>
          <w:p w14:paraId="549BE335">
            <w:pPr>
              <w:widowControl/>
              <w:spacing w:line="240" w:lineRule="exact"/>
              <w:jc w:val="center"/>
              <w:rPr>
                <w:rFonts w:ascii="仿宋_GB2312" w:hAnsi="仿宋" w:eastAsia="仿宋_GB2312" w:cs="宋体"/>
                <w:color w:val="auto"/>
                <w:kern w:val="0"/>
                <w:sz w:val="24"/>
                <w:szCs w:val="24"/>
                <w:highlight w:val="none"/>
              </w:rPr>
            </w:pPr>
            <w:r>
              <w:rPr>
                <w:rFonts w:hint="eastAsia" w:ascii="仿宋_GB2312" w:hAnsi="仿宋" w:eastAsia="仿宋_GB2312" w:cs="宋体"/>
                <w:color w:val="auto"/>
                <w:kern w:val="0"/>
                <w:sz w:val="24"/>
                <w:szCs w:val="24"/>
                <w:highlight w:val="none"/>
              </w:rPr>
              <w:t>喷头</w:t>
            </w:r>
          </w:p>
        </w:tc>
        <w:tc>
          <w:tcPr>
            <w:tcW w:w="2450" w:type="dxa"/>
            <w:noWrap w:val="0"/>
            <w:vAlign w:val="center"/>
          </w:tcPr>
          <w:p w14:paraId="748B9FCF">
            <w:pPr>
              <w:widowControl/>
              <w:spacing w:line="240" w:lineRule="exact"/>
              <w:jc w:val="center"/>
              <w:rPr>
                <w:rFonts w:ascii="仿宋_GB2312" w:hAnsi="仿宋" w:eastAsia="仿宋_GB2312" w:cs="宋体"/>
                <w:color w:val="auto"/>
                <w:kern w:val="0"/>
                <w:sz w:val="24"/>
                <w:szCs w:val="24"/>
                <w:highlight w:val="none"/>
              </w:rPr>
            </w:pPr>
            <w:r>
              <w:rPr>
                <w:rFonts w:hint="eastAsia" w:ascii="仿宋_GB2312" w:hAnsi="仿宋" w:eastAsia="仿宋_GB2312" w:cs="宋体"/>
                <w:color w:val="auto"/>
                <w:kern w:val="0"/>
                <w:sz w:val="24"/>
                <w:szCs w:val="24"/>
                <w:highlight w:val="none"/>
              </w:rPr>
              <w:t>241T（70L-80L/小时）</w:t>
            </w:r>
          </w:p>
        </w:tc>
        <w:tc>
          <w:tcPr>
            <w:tcW w:w="850" w:type="dxa"/>
            <w:noWrap w:val="0"/>
            <w:vAlign w:val="center"/>
          </w:tcPr>
          <w:p w14:paraId="1F257AF2">
            <w:pPr>
              <w:widowControl/>
              <w:spacing w:line="240" w:lineRule="exact"/>
              <w:jc w:val="center"/>
              <w:rPr>
                <w:rFonts w:ascii="仿宋_GB2312" w:hAnsi="仿宋" w:eastAsia="仿宋_GB2312" w:cs="宋体"/>
                <w:color w:val="000000"/>
                <w:kern w:val="0"/>
                <w:sz w:val="24"/>
                <w:szCs w:val="24"/>
              </w:rPr>
            </w:pPr>
          </w:p>
        </w:tc>
        <w:tc>
          <w:tcPr>
            <w:tcW w:w="1055" w:type="dxa"/>
            <w:noWrap w:val="0"/>
            <w:vAlign w:val="center"/>
          </w:tcPr>
          <w:p w14:paraId="3783268A">
            <w:pPr>
              <w:widowControl/>
              <w:spacing w:line="240" w:lineRule="exact"/>
              <w:jc w:val="center"/>
              <w:rPr>
                <w:rFonts w:ascii="仿宋_GB2312" w:hAnsi="仿宋" w:eastAsia="仿宋_GB2312" w:cs="宋体"/>
                <w:color w:val="000000"/>
                <w:kern w:val="0"/>
                <w:sz w:val="24"/>
                <w:szCs w:val="24"/>
              </w:rPr>
            </w:pPr>
          </w:p>
        </w:tc>
        <w:tc>
          <w:tcPr>
            <w:tcW w:w="2978" w:type="dxa"/>
            <w:noWrap w:val="0"/>
            <w:vAlign w:val="center"/>
          </w:tcPr>
          <w:p w14:paraId="61CA049A">
            <w:pPr>
              <w:widowControl/>
              <w:spacing w:line="240" w:lineRule="exact"/>
              <w:jc w:val="left"/>
              <w:rPr>
                <w:rFonts w:hint="default" w:ascii="仿宋_GB2312" w:hAnsi="仿宋" w:eastAsia="仿宋_GB2312" w:cs="宋体"/>
                <w:color w:val="000000"/>
                <w:kern w:val="0"/>
                <w:sz w:val="24"/>
                <w:szCs w:val="24"/>
                <w:lang w:val="en-US" w:eastAsia="zh-CN"/>
              </w:rPr>
            </w:pPr>
            <w:r>
              <w:rPr>
                <w:rFonts w:hint="eastAsia" w:ascii="仿宋_GB2312" w:hAnsi="仿宋" w:eastAsia="仿宋_GB2312" w:cs="宋体"/>
                <w:color w:val="000000"/>
                <w:kern w:val="0"/>
                <w:sz w:val="24"/>
                <w:szCs w:val="24"/>
                <w:lang w:val="en-US" w:eastAsia="zh-CN"/>
              </w:rPr>
              <w:t>毛</w:t>
            </w:r>
            <w:r>
              <w:rPr>
                <w:rFonts w:hint="eastAsia" w:ascii="仿宋_GB2312" w:hAnsi="仿宋" w:eastAsia="仿宋_GB2312" w:cs="宋体"/>
                <w:color w:val="000000"/>
                <w:kern w:val="0"/>
                <w:sz w:val="24"/>
                <w:szCs w:val="24"/>
              </w:rPr>
              <w:t>管上每2m安装一个带配重喷头，距地面</w:t>
            </w:r>
            <w:r>
              <w:rPr>
                <w:rFonts w:hint="eastAsia" w:ascii="仿宋_GB2312" w:hAnsi="仿宋" w:eastAsia="仿宋_GB2312" w:cs="宋体"/>
                <w:color w:val="000000"/>
                <w:kern w:val="0"/>
                <w:sz w:val="24"/>
                <w:szCs w:val="24"/>
                <w:lang w:val="en-US" w:eastAsia="zh-CN"/>
              </w:rPr>
              <w:t>5</w:t>
            </w:r>
            <w:r>
              <w:rPr>
                <w:rFonts w:hint="eastAsia" w:ascii="仿宋_GB2312" w:hAnsi="仿宋" w:eastAsia="仿宋_GB2312" w:cs="宋体"/>
                <w:color w:val="000000"/>
                <w:kern w:val="0"/>
                <w:sz w:val="24"/>
                <w:szCs w:val="24"/>
              </w:rPr>
              <w:t>0cm</w:t>
            </w:r>
            <w:r>
              <w:rPr>
                <w:rFonts w:hint="eastAsia" w:ascii="仿宋_GB2312" w:hAnsi="仿宋" w:eastAsia="仿宋_GB2312" w:cs="宋体"/>
                <w:color w:val="000000"/>
                <w:kern w:val="0"/>
                <w:sz w:val="24"/>
                <w:szCs w:val="24"/>
                <w:lang w:val="en-US" w:eastAsia="zh-CN"/>
              </w:rPr>
              <w:t>-60</w:t>
            </w:r>
            <w:r>
              <w:rPr>
                <w:rFonts w:hint="eastAsia" w:ascii="仿宋_GB2312" w:hAnsi="仿宋" w:eastAsia="仿宋_GB2312" w:cs="宋体"/>
                <w:color w:val="000000"/>
                <w:kern w:val="0"/>
                <w:sz w:val="24"/>
                <w:szCs w:val="24"/>
              </w:rPr>
              <w:t>cm</w:t>
            </w:r>
          </w:p>
        </w:tc>
      </w:tr>
    </w:tbl>
    <w:p w14:paraId="52BBEE34">
      <w:pPr>
        <w:pStyle w:val="14"/>
        <w:jc w:val="center"/>
        <w:rPr>
          <w:rFonts w:hint="eastAsia"/>
          <w:lang w:eastAsia="zh-CN"/>
        </w:rPr>
      </w:pPr>
    </w:p>
    <w:sectPr>
      <w:pgSz w:w="11906" w:h="16838"/>
      <w:pgMar w:top="2098" w:right="1417" w:bottom="204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8080F95D">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3DD83">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AAF12">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4FAAF12">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CBA71B">
                          <w:pPr>
                            <w:pStyle w:val="8"/>
                          </w:pP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mHzbHdAQAAwAMAAA4AAAAAAAAA&#10;AQAgAAAAHgEAAGRycy9lMm9Eb2MueG1sUEsFBgAAAAAGAAYAWQEAAG0FAAAAAA==&#10;">
              <v:fill on="f" focussize="0,0"/>
              <v:stroke on="f"/>
              <v:imagedata o:title=""/>
              <o:lock v:ext="edit" aspectratio="f"/>
              <v:textbox inset="0mm,0mm,0mm,0mm" style="mso-fit-shape-to-text:t;">
                <w:txbxContent>
                  <w:p w14:paraId="06CBA71B">
                    <w:pPr>
                      <w:pStyle w:val="8"/>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611E1B"/>
    <w:rsid w:val="009038B0"/>
    <w:rsid w:val="0216380A"/>
    <w:rsid w:val="0242740D"/>
    <w:rsid w:val="02533F0F"/>
    <w:rsid w:val="026D3223"/>
    <w:rsid w:val="02B04EBD"/>
    <w:rsid w:val="03BB6210"/>
    <w:rsid w:val="04812FB5"/>
    <w:rsid w:val="04BB57D2"/>
    <w:rsid w:val="04DA26C6"/>
    <w:rsid w:val="05CB200E"/>
    <w:rsid w:val="06F832D7"/>
    <w:rsid w:val="073267E9"/>
    <w:rsid w:val="073A744C"/>
    <w:rsid w:val="09CF47C3"/>
    <w:rsid w:val="0AF65D7F"/>
    <w:rsid w:val="0B6D4294"/>
    <w:rsid w:val="0B8E5FB8"/>
    <w:rsid w:val="0C085D6A"/>
    <w:rsid w:val="0CDC5D53"/>
    <w:rsid w:val="0D9553DC"/>
    <w:rsid w:val="0DAD7DDE"/>
    <w:rsid w:val="0E476157"/>
    <w:rsid w:val="0EC15DA9"/>
    <w:rsid w:val="0ED14F76"/>
    <w:rsid w:val="0FA42D0C"/>
    <w:rsid w:val="101B2863"/>
    <w:rsid w:val="11B8179E"/>
    <w:rsid w:val="12D15108"/>
    <w:rsid w:val="14A0226C"/>
    <w:rsid w:val="1534692C"/>
    <w:rsid w:val="15C251DC"/>
    <w:rsid w:val="16D927DD"/>
    <w:rsid w:val="16F05D79"/>
    <w:rsid w:val="174C1201"/>
    <w:rsid w:val="17F001D9"/>
    <w:rsid w:val="18E15979"/>
    <w:rsid w:val="1A0E5A2C"/>
    <w:rsid w:val="1AC21152"/>
    <w:rsid w:val="1AD339E7"/>
    <w:rsid w:val="1BAD7874"/>
    <w:rsid w:val="1BCB0BF1"/>
    <w:rsid w:val="1D784333"/>
    <w:rsid w:val="1EA638ED"/>
    <w:rsid w:val="235D02F2"/>
    <w:rsid w:val="24EF3823"/>
    <w:rsid w:val="259D531E"/>
    <w:rsid w:val="259F477C"/>
    <w:rsid w:val="25BC39F6"/>
    <w:rsid w:val="26A821CC"/>
    <w:rsid w:val="287A2F33"/>
    <w:rsid w:val="29254FDA"/>
    <w:rsid w:val="2A8B4BB9"/>
    <w:rsid w:val="2B3D3006"/>
    <w:rsid w:val="2C0003B4"/>
    <w:rsid w:val="2CB74F17"/>
    <w:rsid w:val="2DF31F7F"/>
    <w:rsid w:val="2E9D638E"/>
    <w:rsid w:val="2F05640D"/>
    <w:rsid w:val="2FBE480E"/>
    <w:rsid w:val="30C05CFD"/>
    <w:rsid w:val="31E0281A"/>
    <w:rsid w:val="32786EF6"/>
    <w:rsid w:val="32B77AC3"/>
    <w:rsid w:val="34677222"/>
    <w:rsid w:val="347402CE"/>
    <w:rsid w:val="34847DD4"/>
    <w:rsid w:val="37732382"/>
    <w:rsid w:val="37DF3574"/>
    <w:rsid w:val="390019F4"/>
    <w:rsid w:val="3A2636DC"/>
    <w:rsid w:val="3A2F2590"/>
    <w:rsid w:val="3B6C3370"/>
    <w:rsid w:val="3C5A58BF"/>
    <w:rsid w:val="3CA01523"/>
    <w:rsid w:val="3D0737F4"/>
    <w:rsid w:val="3ED83CAB"/>
    <w:rsid w:val="40073668"/>
    <w:rsid w:val="403D352D"/>
    <w:rsid w:val="41C757A4"/>
    <w:rsid w:val="43544E16"/>
    <w:rsid w:val="44BE6530"/>
    <w:rsid w:val="44FC5EE3"/>
    <w:rsid w:val="45240818"/>
    <w:rsid w:val="45BE72EB"/>
    <w:rsid w:val="45D71407"/>
    <w:rsid w:val="480A0199"/>
    <w:rsid w:val="48BE566C"/>
    <w:rsid w:val="49611E1B"/>
    <w:rsid w:val="4A190AC3"/>
    <w:rsid w:val="4C2B677F"/>
    <w:rsid w:val="4DBA440F"/>
    <w:rsid w:val="4DD3102D"/>
    <w:rsid w:val="4E710F72"/>
    <w:rsid w:val="50E21CB3"/>
    <w:rsid w:val="51121E6C"/>
    <w:rsid w:val="52201782"/>
    <w:rsid w:val="52A95D5B"/>
    <w:rsid w:val="52EF6909"/>
    <w:rsid w:val="530D4690"/>
    <w:rsid w:val="53846D14"/>
    <w:rsid w:val="557650C0"/>
    <w:rsid w:val="56824E97"/>
    <w:rsid w:val="56A812A9"/>
    <w:rsid w:val="579637F7"/>
    <w:rsid w:val="585C67EF"/>
    <w:rsid w:val="58D520FD"/>
    <w:rsid w:val="593F3A1A"/>
    <w:rsid w:val="5AB03A07"/>
    <w:rsid w:val="5B0B1E06"/>
    <w:rsid w:val="5C272C70"/>
    <w:rsid w:val="5CB5471F"/>
    <w:rsid w:val="5DB744C7"/>
    <w:rsid w:val="5DDB5030"/>
    <w:rsid w:val="5F15444A"/>
    <w:rsid w:val="5F8D3732"/>
    <w:rsid w:val="5F90142C"/>
    <w:rsid w:val="60A52CFD"/>
    <w:rsid w:val="60BD3BA3"/>
    <w:rsid w:val="610E08A2"/>
    <w:rsid w:val="61F96E5C"/>
    <w:rsid w:val="62864468"/>
    <w:rsid w:val="62A44C4B"/>
    <w:rsid w:val="64C57ABE"/>
    <w:rsid w:val="652E1513"/>
    <w:rsid w:val="65640A91"/>
    <w:rsid w:val="657F25CC"/>
    <w:rsid w:val="6692162D"/>
    <w:rsid w:val="66C8330B"/>
    <w:rsid w:val="678A0EB6"/>
    <w:rsid w:val="67A01E99"/>
    <w:rsid w:val="67F26828"/>
    <w:rsid w:val="6848469A"/>
    <w:rsid w:val="6864450F"/>
    <w:rsid w:val="68AD09A1"/>
    <w:rsid w:val="68BF2482"/>
    <w:rsid w:val="68E87C2B"/>
    <w:rsid w:val="6A8219B9"/>
    <w:rsid w:val="6C385293"/>
    <w:rsid w:val="6E0F7A08"/>
    <w:rsid w:val="6E35686A"/>
    <w:rsid w:val="7002625E"/>
    <w:rsid w:val="70A37F7B"/>
    <w:rsid w:val="71AC1BA2"/>
    <w:rsid w:val="721B697B"/>
    <w:rsid w:val="723E2669"/>
    <w:rsid w:val="77476464"/>
    <w:rsid w:val="780B56E4"/>
    <w:rsid w:val="7840713B"/>
    <w:rsid w:val="78774B27"/>
    <w:rsid w:val="78AA2807"/>
    <w:rsid w:val="79873BCC"/>
    <w:rsid w:val="7AD65B35"/>
    <w:rsid w:val="7AF366E7"/>
    <w:rsid w:val="7B5E51E8"/>
    <w:rsid w:val="7B7F61CD"/>
    <w:rsid w:val="7C016BE2"/>
    <w:rsid w:val="7C6E22F6"/>
    <w:rsid w:val="7C8F4B60"/>
    <w:rsid w:val="7CC513EE"/>
    <w:rsid w:val="7D0270B5"/>
    <w:rsid w:val="7D7A4E9D"/>
    <w:rsid w:val="7DE20C95"/>
    <w:rsid w:val="7F2124D4"/>
    <w:rsid w:val="7F4A4D43"/>
    <w:rsid w:val="7F8A3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bCs/>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next w:val="6"/>
    <w:unhideWhenUsed/>
    <w:qFormat/>
    <w:uiPriority w:val="99"/>
    <w:pPr>
      <w:spacing w:before="100" w:beforeAutospacing="1"/>
    </w:pPr>
  </w:style>
  <w:style w:type="paragraph" w:customStyle="1" w:styleId="6">
    <w:name w:val="style4"/>
    <w:basedOn w:val="1"/>
    <w:next w:val="7"/>
    <w:qFormat/>
    <w:uiPriority w:val="0"/>
    <w:pPr>
      <w:widowControl/>
      <w:autoSpaceDE/>
      <w:autoSpaceDN/>
      <w:spacing w:before="280" w:after="280" w:line="240" w:lineRule="auto"/>
      <w:ind w:left="0" w:firstLine="0"/>
      <w:jc w:val="both"/>
    </w:pPr>
    <w:rPr>
      <w:rFonts w:ascii="宋体" w:eastAsia="宋体"/>
      <w:sz w:val="18"/>
    </w:rPr>
  </w:style>
  <w:style w:type="paragraph" w:customStyle="1" w:styleId="7">
    <w:name w:val="2"/>
    <w:next w:val="1"/>
    <w:qFormat/>
    <w:uiPriority w:val="0"/>
    <w:pPr>
      <w:widowControl w:val="0"/>
      <w:jc w:val="both"/>
    </w:pPr>
    <w:rPr>
      <w:rFonts w:ascii="Calibri" w:hAnsi="Calibri" w:eastAsia="宋体" w:cs="Times New Roman"/>
      <w:sz w:val="21"/>
      <w:szCs w:val="22"/>
      <w:lang w:val="en-US" w:eastAsia="zh-CN" w:bidi="ar-SA"/>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4">
    <w:name w:val="Default"/>
    <w:qFormat/>
    <w:uiPriority w:val="0"/>
    <w:pPr>
      <w:widowControl w:val="0"/>
      <w:autoSpaceDE w:val="0"/>
      <w:autoSpaceDN w:val="0"/>
      <w:adjustRightInd w:val="0"/>
      <w:spacing w:line="240" w:lineRule="atLeast"/>
      <w:jc w:val="center"/>
    </w:pPr>
    <w:rPr>
      <w:rFonts w:ascii="宋体" w:hAnsi="Times New Roman" w:eastAsia="宋体" w:cs="Times New Roman"/>
      <w:sz w:val="21"/>
      <w:szCs w:val="22"/>
      <w:lang w:val="en-US" w:eastAsia="zh-CN" w:bidi="ar-SA"/>
    </w:rPr>
  </w:style>
  <w:style w:type="paragraph" w:customStyle="1" w:styleId="15">
    <w:name w:val="Body Text First Indent 2"/>
    <w:basedOn w:val="16"/>
    <w:autoRedefine/>
    <w:qFormat/>
    <w:uiPriority w:val="0"/>
    <w:pPr>
      <w:ind w:firstLine="420"/>
    </w:pPr>
  </w:style>
  <w:style w:type="paragraph" w:customStyle="1" w:styleId="16">
    <w:name w:val="Body Text Indent"/>
    <w:basedOn w:val="1"/>
    <w:autoRedefine/>
    <w:qFormat/>
    <w:uiPriority w:val="0"/>
    <w:pPr>
      <w:spacing w:line="360" w:lineRule="auto"/>
      <w:ind w:firstLine="200" w:firstLineChars="200"/>
      <w:textAlignment w:val="baseline"/>
    </w:pPr>
    <w:rPr>
      <w:rFonts w:hint="eastAsia"/>
      <w:sz w:val="24"/>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5751</Words>
  <Characters>6255</Characters>
  <Lines>0</Lines>
  <Paragraphs>0</Paragraphs>
  <TotalTime>8</TotalTime>
  <ScaleCrop>false</ScaleCrop>
  <LinksUpToDate>false</LinksUpToDate>
  <CharactersWithSpaces>6346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2026-01-26T02:30:00Z</dcterms:created>
  <dc:creator>志博</dc:creator>
  <cp:lastModifiedBy>延凯</cp:lastModifiedBy>
  <cp:lastPrinted>2026-03-14T01:32:00Z</cp:lastPrinted>
  <dcterms:modified xsi:type="dcterms:W3CDTF">2026-05-06T03:31:06Z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221E1DEA35104BBF9D1119B5A3ACF3D9_13</vt:lpwstr>
  </property>
  <property fmtid="{D5CDD505-2E9C-101B-9397-08002B2CF9AE}" pid="4" name="KSOTemplateDocerSaveRecord">
    <vt:lpwstr>eyJoZGlkIjoiOGEzYjljMjQ4ZjA3ZmY1ZWVhZjQ2NTY3ZjBkMDYwMjMiLCJ1c2VySWQiOiIzMjg2MDA4NDEifQ==</vt:lpwstr>
  </property>
</Properties>
</file>