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6741"/>
        </w:tabs>
        <w:kinsoku/>
        <w:wordWrap/>
        <w:overflowPunct/>
        <w:topLinePunct w:val="0"/>
        <w:autoSpaceDE/>
        <w:autoSpaceDN/>
        <w:adjustRightInd w:val="0"/>
        <w:snapToGrid w:val="0"/>
        <w:spacing w:beforeAutospacing="0" w:afterAutospacing="0" w:line="560" w:lineRule="exact"/>
        <w:ind w:left="0"/>
        <w:jc w:val="center"/>
        <w:rPr>
          <w:rFonts w:ascii="Times New Roman" w:eastAsia="仿宋" w:cs="Times New Roman" w:hAnsi="Times New Roman"/>
          <w:color w:val="000000"/>
          <w:szCs w:val="32"/>
        </w:rPr>
      </w:pPr>
      <w:r>
        <w:rPr>
          <w:rFonts w:ascii="Times New Roman" w:eastAsia="方正小标宋_GBK" w:cs="Times New Roman" w:hAnsi="Times New Roman" w:hint="eastAsia"/>
          <w:b w:val="0"/>
          <w:bCs w:val="0"/>
          <w:color w:val="000000"/>
          <w:spacing w:val="0"/>
          <w:kern w:val="0"/>
          <w:sz w:val="44"/>
          <w:szCs w:val="44"/>
          <w:lang w:val="en-US" w:eastAsia="zh-CN"/>
        </w:rPr>
        <w:t>魏县县属国有</w:t>
      </w:r>
      <w:r>
        <w:rPr>
          <w:rFonts w:ascii="Times New Roman" w:eastAsia="方正小标宋_GBK" w:cs="Times New Roman" w:hAnsi="Times New Roman"/>
          <w:b w:val="0"/>
          <w:bCs w:val="0"/>
          <w:color w:val="000000"/>
          <w:spacing w:val="0"/>
          <w:kern w:val="0"/>
          <w:sz w:val="44"/>
          <w:szCs w:val="44"/>
          <w:lang w:val="en-US" w:eastAsia="zh-CN"/>
        </w:rPr>
        <w:t>企业资产评估管理办法</w:t>
      </w:r>
      <w:r>
        <w:rPr>
          <w:rFonts w:ascii="Times New Roman" w:eastAsia="方正小标宋_GBK" w:cs="Times New Roman" w:hAnsi="Times New Roman" w:hint="eastAsia"/>
          <w:b w:val="0"/>
          <w:bCs w:val="0"/>
          <w:color w:val="000000"/>
          <w:spacing w:val="0"/>
          <w:kern w:val="0"/>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jc w:val="center"/>
        <w:textAlignment w:val="auto"/>
        <w:rPr>
          <w:rFonts w:ascii="Times New Roman" w:eastAsia="方正黑体_GBK" w:cs="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第一章</w:t>
      </w:r>
      <w:r>
        <w:rPr>
          <w:rFonts w:ascii="Times New Roman" w:eastAsia="方正黑体_GBK" w:cs="Times New Roman" w:hAnsi="Times New Roman"/>
          <w:sz w:val="32"/>
          <w:szCs w:val="32"/>
          <w:lang w:val="en-US" w:eastAsia="zh-CN"/>
        </w:rPr>
        <w:t xml:space="preserve"> </w:t>
      </w:r>
      <w:r>
        <w:rPr>
          <w:rFonts w:ascii="Times New Roman" w:eastAsia="方正黑体_GBK" w:cs="Times New Roman" w:hAnsi="Times New Roman"/>
          <w:sz w:val="32"/>
          <w:szCs w:val="32"/>
        </w:rPr>
        <w:t xml:space="preserve"> 总  则</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第一条</w:t>
      </w:r>
      <w:r>
        <w:rPr>
          <w:rFonts w:ascii="Times New Roman" w:eastAsia="方正仿宋_GBK" w:cs="Times New Roman" w:hAnsi="Times New Roman"/>
          <w:sz w:val="32"/>
          <w:szCs w:val="32"/>
        </w:rPr>
        <w:t xml:space="preserve">  为规范监管企业资产评估行为，维护国有出资人权益，根据《中华人民共和国公司法》《中华人民共和国企业国有资产法》《企业国有资产监督管理暂行条例》《企业国有资产评估管理暂行办法》等法律法规，参照《</w:t>
      </w:r>
      <w:r>
        <w:rPr>
          <w:rFonts w:ascii="Times New Roman" w:eastAsia="方正仿宋_GBK" w:cs="Times New Roman" w:hAnsi="Times New Roman" w:hint="eastAsia"/>
          <w:sz w:val="32"/>
          <w:szCs w:val="32"/>
          <w:lang w:eastAsia="zh-CN"/>
        </w:rPr>
        <w:t>邯郸市</w:t>
      </w:r>
      <w:r>
        <w:rPr>
          <w:rFonts w:ascii="Times New Roman" w:eastAsia="方正仿宋_GBK" w:cs="Times New Roman" w:hAnsi="Times New Roman"/>
          <w:sz w:val="32"/>
          <w:szCs w:val="32"/>
        </w:rPr>
        <w:t>国资委监管企业资产评估</w:t>
      </w:r>
      <w:r>
        <w:rPr>
          <w:rFonts w:ascii="Times New Roman" w:eastAsia="方正仿宋_GBK" w:cs="Times New Roman" w:hAnsi="Times New Roman" w:hint="eastAsia"/>
          <w:sz w:val="32"/>
          <w:szCs w:val="32"/>
          <w:lang w:eastAsia="zh-CN"/>
        </w:rPr>
        <w:t>管理办法</w:t>
      </w:r>
      <w:r>
        <w:rPr>
          <w:rFonts w:ascii="Times New Roman" w:eastAsia="方正仿宋_GBK" w:cs="Times New Roman" w:hAnsi="Times New Roman"/>
          <w:sz w:val="32"/>
          <w:szCs w:val="32"/>
        </w:rPr>
        <w:t>》（〔202</w:t>
      </w:r>
      <w:r>
        <w:rPr>
          <w:rFonts w:ascii="Times New Roman" w:eastAsia="方正仿宋_GBK" w:cs="Times New Roman" w:hAnsi="Times New Roman" w:hint="eastAsia"/>
          <w:sz w:val="32"/>
          <w:szCs w:val="32"/>
          <w:lang w:val="en-US" w:eastAsia="zh-CN"/>
        </w:rPr>
        <w:t>6</w:t>
      </w:r>
      <w:r>
        <w:rPr>
          <w:rFonts w:ascii="Times New Roman" w:eastAsia="方正仿宋_GBK" w:cs="Times New Roman" w:hAnsi="Times New Roman"/>
          <w:sz w:val="32"/>
          <w:szCs w:val="32"/>
        </w:rPr>
        <w:t>〕1</w:t>
      </w:r>
      <w:r>
        <w:rPr>
          <w:rFonts w:ascii="Times New Roman" w:eastAsia="方正仿宋_GBK" w:cs="Times New Roman" w:hAnsi="Times New Roman" w:hint="eastAsia"/>
          <w:sz w:val="32"/>
          <w:szCs w:val="32"/>
          <w:lang w:val="en-US" w:eastAsia="zh-CN"/>
        </w:rPr>
        <w:t>2</w:t>
      </w:r>
      <w:r>
        <w:rPr>
          <w:rFonts w:ascii="Times New Roman" w:eastAsia="方正仿宋_GBK" w:cs="Times New Roman" w:hAnsi="Times New Roman"/>
          <w:sz w:val="32"/>
          <w:szCs w:val="32"/>
        </w:rPr>
        <w:t>号），结合我县属国有企业实际，制定本办法。</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 xml:space="preserve">第二条 </w:t>
      </w:r>
      <w:r>
        <w:rPr>
          <w:rFonts w:ascii="Times New Roman" w:eastAsia="方正仿宋_GBK" w:cs="Times New Roman" w:hAnsi="Times New Roman"/>
          <w:sz w:val="32"/>
          <w:szCs w:val="32"/>
        </w:rPr>
        <w:t xml:space="preserve"> 本办法适用于</w:t>
      </w:r>
      <w:r>
        <w:rPr>
          <w:rFonts w:ascii="Times New Roman" w:eastAsia="方正仿宋_GBK" w:cs="Times New Roman" w:hAnsi="Times New Roman" w:hint="eastAsia"/>
          <w:sz w:val="32"/>
          <w:szCs w:val="32"/>
          <w:lang w:eastAsia="zh-CN"/>
        </w:rPr>
        <w:t>县政府授权</w:t>
      </w:r>
      <w:r>
        <w:rPr>
          <w:rFonts w:ascii="Times New Roman" w:eastAsia="方正仿宋_GBK" w:cs="Times New Roman" w:hAnsi="Times New Roman"/>
          <w:sz w:val="32"/>
          <w:szCs w:val="32"/>
        </w:rPr>
        <w:t>履行出资人职责的</w:t>
      </w:r>
      <w:r>
        <w:rPr>
          <w:rFonts w:ascii="Times New Roman" w:eastAsia="方正仿宋_GBK" w:cs="Times New Roman" w:hAnsi="Times New Roman" w:hint="eastAsia"/>
          <w:sz w:val="32"/>
          <w:szCs w:val="32"/>
          <w:lang w:eastAsia="zh-CN"/>
        </w:rPr>
        <w:t>机构、部门所属</w:t>
      </w:r>
      <w:r>
        <w:rPr>
          <w:rFonts w:ascii="Times New Roman" w:eastAsia="方正仿宋_GBK" w:cs="Times New Roman" w:hAnsi="Times New Roman"/>
          <w:sz w:val="32"/>
          <w:szCs w:val="32"/>
        </w:rPr>
        <w:t>国有独资企业、国有全资企业、国有控股企业和国有实际控制企业（以下简称</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）及其所属各级独资、全资、控股和实际控制子企业（以下简称子企业）。</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第三条</w:t>
      </w:r>
      <w:r>
        <w:rPr>
          <w:rFonts w:ascii="Times New Roman" w:eastAsia="方正仿宋_GBK" w:cs="Times New Roman" w:hAnsi="Times New Roman"/>
          <w:sz w:val="32"/>
          <w:szCs w:val="32"/>
        </w:rPr>
        <w:t xml:space="preserve">  履行出资人职责的</w:t>
      </w:r>
      <w:r>
        <w:rPr>
          <w:rFonts w:ascii="Times New Roman" w:eastAsia="方正仿宋_GBK" w:cs="Times New Roman" w:hAnsi="Times New Roman" w:hint="eastAsia"/>
          <w:sz w:val="32"/>
          <w:szCs w:val="32"/>
          <w:lang w:eastAsia="zh-CN"/>
        </w:rPr>
        <w:t>机构、部门</w:t>
      </w:r>
      <w:r>
        <w:rPr>
          <w:rFonts w:ascii="Times New Roman" w:eastAsia="方正仿宋_GBK" w:cs="Times New Roman" w:hAnsi="Times New Roman"/>
          <w:sz w:val="32"/>
          <w:szCs w:val="32"/>
        </w:rPr>
        <w:t>负责指导和监督所属企业资产评估工作，负责规定权限范围内的资产评估项目核准或备案工作</w:t>
      </w:r>
      <w:bookmarkStart w:id="0" w:name="_GoBack"/>
      <w:bookmarkEnd w:id="0"/>
      <w:r>
        <w:rPr>
          <w:rFonts w:ascii="Times New Roman" w:eastAsia="方正仿宋_GBK" w:cs="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第四条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企业是本企业及子企业资产评估工作的责任主体，主要职责是：</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（一）执行国家、省</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市</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和履行出资人职责的</w:t>
      </w:r>
      <w:r>
        <w:rPr>
          <w:rFonts w:ascii="Times New Roman" w:eastAsia="方正仿宋_GBK" w:cs="Times New Roman" w:hAnsi="Times New Roman" w:hint="eastAsia"/>
          <w:sz w:val="32"/>
          <w:szCs w:val="32"/>
          <w:lang w:eastAsia="zh-CN"/>
        </w:rPr>
        <w:t>机构、部门</w:t>
      </w:r>
      <w:r>
        <w:rPr>
          <w:rFonts w:ascii="Times New Roman" w:eastAsia="方正仿宋_GBK" w:cs="Times New Roman" w:hAnsi="Times New Roman"/>
          <w:sz w:val="32"/>
          <w:szCs w:val="32"/>
        </w:rPr>
        <w:t>有关企业资产评估管理的相关规定，制定企业资产评估管理制度和办法；</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（二）对资产评估项目实施分类管理，综合考虑评估目的、评估标的资产规模、评估标的特点等因素，合理确定重大资产评估项目划分标准。原则上，企业对外并购股权项目应纳入重大资产评估项目；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（三）组织开展本企业及子企业资产评估工作；</w:t>
      </w:r>
    </w:p>
    <w:p>
      <w:pPr>
        <w:keepNext w:val="0"/>
        <w:keepLines w:val="0"/>
        <w:pageBreakBefore w:val="0"/>
        <w:widowControl w:val="0"/>
        <w:kinsoku/>
        <w:wordWrap/>
        <w:overflowPunct/>
        <w:topLinePunct w:val="0"/>
        <w:autoSpaceDE/>
        <w:autoSpaceDN/>
        <w:adjustRightInd/>
        <w:snapToGrid/>
        <w:spacing w:beforeAutospacing="0" w:after="0" w:afterAutospacing="0" w:line="560"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（四）负责规定权限范围内的资产评估项目备案工作，</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不得将备案权限层层下放。</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第二章</w:t>
      </w:r>
      <w:r>
        <w:rPr>
          <w:rFonts w:ascii="Times New Roman" w:eastAsia="方正黑体_GBK" w:cs="Times New Roman" w:hAnsi="Times New Roman" w:hint="eastAsia"/>
          <w:sz w:val="32"/>
          <w:szCs w:val="32"/>
          <w:lang w:val="en-US" w:eastAsia="zh-CN"/>
        </w:rPr>
        <w:t xml:space="preserve"> </w:t>
      </w:r>
      <w:r>
        <w:rPr>
          <w:rFonts w:ascii="Times New Roman" w:eastAsia="方正黑体_GBK" w:cs="Times New Roman" w:hAnsi="Times New Roman"/>
          <w:sz w:val="32"/>
          <w:szCs w:val="32"/>
        </w:rPr>
        <w:t xml:space="preserve"> 资产评估范围和要求</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第五条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企业发生以下经济行为时，依照相关法律和企业章程履行决策程序后，应当对涉及的相关资产进行评估：</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（一）整体或者部分改建为有限责任公司或者股份有限公司；</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（二）以非货币资产对外投资；</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（三）合并、分立、破产、解散；</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（四）非上市公司国有股东股权比例变动；</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（五）产权转让；</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（六）资产转让、置换、抵押、质押；</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（七）企业整体资产或者部分资产出租（营业执照载明出租资产作为经营范围的各类专业市场、商场、旅店等除外）；</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（八）以非货币资产偿还债务；</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（九）资产涉讼；</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（十）收购非国有单位的资产；</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（十一）接受非国有单位以非货币资产出资；</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（十二）接受非国有单位以非货币资产抵债；</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（十三）国家和省、市</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以及企业章程规定应当进行资产评估的其他情形。</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第六条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企业发生以下经济行为时，依照相关法律和企业章程履行决策程序后，可以聘请专业机构对相关标的进行估值：</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（一）标的为境外企业或资产的交易；</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（二）并购上市公司；</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标的为原创性技术、前沿性技术、涉密技术、“卡脖子”关键核心技术、战略性新兴产业企业，以及主要任务为研发首台（套）装备、首批次材料、首版次软件等产品且尚未形成稳定销售收入的企业的交易；</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企业管理基金按照市场惯例对外投资或转让所持股权；</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（五）标的为有限合伙企业份额的交易。</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第七条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企业发生以下经济行为时，依照相关法律和企业章程履行决策程序后，可以不对相关标的进行评估：</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（一）经批准对企业整体或部分产权、资产实施无偿划转；</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（二）履行出资人职责的机构</w:t>
      </w:r>
      <w:r>
        <w:rPr>
          <w:rFonts w:ascii="Times New Roman" w:eastAsia="方正仿宋_GBK" w:cs="Times New Roman" w:hAnsi="Times New Roman" w:hint="eastAsia"/>
          <w:sz w:val="32"/>
          <w:szCs w:val="32"/>
          <w:lang w:eastAsia="zh-CN"/>
        </w:rPr>
        <w:t>、部门</w:t>
      </w:r>
      <w:r>
        <w:rPr>
          <w:rFonts w:ascii="Times New Roman" w:eastAsia="方正仿宋_GBK" w:cs="Times New Roman" w:hAnsi="Times New Roman"/>
          <w:sz w:val="32"/>
          <w:szCs w:val="32"/>
        </w:rPr>
        <w:t>对国有独资、国有全资企业增资、减资；</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w:t>
      </w:r>
      <w:r>
        <w:rPr>
          <w:rFonts w:ascii="Times New Roman" w:eastAsia="方正仿宋_GBK" w:cs="Times New Roman" w:hAnsi="Times New Roman" w:hint="eastAsia"/>
          <w:sz w:val="32"/>
          <w:szCs w:val="32"/>
          <w:lang w:eastAsia="zh-CN"/>
        </w:rPr>
        <w:t>同一</w:t>
      </w:r>
      <w:r>
        <w:rPr>
          <w:rFonts w:ascii="Times New Roman" w:eastAsia="方正仿宋_GBK" w:cs="Times New Roman" w:hAnsi="Times New Roman"/>
          <w:sz w:val="32"/>
          <w:szCs w:val="32"/>
        </w:rPr>
        <w:t>履行出资人职责的机构</w:t>
      </w:r>
      <w:r>
        <w:rPr>
          <w:rFonts w:ascii="Times New Roman" w:eastAsia="方正仿宋_GBK" w:cs="Times New Roman" w:hAnsi="Times New Roman" w:hint="eastAsia"/>
          <w:sz w:val="32"/>
          <w:szCs w:val="32"/>
          <w:lang w:eastAsia="zh-CN"/>
        </w:rPr>
        <w:t>、部门所属</w:t>
      </w:r>
      <w:r>
        <w:rPr>
          <w:rFonts w:ascii="Times New Roman" w:eastAsia="方正仿宋_GBK" w:cs="Times New Roman" w:hAnsi="Times New Roman"/>
          <w:sz w:val="32"/>
          <w:szCs w:val="32"/>
        </w:rPr>
        <w:t>国有独资、国有全资企业之间进行交易；</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（四）企业原股东同比例增资、减资；</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（五）有限责任公司整体变更为股份有限公司或者股份有限公司变更为有限责任公司，股东及其持股比例不变；</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（六）</w:t>
      </w:r>
      <w:r>
        <w:rPr>
          <w:rFonts w:ascii="Times New Roman" w:eastAsia="方正仿宋_GBK" w:cs="Times New Roman" w:hAnsi="Times New Roman" w:hint="eastAsia"/>
          <w:sz w:val="32"/>
          <w:szCs w:val="32"/>
          <w:lang w:eastAsia="zh-CN"/>
        </w:rPr>
        <w:t>国有</w:t>
      </w:r>
      <w:r>
        <w:rPr>
          <w:rFonts w:ascii="Times New Roman" w:eastAsia="方正仿宋_GBK" w:cs="Times New Roman" w:hAnsi="Times New Roman"/>
          <w:sz w:val="32"/>
          <w:szCs w:val="32"/>
        </w:rPr>
        <w:t>企业与其独资、全资子企业之间，或独资、全资子企业之间以及股东及其持股比例完全相同的子企业之间进行交易；</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（七）解散注销未发生债务或已将债务清偿且不涉及非货币资产在不同股东之间分配的企业；</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（八）拟通过公开挂牌方式转让无法获取标的企业资料的参股股权。</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第八条</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lang w:eastAsia="zh-CN"/>
        </w:rPr>
        <w:t>国有</w:t>
      </w:r>
      <w:r>
        <w:rPr>
          <w:rFonts w:ascii="Times New Roman" w:eastAsia="方正仿宋_GBK" w:cs="Times New Roman" w:hAnsi="Times New Roman"/>
          <w:sz w:val="32"/>
          <w:szCs w:val="32"/>
        </w:rPr>
        <w:t>企业发生知识产权、科技成果、数据资产等资产转让、作价出资、收购等经济行为时，应当依据评估或估值结果作为定价参考依据。经咨询3家及以上专业机构，确难通过评估或估值方式对标的价值进行评定估算的，依照相关法律和企业章程履行决策程序后，可以通过挂牌交易、拍卖、询价、协议等方式确定交易价格，其中挂牌或拍卖底价可以参照其账面价值、历史投入成本等因素合理确定。</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第九条</w:t>
      </w:r>
      <w:r>
        <w:rPr>
          <w:rFonts w:ascii="Times New Roman" w:eastAsia="方正仿宋_GBK" w:cs="Times New Roman" w:hAnsi="Times New Roman"/>
          <w:sz w:val="32"/>
          <w:szCs w:val="32"/>
        </w:rPr>
        <w:t xml:space="preserve">  产权持有单位或资产占有单位在评估前，应当合理确定评估基准日，评估基准日的选择应与相应经济行为的实现日期接近。</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第十条</w:t>
      </w:r>
      <w:r>
        <w:rPr>
          <w:rFonts w:ascii="Times New Roman" w:eastAsia="方正仿宋_GBK" w:cs="Times New Roman" w:hAnsi="Times New Roman"/>
          <w:sz w:val="32"/>
          <w:szCs w:val="32"/>
        </w:rPr>
        <w:t xml:space="preserve">  企业改制资产评估项目的公示由改制企业的出资人组织实施，公示时间不少于5个工作日，公示地点为改制企业的主要办公场所。</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第十一条</w:t>
      </w:r>
      <w:r>
        <w:rPr>
          <w:rFonts w:ascii="Times New Roman" w:eastAsia="方正仿宋_GBK" w:cs="Times New Roman" w:hAnsi="Times New Roman"/>
          <w:sz w:val="32"/>
          <w:szCs w:val="32"/>
        </w:rPr>
        <w:t xml:space="preserve">  资产评估结果公示的主要内容包括：</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（一）资产评估结果汇总表；</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（二）企业各项长期投资的评估结果；</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（三）查询资产评估报告明细的地点或方式；</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（四）监督机构的联系方式。</w:t>
      </w:r>
    </w:p>
    <w:p>
      <w:pPr>
        <w:keepNext w:val="0"/>
        <w:keepLines w:val="0"/>
        <w:pageBreakBefore w:val="0"/>
        <w:widowControl w:val="0"/>
        <w:kinsoku/>
        <w:wordWrap/>
        <w:overflowPunct/>
        <w:topLinePunct w:val="0"/>
        <w:autoSpaceDE/>
        <w:autoSpaceDN/>
        <w:adjustRightInd/>
        <w:snapToGrid/>
        <w:spacing w:beforeAutospacing="0" w:after="0" w:afterAutospacing="0" w:line="560"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第十二条</w:t>
      </w:r>
      <w:r>
        <w:rPr>
          <w:rFonts w:ascii="Times New Roman" w:eastAsia="方正仿宋_GBK" w:cs="Times New Roman" w:hAnsi="Times New Roman"/>
          <w:sz w:val="32"/>
          <w:szCs w:val="32"/>
        </w:rPr>
        <w:t xml:space="preserve">  改制企业的出资人和评估机构应当及时妥善地对公示中发现的问题予以处理。公示收集到的意见应当作为资产评估项目申请核准或备案的附件资料。</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第三章  评估委托和选聘机构管理</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第十三条</w:t>
      </w:r>
      <w:r>
        <w:rPr>
          <w:rFonts w:ascii="Times New Roman" w:eastAsia="方正仿宋_GBK" w:cs="Times New Roman" w:hAnsi="Times New Roman"/>
          <w:sz w:val="32"/>
          <w:szCs w:val="32"/>
        </w:rPr>
        <w:t xml:space="preserve">  资产评估的委托主体为产权持有单位或资产占有单位。</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第十四条</w:t>
      </w:r>
      <w:r>
        <w:rPr>
          <w:rFonts w:ascii="Times New Roman" w:eastAsia="方正仿宋_GBK" w:cs="Times New Roman" w:hAnsi="Times New Roman"/>
          <w:sz w:val="32"/>
          <w:szCs w:val="32"/>
        </w:rPr>
        <w:t xml:space="preserve">  选聘单位选聘资产评估机构应当坚持公平、公正的原则，采取公开招标、邀请招标、竞争性谈判及其他能够充分了解资产评估机构胜任能力的选聘方式。</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第十五条</w:t>
      </w:r>
      <w:r>
        <w:rPr>
          <w:rFonts w:ascii="Times New Roman" w:eastAsia="方正仿宋_GBK" w:cs="Times New Roman" w:hAnsi="Times New Roman"/>
          <w:sz w:val="32"/>
          <w:szCs w:val="32"/>
        </w:rPr>
        <w:t xml:space="preserve">  选聘单位应当制定选聘文件，明确评估目的、评估对象及评估范围、评估基准日等项目基本信息、评价要素、具体评分标准等内容。</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评价要素应当包括但不限于资产评估费用报价、资产评估机构资质条件、执业诚信记录、内部管理和质量控制水平、工作方案、人力及其他资源配备、信息安全管理、风险承担能力、相关项目经验等内容。其中，质量控制水平的分值权重不应低于40%，重大资产评估项目的评估费用报价分值权重不应高于15%。</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 xml:space="preserve">第十六条  </w:t>
      </w:r>
      <w:r>
        <w:rPr>
          <w:rFonts w:ascii="Times New Roman" w:eastAsia="方正仿宋_GBK" w:cs="Times New Roman" w:hAnsi="Times New Roman"/>
          <w:sz w:val="32"/>
          <w:szCs w:val="32"/>
        </w:rPr>
        <w:t>参加选聘的评估机构按照公告要求，在规定时间内将应聘资料报送选聘单位或受托组织选聘工作的招投标机构，并按照评估单位的工作要求作出保密等相关承诺。</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第十七条</w:t>
      </w:r>
      <w:r>
        <w:rPr>
          <w:rFonts w:ascii="Times New Roman" w:eastAsia="方正仿宋_GBK" w:cs="Times New Roman" w:hAnsi="Times New Roman"/>
          <w:sz w:val="32"/>
          <w:szCs w:val="32"/>
        </w:rPr>
        <w:t xml:space="preserve">  评估机构应在接到中聘通知后10个工作日内，与选聘单位签订业务约定书；逾期不签订的，视为弃权。</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选聘单位对选聘、应聘、评审、受聘文件和相关决策资料应当妥善归档保存，不得伪造、变造、隐匿或者销毁。文件资料保存期限为选聘结束之日起至少10年。</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第十八条</w:t>
      </w:r>
      <w:r>
        <w:rPr>
          <w:rFonts w:ascii="Times New Roman" w:eastAsia="方正仿宋_GBK" w:cs="Times New Roman" w:hAnsi="Times New Roman"/>
          <w:sz w:val="32"/>
          <w:szCs w:val="32"/>
        </w:rPr>
        <w:t xml:space="preserve">  有下列情形之一的，经</w:t>
      </w:r>
      <w:r>
        <w:rPr>
          <w:rFonts w:ascii="Times New Roman" w:eastAsia="方正仿宋_GBK" w:cs="Times New Roman" w:hAnsi="Times New Roman" w:hint="eastAsia"/>
          <w:sz w:val="32"/>
          <w:szCs w:val="32"/>
          <w:lang w:eastAsia="zh-CN"/>
        </w:rPr>
        <w:t>履行出资人的机构、部门审核后报县政府</w:t>
      </w:r>
      <w:r>
        <w:rPr>
          <w:rFonts w:ascii="Times New Roman" w:eastAsia="方正仿宋_GBK" w:cs="Times New Roman" w:hAnsi="Times New Roman"/>
          <w:sz w:val="32"/>
          <w:szCs w:val="32"/>
        </w:rPr>
        <w:t>批准，可以采取邀请招标、竞争性谈判、比选指定等简易方式选择确定评估机构：</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（一）涉及国家机密或重要商业秘密的项目；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（二）证券期货业务等具有行业特殊规定，对中介机构的资质有特殊要求的项目；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政府决定的时间要求紧急的项目；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（四）其他情况特殊的评估业务。</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第四章  评估核准和备案管理</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第十九条</w:t>
      </w:r>
      <w:r>
        <w:rPr>
          <w:rFonts w:ascii="Times New Roman" w:eastAsia="方正仿宋_GBK" w:cs="Times New Roman" w:hAnsi="Times New Roman"/>
          <w:sz w:val="32"/>
          <w:szCs w:val="32"/>
        </w:rPr>
        <w:t xml:space="preserve">  国有资产评估项目实行核准制和备案制。经核准或备案的资产评估结果使用有效期为自评估基准日起一年。</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第二十条</w:t>
      </w:r>
      <w:r>
        <w:rPr>
          <w:rFonts w:ascii="Times New Roman" w:eastAsia="方正仿宋_GBK" w:cs="Times New Roman" w:hAnsi="Times New Roman"/>
          <w:sz w:val="32"/>
          <w:szCs w:val="32"/>
        </w:rPr>
        <w:t xml:space="preserve">  评估项目核准备案工作</w:t>
      </w:r>
      <w:r>
        <w:rPr>
          <w:rFonts w:ascii="Times New Roman" w:eastAsia="方正仿宋_GBK" w:cs="Times New Roman" w:hAnsi="Times New Roman" w:hint="eastAsia"/>
          <w:sz w:val="32"/>
          <w:szCs w:val="32"/>
          <w:lang w:eastAsia="zh-CN"/>
        </w:rPr>
        <w:t>由履行出资人的机构、部门</w:t>
      </w:r>
      <w:r>
        <w:rPr>
          <w:rFonts w:ascii="Times New Roman" w:eastAsia="方正仿宋_GBK" w:cs="Times New Roman" w:hAnsi="Times New Roman"/>
          <w:sz w:val="32"/>
          <w:szCs w:val="32"/>
        </w:rPr>
        <w:t>管理。其中，经</w:t>
      </w:r>
      <w:r>
        <w:rPr>
          <w:rFonts w:ascii="Times New Roman" w:eastAsia="方正仿宋_GBK" w:cs="Times New Roman" w:hAnsi="Times New Roman" w:hint="eastAsia"/>
          <w:sz w:val="32"/>
          <w:szCs w:val="32"/>
          <w:lang w:eastAsia="zh-CN"/>
        </w:rPr>
        <w:t>县</w:t>
      </w:r>
      <w:r>
        <w:rPr>
          <w:rFonts w:ascii="Times New Roman" w:eastAsia="方正仿宋_GBK" w:cs="Times New Roman" w:hAnsi="Times New Roman"/>
          <w:sz w:val="32"/>
          <w:szCs w:val="32"/>
        </w:rPr>
        <w:t>政府批准经济行为的事项涉及的资产评估项目，由</w:t>
      </w:r>
      <w:r>
        <w:rPr>
          <w:rFonts w:ascii="Times New Roman" w:eastAsia="方正仿宋_GBK" w:cs="Times New Roman" w:hAnsi="Times New Roman" w:hint="eastAsia"/>
          <w:sz w:val="32"/>
          <w:szCs w:val="32"/>
          <w:lang w:eastAsia="zh-CN"/>
        </w:rPr>
        <w:t>履行出资人的机构、部门</w:t>
      </w:r>
      <w:r>
        <w:rPr>
          <w:rFonts w:ascii="Times New Roman" w:eastAsia="方正仿宋_GBK" w:cs="Times New Roman" w:hAnsi="Times New Roman"/>
          <w:sz w:val="32"/>
          <w:szCs w:val="32"/>
        </w:rPr>
        <w:t>负责</w:t>
      </w:r>
      <w:r>
        <w:rPr>
          <w:rFonts w:ascii="Times New Roman" w:eastAsia="方正仿宋_GBK" w:cs="Times New Roman" w:hAnsi="Times New Roman" w:hint="eastAsia"/>
          <w:sz w:val="32"/>
          <w:szCs w:val="32"/>
          <w:lang w:eastAsia="zh-CN"/>
        </w:rPr>
        <w:t>备案</w:t>
      </w:r>
      <w:r>
        <w:rPr>
          <w:rFonts w:ascii="Times New Roman" w:eastAsia="方正仿宋_GBK" w:cs="Times New Roman" w:hAnsi="Times New Roman"/>
          <w:sz w:val="32"/>
          <w:szCs w:val="32"/>
        </w:rPr>
        <w:t>；经</w:t>
      </w:r>
      <w:r>
        <w:rPr>
          <w:rFonts w:ascii="Times New Roman" w:eastAsia="方正仿宋_GBK" w:cs="Times New Roman" w:hAnsi="Times New Roman" w:hint="eastAsia"/>
          <w:sz w:val="32"/>
          <w:szCs w:val="32"/>
          <w:lang w:eastAsia="zh-CN"/>
        </w:rPr>
        <w:t>履行出资人的机构、部门</w:t>
      </w:r>
      <w:r>
        <w:rPr>
          <w:rFonts w:ascii="Times New Roman" w:eastAsia="方正仿宋_GBK" w:cs="Times New Roman" w:hAnsi="Times New Roman"/>
          <w:sz w:val="32"/>
          <w:szCs w:val="32"/>
        </w:rPr>
        <w:t>批准经济行为的事项涉及的资产评估项目，由</w:t>
      </w:r>
      <w:r>
        <w:rPr>
          <w:rFonts w:ascii="Times New Roman" w:eastAsia="方正仿宋_GBK" w:cs="Times New Roman" w:hAnsi="Times New Roman" w:hint="eastAsia"/>
          <w:sz w:val="32"/>
          <w:szCs w:val="32"/>
          <w:lang w:eastAsia="zh-CN"/>
        </w:rPr>
        <w:t>履行出资人的机构、部门</w:t>
      </w:r>
      <w:r>
        <w:rPr>
          <w:rFonts w:ascii="Times New Roman" w:eastAsia="方正仿宋_GBK" w:cs="Times New Roman" w:hAnsi="Times New Roman"/>
          <w:sz w:val="32"/>
          <w:szCs w:val="32"/>
        </w:rPr>
        <w:t>负责备案；经</w:t>
      </w:r>
      <w:r>
        <w:rPr>
          <w:rFonts w:ascii="Times New Roman" w:eastAsia="方正仿宋_GBK" w:cs="Times New Roman" w:hAnsi="Times New Roman" w:hint="eastAsia"/>
          <w:sz w:val="32"/>
          <w:szCs w:val="32"/>
          <w:lang w:eastAsia="zh-CN"/>
        </w:rPr>
        <w:t>县属企业</w:t>
      </w:r>
      <w:r>
        <w:rPr>
          <w:rFonts w:ascii="Times New Roman" w:eastAsia="方正仿宋_GBK" w:cs="Times New Roman" w:hAnsi="Times New Roman"/>
          <w:sz w:val="32"/>
          <w:szCs w:val="32"/>
        </w:rPr>
        <w:t>及其各级子企业批准经济行为的事项涉及的资产评估项目，由</w:t>
      </w:r>
      <w:r>
        <w:rPr>
          <w:rFonts w:ascii="Times New Roman" w:eastAsia="方正仿宋_GBK" w:cs="Times New Roman" w:hAnsi="Times New Roman" w:hint="eastAsia"/>
          <w:sz w:val="32"/>
          <w:szCs w:val="32"/>
          <w:lang w:eastAsia="zh-CN"/>
        </w:rPr>
        <w:t>履行出资人的机构、部门</w:t>
      </w:r>
      <w:r>
        <w:rPr>
          <w:rFonts w:ascii="Times New Roman" w:eastAsia="方正仿宋_GBK" w:cs="Times New Roman" w:hAnsi="Times New Roman"/>
          <w:sz w:val="32"/>
          <w:szCs w:val="32"/>
        </w:rPr>
        <w:t>负责</w:t>
      </w:r>
      <w:r>
        <w:rPr>
          <w:rFonts w:ascii="Times New Roman" w:eastAsia="方正仿宋_GBK" w:cs="Times New Roman" w:hAnsi="Times New Roman" w:hint="eastAsia"/>
          <w:sz w:val="32"/>
          <w:szCs w:val="32"/>
          <w:lang w:eastAsia="zh-CN"/>
        </w:rPr>
        <w:t>核准</w:t>
      </w:r>
      <w:r>
        <w:rPr>
          <w:rFonts w:ascii="Times New Roman" w:eastAsia="方正仿宋_GBK" w:cs="Times New Roman" w:hAnsi="Times New Roman"/>
          <w:sz w:val="32"/>
          <w:szCs w:val="32"/>
        </w:rPr>
        <w:t>备案。</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第二十一条</w:t>
      </w:r>
      <w:r>
        <w:rPr>
          <w:rFonts w:ascii="Times New Roman" w:eastAsia="方正仿宋_GBK" w:cs="Times New Roman" w:hAnsi="Times New Roman"/>
          <w:sz w:val="32"/>
          <w:szCs w:val="32"/>
        </w:rPr>
        <w:t xml:space="preserve">  多个国有股东对同一评估对象发生相同经济行为时，经协商一致可以签订书面协议，明确由其中一方委托专业机构评估或估值，并依照其产权关系办理核准或备案手续。</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第二十二条</w:t>
      </w:r>
      <w:r>
        <w:rPr>
          <w:rFonts w:ascii="Times New Roman" w:eastAsia="方正仿宋_GBK" w:cs="Times New Roman" w:hAnsi="Times New Roman"/>
          <w:sz w:val="32"/>
          <w:szCs w:val="32"/>
        </w:rPr>
        <w:t xml:space="preserve">  实行核准</w:t>
      </w:r>
      <w:r>
        <w:rPr>
          <w:rFonts w:ascii="Times New Roman" w:eastAsia="方正仿宋_GBK" w:cs="Times New Roman" w:hAnsi="Times New Roman" w:hint="eastAsia"/>
          <w:sz w:val="32"/>
          <w:szCs w:val="32"/>
          <w:lang w:eastAsia="zh-CN"/>
        </w:rPr>
        <w:t>备案</w:t>
      </w:r>
      <w:r>
        <w:rPr>
          <w:rFonts w:ascii="Times New Roman" w:eastAsia="方正仿宋_GBK" w:cs="Times New Roman" w:hAnsi="Times New Roman"/>
          <w:sz w:val="32"/>
          <w:szCs w:val="32"/>
        </w:rPr>
        <w:t>的资产评估项目，应在评估基准日起</w:t>
      </w:r>
      <w:r>
        <w:rPr>
          <w:rFonts w:ascii="Times New Roman" w:eastAsia="方正仿宋_GBK" w:cs="Times New Roman" w:hAnsi="Times New Roman" w:hint="eastAsia"/>
          <w:sz w:val="32"/>
          <w:szCs w:val="32"/>
          <w:lang w:val="en-US" w:eastAsia="zh-CN"/>
        </w:rPr>
        <w:t>9</w:t>
      </w:r>
      <w:r>
        <w:rPr>
          <w:rFonts w:ascii="Times New Roman" w:eastAsia="方正仿宋_GBK" w:cs="Times New Roman" w:hAnsi="Times New Roman"/>
          <w:sz w:val="32"/>
          <w:szCs w:val="32"/>
        </w:rPr>
        <w:t>个月内将核准申请材料逐级上报</w:t>
      </w:r>
      <w:r>
        <w:rPr>
          <w:rFonts w:ascii="Times New Roman" w:eastAsia="方正仿宋_GBK" w:cs="Times New Roman" w:hAnsi="Times New Roman" w:hint="eastAsia"/>
          <w:sz w:val="32"/>
          <w:szCs w:val="32"/>
          <w:lang w:eastAsia="zh-CN"/>
        </w:rPr>
        <w:t>履行出资人的机构、部门</w:t>
      </w:r>
      <w:r>
        <w:rPr>
          <w:rFonts w:ascii="Times New Roman" w:eastAsia="方正仿宋_GBK" w:cs="Times New Roman" w:hAnsi="Times New Roman"/>
          <w:sz w:val="32"/>
          <w:szCs w:val="32"/>
        </w:rPr>
        <w:t>;实行备案的资产评估项目。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lang w:eastAsia="zh-CN"/>
        </w:rPr>
        <w:t>县属</w:t>
      </w:r>
      <w:r>
        <w:rPr>
          <w:rFonts w:ascii="Times New Roman" w:eastAsia="方正仿宋_GBK" w:cs="Times New Roman" w:hAnsi="Times New Roman"/>
          <w:sz w:val="32"/>
          <w:szCs w:val="32"/>
        </w:rPr>
        <w:t>企业上报前应对需要核准或备案的资产评估报告进行审核，并对资产评估报告的合规性承担审核责任；申请核准、备案时应如实提供相关评估材料，并对资料的真实性、完整性和有效性承担相应的法律责任。</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第二十三条</w:t>
      </w:r>
      <w:r>
        <w:rPr>
          <w:rFonts w:ascii="Times New Roman" w:eastAsia="方正仿宋_GBK" w:cs="Times New Roman" w:hAnsi="Times New Roman"/>
          <w:sz w:val="32"/>
          <w:szCs w:val="32"/>
        </w:rPr>
        <w:t xml:space="preserve">  账面原值高于10万元的必须评估备案，账面原值低于10万元的不强制要求评估备案，但是土地、</w:t>
      </w:r>
      <w:r>
        <w:rPr>
          <w:rFonts w:ascii="Times New Roman" w:eastAsia="方正仿宋_GBK" w:cs="Times New Roman" w:hAnsi="Times New Roman" w:hint="eastAsia"/>
          <w:sz w:val="32"/>
          <w:szCs w:val="32"/>
          <w:lang w:eastAsia="zh-CN"/>
        </w:rPr>
        <w:t>房屋、</w:t>
      </w:r>
      <w:r>
        <w:rPr>
          <w:rFonts w:ascii="Times New Roman" w:eastAsia="方正仿宋_GBK" w:cs="Times New Roman" w:hAnsi="Times New Roman"/>
          <w:sz w:val="32"/>
          <w:szCs w:val="32"/>
        </w:rPr>
        <w:t>商誉、无形资产等除外。</w:t>
      </w:r>
    </w:p>
    <w:p>
      <w:pPr>
        <w:keepNext w:val="0"/>
        <w:keepLines w:val="0"/>
        <w:pageBreakBefore w:val="0"/>
        <w:widowControl w:val="0"/>
        <w:kinsoku/>
        <w:wordWrap/>
        <w:overflowPunct/>
        <w:topLinePunct w:val="0"/>
        <w:autoSpaceDE/>
        <w:autoSpaceDN/>
        <w:adjustRightInd/>
        <w:snapToGrid/>
        <w:spacing w:beforeAutospacing="0" w:after="0" w:afterAutospacing="0" w:line="560"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第二十四条</w:t>
      </w:r>
      <w:r>
        <w:rPr>
          <w:rFonts w:ascii="Times New Roman" w:eastAsia="方正仿宋_GBK" w:cs="Times New Roman" w:hAnsi="Times New Roman"/>
          <w:sz w:val="32"/>
          <w:szCs w:val="32"/>
        </w:rPr>
        <w:t xml:space="preserve">  资产评估项目核准文件、资产评估项目备案表是实施对应经济行为的必备文件。未经核准或备案的资产评估结果不得使用。当交易价格低于评估结果90%、对外收购标的价格高于评估结果110%时，应获得</w:t>
      </w:r>
      <w:r>
        <w:rPr>
          <w:rFonts w:ascii="Times New Roman" w:eastAsia="方正仿宋_GBK" w:cs="Times New Roman" w:hAnsi="Times New Roman" w:hint="eastAsia"/>
          <w:sz w:val="32"/>
          <w:szCs w:val="32"/>
          <w:lang w:eastAsia="zh-CN"/>
        </w:rPr>
        <w:t>县政府或履行出资人的机构、部门</w:t>
      </w:r>
      <w:r>
        <w:rPr>
          <w:rFonts w:ascii="Times New Roman" w:eastAsia="方正仿宋_GBK" w:cs="Times New Roman" w:hAnsi="Times New Roman"/>
          <w:sz w:val="32"/>
          <w:szCs w:val="32"/>
        </w:rPr>
        <w:t>同意后方可继续进行。</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jc w:val="center"/>
        <w:textAlignment w:val="auto"/>
        <w:rPr>
          <w:rFonts w:ascii="Times New Roman" w:eastAsia="方正黑体_GBK" w:cs="Times New Roman" w:hAnsi="Times New Roman"/>
          <w:sz w:val="32"/>
          <w:szCs w:val="32"/>
        </w:rPr>
      </w:pPr>
      <w:r>
        <w:rPr>
          <w:rFonts w:ascii="Times New Roman" w:eastAsia="方正黑体_GBK" w:cs="Times New Roman" w:hAnsi="Times New Roman"/>
          <w:sz w:val="32"/>
          <w:szCs w:val="32"/>
        </w:rPr>
        <w:t>第五章  监督管理及责任追究</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第二十五条</w:t>
      </w:r>
      <w:r>
        <w:rPr>
          <w:rFonts w:ascii="Times New Roman" w:eastAsia="方正仿宋_GBK" w:cs="Times New Roman" w:hAnsi="Times New Roman"/>
          <w:sz w:val="32"/>
          <w:szCs w:val="32"/>
        </w:rPr>
        <w:t xml:space="preserve">  履行出资人职责机构</w:t>
      </w:r>
      <w:r>
        <w:rPr>
          <w:rFonts w:ascii="Times New Roman" w:eastAsia="方正仿宋_GBK" w:cs="Times New Roman" w:hAnsi="Times New Roman" w:hint="eastAsia"/>
          <w:sz w:val="32"/>
          <w:szCs w:val="32"/>
          <w:lang w:eastAsia="zh-CN"/>
        </w:rPr>
        <w:t>、部门</w:t>
      </w:r>
      <w:r>
        <w:rPr>
          <w:rFonts w:ascii="Times New Roman" w:eastAsia="方正仿宋_GBK" w:cs="Times New Roman" w:hAnsi="Times New Roman"/>
          <w:sz w:val="32"/>
          <w:szCs w:val="32"/>
        </w:rPr>
        <w:t>建立资产评估工作监督检查机制，定期或不定期对企业国有资产评估项目进行检查，检查结果作为质量评价的主要依据，并通报检查结果。相关企业、机构应当积极配合检查工作。</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第二十六条</w:t>
      </w:r>
      <w:r>
        <w:rPr>
          <w:rFonts w:ascii="Times New Roman" w:eastAsia="方正仿宋_GBK" w:cs="Times New Roman" w:hAnsi="Times New Roman"/>
          <w:sz w:val="32"/>
          <w:szCs w:val="32"/>
        </w:rPr>
        <w:t xml:space="preserve">  产权持有单位或资产占有单位有下列情形之一的，不予办理核准或备案手续；已经办理的，该评估结果也不得作为对应经济行为的实施依据；评估工作尚未完成的，应当中止。必要时可依法向法院提起诉讼，确认其相应的经济行为无效。</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（一）应当进行资产评估而未进行评估；</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（二）未按有关规定选聘评估机构，或者聘请的评估机构不符合相应资质条件；</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（三）未按规定向评估机构提供相关的评估资料、提供虚假情况或资料、或者与评估机构串通作弊，导致评估结果失实或引起相应的法律责任；</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（四）未按规定公示资产评估结果；</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（五）未按规定办理核准或备案手续；</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（六）违反本办法的其他行为。</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有前款情形之一的，履行出资人职责机构</w:t>
      </w:r>
      <w:r>
        <w:rPr>
          <w:rFonts w:ascii="Times New Roman" w:eastAsia="方正仿宋_GBK" w:cs="Times New Roman" w:hAnsi="Times New Roman" w:hint="eastAsia"/>
          <w:sz w:val="32"/>
          <w:szCs w:val="32"/>
          <w:lang w:eastAsia="zh-CN"/>
        </w:rPr>
        <w:t>、部门</w:t>
      </w:r>
      <w:r>
        <w:rPr>
          <w:rFonts w:ascii="Times New Roman" w:eastAsia="方正仿宋_GBK" w:cs="Times New Roman" w:hAnsi="Times New Roman"/>
          <w:sz w:val="32"/>
          <w:szCs w:val="32"/>
        </w:rPr>
        <w:t>应责令改正并通报批评；属于国家工作人员的，依法给予处分；造成国有资产损失的，依法承担赔偿责任；造成国有资产重大损失的，依法予以免职或提出免职建议；涉嫌犯罪的，依法移送司法机关处理。</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第二十七条</w:t>
      </w:r>
      <w:r>
        <w:rPr>
          <w:rFonts w:ascii="Times New Roman" w:eastAsia="方正仿宋_GBK" w:cs="Times New Roman" w:hAnsi="Times New Roman"/>
          <w:sz w:val="32"/>
          <w:szCs w:val="32"/>
        </w:rPr>
        <w:t xml:space="preserve">  评估机构和注册资产评估师对评估结果承担相应的法律责任。</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sz w:val="32"/>
          <w:szCs w:val="32"/>
        </w:rPr>
        <w:t>评估机构和注册资产评估师对评估资料不全导致无法合理评估的，应当以书面形式要求产权持有单位或资产占有单位提供或说明；未要求产权持有单位或资产占有单位提供（或虽要求提供，但企业未提供，资产评估报告中也未说明的），并由此导致评估失实或引起相应的法律纠纷的，由评估机构和注册资产评估师承担相应的法律责任。</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Chars="200" w:firstLine="640"/>
        <w:textAlignment w:val="auto"/>
        <w:rPr>
          <w:rFonts w:ascii="Times New Roman" w:eastAsia="方正仿宋_GBK" w:cs="Times New Roman" w:hAnsi="Times New Roman"/>
          <w:sz w:val="32"/>
          <w:szCs w:val="32"/>
        </w:rPr>
      </w:pPr>
      <w:r>
        <w:rPr>
          <w:rFonts w:ascii="Times New Roman" w:eastAsia="方正仿宋_GBK" w:cs="Times New Roman" w:hAnsi="Times New Roman"/>
          <w:b/>
          <w:bCs/>
          <w:sz w:val="32"/>
          <w:szCs w:val="32"/>
        </w:rPr>
        <w:t>第二十八条</w:t>
      </w:r>
      <w:r>
        <w:rPr>
          <w:rFonts w:ascii="Times New Roman" w:eastAsia="方正仿宋_GBK" w:cs="Times New Roman" w:hAnsi="Times New Roman"/>
          <w:sz w:val="32"/>
          <w:szCs w:val="32"/>
        </w:rPr>
        <w:t xml:space="preserve">  评估机构及其注册资产评估师在资产评估过程中违法违规执业的，履行出资人职责机构</w:t>
      </w:r>
      <w:r>
        <w:rPr>
          <w:rFonts w:ascii="Times New Roman" w:eastAsia="方正仿宋_GBK" w:cs="Times New Roman" w:hAnsi="Times New Roman" w:hint="eastAsia"/>
          <w:sz w:val="32"/>
          <w:szCs w:val="32"/>
          <w:lang w:eastAsia="zh-CN"/>
        </w:rPr>
        <w:t>、部门</w:t>
      </w:r>
      <w:r>
        <w:rPr>
          <w:rFonts w:ascii="Times New Roman" w:eastAsia="方正仿宋_GBK" w:cs="Times New Roman" w:hAnsi="Times New Roman"/>
          <w:sz w:val="32"/>
          <w:szCs w:val="32"/>
        </w:rPr>
        <w:t>限制其开展国资项目业务，并将有关情况通报其行业主管部门，建议给予相应处罚；造成国有资产损失的，依法承担赔偿责任；涉嫌犯罪的，依法移送司法机关处理。</w:t>
      </w:r>
    </w:p>
    <w:p>
      <w:pPr>
        <w:overflowPunct w:val="0"/>
        <w:spacing w:beforeAutospacing="0" w:after="0" w:afterAutospacing="0" w:line="560" w:lineRule="exact"/>
        <w:ind w:left="0" w:firstLineChars="200" w:firstLine="640"/>
        <w:rPr>
          <w:rFonts w:ascii="仿宋_GB2312" w:eastAsia="仿宋_GB2312" w:cs="仿宋_GB2312" w:hAnsi="宋体" w:hint="eastAsia"/>
          <w:bCs/>
          <w:color w:val="000000"/>
          <w:spacing w:val="6"/>
          <w:kern w:val="0"/>
          <w:sz w:val="32"/>
          <w:szCs w:val="32"/>
        </w:rPr>
      </w:pPr>
      <w:r>
        <w:rPr>
          <w:rFonts w:ascii="仿宋_GB2312" w:eastAsia="仿宋_GB2312" w:cs="仿宋_GB2312" w:hAnsi="宋体" w:hint="eastAsia"/>
          <w:b/>
          <w:bCs/>
          <w:color w:val="000000"/>
          <w:sz w:val="32"/>
          <w:szCs w:val="32"/>
          <w:lang w:eastAsia="zh-CN"/>
        </w:rPr>
        <w:t>第</w:t>
      </w:r>
      <w:r>
        <w:rPr>
          <w:rFonts w:ascii="仿宋_GB2312" w:eastAsia="仿宋_GB2312" w:cs="仿宋_GB2312" w:hAnsi="宋体"/>
          <w:b/>
          <w:bCs/>
          <w:color w:val="000000"/>
          <w:sz w:val="32"/>
          <w:szCs w:val="32"/>
          <w:lang w:eastAsia="zh-CN"/>
        </w:rPr>
        <w:t>二十九</w:t>
      </w:r>
      <w:r>
        <w:rPr>
          <w:rFonts w:ascii="仿宋_GB2312" w:eastAsia="仿宋_GB2312" w:cs="仿宋_GB2312" w:hAnsi="宋体" w:hint="eastAsia"/>
          <w:b/>
          <w:bCs/>
          <w:color w:val="000000"/>
          <w:sz w:val="32"/>
          <w:szCs w:val="32"/>
          <w:lang w:eastAsia="zh-CN"/>
        </w:rPr>
        <w:t>条</w:t>
      </w:r>
      <w:r>
        <w:rPr>
          <w:rFonts w:ascii="仿宋_GB2312" w:eastAsia="仿宋_GB2312" w:cs="仿宋_GB2312" w:hAnsi="宋体" w:hint="eastAsia"/>
          <w:b/>
          <w:bCs/>
          <w:color w:val="000000"/>
          <w:sz w:val="32"/>
          <w:szCs w:val="32"/>
          <w:lang w:val="en-US" w:eastAsia="zh-CN"/>
        </w:rPr>
        <w:t xml:space="preserve"> </w:t>
      </w:r>
      <w:r>
        <w:rPr>
          <w:rFonts w:ascii="仿宋_GB2312" w:eastAsia="仿宋_GB2312" w:cs="仿宋_GB2312" w:hAnsi="宋体" w:hint="eastAsia"/>
          <w:color w:val="000000"/>
          <w:sz w:val="32"/>
          <w:szCs w:val="32"/>
          <w:lang w:val="en-US" w:eastAsia="zh-CN"/>
        </w:rPr>
        <w:t xml:space="preserve"> </w:t>
      </w:r>
      <w:r>
        <w:rPr>
          <w:rFonts w:ascii="仿宋_GB2312" w:eastAsia="仿宋_GB2312" w:cs="仿宋_GB2312" w:hAnsi="宋体" w:hint="eastAsia"/>
          <w:bCs/>
          <w:color w:val="000000"/>
          <w:spacing w:val="6"/>
          <w:kern w:val="0"/>
          <w:sz w:val="32"/>
          <w:szCs w:val="32"/>
        </w:rPr>
        <w:t>本办法未尽事宜，以国家、省、</w:t>
      </w:r>
      <w:r>
        <w:rPr>
          <w:rFonts w:ascii="仿宋_GB2312" w:eastAsia="仿宋_GB2312" w:cs="仿宋_GB2312" w:hAnsi="宋体"/>
          <w:bCs/>
          <w:color w:val="000000"/>
          <w:spacing w:val="6"/>
          <w:kern w:val="0"/>
          <w:sz w:val="32"/>
          <w:szCs w:val="32"/>
        </w:rPr>
        <w:t>市、</w:t>
      </w:r>
      <w:r>
        <w:rPr>
          <w:rFonts w:ascii="仿宋_GB2312" w:eastAsia="仿宋_GB2312" w:cs="仿宋_GB2312" w:hAnsi="宋体" w:hint="eastAsia"/>
          <w:bCs/>
          <w:color w:val="000000"/>
          <w:spacing w:val="6"/>
          <w:kern w:val="0"/>
          <w:sz w:val="32"/>
          <w:szCs w:val="32"/>
          <w:lang w:eastAsia="zh-CN"/>
        </w:rPr>
        <w:t>县</w:t>
      </w:r>
      <w:r>
        <w:rPr>
          <w:rFonts w:ascii="仿宋_GB2312" w:eastAsia="仿宋_GB2312" w:cs="仿宋_GB2312" w:hAnsi="宋体" w:hint="eastAsia"/>
          <w:bCs/>
          <w:color w:val="000000"/>
          <w:spacing w:val="6"/>
          <w:kern w:val="0"/>
          <w:sz w:val="32"/>
          <w:szCs w:val="32"/>
        </w:rPr>
        <w:t>有关规定为准。</w:t>
      </w:r>
    </w:p>
    <w:p>
      <w:pPr>
        <w:pStyle w:val="16"/>
        <w:spacing w:beforeAutospacing="0" w:after="0" w:afterAutospacing="0" w:line="560" w:lineRule="exact"/>
        <w:ind w:leftChars="0" w:left="0" w:firstLineChars="200" w:firstLine="640"/>
        <w:rPr>
          <w:rFonts w:ascii="仿宋_GB2312" w:eastAsia="仿宋_GB2312" w:cs="仿宋_GB2312" w:hAnsi="宋体" w:hint="eastAsia"/>
          <w:sz w:val="32"/>
          <w:szCs w:val="32"/>
        </w:rPr>
      </w:pPr>
      <w:r>
        <w:rPr>
          <w:rFonts w:ascii="仿宋_GB2312" w:eastAsia="仿宋_GB2312" w:cs="仿宋_GB2312" w:hAnsi="宋体" w:hint="eastAsia"/>
          <w:b/>
          <w:bCs/>
          <w:color w:val="000000"/>
          <w:sz w:val="32"/>
          <w:szCs w:val="32"/>
          <w:lang w:eastAsia="zh-CN"/>
        </w:rPr>
        <w:t>第三十条</w:t>
      </w:r>
      <w:r>
        <w:rPr>
          <w:rFonts w:ascii="仿宋_GB2312" w:eastAsia="仿宋_GB2312" w:cs="仿宋_GB2312" w:hAnsi="宋体" w:hint="eastAsia"/>
          <w:b/>
          <w:bCs/>
          <w:color w:val="000000"/>
          <w:sz w:val="32"/>
          <w:szCs w:val="32"/>
          <w:lang w:val="en-US" w:eastAsia="zh-CN"/>
        </w:rPr>
        <w:t xml:space="preserve">  </w:t>
      </w:r>
      <w:r>
        <w:rPr>
          <w:rFonts w:ascii="仿宋_GB2312" w:eastAsia="仿宋_GB2312" w:cs="仿宋_GB2312" w:hAnsi="宋体" w:hint="eastAsia"/>
          <w:color w:val="000000"/>
          <w:sz w:val="32"/>
          <w:szCs w:val="32"/>
          <w:lang w:val="en-US" w:eastAsia="zh-CN"/>
        </w:rPr>
        <w:t>本办法自印发之日起开始执行。由县财政局负责解释。</w:t>
      </w:r>
    </w:p>
    <w:p>
      <w:pPr>
        <w:pStyle w:val="16"/>
        <w:keepNext w:val="0"/>
        <w:keepLines w:val="0"/>
        <w:pageBreakBefore w:val="0"/>
        <w:widowControl w:val="0"/>
        <w:kinsoku/>
        <w:wordWrap/>
        <w:overflowPunct/>
        <w:topLinePunct w:val="0"/>
        <w:autoSpaceDE w:val="0"/>
        <w:autoSpaceDN w:val="0"/>
        <w:adjustRightInd w:val="0"/>
        <w:snapToGrid/>
        <w:spacing w:beforeAutospacing="0" w:after="0" w:afterAutospacing="0" w:line="560" w:lineRule="exact"/>
        <w:ind w:leftChars="0" w:left="0" w:firstLineChars="200" w:firstLine="480"/>
      </w:pPr>
    </w:p>
    <w:sectPr>
      <w:footerReference w:type="default" r:id="rId2"/>
      <w:pgSz w:w="11906" w:h="16838"/>
      <w:pgMar w:top="2098" w:right="1417" w:bottom="1984" w:left="1417" w:header="851" w:footer="992"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Times New Roman">
    <w:panose1 w:val="02020603050405020304"/>
    <w:charset w:val="CC"/>
    <w:family w:val="auto"/>
    <w:pitch w:val="variable"/>
    <w:sig w:usb0="E0002EFF" w:usb1="C000785B" w:usb2="00000009" w:usb3="00000000" w:csb0="400001FF" w:csb1="FFFF0000"/>
  </w:font>
  <w:font w:name="方正小标宋_GBK">
    <w:altName w:val="微软雅黑"/>
    <w:panose1 w:val="03000509000000000000"/>
    <w:charset w:val="86"/>
    <w:family w:val="auto"/>
    <w:pitch w:val="variable"/>
    <w:sig w:usb0="00000000" w:usb1="0000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方正黑体_GBK">
    <w:altName w:val="微软雅黑"/>
    <w:panose1 w:val="02000000000000000000"/>
    <w:charset w:val="86"/>
    <w:family w:val="auto"/>
    <w:pitch w:val="variable"/>
    <w:sig w:usb0="00000000" w:usb1="00000000" w:usb2="00082016" w:usb3="00000000" w:csb0="00040001" w:csb1="00000000"/>
  </w:font>
  <w:font w:name="方正仿宋_GBK">
    <w:altName w:val="微软雅黑"/>
    <w:panose1 w:val="02000000000000000000"/>
    <w:charset w:val="86"/>
    <w:family w:val="auto"/>
    <w:pitch w:val="variable"/>
    <w:sig w:usb0="00000000" w:usb1="00000000" w:usb2="00082016" w:usb3="00000000" w:csb0="00040001" w:csb1="00000000"/>
  </w:font>
  <w:font w:name="仿宋_GB2312">
    <w:altName w:val="仿宋"/>
    <w:panose1 w:val="02010609030101010101"/>
    <w:charset w:val="86"/>
    <w:family w:val="auto"/>
    <w:pitch w:val="variable"/>
    <w:sig w:usb0="00000000" w:usb1="00000000" w:usb2="00000000" w:usb3="00000000" w:csb0="00040000"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444500" cy="230584"/>
              <wp:wrapNone/>
              <wp:docPr id="2" name="文本框 2"/>
              <wp:cNvGraphicFramePr>
                <a:graphicFrameLocks noChangeAspect="0"/>
              </wp:cNvGraphicFramePr>
              <a:graphic>
                <a:graphicData uri="http://schemas.microsoft.com/office/word/2010/wordprocessingShape">
                  <wps:wsp>
                    <wps:cNvSpPr/>
                    <wps:spPr>
                      <a:xfrm rot="0">
                        <a:off x="0" y="0"/>
                        <a:ext cx="444500" cy="230584"/>
                      </a:xfrm>
                      <a:prstGeom prst="rect"/>
                      <a:noFill/>
                      <a:ln w="6350" cmpd="sng" cap="flat">
                        <a:noFill/>
                        <a:prstDash val="solid"/>
                        <a:round/>
                      </a:ln>
                    </wps:spPr>
                    <wps:txbx id="1">
                      <w:txbxContent>
                        <w:p>
                          <w:pPr>
                            <w:pStyle w:val="20"/>
                            <w:tabs>
                              <w:tab w:val="center" w:pos="4153"/>
                              <w:tab w:val="right" w:pos="8306"/>
                            </w:tabs>
                            <w:rPr>
                              <w:rFonts w:ascii="宋体" w:eastAsia="宋体" w:cs="宋体" w:hAnsi="宋体"/>
                              <w:sz w:val="28"/>
                              <w:szCs w:val="28"/>
                              <w:lang w:val="en-US" w:eastAsia="zh-CN"/>
                            </w:rPr>
                          </w:pPr>
                          <w:r>
                            <w:rPr>
                              <w:rFonts w:ascii="宋体" w:cs="宋体" w:hAnsi="宋体" w:hint="eastAsia"/>
                              <w:sz w:val="28"/>
                              <w:szCs w:val="28"/>
                              <w:lang w:val="en-US" w:eastAsia="zh-CN"/>
                            </w:rPr>
                            <w:t>-</w:t>
                          </w:r>
                          <w:r>
                            <w:rPr>
                              <w:rFonts w:ascii="宋体" w:eastAsia="宋体" w:cs="宋体" w:hAnsi="宋体" w:hint="eastAsia"/>
                              <w:sz w:val="28"/>
                              <w:szCs w:val="28"/>
                              <w:lang w:val="en-US" w:eastAsia="zh-CN"/>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lang w:val="en-US" w:eastAsia="zh-CN"/>
                            </w:rPr>
                            <w:t xml:space="preserve"> </w:t>
                          </w:r>
                          <w:r>
                            <w:rPr>
                              <w:rFonts w:ascii="宋体" w:cs="宋体" w:hAnsi="宋体" w:hint="eastAsia"/>
                              <w:sz w:val="28"/>
                              <w:szCs w:val="28"/>
                              <w:lang w:val="en-US" w:eastAsia="zh-CN"/>
                            </w:rPr>
                            <w:t>-</w:t>
                          </w:r>
                        </w:p>
                      </w:txbxContent>
                    </wps:txbx>
                    <wps:bodyPr vert="horz" wrap="none" lIns="0" tIns="0" rIns="0" bIns="0" anchor="t" anchorCtr="0" upright="0">
                      <a:spAutoFit/>
                    </wps:bodyPr>
                  </wps:wsp>
                </a:graphicData>
              </a:graphic>
            </wp:anchor>
          </w:drawing>
        </mc:Choice>
        <mc:Fallback>
          <w:pict>
            <v:rect type="#_x0000_t1" id="文本框 2" o:spid="_x0000_s2" filled="f" stroked="f" strokeweight="0.5pt" style="position:absolute;margin-left:0.0pt;margin-top:0.0pt;width:35.0pt;height:18.156221pt;z-index:12;mso-position-horizontal:outside;mso-position-horizontal-relative:margin;mso-position-vertical:absolute;mso-wrap-style:none;">
              <v:stroke/>
              <v:textbox id="848" inset="0mm,0mm,0mm,0mm" o:insetmode="custom" style="layout-flow:horizontal;v-text-anchor:top;mso-fit-shape-to-text:t;">
                <w:txbxContent>
                  <w:p>
                    <w:pPr>
                      <w:pStyle w:val="20"/>
                      <w:tabs>
                        <w:tab w:val="center" w:pos="4153"/>
                        <w:tab w:val="right" w:pos="8306"/>
                      </w:tabs>
                      <w:rPr>
                        <w:rFonts w:ascii="宋体" w:eastAsia="宋体" w:cs="宋体" w:hAnsi="宋体"/>
                        <w:sz w:val="28"/>
                        <w:szCs w:val="28"/>
                        <w:lang w:val="en-US" w:eastAsia="zh-CN"/>
                      </w:rPr>
                    </w:pPr>
                    <w:r>
                      <w:rPr>
                        <w:rFonts w:ascii="宋体" w:cs="宋体" w:hAnsi="宋体" w:hint="eastAsia"/>
                        <w:sz w:val="28"/>
                        <w:szCs w:val="28"/>
                        <w:lang w:val="en-US" w:eastAsia="zh-CN"/>
                      </w:rPr>
                      <w:t>-</w:t>
                    </w:r>
                    <w:r>
                      <w:rPr>
                        <w:rFonts w:ascii="宋体" w:eastAsia="宋体" w:cs="宋体" w:hAnsi="宋体" w:hint="eastAsia"/>
                        <w:sz w:val="28"/>
                        <w:szCs w:val="28"/>
                        <w:lang w:val="en-US" w:eastAsia="zh-CN"/>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lang w:val="en-US" w:eastAsia="zh-CN"/>
                      </w:rPr>
                      <w:t xml:space="preserve"> </w:t>
                    </w:r>
                    <w:r>
                      <w:rPr>
                        <w:rFonts w:ascii="宋体" w:cs="宋体" w:hAnsi="宋体" w:hint="eastAsia"/>
                        <w:sz w:val="28"/>
                        <w:szCs w:val="28"/>
                        <w:lang w:val="en-US" w:eastAsia="zh-CN"/>
                      </w:rPr>
                      <w:t>-</w:t>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Indent"/>
    <w:qFormat/>
    <w:basedOn w:val="0"/>
    <w:next w:val="0"/>
    <w:pPr>
      <w:spacing w:after="120"/>
      <w:ind w:leftChars="200" w:left="200"/>
    </w:pPr>
  </w:style>
  <w:style w:type="paragraph" w:customStyle="1" w:yozoId="4094" w:styleId="16">
    <w:name w:val="Default"/>
    <w:qFormat/>
    <w:basedOn w:val="15"/>
    <w:next w:val="17"/>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styleId="17">
    <w:name w:val="index 5"/>
    <w:qFormat/>
    <w:basedOn w:val="0"/>
    <w:next w:val="0"/>
    <w:pPr>
      <w:widowControl w:val="0"/>
      <w:spacing w:line="560" w:lineRule="exact"/>
      <w:ind w:left="1680" w:firstLineChars="200" w:firstLine="200"/>
      <w:jc w:val="both"/>
    </w:pPr>
    <w:rPr>
      <w:rFonts w:ascii="Calibri" w:eastAsia="宋体" w:cs="Times New Roman" w:hAnsi="Calibri"/>
      <w:kern w:val="2"/>
      <w:sz w:val="32"/>
      <w:szCs w:val="24"/>
      <w:lang w:val="en-US" w:eastAsia="zh-CN" w:bidi="ar-SA"/>
    </w:rPr>
  </w:style>
  <w:style w:type="paragraph" w:styleId="18">
    <w:name w:val="Body Text"/>
    <w:qFormat/>
    <w:basedOn w:val="0"/>
    <w:next w:val="19"/>
    <w:pPr>
      <w:jc w:val="center"/>
    </w:pPr>
    <w:rPr>
      <w:b/>
      <w:bCs/>
      <w:sz w:val="44"/>
    </w:rPr>
  </w:style>
  <w:style w:type="paragraph" w:styleId="19">
    <w:name w:val="Body Text First Indent"/>
    <w:qFormat/>
    <w:basedOn w:val="18"/>
    <w:pPr>
      <w:ind w:firstLineChars="200" w:firstLine="200"/>
    </w:pPr>
    <w:rPr>
      <w:rFonts w:ascii="Times New Roman" w:hAnsi="Times New Roman"/>
    </w:rPr>
  </w:style>
  <w:style w:type="paragraph" w:styleId="20">
    <w:name w:val="footer"/>
    <w:qFormat/>
    <w:basedOn w:val="0"/>
    <w:pPr>
      <w:tabs>
        <w:tab w:val="center" w:pos="4153"/>
        <w:tab w:val="right" w:pos="8306"/>
      </w:tabs>
      <w:snapToGrid w:val="0"/>
      <w:jc w:val="left"/>
    </w:pPr>
    <w:rPr>
      <w:sz w:val="18"/>
    </w:rPr>
  </w:style>
  <w:style w:type="paragraph" w:styleId="21">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yozoId="4094" w:styleId="22">
    <w:name w:val="普通(网站)1"/>
    <w:qFormat/>
    <w:basedOn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DEFF56E-00F0-4639-AD1D-B409165A24A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64</TotalTime>
  <Application>WPS_Yozo_Office9.0.5847.101ZH.S1</Application>
  <Pages>9</Pages>
  <Words>0</Words>
  <Characters>3177</Characters>
  <Lines>0</Lines>
  <Paragraphs>87</Paragraphs>
  <CharactersWithSpaces>4236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guo</dc:creator>
  <cp:lastModifiedBy>Administrator</cp:lastModifiedBy>
  <cp:revision>8</cp:revision>
  <cp:lastPrinted>2026-02-09T11:18:00Z</cp:lastPrinted>
  <dcterms:created xsi:type="dcterms:W3CDTF">2026-02-07T07:43:00Z</dcterms:created>
  <dcterms:modified xsi:type="dcterms:W3CDTF">2026-03-15T03:40:27Z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KSOTemplateDocerSaveRecord">
    <vt:lpwstr>eyJoZGlkIjoiOTgwY2JkZDI4OGU0NDMwN2JmOTRkOTM2ZGNlYjY4ZTciLCJ1c2VySWQiOiI2NTkzMDk5In0=</vt:lpwstr>
  </property>
  <property fmtid="{D5CDD505-2E9C-101B-9397-08002B2CF9AE}" pid="4" name="ICV">
    <vt:lpwstr>81E35B7086614F57A5B16A53ED026C6B_12</vt:lpwstr>
  </property>
</Properties>
</file>