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ascii="Times New Roman" w:eastAsia="方正小标宋_GBK" w:cs="Times New Roman" w:hAnsi="Times New Roman" w:hint="eastAsia"/>
          <w:sz w:val="44"/>
          <w:szCs w:val="44"/>
          <w:lang w:eastAsia="zh-CN"/>
        </w:rPr>
      </w:pPr>
      <w:r>
        <w:rPr>
          <w:rFonts w:ascii="Times New Roman" w:eastAsia="方正小标宋_GBK" w:cs="Times New Roman" w:hAnsi="Times New Roman" w:hint="eastAsia"/>
          <w:sz w:val="44"/>
          <w:szCs w:val="44"/>
          <w:lang w:eastAsia="zh-CN"/>
        </w:rPr>
        <w:t>魏县县属</w:t>
      </w:r>
      <w:r>
        <w:rPr>
          <w:rFonts w:ascii="Times New Roman" w:eastAsia="方正小标宋_GBK" w:cs="Times New Roman" w:hAnsi="Times New Roman"/>
          <w:sz w:val="44"/>
          <w:szCs w:val="44"/>
        </w:rPr>
        <w:t>企业国有产权管理办法</w:t>
      </w:r>
      <w:r>
        <w:rPr>
          <w:rFonts w:ascii="Times New Roman" w:eastAsia="方正小标宋_GBK" w:cs="Times New Roman" w:hAnsi="Times New Roman" w:hint="eastAsia"/>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rPr>
        <w:t>第一章</w:t>
      </w:r>
      <w:r>
        <w:rPr>
          <w:rFonts w:ascii="方正黑体_GBK" w:eastAsia="方正黑体_GBK" w:cs="方正黑体_GBK" w:hAnsi="方正黑体_GBK" w:hint="eastAsia"/>
          <w:sz w:val="32"/>
          <w:szCs w:val="32"/>
          <w:lang w:val="en-US" w:eastAsia="zh-CN"/>
        </w:rPr>
        <w:t xml:space="preserve"> </w:t>
      </w:r>
      <w:r>
        <w:rPr>
          <w:rFonts w:ascii="方正黑体_GBK" w:eastAsia="方正黑体_GBK" w:cs="方正黑体_GBK" w:hAnsi="方正黑体_GBK" w:hint="eastAsia"/>
          <w:sz w:val="32"/>
          <w:szCs w:val="32"/>
        </w:rPr>
        <w:t xml:space="preserve"> 总  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第一条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为加强</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国有产权管理，建立现代产权制度，维护国有出资人权益，根据《中华人民共和国公司法》《中华人民共和国企业国有资产法》《企业国有资产监督管理暂行条例》《国家出资企业产权登记管理暂行办法》《企业国有资产交易监督管理办法》《企业国有产权无偿划转管理暂行办法》等法律法规，参照《</w:t>
      </w:r>
      <w:r>
        <w:rPr>
          <w:rFonts w:ascii="Times New Roman" w:eastAsia="方正仿宋_GBK" w:cs="Times New Roman" w:hAnsi="Times New Roman" w:hint="eastAsia"/>
          <w:sz w:val="32"/>
          <w:szCs w:val="32"/>
          <w:lang w:eastAsia="zh-CN"/>
        </w:rPr>
        <w:t>邯郸市国资委监管企业国有产权管理办</w:t>
      </w:r>
      <w:r>
        <w:rPr>
          <w:rFonts w:ascii="Times New Roman" w:eastAsia="方正仿宋_GBK" w:cs="Times New Roman" w:hAnsi="Times New Roman"/>
          <w:sz w:val="32"/>
          <w:szCs w:val="32"/>
          <w:lang w:eastAsia="zh-CN"/>
        </w:rPr>
        <w:t>法</w:t>
      </w:r>
      <w:r>
        <w:rPr>
          <w:rFonts w:ascii="Times New Roman" w:eastAsia="方正仿宋_GBK" w:cs="Times New Roman" w:hAnsi="Times New Roman"/>
          <w:sz w:val="32"/>
          <w:szCs w:val="32"/>
        </w:rPr>
        <w:t>》（〔202</w:t>
      </w:r>
      <w:r>
        <w:rPr>
          <w:rFonts w:ascii="Times New Roman" w:eastAsia="方正仿宋_GBK" w:cs="Times New Roman" w:hAnsi="Times New Roman"/>
          <w:sz w:val="32"/>
          <w:szCs w:val="32"/>
          <w:lang w:val="en-US" w:eastAsia="zh-CN"/>
        </w:rPr>
        <w:t>6</w:t>
      </w:r>
      <w:r>
        <w:rPr>
          <w:rFonts w:ascii="Times New Roman" w:eastAsia="方正仿宋_GBK" w:cs="Times New Roman" w:hAnsi="Times New Roman"/>
          <w:sz w:val="32"/>
          <w:szCs w:val="32"/>
        </w:rPr>
        <w:t>〕</w:t>
      </w:r>
      <w:r>
        <w:rPr>
          <w:rFonts w:ascii="Times New Roman" w:eastAsia="方正仿宋_GBK" w:cs="Times New Roman" w:hAnsi="Times New Roman"/>
          <w:sz w:val="32"/>
          <w:szCs w:val="32"/>
          <w:lang w:val="en-US" w:eastAsia="zh-CN"/>
        </w:rPr>
        <w:t>13</w:t>
      </w:r>
      <w:r>
        <w:rPr>
          <w:rFonts w:ascii="Times New Roman" w:eastAsia="方正仿宋_GBK" w:cs="Times New Roman" w:hAnsi="Times New Roman"/>
          <w:sz w:val="32"/>
          <w:szCs w:val="32"/>
        </w:rPr>
        <w:t>号），结</w:t>
      </w:r>
      <w:r>
        <w:rPr>
          <w:rFonts w:ascii="Times New Roman" w:eastAsia="方正仿宋_GBK" w:cs="Times New Roman" w:hAnsi="Times New Roman"/>
          <w:sz w:val="32"/>
          <w:szCs w:val="32"/>
        </w:rPr>
        <w:t>合我</w:t>
      </w:r>
      <w:r>
        <w:rPr>
          <w:rFonts w:ascii="Times New Roman" w:eastAsia="方正仿宋_GBK" w:cs="Times New Roman" w:hAnsi="Times New Roman" w:hint="eastAsia"/>
          <w:sz w:val="32"/>
          <w:szCs w:val="32"/>
          <w:lang w:eastAsia="zh-CN"/>
        </w:rPr>
        <w:t>县县属企业</w:t>
      </w:r>
      <w:r>
        <w:rPr>
          <w:rFonts w:ascii="Times New Roman" w:eastAsia="方正仿宋_GBK" w:cs="Times New Roman" w:hAnsi="Times New Roman"/>
          <w:sz w:val="32"/>
          <w:szCs w:val="32"/>
        </w:rPr>
        <w:t>实际，制定本办法。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本办法所称</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企业指</w:t>
      </w:r>
      <w:r>
        <w:rPr>
          <w:rFonts w:ascii="Times New Roman" w:eastAsia="方正仿宋_GBK" w:cs="Times New Roman" w:hAnsi="Times New Roman" w:hint="eastAsia"/>
          <w:sz w:val="32"/>
          <w:szCs w:val="32"/>
          <w:lang w:eastAsia="zh-CN"/>
        </w:rPr>
        <w:t>县政府授权机构、部门</w:t>
      </w:r>
      <w:r>
        <w:rPr>
          <w:rFonts w:ascii="Times New Roman" w:eastAsia="方正仿宋_GBK" w:cs="Times New Roman" w:hAnsi="Times New Roman"/>
          <w:sz w:val="32"/>
          <w:szCs w:val="32"/>
        </w:rPr>
        <w:t>履行出资人职责的国有独资企业、国有全资企业、国有控股企业和国有实际控制企业（以下简称</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）及其所属各级独资、全资、控股和实际控制子企业（以下简称子企业）。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 xml:space="preserve">第三条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本办法所称企业国有产权，是指国家对企业以各种形式的出资所形成的权益，以及依法认定为国家所有的其他权益。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hint="eastAsia"/>
          <w:sz w:val="32"/>
          <w:szCs w:val="32"/>
          <w:lang w:eastAsia="zh-CN"/>
        </w:rPr>
      </w:pPr>
      <w:r>
        <w:rPr>
          <w:rFonts w:ascii="Times New Roman" w:eastAsia="方正仿宋_GBK" w:cs="Times New Roman" w:hAnsi="Times New Roman"/>
          <w:b/>
          <w:bCs/>
          <w:sz w:val="32"/>
          <w:szCs w:val="32"/>
        </w:rPr>
        <w:t>第四条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hint="eastAsia"/>
          <w:sz w:val="32"/>
          <w:szCs w:val="32"/>
          <w:lang w:val="en-US" w:eastAsia="zh-CN"/>
        </w:rPr>
        <w:t>县属</w:t>
      </w:r>
      <w:r>
        <w:rPr>
          <w:rFonts w:ascii="Times New Roman" w:eastAsia="方正仿宋_GBK" w:cs="Times New Roman" w:hAnsi="Times New Roman"/>
          <w:sz w:val="32"/>
          <w:szCs w:val="32"/>
        </w:rPr>
        <w:t>企业国有产权管理应遵循归属清晰、权责明确、操作规范、保值增值的原则。履行出资人职责的</w:t>
      </w:r>
      <w:r>
        <w:rPr>
          <w:rFonts w:ascii="Times New Roman" w:eastAsia="方正仿宋_GBK" w:cs="Times New Roman" w:hAnsi="Times New Roman" w:hint="eastAsia"/>
          <w:sz w:val="32"/>
          <w:szCs w:val="32"/>
          <w:lang w:eastAsia="zh-CN"/>
        </w:rPr>
        <w:t>机构、部门对所属企业</w:t>
      </w:r>
      <w:r>
        <w:rPr>
          <w:rFonts w:ascii="Times New Roman" w:eastAsia="方正仿宋_GBK" w:cs="Times New Roman" w:hAnsi="Times New Roman"/>
          <w:sz w:val="32"/>
          <w:szCs w:val="32"/>
        </w:rPr>
        <w:t>国有产权登记审核</w:t>
      </w:r>
      <w:r>
        <w:rPr>
          <w:rFonts w:ascii="Times New Roman" w:eastAsia="方正仿宋_GBK" w:cs="Times New Roman" w:hAnsi="Times New Roman" w:hint="eastAsia"/>
          <w:sz w:val="32"/>
          <w:szCs w:val="32"/>
          <w:lang w:eastAsia="zh-CN"/>
        </w:rPr>
        <w:t>批准后报县财政局备案。</w:t>
      </w:r>
    </w:p>
    <w:p>
      <w:pPr>
        <w:pStyle w:val="16"/>
        <w:spacing w:before="0" w:beforeAutospacing="0" w:after="0" w:afterAutospacing="0" w:line="560" w:lineRule="exact"/>
        <w:ind w:leftChars="0" w:left="0" w:firstLineChars="200" w:firstLine="480"/>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highlight w:val="none"/>
        </w:rPr>
      </w:pPr>
      <w:r>
        <w:rPr>
          <w:rFonts w:ascii="Times New Roman" w:eastAsia="方正仿宋_GBK" w:cs="Times New Roman" w:hAnsi="Times New Roman"/>
          <w:b/>
          <w:bCs/>
          <w:sz w:val="32"/>
          <w:szCs w:val="32"/>
        </w:rPr>
        <w:t>第五</w:t>
      </w:r>
      <w:r>
        <w:rPr>
          <w:rFonts w:ascii="Times New Roman" w:eastAsia="方正仿宋_GBK" w:cs="Times New Roman" w:hAnsi="Times New Roman"/>
          <w:b/>
          <w:bCs/>
          <w:sz w:val="32"/>
          <w:szCs w:val="32"/>
          <w:lang w:eastAsia="zh-CN"/>
        </w:rPr>
        <w:t>条</w:t>
      </w:r>
      <w:r>
        <w:rPr>
          <w:rFonts w:ascii="Times New Roman" w:eastAsia="方正仿宋_GBK" w:cs="Times New Roman" w:hAnsi="Times New Roman"/>
          <w:b/>
          <w:bCs/>
          <w:sz w:val="32"/>
          <w:szCs w:val="32"/>
          <w:lang w:val="en-US" w:eastAsia="zh-CN"/>
        </w:rPr>
        <w:t xml:space="preserve">  </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highlight w:val="none"/>
        </w:rPr>
        <w:t>指导和监督监管企业国有产权管理工作，主要职责是：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highlight w:val="none"/>
        </w:rPr>
        <w:t>（一）执行国家和省</w:t>
      </w:r>
      <w:r>
        <w:rPr>
          <w:rFonts w:ascii="Times New Roman" w:eastAsia="方正仿宋_GBK" w:cs="Times New Roman" w:hAnsi="Times New Roman" w:hint="eastAsia"/>
          <w:sz w:val="32"/>
          <w:szCs w:val="32"/>
          <w:lang w:eastAsia="zh-CN"/>
          <w:highlight w:val="none"/>
        </w:rPr>
        <w:t>、</w:t>
      </w:r>
      <w:r>
        <w:rPr>
          <w:rFonts w:ascii="Times New Roman" w:eastAsia="方正仿宋_GBK" w:cs="Times New Roman" w:hAnsi="Times New Roman" w:hint="eastAsia"/>
          <w:sz w:val="32"/>
          <w:szCs w:val="32"/>
          <w:lang w:val="en-US" w:eastAsia="zh-CN"/>
          <w:highlight w:val="none"/>
        </w:rPr>
        <w:t>市、</w:t>
      </w:r>
      <w:r>
        <w:rPr>
          <w:rFonts w:ascii="Times New Roman" w:eastAsia="方正仿宋_GBK" w:cs="Times New Roman" w:hAnsi="Times New Roman" w:hint="eastAsia"/>
          <w:sz w:val="32"/>
          <w:szCs w:val="32"/>
          <w:lang w:eastAsia="zh-CN"/>
          <w:highlight w:val="none"/>
        </w:rPr>
        <w:t>县</w:t>
      </w:r>
      <w:r>
        <w:rPr>
          <w:rFonts w:ascii="Times New Roman" w:eastAsia="方正仿宋_GBK" w:cs="Times New Roman" w:hAnsi="Times New Roman"/>
          <w:sz w:val="32"/>
          <w:szCs w:val="32"/>
          <w:highlight w:val="none"/>
        </w:rPr>
        <w:t>有关</w:t>
      </w:r>
      <w:r>
        <w:rPr>
          <w:rFonts w:ascii="Times New Roman" w:eastAsia="方正仿宋_GBK" w:cs="Times New Roman" w:hAnsi="Times New Roman"/>
          <w:sz w:val="32"/>
          <w:szCs w:val="32"/>
        </w:rPr>
        <w:t>企业国有产权管理的相关规定，制定监管企业国有产权管理制度和办法；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（二）负责</w:t>
      </w:r>
      <w:r>
        <w:rPr>
          <w:rFonts w:ascii="Times New Roman" w:eastAsia="方正仿宋_GBK" w:cs="Times New Roman" w:hAnsi="Times New Roman" w:hint="eastAsia"/>
          <w:sz w:val="32"/>
          <w:szCs w:val="32"/>
          <w:lang w:eastAsia="zh-CN"/>
        </w:rPr>
        <w:t>所属</w:t>
      </w:r>
      <w:r>
        <w:rPr>
          <w:rFonts w:ascii="Times New Roman" w:eastAsia="方正仿宋_GBK" w:cs="Times New Roman" w:hAnsi="Times New Roman"/>
          <w:sz w:val="32"/>
          <w:szCs w:val="32"/>
        </w:rPr>
        <w:t>企业国有产权登记的审核；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（三）负责</w:t>
      </w:r>
      <w:r>
        <w:rPr>
          <w:rFonts w:ascii="Times New Roman" w:eastAsia="方正仿宋_GBK" w:cs="Times New Roman" w:hAnsi="Times New Roman" w:hint="eastAsia"/>
          <w:sz w:val="32"/>
          <w:szCs w:val="32"/>
          <w:lang w:eastAsia="zh-CN"/>
        </w:rPr>
        <w:t>所属企业</w:t>
      </w:r>
      <w:r>
        <w:rPr>
          <w:rFonts w:ascii="Times New Roman" w:eastAsia="方正仿宋_GBK" w:cs="Times New Roman" w:hAnsi="Times New Roman"/>
          <w:sz w:val="32"/>
          <w:szCs w:val="32"/>
        </w:rPr>
        <w:t>国有产权转让、企业增资、无偿划转等事项的审核；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政府授权的其他国有产权管理职责。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第六条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是本企业及子企业国有产权管理的责任主体，主要职责是：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（一）执行国家</w:t>
      </w:r>
      <w:r>
        <w:rPr>
          <w:rFonts w:ascii="Times New Roman" w:eastAsia="方正仿宋_GBK" w:cs="Times New Roman" w:hAnsi="Times New Roman" w:hint="eastAsia"/>
          <w:sz w:val="32"/>
          <w:szCs w:val="32"/>
          <w:lang w:eastAsia="zh-CN"/>
        </w:rPr>
        <w:t>和</w:t>
      </w:r>
      <w:r>
        <w:rPr>
          <w:rFonts w:ascii="Times New Roman" w:eastAsia="方正仿宋_GBK" w:cs="Times New Roman" w:hAnsi="Times New Roman"/>
          <w:sz w:val="32"/>
          <w:szCs w:val="32"/>
        </w:rPr>
        <w:t>省</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sz w:val="32"/>
          <w:szCs w:val="32"/>
        </w:rPr>
        <w:t>市</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hint="eastAsia"/>
          <w:sz w:val="32"/>
          <w:szCs w:val="32"/>
          <w:lang w:eastAsia="zh-CN"/>
          <w:highlight w:val="none"/>
        </w:rPr>
        <w:t>及</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highlight w:val="none"/>
        </w:rPr>
        <w:t>有关企业国有产权管理的相关规定，</w:t>
      </w:r>
      <w:r>
        <w:rPr>
          <w:rFonts w:ascii="Times New Roman" w:eastAsia="方正仿宋_GBK" w:cs="Times New Roman" w:hAnsi="Times New Roman"/>
          <w:sz w:val="32"/>
          <w:szCs w:val="32"/>
        </w:rPr>
        <w:t>制定本企业国有产权管理制度和办法；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（二）负责本企业及子企业国有产权登记的报审；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（三）负责本企业国有产权转让、企业增资、无偿划转等事项的报审；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（四）负责子企业国有产权转让、企业增资、无偿划转等事项的审核；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（五）负责本企业及子企业资产转让事项的审核；</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Chars="0"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sz w:val="32"/>
          <w:szCs w:val="32"/>
          <w:highlight w:val="none"/>
        </w:rPr>
        <w:t>六）履行出资人职责的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highlight w:val="none"/>
        </w:rPr>
        <w:t>规</w:t>
      </w:r>
      <w:r>
        <w:rPr>
          <w:rFonts w:ascii="Times New Roman" w:eastAsia="方正仿宋_GBK" w:cs="Times New Roman" w:hAnsi="Times New Roman"/>
          <w:sz w:val="32"/>
          <w:szCs w:val="32"/>
        </w:rPr>
        <w:t>定的其他国有产权管理职责。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第二章 产权登记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第七条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产权登记是</w:t>
      </w:r>
      <w:r>
        <w:rPr>
          <w:rFonts w:ascii="Times New Roman" w:eastAsia="方正仿宋_GBK" w:cs="Times New Roman" w:hAnsi="Times New Roman"/>
          <w:sz w:val="32"/>
          <w:szCs w:val="32"/>
          <w:highlight w:val="none"/>
        </w:rPr>
        <w:t>指履行出资人职责的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对</w:t>
      </w:r>
      <w:r>
        <w:rPr>
          <w:rFonts w:ascii="Times New Roman" w:eastAsia="方正仿宋_GBK" w:cs="Times New Roman" w:hAnsi="Times New Roman" w:hint="eastAsia"/>
          <w:sz w:val="32"/>
          <w:szCs w:val="32"/>
          <w:lang w:eastAsia="zh-CN"/>
        </w:rPr>
        <w:t>所属</w:t>
      </w:r>
      <w:r>
        <w:rPr>
          <w:rFonts w:ascii="Times New Roman" w:eastAsia="方正仿宋_GBK" w:cs="Times New Roman" w:hAnsi="Times New Roman"/>
          <w:sz w:val="32"/>
          <w:szCs w:val="32"/>
        </w:rPr>
        <w:t>企业的国有产权及其分布状况进行登记管理的行为。对没有办理产权登记的企业，不予办理产权管理相关各类业务。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第八条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及其所属各级独资、全资、控股、实际控制、参股子企业应当纳入产权登记范围。</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所属事业单位视为其子企业进行产权登记。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第九条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国有参股企业再出资企业不进行产权登记。分公司不具备独立法人资格，不进行产权登记。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企业为交易目的持有的下列股权不进行产权登记：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hint="eastAsia"/>
          <w:sz w:val="32"/>
          <w:szCs w:val="32"/>
          <w:lang w:val="en-US" w:eastAsia="zh-CN"/>
        </w:rPr>
        <w:t>一</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sz w:val="32"/>
          <w:szCs w:val="32"/>
        </w:rPr>
        <w:t>为了赚取差价从二级市场购入的上市公司股份；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（二）为了近期（一年内）出售而持有的其他股权。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第十一条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产权登记分为占有产权登记、变动产权登记和注销产权登记。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同一履行出资人职责机构管理的多个企业共同出资的企业，由拥有实际控制权的一方负责申请办理产权登记；任一方均不拥有实际控制权的，由持股比例最大的一方负责申请办理产权登记；各方持股比例相等的，由其共同推举一方负责申请办理产权登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非同一履行出资人职责机构管理的多个企业共同出资的企业，由各方分别申请办理产权登记。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第十三条</w:t>
      </w:r>
      <w:r>
        <w:rPr>
          <w:rFonts w:ascii="Times New Roman" w:eastAsia="方正仿宋_GBK" w:cs="Times New Roman" w:hAnsi="Times New Roman"/>
          <w:sz w:val="32"/>
          <w:szCs w:val="32"/>
        </w:rPr>
        <w:t xml:space="preserve">  企业发生产权登记相关经济行为时，应当在办理工商登记前，申请办理产权登记。在办理工商登记后10个工作日内，将企业法人营业执照或者工商变更登记表补录到产权登记系统。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第十四条</w:t>
      </w:r>
      <w:r>
        <w:rPr>
          <w:rFonts w:ascii="Times New Roman" w:eastAsia="方正仿宋_GBK" w:cs="Times New Roman" w:hAnsi="Times New Roman"/>
          <w:sz w:val="32"/>
          <w:szCs w:val="32"/>
        </w:rPr>
        <w:t xml:space="preserve">  履行出资人职责的</w:t>
      </w:r>
      <w:r>
        <w:rPr>
          <w:rFonts w:ascii="Times New Roman" w:eastAsia="方正仿宋_GBK" w:cs="Times New Roman" w:hAnsi="Times New Roman" w:hint="eastAsia"/>
          <w:sz w:val="32"/>
          <w:szCs w:val="32"/>
          <w:lang w:eastAsia="zh-CN"/>
        </w:rPr>
        <w:t>机构、部门</w:t>
      </w:r>
      <w:r>
        <w:rPr>
          <w:rFonts w:ascii="Times New Roman" w:eastAsia="方正仿宋_GBK" w:cs="Times New Roman" w:hAnsi="Times New Roman"/>
          <w:sz w:val="32"/>
          <w:szCs w:val="32"/>
        </w:rPr>
        <w:t>对已</w:t>
      </w:r>
      <w:r>
        <w:rPr>
          <w:rFonts w:ascii="Times New Roman" w:eastAsia="方正仿宋_GBK" w:cs="Times New Roman" w:hAnsi="Times New Roman" w:hint="eastAsia"/>
          <w:sz w:val="32"/>
          <w:szCs w:val="32"/>
          <w:lang w:eastAsia="zh-CN"/>
        </w:rPr>
        <w:t>在县财政局备案的所属企业及其子企业</w:t>
      </w:r>
      <w:r>
        <w:rPr>
          <w:rFonts w:ascii="Times New Roman" w:eastAsia="方正仿宋_GBK" w:cs="Times New Roman" w:hAnsi="Times New Roman"/>
          <w:sz w:val="32"/>
          <w:szCs w:val="32"/>
        </w:rPr>
        <w:t>核发产权登记证</w:t>
      </w:r>
      <w:r>
        <w:rPr>
          <w:rFonts w:ascii="Times New Roman" w:eastAsia="方正仿宋_GBK" w:cs="Times New Roman" w:hAnsi="Times New Roman" w:hint="eastAsia"/>
          <w:sz w:val="32"/>
          <w:szCs w:val="32"/>
          <w:lang w:eastAsia="zh-CN"/>
        </w:rPr>
        <w:t>或产权登记表</w:t>
      </w:r>
      <w:r>
        <w:rPr>
          <w:rFonts w:ascii="Times New Roman" w:eastAsia="方正仿宋_GBK" w:cs="Times New Roman" w:hAnsi="Times New Roman"/>
          <w:sz w:val="32"/>
          <w:szCs w:val="32"/>
        </w:rPr>
        <w:t>。</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Chars="0"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第十五条</w:t>
      </w:r>
      <w:r>
        <w:rPr>
          <w:rFonts w:ascii="Times New Roman" w:eastAsia="方正仿宋_GBK" w:cs="Times New Roman" w:hAnsi="Times New Roman"/>
          <w:sz w:val="32"/>
          <w:szCs w:val="32"/>
        </w:rPr>
        <w:t xml:space="preserve">  产权登记证、登记表是企业办结产权登记的证明，是客观记载企业产权状况基本信息的文件，其所记载信息来源于企业章程、审计报告等资料，以上资料所记载信息的真实性、准确性由相关</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机构、部门及所属企业和子企业</w:t>
      </w:r>
      <w:r>
        <w:rPr>
          <w:rFonts w:ascii="Times New Roman" w:eastAsia="方正仿宋_GBK" w:cs="Times New Roman" w:hAnsi="Times New Roman" w:hint="eastAsia"/>
          <w:sz w:val="32"/>
          <w:szCs w:val="32"/>
          <w:lang w:eastAsia="zh-CN"/>
        </w:rPr>
        <w:t>等</w:t>
      </w:r>
      <w:r>
        <w:rPr>
          <w:rFonts w:ascii="Times New Roman" w:eastAsia="方正仿宋_GBK" w:cs="Times New Roman" w:hAnsi="Times New Roman"/>
          <w:sz w:val="32"/>
          <w:szCs w:val="32"/>
        </w:rPr>
        <w:t>负责，不因出具产权登记证（表）而转移相关各方的责任。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第三章  产权转让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第十六条</w:t>
      </w:r>
      <w:r>
        <w:rPr>
          <w:rFonts w:ascii="Times New Roman" w:eastAsia="方正仿宋_GBK" w:cs="Times New Roman" w:hAnsi="Times New Roman"/>
          <w:sz w:val="32"/>
          <w:szCs w:val="32"/>
        </w:rPr>
        <w:t xml:space="preserve">  产权转让是指</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lang w:eastAsia="zh-CN"/>
        </w:rPr>
        <w:t>所属</w:t>
      </w:r>
      <w:r>
        <w:rPr>
          <w:rFonts w:ascii="Times New Roman" w:eastAsia="方正仿宋_GBK" w:cs="Times New Roman" w:hAnsi="Times New Roman"/>
          <w:sz w:val="32"/>
          <w:szCs w:val="32"/>
        </w:rPr>
        <w:t>企业（以下简称转让方）将所持有的非上市公司国有产权有偿转让给境内外法人、自然人或其他组织（以下简称受让方）的活动。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第十七条</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企业国有产权转让按以下权限审批：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负责审核</w:t>
      </w:r>
      <w:r>
        <w:rPr>
          <w:rFonts w:ascii="Times New Roman" w:eastAsia="方正仿宋_GBK" w:cs="Times New Roman" w:hAnsi="Times New Roman" w:hint="eastAsia"/>
          <w:sz w:val="32"/>
          <w:szCs w:val="32"/>
          <w:lang w:eastAsia="zh-CN"/>
        </w:rPr>
        <w:t>所属企业</w:t>
      </w:r>
      <w:r>
        <w:rPr>
          <w:rFonts w:ascii="Times New Roman" w:eastAsia="方正仿宋_GBK" w:cs="Times New Roman" w:hAnsi="Times New Roman"/>
          <w:sz w:val="32"/>
          <w:szCs w:val="32"/>
        </w:rPr>
        <w:t>的产权转让事项，其中，因产权转让致使国家不再拥有所出资企业控股权的，由</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报</w:t>
      </w:r>
      <w:r>
        <w:rPr>
          <w:rFonts w:ascii="Times New Roman" w:eastAsia="方正仿宋_GBK" w:cs="Times New Roman" w:hAnsi="Times New Roman" w:hint="eastAsia"/>
          <w:sz w:val="32"/>
          <w:szCs w:val="32"/>
          <w:lang w:val="en-US" w:eastAsia="zh-CN"/>
        </w:rPr>
        <w:t>县</w:t>
      </w:r>
      <w:r>
        <w:rPr>
          <w:rFonts w:ascii="Times New Roman" w:eastAsia="方正仿宋_GBK" w:cs="Times New Roman" w:hAnsi="Times New Roman"/>
          <w:sz w:val="32"/>
          <w:szCs w:val="32"/>
        </w:rPr>
        <w:t>政府批准</w:t>
      </w:r>
      <w:r>
        <w:rPr>
          <w:rFonts w:ascii="Times New Roman" w:eastAsia="方正仿宋_GBK" w:cs="Times New Roman" w:hAnsi="Times New Roman" w:hint="eastAsia"/>
          <w:sz w:val="32"/>
          <w:szCs w:val="32"/>
          <w:lang w:eastAsia="zh-CN"/>
        </w:rPr>
        <w:t>，并</w:t>
      </w:r>
      <w:r>
        <w:rPr>
          <w:rFonts w:ascii="Times New Roman" w:eastAsia="方正仿宋_GBK" w:cs="Times New Roman" w:hAnsi="Times New Roman"/>
          <w:sz w:val="32"/>
          <w:szCs w:val="32"/>
          <w:lang w:eastAsia="zh-CN"/>
        </w:rPr>
        <w:t>报</w:t>
      </w:r>
      <w:r>
        <w:rPr>
          <w:rFonts w:ascii="Times New Roman" w:eastAsia="方正仿宋_GBK" w:cs="Times New Roman" w:hAnsi="Times New Roman" w:hint="eastAsia"/>
          <w:sz w:val="32"/>
          <w:szCs w:val="32"/>
          <w:lang w:eastAsia="zh-CN"/>
        </w:rPr>
        <w:t>县财政局备案</w:t>
      </w:r>
      <w:r>
        <w:rPr>
          <w:rFonts w:ascii="Times New Roman" w:eastAsia="方正仿宋_GBK" w:cs="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hint="eastAsia"/>
          <w:sz w:val="32"/>
          <w:szCs w:val="32"/>
          <w:lang w:val="en-US" w:eastAsia="zh-CN"/>
        </w:rPr>
        <w:t>二</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负责审核子企业的产权转让事项。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第十八条</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企业应当做好国有产权转让可行性研究和方案论证，严格按照企业章程和内部管理制度进行决策，形成书面决议。其中，涉及职工安置事项的，安置方案应当经职工代表大会或职工大会审议通过。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第十九条</w:t>
      </w:r>
      <w:r>
        <w:rPr>
          <w:rFonts w:ascii="Times New Roman" w:eastAsia="方正仿宋_GBK" w:cs="Times New Roman" w:hAnsi="Times New Roman"/>
          <w:sz w:val="32"/>
          <w:szCs w:val="32"/>
        </w:rPr>
        <w:t xml:space="preserve">  国有产权转让事项经</w:t>
      </w:r>
      <w:r>
        <w:rPr>
          <w:rFonts w:ascii="Times New Roman" w:eastAsia="方正仿宋_GBK" w:cs="Times New Roman" w:hAnsi="Times New Roman" w:hint="eastAsia"/>
          <w:sz w:val="32"/>
          <w:szCs w:val="32"/>
          <w:lang w:eastAsia="zh-CN"/>
        </w:rPr>
        <w:t>县政府</w:t>
      </w:r>
      <w:r>
        <w:rPr>
          <w:rFonts w:ascii="Times New Roman" w:eastAsia="方正仿宋_GBK" w:cs="Times New Roman" w:hAnsi="Times New Roman"/>
          <w:sz w:val="32"/>
          <w:szCs w:val="32"/>
        </w:rPr>
        <w:t>批准后，转让方应委托有资质的中介机构和评估机构实施全面审计和资产评估。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国有产权转让应通过产权市场公开进行。产权转让原则上不得针对受让方设置资格条件，确需设置的，不得有明确指向性或违反公平竞争原则。转让方可以根据企业实际情况和工作进度安排，采取信息预披露和正式披露相结合的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第二十一条</w:t>
      </w:r>
      <w:r>
        <w:rPr>
          <w:rFonts w:ascii="Times New Roman" w:eastAsia="方正仿宋_GBK" w:cs="Times New Roman" w:hAnsi="Times New Roman"/>
          <w:sz w:val="32"/>
          <w:szCs w:val="32"/>
        </w:rPr>
        <w:t xml:space="preserve">  转让价格应当以经核准或备案的资产评估结果为参考依据。首次正式信息披露的转让底价不得低于经核准或备案的资产评估结果。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第二十二条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信息披露期满，产生符合条件的意向受让方的，按照披露的竞价方式组织竞价。竞价可以采取拍卖、招投标、网络竞价以及其他竞价方式，且不得违反国家法律法规的规定。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信息披露期满未征集到意向受让方的，可以延期或在降低转让底价、变更受让条件后重新进行信息披露。新的转让底价低于评估结果的90%时，应当经转让行为批准单位书面同意。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第二十三条</w:t>
      </w:r>
      <w:r>
        <w:rPr>
          <w:rFonts w:ascii="Times New Roman" w:eastAsia="方正仿宋_GBK" w:cs="Times New Roman" w:hAnsi="Times New Roman"/>
          <w:sz w:val="32"/>
          <w:szCs w:val="32"/>
        </w:rPr>
        <w:t xml:space="preserve">  产权转让项目自首次正式披露信息之日起超过12个月未征集到合格意向受让方的，转让方应当重新履行审计、资产评估等工作程序后，再发布正式披露公告。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第二十四条</w:t>
      </w:r>
      <w:r>
        <w:rPr>
          <w:rFonts w:ascii="Times New Roman" w:eastAsia="方正仿宋_GBK" w:cs="Times New Roman" w:hAnsi="Times New Roman"/>
          <w:b/>
          <w:bCs/>
          <w:sz w:val="32"/>
          <w:szCs w:val="32"/>
          <w:lang w:val="en-US" w:eastAsia="zh-CN"/>
        </w:rPr>
        <w:t xml:space="preserve"> </w:t>
      </w:r>
      <w:r>
        <w:rPr>
          <w:rFonts w:ascii="Times New Roman" w:eastAsia="方正仿宋_GBK" w:cs="Times New Roman" w:hAnsi="Times New Roman"/>
          <w:sz w:val="32"/>
          <w:szCs w:val="32"/>
        </w:rPr>
        <w:t xml:space="preserve"> 以下情形的产权转让可以采取非公开协议转让方式：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涉及主业处于关系国家安全、国民经济命脉的重要行业和关键领域企业的重组整合，对受让方有特殊要求，企业产权需要在国有及国有控股企业之间转让的，经履行出资人职责机构批准，可以采取非公开协议转让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（二）涉及政府或履行出资人职责机构主导推动的国有资本布局优化和结构调整，以及专业化重组等重大事项，企业产权在不同的</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及其控股企业之间转让，且对受让方有特殊要求的，可以采取非公开协议转让方式；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（三）同一</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机构、部门所属企业</w:t>
      </w:r>
      <w:r>
        <w:rPr>
          <w:rFonts w:ascii="Times New Roman" w:eastAsia="方正仿宋_GBK" w:cs="Times New Roman" w:hAnsi="Times New Roman"/>
          <w:sz w:val="32"/>
          <w:szCs w:val="32"/>
        </w:rPr>
        <w:t>及其各级控股企业或实际控制企业之间因实施内部重组整合进行产权转让的，经该</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审议决策，可以采取非公开协议转让方式。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第二十五条</w:t>
      </w:r>
      <w:r>
        <w:rPr>
          <w:rFonts w:ascii="Times New Roman" w:eastAsia="方正仿宋_GBK" w:cs="Times New Roman" w:hAnsi="Times New Roman"/>
          <w:sz w:val="32"/>
          <w:szCs w:val="32"/>
        </w:rPr>
        <w:t xml:space="preserve">  采取非公开协议转让方式转让企业产权，转让价格不得低于经核准或备案的评估结果。如非公开协议的转让方、受让方均为国有独资或国有全资企业的，转让价格可以资产评估报告或最近一期审计报告确认的净资产值为基础确定。</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Chars="0"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第二十六条</w:t>
      </w:r>
      <w:r>
        <w:rPr>
          <w:rFonts w:ascii="Times New Roman" w:eastAsia="方正仿宋_GBK" w:cs="Times New Roman" w:hAnsi="Times New Roman"/>
          <w:sz w:val="32"/>
          <w:szCs w:val="32"/>
        </w:rPr>
        <w:t xml:space="preserve">  产权转让导致国有企业失去标的企业实际控制权的，交易完成后标的企业不得继续使用国有企业字号、经营资质和特许经营权等无形资产，不得继续以国有企业名义开展经营活动。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第四章  企业增资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第二十七条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企业增资是指</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企业增加资本的行为，政府以增加资本金方式对企业的投入除外。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第二十八条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企业增资按以下权限审批：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负责审核</w:t>
      </w:r>
      <w:r>
        <w:rPr>
          <w:rFonts w:ascii="Times New Roman" w:eastAsia="方正仿宋_GBK" w:cs="Times New Roman" w:hAnsi="Times New Roman" w:hint="eastAsia"/>
          <w:sz w:val="32"/>
          <w:szCs w:val="32"/>
          <w:lang w:eastAsia="zh-CN"/>
        </w:rPr>
        <w:t>所属企业</w:t>
      </w:r>
      <w:r>
        <w:rPr>
          <w:rFonts w:ascii="Times New Roman" w:eastAsia="方正仿宋_GBK" w:cs="Times New Roman" w:hAnsi="Times New Roman"/>
          <w:sz w:val="32"/>
          <w:szCs w:val="32"/>
        </w:rPr>
        <w:t>的增资事项，其中，因增资致使国家不再拥有所出资企业控股权的，由</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报</w:t>
      </w:r>
      <w:r>
        <w:rPr>
          <w:rFonts w:ascii="Times New Roman" w:eastAsia="方正仿宋_GBK" w:cs="Times New Roman" w:hAnsi="Times New Roman" w:hint="eastAsia"/>
          <w:sz w:val="32"/>
          <w:szCs w:val="32"/>
          <w:lang w:val="en-US" w:eastAsia="zh-CN"/>
        </w:rPr>
        <w:t>县</w:t>
      </w:r>
      <w:r>
        <w:rPr>
          <w:rFonts w:ascii="Times New Roman" w:eastAsia="方正仿宋_GBK" w:cs="Times New Roman" w:hAnsi="Times New Roman"/>
          <w:sz w:val="32"/>
          <w:szCs w:val="32"/>
        </w:rPr>
        <w:t>政府批准</w:t>
      </w:r>
      <w:r>
        <w:rPr>
          <w:rFonts w:ascii="Times New Roman" w:eastAsia="方正仿宋_GBK" w:cs="Times New Roman" w:hAnsi="Times New Roman" w:hint="eastAsia"/>
          <w:sz w:val="32"/>
          <w:szCs w:val="32"/>
          <w:lang w:eastAsia="zh-CN"/>
        </w:rPr>
        <w:t>，并</w:t>
      </w:r>
      <w:r>
        <w:rPr>
          <w:rFonts w:ascii="Times New Roman" w:eastAsia="方正仿宋_GBK" w:cs="Times New Roman" w:hAnsi="Times New Roman"/>
          <w:sz w:val="32"/>
          <w:szCs w:val="32"/>
          <w:lang w:eastAsia="zh-CN"/>
        </w:rPr>
        <w:t>报</w:t>
      </w:r>
      <w:r>
        <w:rPr>
          <w:rFonts w:ascii="Times New Roman" w:eastAsia="方正仿宋_GBK" w:cs="Times New Roman" w:hAnsi="Times New Roman" w:hint="eastAsia"/>
          <w:sz w:val="32"/>
          <w:szCs w:val="32"/>
          <w:lang w:eastAsia="zh-CN"/>
        </w:rPr>
        <w:t>县财政局备案</w:t>
      </w:r>
      <w:r>
        <w:rPr>
          <w:rFonts w:ascii="Times New Roman" w:eastAsia="方正仿宋_GBK" w:cs="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负责审核子企业的增资事项。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第二十九条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企业增资应当符合企业的发展战略，做好可行性研究，制定增资方案，明确募集资金金额、用途、投资方应具备的条件、选择标准和遴选方式等。并由增资企业按照企业章程和内部管理制度进行决策，形成书面决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第三十条  企业增资在完成决策批准程序后，应当由增资企业委托具有相应资质的中介机构开展审计和资产评估。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以下情形按照《中华人民共和国公司法》、企业章程履行决策程序后，可以依据评估报告或最近一期审计报告确定企业资本及股权比例：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（一）增资企业原股东同比例增资的；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（二）履行出资人职责的机构</w:t>
      </w:r>
      <w:r>
        <w:rPr>
          <w:rFonts w:ascii="Times New Roman" w:eastAsia="方正仿宋_GBK" w:cs="Times New Roman" w:hAnsi="Times New Roman" w:hint="eastAsia"/>
          <w:sz w:val="32"/>
          <w:szCs w:val="32"/>
          <w:lang w:eastAsia="zh-CN"/>
        </w:rPr>
        <w:t>、部门</w:t>
      </w:r>
      <w:r>
        <w:rPr>
          <w:rFonts w:ascii="Times New Roman" w:eastAsia="方正仿宋_GBK" w:cs="Times New Roman" w:hAnsi="Times New Roman"/>
          <w:sz w:val="32"/>
          <w:szCs w:val="32"/>
        </w:rPr>
        <w:t>对国家出资企业增资的；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（三）国有控股或国有实际控制企业对其独资子企业增资的；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（四）增资企业和投资方均为国有独资或国有全资企业的。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第三十一条</w:t>
      </w:r>
      <w:r>
        <w:rPr>
          <w:rFonts w:ascii="Times New Roman" w:eastAsia="方正仿宋_GBK" w:cs="Times New Roman" w:hAnsi="Times New Roman"/>
          <w:sz w:val="32"/>
          <w:szCs w:val="32"/>
        </w:rPr>
        <w:t xml:space="preserve">  企业增资可采取信息预披露和正式披露相结合的方式，通过产权交易机构网站分阶段对外披露信息。信息预披露可在增资企业履行内部决策程序后进行，涉及需要履行最终批准程序的进行相应提示。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第三十二条</w:t>
      </w:r>
      <w:r>
        <w:rPr>
          <w:rFonts w:ascii="Times New Roman" w:eastAsia="方正仿宋_GBK" w:cs="Times New Roman" w:hAnsi="Times New Roman"/>
          <w:sz w:val="32"/>
          <w:szCs w:val="32"/>
        </w:rPr>
        <w:t xml:space="preserve">  通过资格审查的意向投资方数量较多时，可以采用竞价、竞争性谈判、综合评议等方式进行多轮次遴选。产权交易机构负责统一接收意向投资方的投标和报价文件，协助企业开展投资方遴选有关工作。企业董事会或股东会以资产评估结果为基础，结合意向投资方的条件和报价等因素审议选定投资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第三十三条</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 xml:space="preserve"> 投资方以非货币资产出资的，应当经增资企业董事会或股东会审议同意，并委托具有相应资质的评估机构进行评估，确认投资方的出资金额。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第三十四条</w:t>
      </w:r>
      <w:r>
        <w:rPr>
          <w:rFonts w:ascii="Times New Roman" w:eastAsia="方正仿宋_GBK" w:cs="Times New Roman" w:hAnsi="Times New Roman"/>
          <w:sz w:val="32"/>
          <w:szCs w:val="32"/>
        </w:rPr>
        <w:t xml:space="preserve">  以下情形经</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机构、部门审核后报县政府</w:t>
      </w:r>
      <w:r>
        <w:rPr>
          <w:rFonts w:ascii="Times New Roman" w:eastAsia="方正仿宋_GBK" w:cs="Times New Roman" w:hAnsi="Times New Roman"/>
          <w:sz w:val="32"/>
          <w:szCs w:val="32"/>
        </w:rPr>
        <w:t>批准，可以采取非公开协议方式进行增资：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（一）因国有资本布局结构调整需要，由特定的国有及国有控股企业或国有实际控制企业参与增资；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（二）因</w:t>
      </w:r>
      <w:r>
        <w:rPr>
          <w:rFonts w:ascii="Times New Roman" w:eastAsia="方正仿宋_GBK" w:cs="Times New Roman" w:hAnsi="Times New Roman" w:hint="eastAsia"/>
          <w:sz w:val="32"/>
          <w:szCs w:val="32"/>
          <w:lang w:eastAsia="zh-CN"/>
        </w:rPr>
        <w:t>所属企业</w:t>
      </w:r>
      <w:r>
        <w:rPr>
          <w:rFonts w:ascii="Times New Roman" w:eastAsia="方正仿宋_GBK" w:cs="Times New Roman" w:hAnsi="Times New Roman"/>
          <w:sz w:val="32"/>
          <w:szCs w:val="32"/>
        </w:rPr>
        <w:t>与特定投资方建立战略合作伙伴或利益共同体需要，由该投资方参与</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或其子企业增资，经</w:t>
      </w:r>
      <w:r>
        <w:rPr>
          <w:rFonts w:ascii="Times New Roman" w:eastAsia="方正仿宋_GBK" w:cs="Times New Roman" w:hAnsi="Times New Roman" w:hint="eastAsia"/>
          <w:sz w:val="32"/>
          <w:szCs w:val="32"/>
          <w:lang w:eastAsia="zh-CN"/>
        </w:rPr>
        <w:t>县政府</w:t>
      </w:r>
      <w:r>
        <w:rPr>
          <w:rFonts w:ascii="Times New Roman" w:eastAsia="方正仿宋_GBK" w:cs="Times New Roman" w:hAnsi="Times New Roman"/>
          <w:sz w:val="32"/>
          <w:szCs w:val="32"/>
        </w:rPr>
        <w:t>批准，可以采取非公开协议方式。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第三十五条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以下情形经</w:t>
      </w:r>
      <w:r>
        <w:rPr>
          <w:rFonts w:ascii="Times New Roman" w:eastAsia="方正仿宋_GBK" w:cs="Times New Roman" w:hAnsi="Times New Roman" w:hint="eastAsia"/>
          <w:sz w:val="32"/>
          <w:szCs w:val="32"/>
          <w:lang w:eastAsia="zh-CN"/>
        </w:rPr>
        <w:t>县属企业审议决策，报</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机构、部门批准</w:t>
      </w:r>
      <w:r>
        <w:rPr>
          <w:rFonts w:ascii="Times New Roman" w:eastAsia="方正仿宋_GBK" w:cs="Times New Roman" w:hAnsi="Times New Roman"/>
          <w:sz w:val="32"/>
          <w:szCs w:val="32"/>
        </w:rPr>
        <w:t>，可以采取非公开协议方式进行增资：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直接或指定其控股、实际控制的其他子企业参与增资；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（二）企业债权转为股权；</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Chars="0"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（三）企业原股东增资。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第五章  资产转让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 xml:space="preserve">第三十六条 </w:t>
      </w:r>
      <w:r>
        <w:rPr>
          <w:rFonts w:ascii="Times New Roman" w:eastAsia="方正仿宋_GBK" w:cs="Times New Roman" w:hAnsi="Times New Roman"/>
          <w:sz w:val="32"/>
          <w:szCs w:val="32"/>
        </w:rPr>
        <w:t xml:space="preserve"> 资产转让是指企业一定金额以上的生产设备、房产、在建工程以及土地使用权、债权、知识产权等资产对外转让，不包括企业正常生产销售的产成品、半成品、商品和副产品等。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第三十七条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负责审</w:t>
      </w:r>
      <w:r>
        <w:rPr>
          <w:rFonts w:ascii="Times New Roman" w:eastAsia="方正仿宋_GBK" w:cs="Times New Roman" w:hAnsi="Times New Roman" w:hint="eastAsia"/>
          <w:sz w:val="32"/>
          <w:szCs w:val="32"/>
          <w:lang w:eastAsia="zh-CN"/>
        </w:rPr>
        <w:t>核所属企业</w:t>
      </w:r>
      <w:r>
        <w:rPr>
          <w:rFonts w:ascii="Times New Roman" w:eastAsia="方正仿宋_GBK" w:cs="Times New Roman" w:hAnsi="Times New Roman"/>
          <w:sz w:val="32"/>
          <w:szCs w:val="32"/>
        </w:rPr>
        <w:t>及子企业资产转让事项</w:t>
      </w:r>
      <w:r>
        <w:rPr>
          <w:rFonts w:ascii="Times New Roman" w:eastAsia="方正仿宋_GBK" w:cs="Times New Roman" w:hAnsi="Times New Roman" w:hint="eastAsia"/>
          <w:sz w:val="32"/>
          <w:szCs w:val="32"/>
          <w:lang w:eastAsia="zh-CN"/>
        </w:rPr>
        <w:t>，并报县政府批准</w:t>
      </w:r>
      <w:r>
        <w:rPr>
          <w:rFonts w:ascii="Times New Roman" w:eastAsia="方正仿宋_GBK" w:cs="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第三十八条</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机器设备、物资等转让应在产权交易机构公开进行。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 xml:space="preserve">第三十九条 </w:t>
      </w:r>
      <w:r>
        <w:rPr>
          <w:rFonts w:ascii="Times New Roman" w:eastAsia="方正仿宋_GBK" w:cs="Times New Roman" w:hAnsi="Times New Roman"/>
          <w:sz w:val="32"/>
          <w:szCs w:val="32"/>
        </w:rPr>
        <w:t xml:space="preserve"> 转让底价一般要求以评估结果为基础确定。账面原值低于100万元的不强制要求评估备案，但是土地、</w:t>
      </w:r>
      <w:r>
        <w:rPr>
          <w:rFonts w:ascii="Times New Roman" w:eastAsia="方正仿宋_GBK" w:cs="Times New Roman" w:hAnsi="Times New Roman" w:hint="eastAsia"/>
          <w:sz w:val="32"/>
          <w:szCs w:val="32"/>
          <w:lang w:eastAsia="zh-CN"/>
        </w:rPr>
        <w:t>房屋、</w:t>
      </w:r>
      <w:r>
        <w:rPr>
          <w:rFonts w:ascii="Times New Roman" w:eastAsia="方正仿宋_GBK" w:cs="Times New Roman" w:hAnsi="Times New Roman"/>
          <w:sz w:val="32"/>
          <w:szCs w:val="32"/>
        </w:rPr>
        <w:t>商誉、无形资产等除外。</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Chars="0"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第四十条</w:t>
      </w:r>
      <w:r>
        <w:rPr>
          <w:rFonts w:ascii="Times New Roman" w:eastAsia="方正仿宋_GBK" w:cs="Times New Roman" w:hAnsi="Times New Roman"/>
          <w:sz w:val="32"/>
          <w:szCs w:val="32"/>
        </w:rPr>
        <w:t xml:space="preserve">  资产转让价款原则上一次性付清。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第六章  无偿划转</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 xml:space="preserve">第四十一条 </w:t>
      </w:r>
      <w:r>
        <w:rPr>
          <w:rFonts w:ascii="Times New Roman" w:eastAsia="方正仿宋_GBK" w:cs="Times New Roman" w:hAnsi="Times New Roman"/>
          <w:sz w:val="32"/>
          <w:szCs w:val="32"/>
        </w:rPr>
        <w:t xml:space="preserve"> 企业国有产权无偿划转，是指企业国有产权在政府机构、事业单位、国有独资公司、国有全资公司之间的无偿转移。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第四十二条</w:t>
      </w:r>
      <w:r>
        <w:rPr>
          <w:rFonts w:ascii="Times New Roman" w:eastAsia="方正仿宋_GBK" w:cs="Times New Roman" w:hAnsi="Times New Roman"/>
          <w:sz w:val="32"/>
          <w:szCs w:val="32"/>
        </w:rPr>
        <w:t xml:space="preserve">  国有控股、实际控制企业内部实施重组整合，经</w:t>
      </w:r>
      <w:r>
        <w:rPr>
          <w:rFonts w:ascii="Times New Roman" w:eastAsia="方正仿宋_GBK" w:cs="Times New Roman" w:hAnsi="Times New Roman"/>
          <w:sz w:val="32"/>
          <w:szCs w:val="32"/>
          <w:highlight w:val="none"/>
        </w:rPr>
        <w:t>履行出资人职责的</w:t>
      </w:r>
      <w:r>
        <w:rPr>
          <w:rFonts w:ascii="Times New Roman" w:eastAsia="方正仿宋_GBK" w:cs="Times New Roman" w:hAnsi="Times New Roman" w:hint="eastAsia"/>
          <w:sz w:val="32"/>
          <w:szCs w:val="32"/>
          <w:lang w:eastAsia="zh-CN"/>
          <w:highlight w:val="none"/>
        </w:rPr>
        <w:t>机构、部门</w:t>
      </w:r>
      <w:r>
        <w:rPr>
          <w:rFonts w:ascii="Times New Roman" w:eastAsia="方正仿宋_GBK" w:cs="Times New Roman" w:hAnsi="Times New Roman"/>
          <w:sz w:val="32"/>
          <w:szCs w:val="32"/>
        </w:rPr>
        <w:t>批准，该国有控股、实际控制企业与其直接、间接全资拥有的子企业之间，或其直接、间接全资拥有的子企业之间，可比照国有产权无偿划转管理相关规定划转所持企业产权。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第四十三条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企业国有产权无偿划转按以下权限审批：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lang w:val="en-US" w:eastAsia="zh-CN"/>
        </w:rPr>
        <w:t>一</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企业国有产权在同一履行出资人职责机构所出资企业之间无偿划转的，由所出资企业共同报履行出资人职责机构批准</w:t>
      </w:r>
      <w:r>
        <w:rPr>
          <w:rFonts w:ascii="Times New Roman" w:eastAsia="方正仿宋_GBK" w:cs="Times New Roman" w:hAnsi="Times New Roman" w:hint="eastAsia"/>
          <w:sz w:val="32"/>
          <w:szCs w:val="32"/>
          <w:lang w:eastAsia="zh-CN"/>
        </w:rPr>
        <w:t>，并报县财政局备案</w:t>
      </w:r>
      <w:r>
        <w:rPr>
          <w:rFonts w:ascii="Times New Roman" w:eastAsia="方正仿宋_GBK" w:cs="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lang w:val="en-US" w:eastAsia="zh-CN"/>
        </w:rPr>
        <w:t>二</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企业国有产权在不同履行出资人职责机构所出资企业之间无偿划转的，依据划转双方的产权归属关系，由所出资企业分别报同级履行出资人职责</w:t>
      </w:r>
      <w:r>
        <w:rPr>
          <w:rFonts w:ascii="Times New Roman" w:eastAsia="方正仿宋_GBK" w:cs="Times New Roman" w:hAnsi="Times New Roman" w:hint="eastAsia"/>
          <w:sz w:val="32"/>
          <w:szCs w:val="32"/>
          <w:lang w:eastAsia="zh-CN"/>
        </w:rPr>
        <w:t>机构、部门核</w:t>
      </w:r>
      <w:r>
        <w:rPr>
          <w:rFonts w:ascii="Times New Roman" w:eastAsia="方正仿宋_GBK" w:cs="Times New Roman" w:hAnsi="Times New Roman"/>
          <w:sz w:val="32"/>
          <w:szCs w:val="32"/>
        </w:rPr>
        <w:t>准</w:t>
      </w:r>
      <w:r>
        <w:rPr>
          <w:rFonts w:ascii="Times New Roman" w:eastAsia="方正仿宋_GBK" w:cs="Times New Roman" w:hAnsi="Times New Roman" w:hint="eastAsia"/>
          <w:sz w:val="32"/>
          <w:szCs w:val="32"/>
          <w:lang w:eastAsia="zh-CN"/>
        </w:rPr>
        <w:t>，报县政府批准，并报县财政局备案</w:t>
      </w:r>
      <w:r>
        <w:rPr>
          <w:rFonts w:ascii="Times New Roman" w:eastAsia="方正仿宋_GBK" w:cs="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lang w:val="en-US" w:eastAsia="zh-CN"/>
        </w:rPr>
        <w:t>三</w:t>
      </w:r>
      <w:r>
        <w:rPr>
          <w:rFonts w:ascii="Times New Roman" w:eastAsia="方正仿宋_GBK" w:cs="Times New Roman" w:hAnsi="Times New Roman"/>
          <w:sz w:val="32"/>
          <w:szCs w:val="32"/>
        </w:rPr>
        <w:t>）下级政府履行出资人职责机构所出资企业国有产权无偿划转上级政府履行出资人职责机构所出资企业或其子企业持有的，由下级政府和上级政府履行出资人职责机构分别</w:t>
      </w:r>
      <w:r>
        <w:rPr>
          <w:rFonts w:ascii="Times New Roman" w:eastAsia="方正仿宋_GBK" w:cs="Times New Roman" w:hAnsi="Times New Roman" w:hint="eastAsia"/>
          <w:sz w:val="32"/>
          <w:szCs w:val="32"/>
          <w:lang w:eastAsia="zh-CN"/>
        </w:rPr>
        <w:t>核</w:t>
      </w:r>
      <w:r>
        <w:rPr>
          <w:rFonts w:ascii="Times New Roman" w:eastAsia="方正仿宋_GBK" w:cs="Times New Roman" w:hAnsi="Times New Roman"/>
          <w:sz w:val="32"/>
          <w:szCs w:val="32"/>
        </w:rPr>
        <w:t>准</w:t>
      </w:r>
      <w:r>
        <w:rPr>
          <w:rFonts w:ascii="Times New Roman" w:eastAsia="方正仿宋_GBK" w:cs="Times New Roman" w:hAnsi="Times New Roman" w:hint="eastAsia"/>
          <w:sz w:val="32"/>
          <w:szCs w:val="32"/>
          <w:lang w:eastAsia="zh-CN"/>
        </w:rPr>
        <w:t>，报同级政府批准，县级企业报县财政局备案</w:t>
      </w:r>
      <w:r>
        <w:rPr>
          <w:rFonts w:ascii="Times New Roman" w:eastAsia="方正仿宋_GBK" w:cs="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 xml:space="preserve">第四十四条 </w:t>
      </w:r>
      <w:r>
        <w:rPr>
          <w:rFonts w:ascii="Times New Roman" w:eastAsia="方正仿宋_GBK" w:cs="Times New Roman" w:hAnsi="Times New Roman"/>
          <w:sz w:val="32"/>
          <w:szCs w:val="32"/>
        </w:rPr>
        <w:t xml:space="preserve"> 企业国有产权无偿划转的程序如下：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企业国有产权无偿划转应当做好可行性研究。无偿划转可行性论证报告一般应当载明被划转企业所处行业情况及国家有关法律法规、产业政策规定、主业情况及与划入划出方企业主业和发展规划的关系、财务状况及或有负债情况、人员情况和划入方对被划转企业的重组方案，包括投入计划、资金来源、效益预测及风险对策等其他需说明的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（二）划转双方应当在可行性研究的基础上，按照内部决策程序进行审议，并形成书面决议。涉及职工分流安置事项的，应当经被划转企业职工代表大会审议通过；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（三）划出方应当就无偿划转事项通知本企业债权人，并制订相应的债务处置方案；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（四）划转双方应当组织被划转企业开展审计或清产核资，以中介机构出具的审计报告或经划出方履行出资人职责机构批准的清产核资结果作为企业国有产权无偿划转的依据；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（五）划转双方协商一致后，应当签订企业国有产权无偿划转协议。无偿划转事项按照本办法规定程序批准后，划转协议生效；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（六）划转双方应当依据相关批复文件及划转协议进行账务调整，按规定办理产权登记等手续。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第四十五条</w:t>
      </w:r>
      <w:r>
        <w:rPr>
          <w:rFonts w:ascii="Times New Roman" w:eastAsia="方正仿宋_GBK" w:cs="Times New Roman" w:hAnsi="Times New Roman"/>
          <w:sz w:val="32"/>
          <w:szCs w:val="32"/>
        </w:rPr>
        <w:t xml:space="preserve">  有下列情况之一的，不得实施无偿划转：</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（一）被划转企业主业不符合划入方主业及发展规划的；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（二）中介机构对被划转企业划转基准日的财务报告出具否定意见、无法表示意见的审计报告的；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（三）无偿划转涉及的职工分流安置事项未经被划转企业的职工代表大会审议通过的；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（四）被划转企业或有负债未有妥善解决方案的；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（五）划出方债务未有妥善处置方案的。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第四十六条</w:t>
      </w:r>
      <w:r>
        <w:rPr>
          <w:rFonts w:ascii="Times New Roman" w:eastAsia="方正仿宋_GBK" w:cs="Times New Roman" w:hAnsi="Times New Roman"/>
          <w:sz w:val="32"/>
          <w:szCs w:val="32"/>
        </w:rPr>
        <w:t xml:space="preserve">  下列无偿划转事项，依据中介机构出具的被划转企业上一年度（或最近一次）审计报告或经履行出资人职责机构批准的清产核资结果，直接进行账务调整，并按规定办理产权登记等手续：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政府决定的企业国有产权无偿划转履行出资人职责机构或</w:t>
      </w:r>
      <w:r>
        <w:rPr>
          <w:rFonts w:ascii="Times New Roman" w:eastAsia="方正仿宋_GBK" w:cs="Times New Roman" w:hAnsi="Times New Roman" w:hint="eastAsia"/>
          <w:sz w:val="32"/>
          <w:szCs w:val="32"/>
          <w:lang w:eastAsia="zh-CN"/>
        </w:rPr>
        <w:t>所属</w:t>
      </w:r>
      <w:r>
        <w:rPr>
          <w:rFonts w:ascii="Times New Roman" w:eastAsia="方正仿宋_GBK" w:cs="Times New Roman" w:hAnsi="Times New Roman"/>
          <w:sz w:val="32"/>
          <w:szCs w:val="32"/>
        </w:rPr>
        <w:t>企业持有的；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（二）由上级政府决定的，企业国有产权在上下级履行出资人职责机构之间无偿划转的；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（三）由划入、划出方属地政府决定的，企业国有产权在互不隶属的履行出资人职责机构之间无偿划转的；</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Chars="0"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（四）其他由</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政府或履行出资人职责机构根据国有经济布局、结构调整和重组需要决定的无偿划转事项。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ascii="Times New Roman" w:eastAsia="方正黑体_GBK" w:cs="Times New Roman" w:hAnsi="Times New Roman"/>
          <w:sz w:val="32"/>
          <w:szCs w:val="32"/>
        </w:rPr>
      </w:pPr>
      <w:bookmarkStart w:id="0" w:name="_GoBack"/>
      <w:r>
        <w:rPr>
          <w:rFonts w:ascii="Times New Roman" w:eastAsia="方正黑体_GBK" w:cs="Times New Roman" w:hAnsi="Times New Roman"/>
          <w:sz w:val="32"/>
          <w:szCs w:val="32"/>
        </w:rPr>
        <w:t>第七章  附   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bookmarkEnd w:id="0"/>
      <w:r>
        <w:rPr>
          <w:rFonts w:ascii="Times New Roman" w:eastAsia="方正仿宋_GBK" w:cs="Times New Roman" w:hAnsi="Times New Roman"/>
          <w:b/>
          <w:bCs/>
          <w:sz w:val="32"/>
          <w:szCs w:val="32"/>
        </w:rPr>
        <w:t>第四十七条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在产权管理过程中发现产权归属不清的，应当进行产权界定。产权界定按照“谁投资、谁拥有产权”的原则进行。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第四十八条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上市公司国有股权管理按照国家有关规定执行。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第四十九条</w:t>
      </w:r>
      <w:r>
        <w:rPr>
          <w:rFonts w:ascii="Times New Roman" w:eastAsia="方正仿宋_GBK" w:cs="Times New Roman" w:hAnsi="Times New Roman"/>
          <w:sz w:val="32"/>
          <w:szCs w:val="32"/>
        </w:rPr>
        <w:t xml:space="preserve"> </w:t>
      </w:r>
      <w:r>
        <w:rPr>
          <w:rFonts w:ascii="Times New Roman" w:eastAsia="方正仿宋_GBK" w:cs="Times New Roman" w:hAnsi="Times New Roman"/>
          <w:sz w:val="32"/>
          <w:szCs w:val="32"/>
          <w:lang w:val="en-US" w:eastAsia="zh-CN"/>
        </w:rPr>
        <w:t xml:space="preserve"> </w:t>
      </w:r>
      <w:r>
        <w:rPr>
          <w:rFonts w:ascii="Times New Roman" w:eastAsia="方正仿宋_GBK" w:cs="Times New Roman" w:hAnsi="Times New Roman"/>
          <w:sz w:val="32"/>
          <w:szCs w:val="32"/>
        </w:rPr>
        <w:t>金融类企业国有产权管理按照国家有关规定执行。</w:t>
      </w:r>
    </w:p>
    <w:p>
      <w:pPr>
        <w:overflowPunct w:val="0"/>
        <w:spacing w:before="0" w:beforeAutospacing="0" w:after="0" w:afterAutospacing="0" w:line="560" w:lineRule="exact"/>
        <w:ind w:leftChars="0" w:left="0" w:firstLineChars="200" w:firstLine="640"/>
        <w:rPr>
          <w:rFonts w:ascii="仿宋_GB2312" w:eastAsia="仿宋_GB2312" w:cs="宋体"/>
          <w:bCs/>
          <w:color w:val="000000"/>
          <w:kern w:val="0"/>
          <w:sz w:val="32"/>
          <w:szCs w:val="32"/>
        </w:rPr>
      </w:pPr>
      <w:r>
        <w:rPr>
          <w:rFonts w:eastAsia="方正仿宋_GBK" w:cs="Times New Roman" w:hint="eastAsia"/>
          <w:b/>
          <w:bCs/>
          <w:sz w:val="32"/>
          <w:szCs w:val="32"/>
          <w:lang w:eastAsia="zh-CN"/>
        </w:rPr>
        <w:t>第五十条</w:t>
      </w:r>
      <w:r>
        <w:rPr>
          <w:rFonts w:eastAsia="方正仿宋_GBK" w:cs="Times New Roman" w:hint="eastAsia"/>
          <w:sz w:val="32"/>
          <w:szCs w:val="32"/>
          <w:lang w:val="en-US" w:eastAsia="zh-CN"/>
        </w:rPr>
        <w:t xml:space="preserve">  </w:t>
      </w:r>
      <w:r>
        <w:rPr>
          <w:rFonts w:ascii="仿宋_GB2312" w:eastAsia="仿宋_GB2312" w:cs="宋体" w:hint="eastAsia"/>
          <w:bCs/>
          <w:color w:val="000000"/>
          <w:spacing w:val="6"/>
          <w:kern w:val="0"/>
          <w:sz w:val="32"/>
          <w:szCs w:val="32"/>
        </w:rPr>
        <w:t xml:space="preserve"> 本办法未尽事宜，以国家、省、</w:t>
      </w:r>
      <w:r>
        <w:rPr>
          <w:rFonts w:ascii="仿宋_GB2312" w:eastAsia="仿宋_GB2312" w:cs="宋体"/>
          <w:bCs/>
          <w:color w:val="000000"/>
          <w:spacing w:val="6"/>
          <w:kern w:val="0"/>
          <w:sz w:val="32"/>
          <w:szCs w:val="32"/>
        </w:rPr>
        <w:t>市、</w:t>
      </w:r>
      <w:r>
        <w:rPr>
          <w:rFonts w:ascii="仿宋_GB2312" w:eastAsia="仿宋_GB2312" w:cs="宋体" w:hint="eastAsia"/>
          <w:bCs/>
          <w:color w:val="000000"/>
          <w:spacing w:val="6"/>
          <w:kern w:val="0"/>
          <w:sz w:val="32"/>
          <w:szCs w:val="32"/>
          <w:lang w:eastAsia="zh-CN"/>
        </w:rPr>
        <w:t>县</w:t>
      </w:r>
      <w:r>
        <w:rPr>
          <w:rFonts w:ascii="仿宋_GB2312" w:eastAsia="仿宋_GB2312" w:cs="宋体" w:hint="eastAsia"/>
          <w:bCs/>
          <w:color w:val="000000"/>
          <w:spacing w:val="6"/>
          <w:kern w:val="0"/>
          <w:sz w:val="32"/>
          <w:szCs w:val="32"/>
        </w:rPr>
        <w:t>有关规定为准。</w:t>
      </w:r>
    </w:p>
    <w:p>
      <w:pPr>
        <w:pStyle w:val="16"/>
        <w:spacing w:before="0" w:beforeAutospacing="0" w:after="0" w:afterAutospacing="0" w:line="560" w:lineRule="exact"/>
        <w:ind w:leftChars="0" w:left="0" w:firstLineChars="200" w:firstLine="640"/>
        <w:rPr>
          <w:rFonts w:ascii="仿宋_GB2312" w:eastAsia="仿宋_GB2312" w:cs="仿宋_GB2312" w:hAnsi="宋体" w:hint="eastAsia"/>
          <w:sz w:val="32"/>
          <w:szCs w:val="32"/>
        </w:rPr>
      </w:pPr>
      <w:r>
        <w:rPr>
          <w:rFonts w:eastAsia="方正仿宋_GBK" w:cs="Times New Roman" w:hint="eastAsia"/>
          <w:b/>
          <w:bCs/>
          <w:sz w:val="32"/>
          <w:szCs w:val="32"/>
          <w:lang w:eastAsia="zh-CN"/>
        </w:rPr>
        <w:t>第五十</w:t>
      </w:r>
      <w:r>
        <w:rPr>
          <w:rFonts w:eastAsia="方正仿宋_GBK" w:cs="Times New Roman"/>
          <w:b/>
          <w:bCs/>
          <w:sz w:val="32"/>
          <w:szCs w:val="32"/>
          <w:lang w:eastAsia="zh-CN"/>
        </w:rPr>
        <w:t>一</w:t>
      </w:r>
      <w:r>
        <w:rPr>
          <w:rFonts w:eastAsia="方正仿宋_GBK" w:cs="Times New Roman" w:hint="eastAsia"/>
          <w:b/>
          <w:bCs/>
          <w:sz w:val="32"/>
          <w:szCs w:val="32"/>
          <w:lang w:eastAsia="zh-CN"/>
        </w:rPr>
        <w:t>条</w:t>
      </w:r>
      <w:r>
        <w:rPr>
          <w:rFonts w:eastAsia="方正仿宋_GBK" w:cs="Times New Roman"/>
          <w:b/>
          <w:bCs/>
          <w:sz w:val="32"/>
          <w:szCs w:val="32"/>
          <w:lang w:eastAsia="zh-CN"/>
        </w:rPr>
        <w:t xml:space="preserve">  </w:t>
      </w:r>
      <w:r>
        <w:rPr>
          <w:rFonts w:ascii="仿宋_GB2312" w:eastAsia="仿宋_GB2312" w:cs="仿宋_GB2312" w:hAnsi="宋体" w:hint="eastAsia"/>
          <w:color w:val="000000"/>
          <w:sz w:val="32"/>
          <w:szCs w:val="32"/>
          <w:lang w:val="en-US" w:eastAsia="zh-CN"/>
        </w:rPr>
        <w:t>本办法自印发之日起开始执行。由县财政局负责解释。</w:t>
      </w:r>
    </w:p>
    <w:p>
      <w:pPr>
        <w:pStyle w:val="16"/>
        <w:kinsoku/>
        <w:wordWrap/>
        <w:overflowPunct/>
        <w:topLinePunct w:val="0"/>
        <w:autoSpaceDE w:val="0"/>
        <w:autoSpaceDN w:val="0"/>
        <w:spacing w:before="0" w:beforeAutospacing="0" w:after="0" w:afterAutospacing="0" w:line="560" w:lineRule="exact"/>
        <w:ind w:leftChars="0" w:left="0" w:firstLineChars="200" w:firstLine="480"/>
        <w:rPr>
          <w:rFonts w:hint="eastAsia"/>
        </w:rPr>
      </w:pPr>
    </w:p>
    <w:sectPr>
      <w:footerReference w:type="default" r:id="rId2"/>
      <w:pgSz w:w="11906" w:h="16838"/>
      <w:pgMar w:top="2098" w:right="1417" w:bottom="1984" w:left="1417" w:header="851" w:footer="992" w:gutter="0"/>
      <w:pgNumType/>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1"/>
    <w:family w:val="auto"/>
    <w:pitch w:val="variable"/>
    <w:sig w:usb0="E0002AFF" w:usb1="C0007841" w:usb2="00000009" w:usb3="00000000" w:csb0="400001FF" w:csb1="FFFF0000"/>
  </w:font>
  <w:font w:name="方正小标宋_GBK">
    <w:panose1 w:val="03000509000000000000"/>
    <w:charset w:val="86"/>
    <w:family w:val="auto"/>
    <w:pitch w:val="variable"/>
    <w:sig w:usb0="00000001" w:usb1="080E0000" w:usb2="00000000" w:usb3="00000000" w:csb0="00040000" w:csb1="00000000"/>
  </w:font>
  <w:font w:name="方正仿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仿宋_GB2312">
    <w:panose1 w:val="02010609030101010101"/>
    <w:charset w:val="86"/>
    <w:family w:val="auto"/>
    <w:pitch w:val="variable"/>
    <w:sig w:usb0="00000001" w:usb1="080E0000" w:usb2="00000000" w:usb3="00000000" w:csb0="00040000"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33400" cy="230584"/>
              <wp:wrapNone/>
              <wp:docPr id="2" name="文本框 2"/>
              <wp:cNvGraphicFramePr>
                <a:graphicFrameLocks noChangeAspect="0"/>
              </wp:cNvGraphicFramePr>
              <a:graphic>
                <a:graphicData uri="http://schemas.microsoft.com/office/word/2010/wordprocessingShape">
                  <wps:wsp>
                    <wps:cNvSpPr/>
                    <wps:spPr>
                      <a:xfrm rot="0">
                        <a:off x="0" y="0"/>
                        <a:ext cx="533400" cy="230584"/>
                      </a:xfrm>
                      <a:prstGeom prst="rect"/>
                      <a:noFill/>
                      <a:ln w="6350" cmpd="sng" cap="flat">
                        <a:noFill/>
                        <a:prstDash val="solid"/>
                        <a:round/>
                      </a:ln>
                    </wps:spPr>
                    <wps:txbx id="1">
                      <w:txbxContent>
                        <w:p>
                          <w:pPr>
                            <w:pStyle w:val="20"/>
                            <w:tabs>
                              <w:tab w:val="center" w:pos="4153"/>
                              <w:tab w:val="right" w:pos="8306"/>
                            </w:tabs>
                            <w:rPr>
                              <w:rFonts w:ascii="宋体" w:eastAsia="宋体" w:cs="宋体" w:hAnsi="宋体"/>
                              <w:sz w:val="28"/>
                              <w:szCs w:val="28"/>
                              <w:lang w:val="en-US" w:eastAsia="zh-CN"/>
                            </w:rPr>
                          </w:pPr>
                          <w:r>
                            <w:rPr>
                              <w:rFonts w:ascii="宋体" w:cs="宋体" w:hAnsi="宋体" w:hint="eastAsia"/>
                              <w:sz w:val="28"/>
                              <w:szCs w:val="28"/>
                              <w:lang w:val="en-US" w:eastAsia="zh-CN"/>
                            </w:rPr>
                            <w:t>-</w:t>
                          </w:r>
                          <w:r>
                            <w:rPr>
                              <w:rFonts w:ascii="宋体" w:eastAsia="宋体" w:cs="宋体" w:hAnsi="宋体" w:hint="eastAsia"/>
                              <w:sz w:val="28"/>
                              <w:szCs w:val="28"/>
                              <w:lang w:val="en-US" w:eastAsia="zh-CN"/>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r>
                            <w:rPr>
                              <w:rFonts w:ascii="宋体" w:eastAsia="宋体" w:cs="宋体" w:hAnsi="宋体" w:hint="eastAsia"/>
                              <w:sz w:val="28"/>
                              <w:szCs w:val="28"/>
                              <w:lang w:val="en-US" w:eastAsia="zh-CN"/>
                            </w:rPr>
                            <w:t xml:space="preserve"> </w:t>
                          </w:r>
                          <w:r>
                            <w:rPr>
                              <w:rFonts w:ascii="宋体" w:cs="宋体" w:hAnsi="宋体" w:hint="eastAsia"/>
                              <w:sz w:val="28"/>
                              <w:szCs w:val="28"/>
                              <w:lang w:val="en-US" w:eastAsia="zh-CN"/>
                            </w:rPr>
                            <w:t>-</w:t>
                          </w:r>
                        </w:p>
                      </w:txbxContent>
                    </wps:txbx>
                    <wps:bodyPr vert="horz" wrap="none" lIns="0" tIns="0" rIns="0" bIns="0" anchor="t" anchorCtr="0" upright="0">
                      <a:spAutoFit/>
                    </wps:bodyPr>
                  </wps:wsp>
                </a:graphicData>
              </a:graphic>
            </wp:anchor>
          </w:drawing>
        </mc:Choice>
        <mc:Fallback>
          <w:pict>
            <v:rect type="#_x0000_t1" id="文本框 2" o:spid="_x0000_s2" filled="f" stroked="f" strokeweight="0.5pt" style="position:absolute;margin-left:0.0pt;margin-top:0.0pt;width:42.0pt;height:18.15628pt;z-index:12;mso-position-horizontal:outside;mso-position-horizontal-relative:margin;mso-position-vertical:absolute;mso-wrap-style:none;">
              <v:stroke/>
              <v:textbox id="848" inset="0mm,0mm,0mm,0mm" o:insetmode="custom" style="layout-flow:horizontal;v-text-anchor:top;mso-fit-shape-to-text:t;">
                <w:txbxContent>
                  <w:p>
                    <w:pPr>
                      <w:pStyle w:val="20"/>
                      <w:tabs>
                        <w:tab w:val="center" w:pos="4153"/>
                        <w:tab w:val="right" w:pos="8306"/>
                      </w:tabs>
                      <w:rPr>
                        <w:rFonts w:ascii="宋体" w:eastAsia="宋体" w:cs="宋体" w:hAnsi="宋体"/>
                        <w:sz w:val="28"/>
                        <w:szCs w:val="28"/>
                        <w:lang w:val="en-US" w:eastAsia="zh-CN"/>
                      </w:rPr>
                    </w:pPr>
                    <w:r>
                      <w:rPr>
                        <w:rFonts w:ascii="宋体" w:cs="宋体" w:hAnsi="宋体" w:hint="eastAsia"/>
                        <w:sz w:val="28"/>
                        <w:szCs w:val="28"/>
                        <w:lang w:val="en-US" w:eastAsia="zh-CN"/>
                      </w:rPr>
                      <w:t>-</w:t>
                    </w:r>
                    <w:r>
                      <w:rPr>
                        <w:rFonts w:ascii="宋体" w:eastAsia="宋体" w:cs="宋体" w:hAnsi="宋体" w:hint="eastAsia"/>
                        <w:sz w:val="28"/>
                        <w:szCs w:val="28"/>
                        <w:lang w:val="en-US" w:eastAsia="zh-CN"/>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r>
                      <w:rPr>
                        <w:rFonts w:ascii="宋体" w:eastAsia="宋体" w:cs="宋体" w:hAnsi="宋体" w:hint="eastAsia"/>
                        <w:sz w:val="28"/>
                        <w:szCs w:val="28"/>
                        <w:lang w:val="en-US" w:eastAsia="zh-CN"/>
                      </w:rPr>
                      <w:t xml:space="preserve"> </w:t>
                    </w:r>
                    <w:r>
                      <w:rPr>
                        <w:rFonts w:ascii="宋体" w:cs="宋体" w:hAnsi="宋体" w:hint="eastAsia"/>
                        <w:sz w:val="28"/>
                        <w:szCs w:val="28"/>
                        <w:lang w:val="en-US" w:eastAsia="zh-CN"/>
                      </w:rPr>
                      <w:t>-</w:t>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Indent"/>
    <w:qFormat/>
    <w:basedOn w:val="0"/>
    <w:next w:val="0"/>
    <w:pPr>
      <w:spacing w:after="120"/>
      <w:ind w:leftChars="200" w:left="200"/>
    </w:pPr>
  </w:style>
  <w:style w:type="paragraph" w:customStyle="1" w:yozoId="4094" w:styleId="16">
    <w:name w:val="Default"/>
    <w:qFormat/>
    <w:basedOn w:val="15"/>
    <w:next w:val="17"/>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styleId="17">
    <w:name w:val="index 5"/>
    <w:qFormat/>
    <w:basedOn w:val="0"/>
    <w:next w:val="0"/>
    <w:pPr>
      <w:widowControl w:val="0"/>
      <w:spacing w:line="560" w:lineRule="exact"/>
      <w:ind w:left="1680" w:firstLineChars="200" w:firstLine="200"/>
      <w:jc w:val="both"/>
    </w:pPr>
    <w:rPr>
      <w:rFonts w:ascii="Calibri" w:eastAsia="宋体" w:cs="Times New Roman" w:hAnsi="Calibri"/>
      <w:kern w:val="2"/>
      <w:sz w:val="32"/>
      <w:szCs w:val="24"/>
      <w:lang w:val="en-US" w:eastAsia="zh-CN" w:bidi="ar-SA"/>
    </w:rPr>
  </w:style>
  <w:style w:type="paragraph" w:styleId="18">
    <w:name w:val="Body Text"/>
    <w:qFormat/>
    <w:basedOn w:val="0"/>
    <w:next w:val="19"/>
    <w:pPr>
      <w:jc w:val="center"/>
    </w:pPr>
    <w:rPr>
      <w:b/>
      <w:bCs/>
      <w:sz w:val="44"/>
    </w:rPr>
  </w:style>
  <w:style w:type="paragraph" w:styleId="19">
    <w:name w:val="Body Text First Indent"/>
    <w:qFormat/>
    <w:basedOn w:val="18"/>
    <w:pPr>
      <w:ind w:firstLineChars="200" w:firstLine="200"/>
    </w:pPr>
    <w:rPr>
      <w:rFonts w:ascii="Times New Roman" w:hAnsi="Times New Roman"/>
    </w:rPr>
  </w:style>
  <w:style w:type="paragraph" w:styleId="20">
    <w:name w:val="footer"/>
    <w:qFormat/>
    <w:basedOn w:val="0"/>
    <w:pPr>
      <w:tabs>
        <w:tab w:val="center" w:pos="4153"/>
        <w:tab w:val="right" w:pos="8306"/>
      </w:tabs>
      <w:snapToGrid w:val="0"/>
      <w:jc w:val="left"/>
    </w:pPr>
    <w:rPr>
      <w:sz w:val="18"/>
    </w:rPr>
  </w:style>
  <w:style w:type="paragraph" w:styleId="21">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yozoId="4094" w:styleId="22">
    <w:name w:val="普通(网站)1"/>
    <w:qFormat/>
    <w:basedOn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F79F11EB-8189-4D4D-829D-50DC92F62DE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101</TotalTime>
  <Application>WPS_Yozo_Office9.0.5847.101ZH.S1</Application>
  <Pages>12</Pages>
  <Words>0</Words>
  <Characters>4396</Characters>
  <Lines>0</Lines>
  <Paragraphs>111</Paragraphs>
  <CharactersWithSpaces>5862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guo</dc:creator>
  <cp:lastModifiedBy>Administrator</cp:lastModifiedBy>
  <cp:revision>5</cp:revision>
  <cp:lastPrinted>2026-02-09T11:20:00Z</cp:lastPrinted>
  <dcterms:created xsi:type="dcterms:W3CDTF">2026-02-07T07:43:00Z</dcterms:created>
  <dcterms:modified xsi:type="dcterms:W3CDTF">2026-03-15T02:53:00Z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KSOTemplateDocerSaveRecord">
    <vt:lpwstr>eyJoZGlkIjoiZWJjYjk4YWRhMzE1MmI0ZjdjY2ZjZDZhNmFjMDJiOGIiLCJ1c2VySWQiOiIyMDc1MjE3NTYifQ==</vt:lpwstr>
  </property>
  <property fmtid="{D5CDD505-2E9C-101B-9397-08002B2CF9AE}" pid="4" name="ICV">
    <vt:lpwstr>47F9DE07AC674C6AA417173BCBF06B66_12</vt:lpwstr>
  </property>
</Properties>
</file>