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方正小标宋_GBK" w:eastAsia="方正小标宋_GBK" w:cs="方正小标宋_GBK" w:hAnsi="国标小标宋" w:hint="eastAsia"/>
          <w:sz w:val="32"/>
          <w:szCs w:val="32"/>
          <w:lang w:val="en-US" w:eastAsia="zh-CN"/>
        </w:rPr>
      </w:pPr>
      <w:bookmarkStart w:id="0" w:name="_GoBack"/>
      <w:r>
        <w:rPr>
          <w:rFonts w:ascii="方正小标宋_GBK" w:eastAsia="方正小标宋_GBK" w:cs="方正小标宋_GBK" w:hAnsi="国标小标宋" w:hint="eastAsia"/>
          <w:b w:val="0"/>
          <w:bCs w:val="0"/>
          <w:vanish w:val="0"/>
          <w:kern w:val="2"/>
          <w:sz w:val="44"/>
          <w:szCs w:val="44"/>
        </w:rPr>
        <w:t>魏县县属国有企业监督管理办法</w:t>
      </w:r>
      <w:r>
        <w:rPr>
          <w:rFonts w:ascii="方正小标宋_GBK" w:eastAsia="方正小标宋_GBK" w:cs="方正小标宋_GBK" w:hAnsi="国标小标宋" w:hint="eastAsia"/>
          <w:b w:val="0"/>
          <w:bCs w:val="0"/>
          <w:vanish w:val="0"/>
          <w:kern w:val="2"/>
          <w:sz w:val="44"/>
          <w:szCs w:val="44"/>
          <w:lang w:eastAsia="zh-CN"/>
        </w:rPr>
        <w:t>（试行）</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40"/>
        <w:contextualSpacing w:val="0"/>
        <w:jc w:val="both"/>
        <w:rPr>
          <w:rFonts w:ascii="黑体" w:eastAsia="黑体" w:hAnsi="黑体" w:hint="eastAsia"/>
          <w:vanish w:val="0"/>
          <w:kern w:val="2"/>
          <w:sz w:val="32"/>
          <w:szCs w:val="32"/>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仿宋" w:eastAsia="仿宋" w:cs="Times New Roman" w:hAnsi="仿宋" w:hint="eastAsia"/>
          <w:vanish w:val="0"/>
          <w:spacing w:val="6"/>
          <w:kern w:val="2"/>
          <w:sz w:val="21"/>
          <w:szCs w:val="21"/>
        </w:rPr>
      </w:pPr>
      <w:r>
        <w:rPr>
          <w:rFonts w:ascii="黑体" w:eastAsia="黑体" w:hAnsi="黑体" w:hint="eastAsia"/>
          <w:vanish w:val="0"/>
          <w:kern w:val="2"/>
          <w:sz w:val="32"/>
          <w:szCs w:val="32"/>
        </w:rPr>
        <w:t>第一章  总  则</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_GB2312" w:eastAsia="仿宋_GB2312" w:cs="Times New Roman" w:hAnsi="Times New Roman" w:hint="eastAsia"/>
          <w:vanish w:val="0"/>
          <w:spacing w:val="6"/>
          <w:kern w:val="2"/>
          <w:sz w:val="32"/>
          <w:szCs w:val="32"/>
        </w:rPr>
      </w:pPr>
      <w:r>
        <w:rPr>
          <w:rFonts w:ascii="黑体" w:eastAsia="黑体" w:cs="Times New Roman" w:hAnsi="黑体" w:hint="eastAsia"/>
          <w:vanish w:val="0"/>
          <w:spacing w:val="6"/>
          <w:kern w:val="2"/>
          <w:sz w:val="32"/>
          <w:szCs w:val="32"/>
        </w:rPr>
        <w:t xml:space="preserve">第一条  </w:t>
      </w:r>
      <w:r>
        <w:rPr>
          <w:rFonts w:ascii="仿宋" w:eastAsia="仿宋" w:cs="Times New Roman" w:hAnsi="仿宋" w:hint="eastAsia"/>
          <w:vanish w:val="0"/>
          <w:spacing w:val="6"/>
          <w:kern w:val="2"/>
          <w:sz w:val="32"/>
          <w:szCs w:val="32"/>
        </w:rPr>
        <w:t>为依法履行出资人职责，进一步规范和加强</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属国有企业的监督管理,促进</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属国有企业健康持续发展,实现</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属企业国有资产保值和增值,增强国有企业活力和效率</w:t>
      </w:r>
      <w:r>
        <w:rPr>
          <w:rFonts w:ascii="仿宋" w:eastAsia="仿宋" w:cs="Times New Roman" w:hAnsi="仿宋" w:hint="eastAsia"/>
          <w:vanish w:val="0"/>
          <w:spacing w:val="6"/>
          <w:kern w:val="2"/>
          <w:sz w:val="32"/>
          <w:szCs w:val="32"/>
          <w:lang w:eastAsia="zh-CN"/>
        </w:rPr>
        <w:t>。</w:t>
      </w:r>
      <w:r>
        <w:rPr>
          <w:rFonts w:ascii="仿宋" w:eastAsia="仿宋" w:cs="Times New Roman" w:hAnsi="仿宋" w:hint="eastAsia"/>
          <w:vanish w:val="0"/>
          <w:spacing w:val="6"/>
          <w:kern w:val="2"/>
          <w:sz w:val="32"/>
          <w:szCs w:val="32"/>
        </w:rPr>
        <w:t>根据《企业国有资产监督管理暂行条例》（国务院令第378号）</w:t>
      </w:r>
      <w:r>
        <w:rPr>
          <w:rFonts w:ascii="仿宋" w:eastAsia="仿宋" w:cs="Times New Roman" w:hAnsi="仿宋" w:hint="eastAsia"/>
          <w:vanish w:val="0"/>
          <w:spacing w:val="6"/>
          <w:kern w:val="2"/>
          <w:sz w:val="32"/>
          <w:szCs w:val="32"/>
          <w:lang w:eastAsia="zh-CN"/>
        </w:rPr>
        <w:t>和《河北省企业国有资产监督管理实施办法》</w:t>
      </w:r>
      <w:r>
        <w:rPr>
          <w:rFonts w:ascii="仿宋" w:eastAsia="仿宋" w:cs="Times New Roman" w:hAnsi="仿宋" w:hint="eastAsia"/>
          <w:vanish w:val="0"/>
          <w:spacing w:val="6"/>
          <w:kern w:val="2"/>
          <w:sz w:val="32"/>
          <w:szCs w:val="32"/>
        </w:rPr>
        <w:t>等有关法律法规及文件规定,结合我</w:t>
      </w:r>
      <w:r>
        <w:rPr>
          <w:rFonts w:ascii="仿宋" w:eastAsia="仿宋" w:cs="Times New Roman" w:hAnsi="仿宋"/>
          <w:vanish w:val="0"/>
          <w:spacing w:val="6"/>
          <w:kern w:val="2"/>
          <w:sz w:val="32"/>
          <w:szCs w:val="32"/>
        </w:rPr>
        <w:t>县县</w:t>
      </w:r>
      <w:r>
        <w:rPr>
          <w:rFonts w:ascii="仿宋" w:eastAsia="仿宋" w:cs="Times New Roman" w:hAnsi="仿宋" w:hint="eastAsia"/>
          <w:vanish w:val="0"/>
          <w:spacing w:val="6"/>
          <w:kern w:val="2"/>
          <w:sz w:val="32"/>
          <w:szCs w:val="32"/>
        </w:rPr>
        <w:t>属国有企业实际,制定本办法。</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vanish w:val="0"/>
          <w:spacing w:val="6"/>
          <w:kern w:val="2"/>
          <w:sz w:val="32"/>
          <w:szCs w:val="32"/>
        </w:rPr>
      </w:pPr>
      <w:r>
        <w:rPr>
          <w:rFonts w:ascii="黑体" w:eastAsia="黑体" w:cs="Times New Roman" w:hAnsi="黑体" w:hint="eastAsia"/>
          <w:vanish w:val="0"/>
          <w:spacing w:val="6"/>
          <w:kern w:val="2"/>
          <w:sz w:val="32"/>
          <w:szCs w:val="32"/>
        </w:rPr>
        <w:t>第二条</w:t>
      </w:r>
      <w:r>
        <w:rPr>
          <w:rFonts w:ascii="仿宋" w:eastAsia="仿宋" w:cs="Times New Roman" w:hAnsi="仿宋" w:hint="eastAsia"/>
          <w:b/>
          <w:bCs w:val="0"/>
          <w:vanish w:val="0"/>
          <w:spacing w:val="6"/>
          <w:kern w:val="2"/>
          <w:sz w:val="32"/>
          <w:szCs w:val="32"/>
        </w:rPr>
        <w:t xml:space="preserve">  </w:t>
      </w:r>
      <w:r>
        <w:rPr>
          <w:rFonts w:ascii="仿宋" w:eastAsia="仿宋" w:cs="Times New Roman" w:hAnsi="仿宋" w:hint="eastAsia"/>
          <w:vanish w:val="0"/>
          <w:spacing w:val="6"/>
          <w:kern w:val="2"/>
          <w:sz w:val="32"/>
          <w:szCs w:val="32"/>
        </w:rPr>
        <w:t>以习近平新时代中国特色社会主义思想为</w:t>
      </w:r>
      <w:r>
        <w:rPr>
          <w:rFonts w:ascii="仿宋" w:eastAsia="仿宋" w:cs="Times New Roman" w:hAnsi="仿宋"/>
          <w:vanish w:val="0"/>
          <w:spacing w:val="6"/>
          <w:kern w:val="2"/>
          <w:sz w:val="32"/>
          <w:szCs w:val="32"/>
        </w:rPr>
        <w:t>指导</w:t>
      </w:r>
      <w:r>
        <w:rPr>
          <w:rFonts w:ascii="仿宋" w:eastAsia="仿宋" w:cs="Times New Roman" w:hAnsi="仿宋" w:hint="eastAsia"/>
          <w:vanish w:val="0"/>
          <w:spacing w:val="6"/>
          <w:kern w:val="2"/>
          <w:sz w:val="32"/>
          <w:szCs w:val="32"/>
        </w:rPr>
        <w:t>，全面</w:t>
      </w:r>
      <w:r>
        <w:rPr>
          <w:rFonts w:ascii="仿宋" w:eastAsia="仿宋" w:cs="Times New Roman" w:hAnsi="仿宋"/>
          <w:vanish w:val="0"/>
          <w:spacing w:val="6"/>
          <w:kern w:val="2"/>
          <w:sz w:val="32"/>
          <w:szCs w:val="32"/>
        </w:rPr>
        <w:t>贯彻</w:t>
      </w:r>
      <w:r>
        <w:rPr>
          <w:rFonts w:ascii="仿宋" w:eastAsia="仿宋" w:cs="Times New Roman" w:hAnsi="仿宋" w:hint="eastAsia"/>
          <w:vanish w:val="0"/>
          <w:spacing w:val="6"/>
          <w:kern w:val="2"/>
          <w:sz w:val="32"/>
          <w:szCs w:val="32"/>
        </w:rPr>
        <w:t>落实党的</w:t>
      </w:r>
      <w:r>
        <w:rPr>
          <w:rFonts w:ascii="仿宋" w:eastAsia="仿宋" w:cs="Times New Roman" w:hAnsi="仿宋"/>
          <w:vanish w:val="0"/>
          <w:spacing w:val="6"/>
          <w:kern w:val="2"/>
          <w:sz w:val="32"/>
          <w:szCs w:val="32"/>
        </w:rPr>
        <w:t>二十</w:t>
      </w:r>
      <w:r>
        <w:rPr>
          <w:rFonts w:ascii="仿宋" w:eastAsia="仿宋" w:cs="Times New Roman" w:hAnsi="仿宋" w:hint="eastAsia"/>
          <w:vanish w:val="0"/>
          <w:spacing w:val="6"/>
          <w:kern w:val="2"/>
          <w:sz w:val="32"/>
          <w:szCs w:val="32"/>
          <w:lang w:eastAsia="zh-CN"/>
        </w:rPr>
        <w:t>大和二十届历次</w:t>
      </w:r>
      <w:r>
        <w:rPr>
          <w:rFonts w:ascii="仿宋" w:eastAsia="仿宋" w:cs="Times New Roman" w:hAnsi="仿宋" w:hint="eastAsia"/>
          <w:vanish w:val="0"/>
          <w:spacing w:val="6"/>
          <w:kern w:val="2"/>
          <w:sz w:val="32"/>
          <w:szCs w:val="32"/>
        </w:rPr>
        <w:t>全会</w:t>
      </w:r>
      <w:r>
        <w:rPr>
          <w:rFonts w:ascii="仿宋" w:eastAsia="仿宋" w:cs="Times New Roman" w:hAnsi="仿宋"/>
          <w:vanish w:val="0"/>
          <w:spacing w:val="6"/>
          <w:kern w:val="2"/>
          <w:sz w:val="32"/>
          <w:szCs w:val="32"/>
        </w:rPr>
        <w:t>精神，依法履行出资人监督职责，</w:t>
      </w:r>
      <w:r>
        <w:rPr>
          <w:rFonts w:ascii="仿宋" w:eastAsia="仿宋" w:cs="Times New Roman" w:hAnsi="仿宋" w:hint="eastAsia"/>
          <w:vanish w:val="0"/>
          <w:spacing w:val="6"/>
          <w:kern w:val="2"/>
          <w:sz w:val="32"/>
          <w:szCs w:val="32"/>
        </w:rPr>
        <w:t>完善国有资产监督管理体制</w:t>
      </w:r>
      <w:r>
        <w:rPr>
          <w:rFonts w:ascii="仿宋" w:eastAsia="仿宋" w:cs="Times New Roman" w:hAnsi="仿宋"/>
          <w:vanish w:val="0"/>
          <w:spacing w:val="6"/>
          <w:kern w:val="2"/>
          <w:sz w:val="32"/>
          <w:szCs w:val="32"/>
        </w:rPr>
        <w:t>机制</w:t>
      </w:r>
      <w:r>
        <w:rPr>
          <w:rFonts w:ascii="仿宋" w:eastAsia="仿宋" w:cs="Times New Roman" w:hAnsi="仿宋" w:hint="eastAsia"/>
          <w:vanish w:val="0"/>
          <w:spacing w:val="6"/>
          <w:kern w:val="2"/>
          <w:sz w:val="32"/>
          <w:szCs w:val="32"/>
        </w:rPr>
        <w:t>、</w:t>
      </w:r>
      <w:r>
        <w:rPr>
          <w:rFonts w:ascii="仿宋" w:eastAsia="仿宋" w:cs="Times New Roman" w:hAnsi="仿宋"/>
          <w:vanish w:val="0"/>
          <w:spacing w:val="6"/>
          <w:kern w:val="2"/>
          <w:sz w:val="32"/>
          <w:szCs w:val="32"/>
        </w:rPr>
        <w:t>健全监督制度体系，整合用好监督资源，强化领域、全过程、全链条监督，</w:t>
      </w:r>
      <w:r>
        <w:rPr>
          <w:rFonts w:ascii="仿宋" w:eastAsia="仿宋" w:cs="Times New Roman" w:hAnsi="仿宋" w:hint="eastAsia"/>
          <w:vanish w:val="0"/>
          <w:spacing w:val="6"/>
          <w:kern w:val="2"/>
          <w:sz w:val="32"/>
          <w:szCs w:val="32"/>
        </w:rPr>
        <w:t>深化国有企业改革的重大战略部署，推进向以管资本为主的职能转变，</w:t>
      </w:r>
      <w:r>
        <w:rPr>
          <w:rFonts w:ascii="仿宋" w:eastAsia="仿宋" w:cs="Times New Roman" w:hAnsi="仿宋"/>
          <w:vanish w:val="0"/>
          <w:spacing w:val="6"/>
          <w:kern w:val="2"/>
          <w:sz w:val="32"/>
          <w:szCs w:val="32"/>
        </w:rPr>
        <w:t>提高监督专业化、体系化、法</w:t>
      </w:r>
      <w:r>
        <w:rPr>
          <w:rFonts w:ascii="仿宋" w:eastAsia="仿宋" w:cs="Times New Roman" w:hAnsi="仿宋" w:hint="eastAsia"/>
          <w:vanish w:val="0"/>
          <w:spacing w:val="6"/>
          <w:kern w:val="2"/>
          <w:sz w:val="32"/>
          <w:szCs w:val="32"/>
          <w:lang w:eastAsia="zh-CN"/>
        </w:rPr>
        <w:t>治</w:t>
      </w:r>
      <w:r>
        <w:rPr>
          <w:rFonts w:ascii="仿宋" w:eastAsia="仿宋" w:cs="Times New Roman" w:hAnsi="仿宋"/>
          <w:vanish w:val="0"/>
          <w:spacing w:val="6"/>
          <w:kern w:val="2"/>
          <w:sz w:val="32"/>
          <w:szCs w:val="32"/>
        </w:rPr>
        <w:t>化、高效化水平，</w:t>
      </w:r>
      <w:r>
        <w:rPr>
          <w:rFonts w:ascii="仿宋" w:eastAsia="仿宋" w:cs="Times New Roman" w:hAnsi="仿宋" w:hint="eastAsia"/>
          <w:vanish w:val="0"/>
          <w:spacing w:val="6"/>
          <w:kern w:val="2"/>
          <w:sz w:val="32"/>
          <w:szCs w:val="32"/>
        </w:rPr>
        <w:t>推进</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级经营性国有资产集中统一监管，加强和改进党对</w:t>
      </w:r>
      <w:r>
        <w:rPr>
          <w:rFonts w:ascii="仿宋" w:eastAsia="仿宋" w:cs="Times New Roman" w:hAnsi="仿宋"/>
          <w:vanish w:val="0"/>
          <w:spacing w:val="6"/>
          <w:kern w:val="2"/>
          <w:sz w:val="32"/>
          <w:szCs w:val="32"/>
        </w:rPr>
        <w:t>县</w:t>
      </w:r>
      <w:r>
        <w:rPr>
          <w:rFonts w:ascii="仿宋" w:eastAsia="仿宋" w:cs="Times New Roman" w:hAnsi="仿宋" w:hint="eastAsia"/>
          <w:vanish w:val="0"/>
          <w:spacing w:val="6"/>
          <w:kern w:val="2"/>
          <w:sz w:val="32"/>
          <w:szCs w:val="32"/>
        </w:rPr>
        <w:t>属国有企业的领导，推进依法治企，实现政企分开、政资分开，适应市场化、现代化和经济发展的新常态，实现</w:t>
      </w:r>
      <w:r>
        <w:rPr>
          <w:rFonts w:ascii="仿宋" w:eastAsia="仿宋" w:cs="Times New Roman" w:hAnsi="仿宋"/>
          <w:vanish w:val="0"/>
          <w:spacing w:val="6"/>
          <w:kern w:val="2"/>
          <w:sz w:val="32"/>
          <w:szCs w:val="32"/>
        </w:rPr>
        <w:t>县</w:t>
      </w:r>
      <w:r>
        <w:rPr>
          <w:rFonts w:ascii="仿宋" w:eastAsia="仿宋" w:cs="Times New Roman" w:hAnsi="仿宋" w:hint="eastAsia"/>
          <w:vanish w:val="0"/>
          <w:spacing w:val="6"/>
          <w:kern w:val="2"/>
          <w:sz w:val="32"/>
          <w:szCs w:val="32"/>
        </w:rPr>
        <w:t>属国有企业良性发展和国有资产保值增值,</w:t>
      </w:r>
      <w:r>
        <w:rPr>
          <w:rFonts w:ascii="仿宋" w:eastAsia="仿宋" w:cs="Times New Roman" w:hAnsi="仿宋"/>
          <w:vanish w:val="0"/>
          <w:spacing w:val="6"/>
          <w:kern w:val="2"/>
          <w:sz w:val="32"/>
          <w:szCs w:val="32"/>
        </w:rPr>
        <w:t>有力保障和推动国有资本和国有企业做强做优做大，增强核心功能、提升核心竞争力、实现高质量发展。</w:t>
      </w:r>
    </w:p>
    <w:p>
      <w:pPr>
        <w:pStyle w:val="18"/>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kern w:val="2"/>
          <w:sz w:val="32"/>
          <w:szCs w:val="32"/>
        </w:rPr>
      </w:pPr>
      <w:r>
        <w:rPr>
          <w:rFonts w:ascii="黑体" w:eastAsia="黑体" w:cs="Times New Roman" w:hAnsi="黑体" w:hint="eastAsia"/>
          <w:vanish w:val="0"/>
          <w:spacing w:val="6"/>
          <w:kern w:val="2"/>
          <w:sz w:val="32"/>
          <w:szCs w:val="32"/>
        </w:rPr>
        <w:t>第三条</w:t>
      </w:r>
      <w:r>
        <w:rPr>
          <w:rFonts w:ascii="仿宋" w:eastAsia="仿宋" w:cs="Times New Roman" w:hAnsi="仿宋" w:hint="eastAsia"/>
          <w:b/>
          <w:bCs w:val="0"/>
          <w:vanish w:val="0"/>
          <w:kern w:val="2"/>
          <w:sz w:val="32"/>
          <w:szCs w:val="32"/>
        </w:rPr>
        <w:t xml:space="preserve">  </w:t>
      </w:r>
      <w:r>
        <w:rPr>
          <w:rFonts w:ascii="仿宋" w:eastAsia="仿宋" w:cs="Times New Roman" w:hAnsi="仿宋" w:hint="eastAsia"/>
          <w:vanish w:val="0"/>
          <w:kern w:val="2"/>
          <w:sz w:val="32"/>
          <w:szCs w:val="32"/>
        </w:rPr>
        <w:t>本办法适用于我</w:t>
      </w:r>
      <w:r>
        <w:rPr>
          <w:rFonts w:ascii="仿宋" w:eastAsia="仿宋" w:cs="Times New Roman" w:hAnsi="仿宋"/>
          <w:vanish w:val="0"/>
          <w:kern w:val="2"/>
          <w:sz w:val="32"/>
          <w:szCs w:val="32"/>
        </w:rPr>
        <w:t>县县</w:t>
      </w:r>
      <w:r>
        <w:rPr>
          <w:rFonts w:ascii="仿宋" w:eastAsia="仿宋" w:cs="Times New Roman" w:hAnsi="仿宋" w:hint="eastAsia"/>
          <w:vanish w:val="0"/>
          <w:kern w:val="2"/>
          <w:sz w:val="32"/>
          <w:szCs w:val="32"/>
        </w:rPr>
        <w:t>级管理的国家出资的国有独资企业、国有独资公司、国有资本控股公司、国有股拥有实际控制权的国有资本参股企业及其所属企业（以下简称“</w:t>
      </w:r>
      <w:r>
        <w:rPr>
          <w:rFonts w:ascii="仿宋" w:eastAsia="仿宋" w:cs="Times New Roman" w:hAnsi="仿宋"/>
          <w:vanish w:val="0"/>
          <w:kern w:val="2"/>
          <w:sz w:val="32"/>
          <w:szCs w:val="32"/>
        </w:rPr>
        <w:t>县</w:t>
      </w:r>
      <w:r>
        <w:rPr>
          <w:rFonts w:ascii="仿宋" w:eastAsia="仿宋" w:cs="Times New Roman" w:hAnsi="仿宋" w:hint="eastAsia"/>
          <w:vanish w:val="0"/>
          <w:kern w:val="2"/>
          <w:sz w:val="32"/>
          <w:szCs w:val="32"/>
        </w:rPr>
        <w:t>属国有企业”）。</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黑体" w:eastAsia="黑体" w:cs="Times New Roman" w:hAnsi="Times New Roman" w:hint="eastAsia"/>
          <w:vanish w:val="0"/>
          <w:color w:val="auto"/>
          <w:kern w:val="2"/>
          <w:sz w:val="32"/>
          <w:szCs w:val="32"/>
          <w:lang w:eastAsia="zh-CN"/>
          <w:highlight w:val="none"/>
        </w:rPr>
      </w:pPr>
      <w:r>
        <w:rPr>
          <w:rFonts w:ascii="黑体" w:eastAsia="黑体" w:cs="Times New Roman" w:hAnsi="Times New Roman" w:hint="eastAsia"/>
          <w:vanish w:val="0"/>
          <w:color w:val="auto"/>
          <w:kern w:val="2"/>
          <w:sz w:val="32"/>
          <w:szCs w:val="32"/>
          <w:highlight w:val="none"/>
        </w:rPr>
        <w:t>第二章  履行出资人职责机构</w:t>
      </w:r>
      <w:r>
        <w:rPr>
          <w:rFonts w:ascii="黑体" w:eastAsia="黑体" w:cs="Times New Roman" w:hint="eastAsia"/>
          <w:vanish w:val="0"/>
          <w:color w:val="auto"/>
          <w:kern w:val="2"/>
          <w:sz w:val="32"/>
          <w:szCs w:val="32"/>
          <w:lang w:eastAsia="zh-CN"/>
          <w:highlight w:val="none"/>
        </w:rPr>
        <w:t>、部门</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b w:val="0"/>
          <w:i w:val="0"/>
          <w:iCs w:val="0"/>
          <w:caps w:val="0"/>
          <w:smallCaps w:val="0"/>
          <w:strike w:val="0"/>
          <w:dstrike w:val="0"/>
          <w:snapToGrid/>
          <w:vanish w:val="0"/>
          <w:color w:val="auto"/>
          <w:spacing w:val="6"/>
          <w:w w:val="100"/>
          <w:kern w:val="2"/>
          <w:position w:val="0"/>
          <w:sz w:val="32"/>
          <w:szCs w:val="32"/>
          <w:u w:val="none" w:color="auto"/>
          <w:shd w:val="clear" w:color="auto" w:fill="auto"/>
          <w:vertAlign w:val="baseline"/>
          <w:lang w:val="en-US" w:eastAsia="zh-CN" w:bidi="ar-SA"/>
        </w:rPr>
      </w:pPr>
      <w:r>
        <w:rPr>
          <w:rFonts w:ascii="黑体" w:eastAsia="黑体" w:cs="Times New Roman" w:hAnsi="黑体" w:hint="eastAsia"/>
          <w:vanish w:val="0"/>
          <w:spacing w:val="6"/>
          <w:kern w:val="2"/>
          <w:sz w:val="32"/>
          <w:szCs w:val="32"/>
        </w:rPr>
        <w:t>第四条</w:t>
      </w:r>
      <w:r>
        <w:rPr>
          <w:rFonts w:ascii="仿宋" w:eastAsia="仿宋" w:cs="Times New Roman" w:hAnsi="仿宋" w:hint="eastAsia"/>
          <w:vanish w:val="0"/>
          <w:spacing w:val="6"/>
          <w:kern w:val="2"/>
          <w:sz w:val="32"/>
          <w:szCs w:val="32"/>
        </w:rPr>
        <w:t xml:space="preserve">  </w:t>
      </w:r>
      <w:r>
        <w:rPr>
          <w:rFonts w:ascii="仿宋" w:eastAsia="仿宋" w:cs="Times New Roman" w:hAnsi="仿宋"/>
          <w:vanish w:val="0"/>
          <w:spacing w:val="6"/>
          <w:kern w:val="2"/>
          <w:sz w:val="32"/>
          <w:szCs w:val="32"/>
        </w:rPr>
        <w:t>魏县</w:t>
      </w:r>
      <w:r>
        <w:rPr>
          <w:rFonts w:ascii="仿宋" w:eastAsia="仿宋" w:cs="Times New Roman" w:hAnsi="仿宋" w:hint="eastAsia"/>
          <w:vanish w:val="0"/>
          <w:spacing w:val="6"/>
          <w:kern w:val="2"/>
          <w:sz w:val="32"/>
          <w:szCs w:val="32"/>
        </w:rPr>
        <w:t>人民政府根据需要,可以授权其他机构、</w:t>
      </w:r>
      <w:r>
        <w:rPr>
          <w:rFonts w:ascii="仿宋" w:eastAsia="仿宋" w:cs="Times New Roman" w:hAnsi="仿宋" w:hint="eastAsia"/>
          <w:b w:val="0"/>
          <w:i w:val="0"/>
          <w:iCs w:val="0"/>
          <w:caps w:val="0"/>
          <w:smallCaps w:val="0"/>
          <w:strike w:val="0"/>
          <w:dstrike w:val="0"/>
          <w:snapToGrid/>
          <w:vanish w:val="0"/>
          <w:color w:val="auto"/>
          <w:spacing w:val="6"/>
          <w:w w:val="100"/>
          <w:kern w:val="2"/>
          <w:position w:val="0"/>
          <w:sz w:val="32"/>
          <w:szCs w:val="32"/>
          <w:u w:val="none" w:color="auto"/>
          <w:shd w:val="clear" w:color="auto" w:fill="auto"/>
          <w:vertAlign w:val="baseline"/>
          <w:lang w:val="en-US" w:eastAsia="zh-CN" w:bidi="ar-SA"/>
        </w:rPr>
        <w:t>部门代表本级人民政府对县属国有企业履行出资人职责。</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b w:val="0"/>
          <w:i w:val="0"/>
          <w:iCs w:val="0"/>
          <w:caps w:val="0"/>
          <w:smallCaps w:val="0"/>
          <w:strike w:val="0"/>
          <w:dstrike w:val="0"/>
          <w:snapToGrid/>
          <w:vanish w:val="0"/>
          <w:color w:val="auto"/>
          <w:spacing w:val="6"/>
          <w:w w:val="100"/>
          <w:kern w:val="2"/>
          <w:position w:val="0"/>
          <w:sz w:val="32"/>
          <w:szCs w:val="32"/>
          <w:u w:val="none" w:color="auto"/>
          <w:shd w:val="clear" w:color="auto" w:fill="auto"/>
          <w:vertAlign w:val="baseline"/>
          <w:lang w:val="en-US" w:eastAsia="zh-CN" w:bidi="ar-SA"/>
        </w:rPr>
      </w:pPr>
      <w:r>
        <w:rPr>
          <w:rFonts w:ascii="仿宋" w:eastAsia="仿宋" w:cs="Times New Roman" w:hAnsi="仿宋" w:hint="eastAsia"/>
          <w:b w:val="0"/>
          <w:i w:val="0"/>
          <w:iCs w:val="0"/>
          <w:caps w:val="0"/>
          <w:smallCaps w:val="0"/>
          <w:strike w:val="0"/>
          <w:dstrike w:val="0"/>
          <w:snapToGrid/>
          <w:vanish w:val="0"/>
          <w:color w:val="auto"/>
          <w:spacing w:val="6"/>
          <w:w w:val="100"/>
          <w:kern w:val="2"/>
          <w:position w:val="0"/>
          <w:sz w:val="32"/>
          <w:szCs w:val="32"/>
          <w:u w:val="none" w:color="auto"/>
          <w:shd w:val="clear" w:color="auto" w:fill="auto"/>
          <w:vertAlign w:val="baseline"/>
          <w:lang w:val="en-US" w:eastAsia="zh-CN" w:bidi="ar-SA"/>
        </w:rPr>
        <w:t>代表本级人民政府履行出资人职责的机构、部门，以及按照“业务谁管理、监督谁负责”</w:t>
      </w:r>
      <w:r>
        <w:rPr>
          <w:rFonts w:ascii="仿宋" w:eastAsia="仿宋" w:cs="Times New Roman" w:hAnsi="仿宋"/>
          <w:b w:val="0"/>
          <w:i w:val="0"/>
          <w:iCs w:val="0"/>
          <w:caps w:val="0"/>
          <w:smallCaps w:val="0"/>
          <w:strike w:val="0"/>
          <w:dstrike w:val="0"/>
          <w:snapToGrid/>
          <w:vanish w:val="0"/>
          <w:color w:val="auto"/>
          <w:spacing w:val="6"/>
          <w:w w:val="100"/>
          <w:kern w:val="2"/>
          <w:position w:val="0"/>
          <w:sz w:val="32"/>
          <w:szCs w:val="32"/>
          <w:u w:val="none" w:color="auto"/>
          <w:shd w:val="clear" w:color="auto" w:fill="auto"/>
          <w:vertAlign w:val="baseline"/>
          <w:lang w:val="en-US" w:eastAsia="zh-CN" w:bidi="ar-SA"/>
        </w:rPr>
        <w:t>的</w:t>
      </w:r>
      <w:r>
        <w:rPr>
          <w:rFonts w:ascii="仿宋" w:eastAsia="仿宋" w:cs="Times New Roman" w:hAnsi="仿宋" w:hint="eastAsia"/>
          <w:b w:val="0"/>
          <w:i w:val="0"/>
          <w:iCs w:val="0"/>
          <w:caps w:val="0"/>
          <w:smallCaps w:val="0"/>
          <w:strike w:val="0"/>
          <w:dstrike w:val="0"/>
          <w:snapToGrid/>
          <w:vanish w:val="0"/>
          <w:color w:val="auto"/>
          <w:spacing w:val="6"/>
          <w:w w:val="100"/>
          <w:kern w:val="2"/>
          <w:position w:val="0"/>
          <w:sz w:val="32"/>
          <w:szCs w:val="32"/>
          <w:u w:val="none" w:color="auto"/>
          <w:shd w:val="clear" w:color="auto" w:fill="auto"/>
          <w:vertAlign w:val="baseline"/>
          <w:lang w:val="en-US" w:eastAsia="zh-CN" w:bidi="ar-SA"/>
        </w:rPr>
        <w:t>原则，承担监管责任的机构、部门，统称为“履行出资人职责的部门”</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hint="eastAsia"/>
        </w:rPr>
      </w:pPr>
      <w:r>
        <w:rPr>
          <w:rFonts w:ascii="仿宋" w:eastAsia="仿宋" w:cs="Times New Roman" w:hAnsi="仿宋" w:hint="eastAsia"/>
          <w:vanish w:val="0"/>
          <w:color w:val="auto"/>
          <w:spacing w:val="6"/>
          <w:kern w:val="2"/>
          <w:sz w:val="32"/>
          <w:szCs w:val="32"/>
        </w:rPr>
        <w:t>履行出资人职责的部门，坚持权力与责任相统一、相匹配，以管资本为主，明晰国有资产出资人职责权限，</w:t>
      </w:r>
      <w:r>
        <w:rPr>
          <w:rFonts w:ascii="仿宋" w:eastAsia="仿宋" w:cs="Times New Roman" w:hAnsi="仿宋" w:hint="eastAsia"/>
          <w:vanish w:val="0"/>
          <w:color w:val="auto"/>
          <w:spacing w:val="6"/>
          <w:kern w:val="2"/>
          <w:sz w:val="32"/>
          <w:szCs w:val="32"/>
          <w:lang w:val="en-US" w:eastAsia="zh-CN"/>
        </w:rPr>
        <w:t>建立</w:t>
      </w:r>
      <w:r>
        <w:rPr>
          <w:rFonts w:ascii="仿宋" w:eastAsia="仿宋" w:cs="Times New Roman" w:hAnsi="仿宋" w:hint="eastAsia"/>
          <w:vanish w:val="0"/>
          <w:color w:val="auto"/>
          <w:spacing w:val="6"/>
          <w:kern w:val="2"/>
          <w:sz w:val="32"/>
          <w:szCs w:val="32"/>
        </w:rPr>
        <w:t>健全完善企业国有资产出资人制度，依法对所出资</w:t>
      </w:r>
      <w:r>
        <w:rPr>
          <w:rFonts w:ascii="仿宋" w:eastAsia="仿宋" w:cs="Times New Roman" w:hAnsi="仿宋" w:hint="eastAsia"/>
          <w:vanish w:val="0"/>
          <w:color w:val="auto"/>
          <w:spacing w:val="6"/>
          <w:kern w:val="2"/>
          <w:sz w:val="32"/>
          <w:szCs w:val="32"/>
          <w:lang w:eastAsia="zh-CN"/>
        </w:rPr>
        <w:t>和管理的</w:t>
      </w:r>
      <w:r>
        <w:rPr>
          <w:rFonts w:ascii="仿宋" w:eastAsia="仿宋" w:cs="Times New Roman" w:hAnsi="仿宋" w:hint="eastAsia"/>
          <w:vanish w:val="0"/>
          <w:color w:val="auto"/>
          <w:spacing w:val="6"/>
          <w:kern w:val="2"/>
          <w:sz w:val="32"/>
          <w:szCs w:val="32"/>
        </w:rPr>
        <w:t>企业实施监督管理，确保国有资产保值增值。</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第五条</w:t>
      </w:r>
      <w:r>
        <w:rPr>
          <w:rFonts w:ascii="仿宋" w:eastAsia="仿宋" w:cs="Times New Roman" w:hAnsi="仿宋" w:hint="eastAsia"/>
          <w:vanish w:val="0"/>
          <w:spacing w:val="6"/>
          <w:kern w:val="2"/>
          <w:sz w:val="32"/>
          <w:szCs w:val="32"/>
        </w:rPr>
        <w:t xml:space="preserve">  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代表</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属国有企业依法享有资产收益、参与重大决策和授权选择管理者等出资人权利，按照法律、法规的规定,制定或者参与制定</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属国有企业的章程。需经政府批准的重大事项,应报</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政府批准。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第六条 </w:t>
      </w:r>
      <w:r>
        <w:rPr>
          <w:rFonts w:ascii="仿宋" w:eastAsia="仿宋" w:cs="Times New Roman" w:hAnsi="仿宋" w:hint="eastAsia"/>
          <w:vanish w:val="0"/>
          <w:spacing w:val="6"/>
          <w:kern w:val="2"/>
          <w:sz w:val="32"/>
          <w:szCs w:val="32"/>
        </w:rPr>
        <w:t xml:space="preserve"> 国有独资企业、国有独资公司不设股东会,由履行出资人职责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行使股东会职权。履行出资人职责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委派的股东代表参加国有资本控股公司、国有资本参股公司召开的股东</w:t>
      </w:r>
      <w:r>
        <w:rPr>
          <w:rFonts w:ascii="仿宋" w:eastAsia="仿宋" w:cs="Times New Roman" w:hAnsi="仿宋" w:hint="eastAsia"/>
          <w:vanish w:val="0"/>
          <w:spacing w:val="2"/>
          <w:kern w:val="2"/>
          <w:sz w:val="32"/>
          <w:szCs w:val="32"/>
        </w:rPr>
        <w:t>会会议、股东大会会议,应当按照委派</w:t>
      </w:r>
      <w:r>
        <w:rPr>
          <w:rFonts w:ascii="仿宋" w:eastAsia="仿宋" w:cs="Times New Roman" w:hAnsi="仿宋" w:hint="eastAsia"/>
          <w:vanish w:val="0"/>
          <w:spacing w:val="2"/>
          <w:kern w:val="2"/>
          <w:sz w:val="32"/>
          <w:szCs w:val="32"/>
          <w:lang w:eastAsia="zh-CN"/>
        </w:rPr>
        <w:t>部门</w:t>
      </w:r>
      <w:r>
        <w:rPr>
          <w:rFonts w:ascii="仿宋" w:eastAsia="仿宋" w:cs="Times New Roman" w:hAnsi="仿宋" w:hint="eastAsia"/>
          <w:vanish w:val="0"/>
          <w:spacing w:val="2"/>
          <w:kern w:val="2"/>
          <w:sz w:val="32"/>
          <w:szCs w:val="32"/>
        </w:rPr>
        <w:t>的指示提出提案、发表意见、行使表决权,并将其履行职责的情况和结果及时报告委派</w:t>
      </w:r>
      <w:r>
        <w:rPr>
          <w:rFonts w:ascii="仿宋" w:eastAsia="仿宋" w:cs="Times New Roman" w:hAnsi="仿宋" w:hint="eastAsia"/>
          <w:vanish w:val="0"/>
          <w:spacing w:val="2"/>
          <w:kern w:val="2"/>
          <w:sz w:val="32"/>
          <w:szCs w:val="32"/>
          <w:lang w:eastAsia="zh-CN"/>
        </w:rPr>
        <w:t>部门</w:t>
      </w:r>
      <w:r>
        <w:rPr>
          <w:rFonts w:ascii="仿宋" w:eastAsia="仿宋" w:cs="Times New Roman" w:hAnsi="仿宋" w:hint="eastAsia"/>
          <w:vanish w:val="0"/>
          <w:spacing w:val="2"/>
          <w:kern w:val="2"/>
          <w:sz w:val="32"/>
          <w:szCs w:val="32"/>
        </w:rPr>
        <w:t>。</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lang w:eastAsia="zh-CN"/>
        </w:rPr>
      </w:pPr>
      <w:r>
        <w:rPr>
          <w:rFonts w:ascii="黑体" w:eastAsia="黑体" w:cs="Times New Roman" w:hAnsi="黑体" w:hint="eastAsia"/>
          <w:vanish w:val="0"/>
          <w:spacing w:val="6"/>
          <w:kern w:val="2"/>
          <w:sz w:val="32"/>
          <w:szCs w:val="32"/>
        </w:rPr>
        <w:t xml:space="preserve">第七条 </w:t>
      </w:r>
      <w:r>
        <w:rPr>
          <w:rFonts w:ascii="仿宋" w:eastAsia="仿宋" w:cs="Times New Roman" w:hAnsi="仿宋" w:hint="eastAsia"/>
          <w:vanish w:val="0"/>
          <w:spacing w:val="6"/>
          <w:kern w:val="2"/>
          <w:sz w:val="32"/>
          <w:szCs w:val="32"/>
        </w:rPr>
        <w:t xml:space="preserve"> 履行出资人职责</w:t>
      </w:r>
      <w:r>
        <w:rPr>
          <w:rFonts w:ascii="仿宋" w:eastAsia="仿宋" w:cs="Times New Roman" w:hAnsi="仿宋" w:hint="eastAsia"/>
          <w:vanish w:val="0"/>
          <w:spacing w:val="6"/>
          <w:kern w:val="2"/>
          <w:sz w:val="32"/>
          <w:szCs w:val="32"/>
          <w:lang w:eastAsia="zh-CN"/>
        </w:rPr>
        <w:t>的机构、部门</w:t>
      </w:r>
      <w:r>
        <w:rPr>
          <w:rFonts w:ascii="仿宋" w:eastAsia="仿宋" w:cs="Times New Roman" w:hAnsi="仿宋" w:hint="eastAsia"/>
          <w:vanish w:val="0"/>
          <w:spacing w:val="6"/>
          <w:kern w:val="2"/>
          <w:sz w:val="32"/>
          <w:szCs w:val="32"/>
        </w:rPr>
        <w:t>应当按照法律法规以及</w:t>
      </w:r>
      <w:r>
        <w:rPr>
          <w:rFonts w:ascii="仿宋" w:eastAsia="仿宋" w:cs="Times New Roman" w:hAnsi="仿宋" w:hint="eastAsia"/>
          <w:vanish w:val="0"/>
          <w:spacing w:val="6"/>
          <w:kern w:val="2"/>
          <w:sz w:val="32"/>
          <w:szCs w:val="32"/>
          <w:lang w:eastAsia="zh-CN"/>
        </w:rPr>
        <w:t>企业章程履行出资人职责,保障出资人权益,防止国有资产损失。</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lang w:val="en-US" w:eastAsia="zh-CN"/>
        </w:rPr>
      </w:pPr>
      <w:r>
        <w:rPr>
          <w:rFonts w:ascii="仿宋" w:eastAsia="仿宋" w:cs="Times New Roman" w:hAnsi="仿宋" w:hint="eastAsia"/>
          <w:vanish w:val="0"/>
          <w:spacing w:val="6"/>
          <w:kern w:val="2"/>
          <w:sz w:val="32"/>
          <w:szCs w:val="32"/>
          <w:lang w:val="en-US" w:eastAsia="zh-CN"/>
        </w:rPr>
        <w:t>履行出资人职责的机构应当维护企业作为市场主体依法享有的权利，除依法履行出资人职责外，不得干预企业经营活动，不得违法收取费用，不得增加企业负担。</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_GB2312" w:eastAsia="仿宋_GB2312" w:cs="Times New Roman" w:hAnsi="Times New Roman" w:hint="eastAsia"/>
          <w:vanish w:val="0"/>
          <w:spacing w:val="6"/>
          <w:kern w:val="2"/>
          <w:sz w:val="32"/>
          <w:szCs w:val="32"/>
        </w:rPr>
      </w:pPr>
      <w:r>
        <w:rPr>
          <w:rFonts w:ascii="黑体" w:eastAsia="黑体" w:cs="Times New Roman" w:hAnsi="黑体" w:hint="eastAsia"/>
          <w:vanish w:val="0"/>
          <w:spacing w:val="6"/>
          <w:kern w:val="2"/>
          <w:sz w:val="32"/>
          <w:szCs w:val="32"/>
        </w:rPr>
        <w:t>第八条</w:t>
      </w:r>
      <w:r>
        <w:rPr>
          <w:rFonts w:ascii="仿宋" w:eastAsia="仿宋" w:cs="Times New Roman" w:hAnsi="仿宋" w:hint="eastAsia"/>
          <w:vanish w:val="0"/>
          <w:spacing w:val="6"/>
          <w:kern w:val="2"/>
          <w:sz w:val="32"/>
          <w:szCs w:val="32"/>
        </w:rPr>
        <w:t xml:space="preserve">  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政府负责,向</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政府报告履行出资人职责的情况,接受</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政府的监督和考核,对国有资产的保值增值负责。</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黑体" w:eastAsia="黑体" w:cs="Times New Roman" w:hAnsi="Times New Roman" w:hint="eastAsia"/>
          <w:vanish w:val="0"/>
          <w:spacing w:val="6"/>
          <w:kern w:val="2"/>
          <w:sz w:val="32"/>
          <w:szCs w:val="32"/>
        </w:rPr>
      </w:pPr>
      <w:r>
        <w:rPr>
          <w:rFonts w:ascii="黑体" w:eastAsia="黑体" w:cs="Times New Roman" w:hAnsi="Times New Roman" w:hint="eastAsia"/>
          <w:vanish w:val="0"/>
          <w:spacing w:val="6"/>
          <w:kern w:val="2"/>
          <w:sz w:val="32"/>
          <w:szCs w:val="32"/>
        </w:rPr>
        <w:t xml:space="preserve">第三章  </w:t>
      </w:r>
      <w:r>
        <w:rPr>
          <w:rFonts w:ascii="黑体" w:eastAsia="黑体" w:cs="Times New Roman" w:hint="eastAsia"/>
          <w:vanish w:val="0"/>
          <w:spacing w:val="6"/>
          <w:kern w:val="2"/>
          <w:sz w:val="32"/>
          <w:szCs w:val="32"/>
          <w:lang w:eastAsia="zh-CN"/>
        </w:rPr>
        <w:t>县</w:t>
      </w:r>
      <w:r>
        <w:rPr>
          <w:rFonts w:ascii="黑体" w:eastAsia="黑体" w:cs="Times New Roman" w:hAnsi="Times New Roman" w:hint="eastAsia"/>
          <w:vanish w:val="0"/>
          <w:spacing w:val="6"/>
          <w:kern w:val="2"/>
          <w:sz w:val="32"/>
          <w:szCs w:val="32"/>
        </w:rPr>
        <w:t>属国有企业</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lang w:eastAsia="zh-CN"/>
        </w:rPr>
      </w:pPr>
      <w:r>
        <w:rPr>
          <w:rFonts w:ascii="黑体" w:eastAsia="黑体" w:cs="Times New Roman" w:hAnsi="黑体" w:hint="eastAsia"/>
          <w:vanish w:val="0"/>
          <w:spacing w:val="6"/>
          <w:kern w:val="2"/>
          <w:sz w:val="32"/>
          <w:szCs w:val="32"/>
        </w:rPr>
        <w:t>第九条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属国有企业从事经营活动,应当遵守法律法规及</w:t>
      </w:r>
      <w:r>
        <w:rPr>
          <w:rFonts w:ascii="仿宋" w:eastAsia="仿宋" w:cs="Times New Roman" w:hAnsi="仿宋" w:hint="eastAsia"/>
          <w:vanish w:val="0"/>
          <w:spacing w:val="6"/>
          <w:kern w:val="2"/>
          <w:sz w:val="32"/>
          <w:szCs w:val="32"/>
          <w:lang w:eastAsia="zh-CN"/>
        </w:rPr>
        <w:t>省、</w:t>
      </w:r>
      <w:r>
        <w:rPr>
          <w:rFonts w:ascii="仿宋" w:eastAsia="仿宋" w:cs="Times New Roman" w:hAnsi="仿宋" w:hint="eastAsia"/>
          <w:vanish w:val="0"/>
          <w:spacing w:val="6"/>
          <w:kern w:val="2"/>
          <w:sz w:val="32"/>
          <w:szCs w:val="32"/>
        </w:rPr>
        <w:t>市</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政府制定的国有企业各项管理制度,加强经营管理,提高经济效益,接受</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w:t>
      </w:r>
      <w:r>
        <w:rPr>
          <w:rFonts w:ascii="仿宋" w:eastAsia="仿宋" w:cs="Times New Roman" w:hAnsi="仿宋" w:hint="eastAsia"/>
          <w:vanish w:val="0"/>
          <w:spacing w:val="6"/>
          <w:kern w:val="2"/>
          <w:sz w:val="32"/>
          <w:szCs w:val="32"/>
          <w:lang w:eastAsia="zh-CN"/>
        </w:rPr>
        <w:t>和</w:t>
      </w:r>
      <w:r>
        <w:rPr>
          <w:rFonts w:ascii="仿宋" w:eastAsia="仿宋" w:cs="Times New Roman" w:hAnsi="仿宋" w:hint="eastAsia"/>
          <w:vanish w:val="0"/>
          <w:spacing w:val="6"/>
          <w:kern w:val="2"/>
          <w:sz w:val="32"/>
          <w:szCs w:val="32"/>
        </w:rPr>
        <w:t>履行出资人职</w:t>
      </w:r>
      <w:r>
        <w:rPr>
          <w:rFonts w:ascii="仿宋" w:eastAsia="仿宋" w:cs="Times New Roman" w:hAnsi="仿宋" w:hint="eastAsia"/>
          <w:vanish w:val="0"/>
          <w:spacing w:val="6"/>
          <w:kern w:val="2"/>
          <w:sz w:val="32"/>
          <w:szCs w:val="32"/>
          <w:lang w:eastAsia="zh-CN"/>
        </w:rPr>
        <w:t>责的部门及其有关部门、机构依法实施的管理和监督,接受社会公众的监督,承担社会责任,对出资人负责。</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lang w:val="en-US" w:eastAsia="zh-CN"/>
        </w:rPr>
      </w:pPr>
      <w:r>
        <w:rPr>
          <w:rFonts w:ascii="仿宋" w:eastAsia="仿宋" w:cs="Times New Roman" w:hAnsi="仿宋" w:hint="eastAsia"/>
          <w:vanish w:val="0"/>
          <w:spacing w:val="6"/>
          <w:kern w:val="2"/>
          <w:sz w:val="32"/>
          <w:szCs w:val="32"/>
          <w:lang w:val="en-US" w:eastAsia="zh-CN"/>
        </w:rPr>
        <w:t>国家出资企业应当依法建立和完善法人治理结构，建立健全内部监督管理和风险控制制度。</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第十条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属国有企业应当按照法律法规的相关规定,建立健全财务、会计制度,按照相关规定向出资人提供真实、完整的财务、会计信息。</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color w:val="auto"/>
          <w:spacing w:val="6"/>
          <w:kern w:val="2"/>
          <w:sz w:val="32"/>
          <w:szCs w:val="32"/>
        </w:rPr>
        <w:t xml:space="preserve">第十一条 </w:t>
      </w:r>
      <w:r>
        <w:rPr>
          <w:rFonts w:ascii="仿宋" w:eastAsia="仿宋" w:cs="Times New Roman" w:hAnsi="仿宋" w:hint="eastAsia"/>
          <w:b/>
          <w:bCs w:val="0"/>
          <w:vanish w:val="0"/>
          <w:color w:val="auto"/>
          <w:spacing w:val="6"/>
          <w:kern w:val="2"/>
          <w:sz w:val="32"/>
          <w:szCs w:val="32"/>
        </w:rPr>
        <w:t xml:space="preserve"> </w:t>
      </w:r>
      <w:r>
        <w:rPr>
          <w:rFonts w:ascii="仿宋" w:eastAsia="仿宋" w:cs="Times New Roman" w:hAnsi="仿宋" w:hint="eastAsia"/>
          <w:vanish w:val="0"/>
          <w:color w:val="auto"/>
          <w:spacing w:val="6"/>
          <w:kern w:val="2"/>
          <w:sz w:val="32"/>
          <w:szCs w:val="32"/>
        </w:rPr>
        <w:t>国有独资公司、</w:t>
      </w:r>
      <w:r>
        <w:rPr>
          <w:rFonts w:ascii="仿宋" w:eastAsia="仿宋" w:cs="Times New Roman" w:hAnsi="仿宋" w:hint="eastAsia"/>
          <w:vanish w:val="0"/>
          <w:spacing w:val="6"/>
          <w:kern w:val="2"/>
          <w:sz w:val="32"/>
          <w:szCs w:val="32"/>
        </w:rPr>
        <w:t>国有资本控股公司和国有资本参股公司设董事会,</w:t>
      </w:r>
      <w:r>
        <w:rPr>
          <w:rFonts w:ascii="仿宋" w:eastAsia="仿宋" w:cs="Times New Roman" w:hAnsi="仿宋" w:hint="eastAsia"/>
          <w:vanish w:val="0"/>
          <w:spacing w:val="6"/>
          <w:kern w:val="2"/>
          <w:sz w:val="32"/>
          <w:szCs w:val="32"/>
          <w:lang w:eastAsia="zh-CN"/>
        </w:rPr>
        <w:t>按相关规定和“高效精简”的原则设立</w:t>
      </w:r>
      <w:r>
        <w:rPr>
          <w:rFonts w:ascii="仿宋" w:eastAsia="仿宋" w:cs="Times New Roman" w:hAnsi="仿宋" w:hint="eastAsia"/>
          <w:vanish w:val="0"/>
          <w:spacing w:val="6"/>
          <w:kern w:val="2"/>
          <w:sz w:val="32"/>
          <w:szCs w:val="32"/>
        </w:rPr>
        <w:t>成员,董事每届任期不得超过三年。董事会按照《中华人民共和国公司法》的规定行使职权。董事会成员中应当有公司职工代表。股东人数较少或者规模较小的有限责任公司,可以设一名执行董事,不设董事会。执行董事可以兼任公司经理。执行董事的职权由公司章程规定。</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第十二条</w:t>
      </w:r>
      <w:r>
        <w:rPr>
          <w:rFonts w:ascii="仿宋" w:eastAsia="仿宋" w:cs="Times New Roman" w:hAnsi="仿宋" w:hint="eastAsia"/>
          <w:vanish w:val="0"/>
          <w:spacing w:val="6"/>
          <w:kern w:val="2"/>
          <w:sz w:val="32"/>
          <w:szCs w:val="32"/>
        </w:rPr>
        <w:t xml:space="preserve">  国有独资公司、</w:t>
      </w:r>
      <w:r>
        <w:rPr>
          <w:rFonts w:ascii="仿宋" w:eastAsia="仿宋" w:cs="Times New Roman" w:hAnsi="仿宋" w:hint="eastAsia"/>
          <w:vanish w:val="0"/>
          <w:spacing w:val="6"/>
          <w:kern w:val="2"/>
          <w:sz w:val="32"/>
          <w:szCs w:val="32"/>
          <w:lang w:eastAsia="zh-CN"/>
        </w:rPr>
        <w:t>全资及</w:t>
      </w:r>
      <w:r>
        <w:rPr>
          <w:rFonts w:ascii="仿宋" w:eastAsia="仿宋" w:cs="Times New Roman" w:hAnsi="仿宋" w:hint="eastAsia"/>
          <w:vanish w:val="0"/>
          <w:spacing w:val="6"/>
          <w:kern w:val="2"/>
          <w:sz w:val="32"/>
          <w:szCs w:val="32"/>
        </w:rPr>
        <w:t>国有资本控股公司</w:t>
      </w:r>
      <w:r>
        <w:rPr>
          <w:rFonts w:ascii="仿宋" w:eastAsia="仿宋" w:cs="Times New Roman" w:hAnsi="仿宋" w:hint="eastAsia"/>
          <w:vanish w:val="0"/>
          <w:spacing w:val="6"/>
          <w:kern w:val="2"/>
          <w:sz w:val="32"/>
          <w:szCs w:val="32"/>
          <w:lang w:eastAsia="zh-CN"/>
        </w:rPr>
        <w:t>不设</w:t>
      </w:r>
      <w:r>
        <w:rPr>
          <w:rFonts w:ascii="仿宋" w:eastAsia="仿宋" w:cs="Times New Roman" w:hAnsi="仿宋" w:hint="eastAsia"/>
          <w:vanish w:val="0"/>
          <w:spacing w:val="6"/>
          <w:kern w:val="2"/>
          <w:sz w:val="32"/>
          <w:szCs w:val="32"/>
        </w:rPr>
        <w:t>监事会</w:t>
      </w:r>
      <w:r>
        <w:rPr>
          <w:rFonts w:ascii="仿宋" w:eastAsia="仿宋" w:cs="Times New Roman" w:hAnsi="仿宋" w:hint="eastAsia"/>
          <w:vanish w:val="0"/>
          <w:spacing w:val="6"/>
          <w:kern w:val="2"/>
          <w:sz w:val="32"/>
          <w:szCs w:val="32"/>
          <w:lang w:eastAsia="zh-CN"/>
        </w:rPr>
        <w:t>和监事，按照《河北省国资委深化国有企业监事会改革实施方案》要求，由董事会审计与风险委员会、内部审计机构行使相关职能。</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rPr>
        <w:t>国有资本参股公司按照《中华人民共和国公司法》的规定</w:t>
      </w:r>
      <w:r>
        <w:rPr>
          <w:rFonts w:ascii="仿宋" w:eastAsia="仿宋" w:cs="Times New Roman" w:hAnsi="仿宋" w:hint="eastAsia"/>
          <w:vanish w:val="0"/>
          <w:spacing w:val="6"/>
          <w:kern w:val="2"/>
          <w:sz w:val="32"/>
          <w:szCs w:val="32"/>
          <w:lang w:eastAsia="zh-CN"/>
        </w:rPr>
        <w:t>，</w:t>
      </w:r>
      <w:r>
        <w:rPr>
          <w:rFonts w:ascii="仿宋" w:eastAsia="仿宋" w:cs="Times New Roman" w:hAnsi="仿宋" w:hint="eastAsia"/>
          <w:vanish w:val="0"/>
          <w:spacing w:val="2"/>
          <w:kern w:val="2"/>
          <w:sz w:val="32"/>
          <w:szCs w:val="32"/>
        </w:rPr>
        <w:t>监事会按照法律、法规以及企业章程的规定,对董事、高级管理人员执行职务的行为进行监督,对企业财务进行监督检查。</w:t>
      </w:r>
    </w:p>
    <w:p>
      <w:pPr>
        <w:pStyle w:val="1"/>
        <w:keepNext/>
        <w:keepLines/>
        <w:pageBreakBefore w:val="0"/>
        <w:widowControl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Chars="50" w:left="105" w:firstLineChars="200" w:firstLine="664"/>
        <w:contextualSpacing w:val="0"/>
        <w:jc w:val="both"/>
        <w:textAlignment w:val="center"/>
        <w:rPr>
          <w:rFonts w:ascii="仿宋" w:eastAsia="仿宋" w:cs="Times New Roman" w:hAnsi="仿宋" w:hint="eastAsia"/>
          <w:b w:val="0"/>
          <w:bCs w:val="0"/>
          <w:snapToGrid/>
          <w:vanish w:val="0"/>
          <w:color w:val="auto"/>
          <w:spacing w:val="6"/>
          <w:w w:val="100"/>
          <w:kern w:val="2"/>
          <w:position w:val="0"/>
          <w:sz w:val="32"/>
          <w:szCs w:val="32"/>
          <w:u w:val="none" w:color="auto"/>
          <w:shd w:val="clear" w:color="auto" w:fill="auto"/>
          <w:vertAlign w:val="baseline"/>
          <w:lang w:val="en-US" w:eastAsia="zh-CN" w:bidi="ar-SA"/>
        </w:rPr>
      </w:pPr>
      <w:r>
        <w:rPr>
          <w:rFonts w:ascii="黑体" w:eastAsia="黑体" w:cs="Times New Roman" w:hAnsi="黑体" w:hint="eastAsia"/>
          <w:b w:val="0"/>
          <w:bCs w:val="0"/>
          <w:snapToGrid/>
          <w:vanish w:val="0"/>
          <w:color w:val="auto"/>
          <w:spacing w:val="6"/>
          <w:w w:val="100"/>
          <w:kern w:val="2"/>
          <w:position w:val="0"/>
          <w:sz w:val="32"/>
          <w:szCs w:val="32"/>
          <w:u w:val="none" w:color="auto"/>
          <w:shd w:val="clear" w:color="auto" w:fill="auto"/>
          <w:vertAlign w:val="baseline"/>
          <w:lang w:val="en-US" w:eastAsia="zh-CN" w:bidi="ar-SA"/>
        </w:rPr>
        <w:t>第十三条</w:t>
      </w:r>
      <w:r>
        <w:rPr>
          <w:rFonts w:ascii="黑体" w:eastAsia="黑体" w:cs="Times New Roman" w:hAnsi="黑体" w:hint="eastAsia"/>
          <w:vanish w:val="0"/>
          <w:spacing w:val="6"/>
          <w:kern w:val="2"/>
          <w:sz w:val="32"/>
          <w:szCs w:val="32"/>
          <w:highlight w:val="none"/>
        </w:rPr>
        <w:t xml:space="preserve"> </w:t>
      </w:r>
      <w:r>
        <w:rPr>
          <w:rFonts w:ascii="仿宋" w:eastAsia="仿宋" w:cs="Times New Roman" w:hAnsi="仿宋" w:hint="eastAsia"/>
          <w:vanish w:val="0"/>
          <w:spacing w:val="6"/>
          <w:kern w:val="2"/>
          <w:sz w:val="32"/>
          <w:szCs w:val="32"/>
          <w:highlight w:val="none"/>
        </w:rPr>
        <w:t xml:space="preserve"> </w:t>
      </w:r>
      <w:r>
        <w:rPr>
          <w:rFonts w:ascii="仿宋" w:eastAsia="仿宋" w:cs="Times New Roman" w:hAnsi="仿宋" w:hint="eastAsia"/>
          <w:b w:val="0"/>
          <w:bCs w:val="0"/>
          <w:snapToGrid/>
          <w:vanish w:val="0"/>
          <w:color w:val="auto"/>
          <w:spacing w:val="6"/>
          <w:w w:val="100"/>
          <w:kern w:val="2"/>
          <w:position w:val="0"/>
          <w:sz w:val="32"/>
          <w:szCs w:val="32"/>
          <w:u w:val="none" w:color="auto"/>
          <w:shd w:val="clear" w:color="auto" w:fill="auto"/>
          <w:vertAlign w:val="baseline"/>
          <w:lang w:val="en-US" w:eastAsia="zh-CN" w:bidi="ar-SA"/>
        </w:rPr>
        <w:t>县属国有企业要健全以职工代表大会或职工大会为基本形式的民主管理制度，通过职工代表大会或者法律规定的其他形式,实行民主管理，加强民主监督。</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黑体" w:eastAsia="黑体" w:cs="Times New Roman" w:hAnsi="黑体" w:hint="eastAsia"/>
          <w:vanish w:val="0"/>
          <w:color w:val="FF0000"/>
          <w:spacing w:val="6"/>
          <w:kern w:val="2"/>
          <w:sz w:val="32"/>
          <w:szCs w:val="32"/>
        </w:rPr>
      </w:pPr>
      <w:r>
        <w:rPr>
          <w:rFonts w:ascii="黑体" w:eastAsia="黑体" w:cs="Times New Roman" w:hAnsi="黑体" w:hint="eastAsia"/>
          <w:vanish w:val="0"/>
          <w:spacing w:val="6"/>
          <w:kern w:val="2"/>
          <w:sz w:val="32"/>
          <w:szCs w:val="32"/>
        </w:rPr>
        <w:t>第十四条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属国有企业对其所出资的企业依法享有资产收益、参与重大决策和选择管理者等出资人权利。</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属国有企业对其所出资的企业,应当按照法律、法规的规定,通过制定或者参与制定所出资企业的章程,建立权责明确、有效制衡的企业内部监督管理和风险控制制度,维护其出资人权益。</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_GB2312" w:eastAsia="仿宋_GB2312" w:cs="Times New Roman" w:hAnsi="Times New Roman" w:hint="eastAsia"/>
          <w:vanish w:val="0"/>
          <w:color w:val="auto"/>
          <w:spacing w:val="6"/>
          <w:kern w:val="2"/>
          <w:sz w:val="32"/>
          <w:szCs w:val="32"/>
          <w:highlight w:val="none"/>
        </w:rPr>
      </w:pPr>
      <w:r>
        <w:rPr>
          <w:rFonts w:ascii="黑体" w:eastAsia="黑体" w:cs="Times New Roman" w:hAnsi="黑体" w:hint="eastAsia"/>
          <w:vanish w:val="0"/>
          <w:color w:val="auto"/>
          <w:spacing w:val="6"/>
          <w:kern w:val="2"/>
          <w:sz w:val="32"/>
          <w:szCs w:val="32"/>
          <w:highlight w:val="none"/>
        </w:rPr>
        <w:t xml:space="preserve">第十五条 </w:t>
      </w:r>
      <w:r>
        <w:rPr>
          <w:rFonts w:ascii="仿宋" w:eastAsia="仿宋" w:cs="Times New Roman" w:hAnsi="仿宋" w:hint="eastAsia"/>
          <w:vanish w:val="0"/>
          <w:color w:val="auto"/>
          <w:spacing w:val="6"/>
          <w:kern w:val="2"/>
          <w:sz w:val="32"/>
          <w:szCs w:val="32"/>
          <w:highlight w:val="none"/>
        </w:rPr>
        <w:t xml:space="preserve"> </w:t>
      </w:r>
      <w:r>
        <w:rPr>
          <w:rFonts w:ascii="仿宋" w:eastAsia="仿宋" w:cs="Times New Roman" w:hAnsi="仿宋" w:hint="eastAsia"/>
          <w:vanish w:val="0"/>
          <w:color w:val="auto"/>
          <w:spacing w:val="6"/>
          <w:kern w:val="2"/>
          <w:sz w:val="32"/>
          <w:szCs w:val="32"/>
          <w:lang w:eastAsia="zh-CN"/>
          <w:highlight w:val="none"/>
        </w:rPr>
        <w:t>县</w:t>
      </w:r>
      <w:r>
        <w:rPr>
          <w:rFonts w:ascii="仿宋" w:eastAsia="仿宋" w:cs="Times New Roman" w:hAnsi="仿宋" w:hint="eastAsia"/>
          <w:vanish w:val="0"/>
          <w:color w:val="auto"/>
          <w:spacing w:val="6"/>
          <w:kern w:val="2"/>
          <w:sz w:val="32"/>
          <w:szCs w:val="32"/>
          <w:highlight w:val="none"/>
        </w:rPr>
        <w:t>属国有企业作为独立的法人实体和市场主体，依法享有独立的经营自主权，主要包括：公司经营计划、投资方案、财务预决算方案的组织实施；决定所属全资子公司、控股公司、参股公司的人事任免及薪酬；决定公司内部管理机构设置及负责人任免；制</w:t>
      </w:r>
      <w:r>
        <w:rPr>
          <w:rFonts w:ascii="仿宋" w:eastAsia="仿宋" w:cs="Times New Roman" w:hAnsi="仿宋" w:hint="eastAsia"/>
          <w:vanish w:val="0"/>
          <w:color w:val="auto"/>
          <w:spacing w:val="6"/>
          <w:kern w:val="2"/>
          <w:sz w:val="32"/>
          <w:szCs w:val="32"/>
          <w:lang w:eastAsia="zh-CN"/>
          <w:highlight w:val="none"/>
        </w:rPr>
        <w:t>定</w:t>
      </w:r>
      <w:r>
        <w:rPr>
          <w:rFonts w:ascii="仿宋" w:eastAsia="仿宋" w:cs="Times New Roman" w:hAnsi="仿宋" w:hint="eastAsia"/>
          <w:vanish w:val="0"/>
          <w:color w:val="auto"/>
          <w:spacing w:val="6"/>
          <w:kern w:val="2"/>
          <w:sz w:val="32"/>
          <w:szCs w:val="32"/>
          <w:highlight w:val="none"/>
        </w:rPr>
        <w:t>公司</w:t>
      </w:r>
      <w:r>
        <w:rPr>
          <w:rFonts w:ascii="仿宋" w:eastAsia="仿宋" w:cs="Times New Roman" w:hAnsi="仿宋" w:hint="eastAsia"/>
          <w:vanish w:val="0"/>
          <w:color w:val="auto"/>
          <w:spacing w:val="6"/>
          <w:kern w:val="2"/>
          <w:sz w:val="32"/>
          <w:szCs w:val="32"/>
          <w:lang w:eastAsia="zh-CN"/>
          <w:highlight w:val="none"/>
        </w:rPr>
        <w:t>现代化企业</w:t>
      </w:r>
      <w:r>
        <w:rPr>
          <w:rFonts w:ascii="仿宋" w:eastAsia="仿宋" w:cs="Times New Roman" w:hAnsi="仿宋" w:hint="eastAsia"/>
          <w:vanish w:val="0"/>
          <w:color w:val="auto"/>
          <w:spacing w:val="6"/>
          <w:kern w:val="2"/>
          <w:sz w:val="32"/>
          <w:szCs w:val="32"/>
          <w:highlight w:val="none"/>
        </w:rPr>
        <w:t>管理制度</w:t>
      </w:r>
      <w:r>
        <w:rPr>
          <w:rFonts w:ascii="仿宋" w:eastAsia="仿宋" w:cs="Times New Roman" w:hAnsi="仿宋" w:hint="eastAsia"/>
          <w:vanish w:val="0"/>
          <w:color w:val="auto"/>
          <w:spacing w:val="6"/>
          <w:kern w:val="2"/>
          <w:sz w:val="32"/>
          <w:szCs w:val="32"/>
          <w:lang w:eastAsia="zh-CN"/>
          <w:highlight w:val="none"/>
        </w:rPr>
        <w:t>和</w:t>
      </w:r>
      <w:r>
        <w:rPr>
          <w:rFonts w:ascii="仿宋" w:eastAsia="仿宋" w:cs="Times New Roman" w:hAnsi="仿宋" w:hint="eastAsia"/>
          <w:vanish w:val="0"/>
          <w:color w:val="auto"/>
          <w:spacing w:val="6"/>
          <w:kern w:val="2"/>
          <w:sz w:val="32"/>
          <w:szCs w:val="32"/>
          <w:highlight w:val="none"/>
        </w:rPr>
        <w:t>具体规章制度</w:t>
      </w:r>
      <w:r>
        <w:rPr>
          <w:rFonts w:ascii="仿宋" w:eastAsia="仿宋" w:cs="Times New Roman" w:hAnsi="仿宋" w:hint="eastAsia"/>
          <w:vanish w:val="0"/>
          <w:color w:val="auto"/>
          <w:spacing w:val="6"/>
          <w:kern w:val="2"/>
          <w:sz w:val="32"/>
          <w:szCs w:val="32"/>
          <w:lang w:eastAsia="zh-CN"/>
          <w:highlight w:val="none"/>
        </w:rPr>
        <w:t>及内部控制制度</w:t>
      </w:r>
      <w:r>
        <w:rPr>
          <w:rFonts w:ascii="仿宋" w:eastAsia="仿宋" w:cs="Times New Roman" w:hAnsi="仿宋" w:hint="eastAsia"/>
          <w:vanish w:val="0"/>
          <w:color w:val="auto"/>
          <w:spacing w:val="6"/>
          <w:kern w:val="2"/>
          <w:sz w:val="32"/>
          <w:szCs w:val="32"/>
          <w:highlight w:val="none"/>
        </w:rPr>
        <w:t>等。</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黑体" w:eastAsia="黑体" w:cs="Times New Roman" w:hAnsi="Times New Roman" w:hint="eastAsia"/>
          <w:vanish w:val="0"/>
          <w:spacing w:val="6"/>
          <w:kern w:val="2"/>
          <w:sz w:val="32"/>
          <w:szCs w:val="32"/>
        </w:rPr>
      </w:pPr>
      <w:r>
        <w:rPr>
          <w:rFonts w:ascii="黑体" w:eastAsia="黑体" w:cs="Times New Roman" w:hAnsi="Times New Roman" w:hint="eastAsia"/>
          <w:vanish w:val="0"/>
          <w:spacing w:val="6"/>
          <w:kern w:val="2"/>
          <w:sz w:val="32"/>
          <w:szCs w:val="32"/>
        </w:rPr>
        <w:t xml:space="preserve">第四章  </w:t>
      </w:r>
      <w:r>
        <w:rPr>
          <w:rFonts w:ascii="黑体" w:eastAsia="黑体" w:cs="Times New Roman" w:hint="eastAsia"/>
          <w:vanish w:val="0"/>
          <w:spacing w:val="6"/>
          <w:kern w:val="2"/>
          <w:sz w:val="32"/>
          <w:szCs w:val="32"/>
          <w:lang w:eastAsia="zh-CN"/>
        </w:rPr>
        <w:t>县</w:t>
      </w:r>
      <w:r>
        <w:rPr>
          <w:rFonts w:ascii="黑体" w:eastAsia="黑体" w:cs="Times New Roman" w:hAnsi="Times New Roman" w:hint="eastAsia"/>
          <w:vanish w:val="0"/>
          <w:spacing w:val="6"/>
          <w:kern w:val="2"/>
          <w:sz w:val="32"/>
          <w:szCs w:val="32"/>
        </w:rPr>
        <w:t>属国有企业领导人员管理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第十六条 </w:t>
      </w:r>
      <w:r>
        <w:rPr>
          <w:rFonts w:ascii="仿宋" w:eastAsia="仿宋" w:cs="Times New Roman" w:hAnsi="仿宋" w:hint="eastAsia"/>
          <w:vanish w:val="0"/>
          <w:spacing w:val="6"/>
          <w:kern w:val="2"/>
          <w:sz w:val="32"/>
          <w:szCs w:val="32"/>
        </w:rPr>
        <w:t xml:space="preserve"> 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属国有企业领导人员实行分类分层管理。根据不同企业类别和层级,实行选任制、委任制、聘任制等不同选人用人方式。支持</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属国有企业逐步实行职业经理人制度。</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第十七条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属国有企业领导人员的选拔、任用及考核，原则上按干部管理权限进行管理。其中：属</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委管理的</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属国有企业领导班子和领导人员，由</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委组织部负责，按</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管干部的程序报批；属履行出资人职责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党组织管理的其他班子和领导人员，拟任人选由履行出资人职责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党</w:t>
      </w:r>
      <w:r>
        <w:rPr>
          <w:rFonts w:ascii="仿宋" w:eastAsia="仿宋" w:cs="Times New Roman" w:hAnsi="仿宋" w:hint="eastAsia"/>
          <w:vanish w:val="0"/>
          <w:spacing w:val="6"/>
          <w:kern w:val="2"/>
          <w:sz w:val="32"/>
          <w:szCs w:val="32"/>
          <w:lang w:eastAsia="zh-CN"/>
        </w:rPr>
        <w:t>组织</w:t>
      </w:r>
      <w:r>
        <w:rPr>
          <w:rFonts w:ascii="仿宋" w:eastAsia="仿宋" w:cs="Times New Roman" w:hAnsi="仿宋" w:hint="eastAsia"/>
          <w:vanish w:val="0"/>
          <w:spacing w:val="6"/>
          <w:kern w:val="2"/>
          <w:sz w:val="32"/>
          <w:szCs w:val="32"/>
        </w:rPr>
        <w:t>提名、推荐，按干部选拔任用程序审批。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属国有企业领导人员拟任人选的党内审批程序履行完毕后，需要履行法定程序的，按有关规定办理。</w:t>
      </w:r>
    </w:p>
    <w:p>
      <w:pPr>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after="0" w:line="560" w:lineRule="exact"/>
        <w:ind w:leftChars="50" w:left="105" w:firstLineChars="200" w:firstLine="664"/>
        <w:contextualSpacing w:val="0"/>
        <w:jc w:val="both"/>
        <w:rPr>
          <w:rFonts w:ascii="仿宋" w:eastAsia="仿宋" w:cs="Times New Roman" w:hAnsi="仿宋" w:hint="eastAsia"/>
          <w:vanish w:val="0"/>
          <w:spacing w:val="6"/>
          <w:kern w:val="2"/>
          <w:sz w:val="32"/>
          <w:szCs w:val="32"/>
          <w:highlight w:val="none"/>
        </w:rPr>
      </w:pPr>
      <w:r>
        <w:rPr>
          <w:rFonts w:ascii="黑体" w:eastAsia="黑体" w:cs="Times New Roman" w:hAnsi="黑体" w:hint="eastAsia"/>
          <w:bCs/>
          <w:spacing w:val="6"/>
          <w:sz w:val="32"/>
          <w:szCs w:val="32"/>
          <w:lang w:val="en-US" w:eastAsia="zh-CN" w:bidi="ar-SA"/>
        </w:rPr>
        <w:t xml:space="preserve">第十八条 </w:t>
      </w:r>
      <w:r>
        <w:rPr>
          <w:rFonts w:ascii="仿宋" w:eastAsia="仿宋" w:cs="Times New Roman" w:hAnsi="仿宋" w:hint="eastAsia"/>
          <w:b/>
          <w:bCs/>
          <w:snapToGrid/>
          <w:vanish w:val="0"/>
          <w:color w:val="auto"/>
          <w:spacing w:val="6"/>
          <w:w w:val="100"/>
          <w:kern w:val="2"/>
          <w:position w:val="0"/>
          <w:sz w:val="32"/>
          <w:szCs w:val="32"/>
          <w:u w:val="none" w:color="auto"/>
          <w:shd w:val="clear" w:color="auto" w:fill="auto"/>
          <w:vertAlign w:val="baseline"/>
          <w:lang w:val="en-US" w:eastAsia="zh-CN" w:bidi="ar-SA"/>
        </w:rPr>
        <w:t xml:space="preserve"> </w:t>
      </w:r>
      <w:r>
        <w:rPr>
          <w:rFonts w:ascii="仿宋" w:eastAsia="仿宋" w:cs="Times New Roman" w:hAnsi="仿宋" w:hint="eastAsia"/>
          <w:vanish w:val="0"/>
          <w:spacing w:val="6"/>
          <w:kern w:val="2"/>
          <w:sz w:val="32"/>
          <w:szCs w:val="32"/>
        </w:rPr>
        <w:t>严格考核评价。属</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委管理的</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属国有企业领导班子和领导人员综合考核评价由</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委组织部会同履行出资人职责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组织实施；其他</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属国有企业领导班子和领导人员综合考核评价，由履行出资人职责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党组织组织实施</w:t>
      </w:r>
      <w:r>
        <w:rPr>
          <w:rFonts w:ascii="仿宋" w:eastAsia="仿宋" w:cs="Times New Roman" w:hAnsi="仿宋" w:hint="eastAsia"/>
          <w:vanish w:val="0"/>
          <w:spacing w:val="6"/>
          <w:kern w:val="2"/>
          <w:sz w:val="32"/>
          <w:szCs w:val="32"/>
          <w:highlight w:val="none"/>
        </w:rPr>
        <w:t>。</w:t>
      </w:r>
      <w:r>
        <w:rPr>
          <w:rFonts w:ascii="仿宋_GB2312" w:eastAsia="仿宋_GB2312" w:cs="仿宋_GB2312" w:hAnsi="Times New Roman" w:hint="eastAsia"/>
          <w:b w:val="0"/>
          <w:bCs w:val="0"/>
          <w:i w:val="0"/>
          <w:iCs w:val="0"/>
          <w:caps w:val="0"/>
          <w:smallCaps w:val="0"/>
          <w:color w:val="333333"/>
          <w:spacing w:val="0"/>
          <w:sz w:val="32"/>
          <w:szCs w:val="32"/>
          <w:highlight w:val="none"/>
        </w:rPr>
        <w:t>应当按照年度考核与任期考核、考核结果与兑现奖惩相结合的原则，建立健全对所出资企业负责人的业绩考核制度，与其任命的企业负责人签订年度经营业绩责任书和任期经营业绩责任书，对经营目标完成情况进行考核，并根据考核结果决定对企业负责人的奖惩。</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第十九条 </w:t>
      </w:r>
      <w:r>
        <w:rPr>
          <w:rFonts w:ascii="仿宋" w:eastAsia="仿宋" w:cs="Times New Roman" w:hAnsi="仿宋" w:hint="eastAsia"/>
          <w:vanish w:val="0"/>
          <w:spacing w:val="6"/>
          <w:kern w:val="2"/>
          <w:sz w:val="32"/>
          <w:szCs w:val="32"/>
        </w:rPr>
        <w:t xml:space="preserve"> 履行出资人职责</w:t>
      </w:r>
      <w:r>
        <w:rPr>
          <w:rFonts w:ascii="仿宋" w:eastAsia="仿宋" w:cs="Times New Roman" w:hAnsi="仿宋" w:hint="eastAsia"/>
          <w:vanish w:val="0"/>
          <w:spacing w:val="6"/>
          <w:kern w:val="2"/>
          <w:sz w:val="32"/>
          <w:szCs w:val="32"/>
          <w:lang w:eastAsia="zh-CN"/>
        </w:rPr>
        <w:t>的</w:t>
      </w:r>
      <w:r>
        <w:rPr>
          <w:rFonts w:ascii="仿宋" w:eastAsia="仿宋" w:cs="Times New Roman" w:hAnsi="仿宋" w:hint="eastAsia"/>
          <w:vanish w:val="0"/>
          <w:spacing w:val="6"/>
          <w:kern w:val="2"/>
          <w:sz w:val="32"/>
          <w:szCs w:val="32"/>
        </w:rPr>
        <w:t>党组织按照干部管理权限和有关法律法规以及企业章程的规定,任免或者建议任免</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属国有企业的下列人员: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rPr>
        <w:t>（一）国有独资公司的董事长、副董事长、董事;</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rPr>
        <w:t>（二）国有独资企业的经理、副经理、财务负责人和其他高级管理人员;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rPr>
        <w:t>（三）向国有资本控股公司、国有资本参股公司的股东会、股东大会委派或推荐董事人选。</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属国有企业中应当由职工代表出任的董事,按照有关法律法规的规定由职工民主选举产生。</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第二十条 </w:t>
      </w:r>
      <w:r>
        <w:rPr>
          <w:rFonts w:ascii="仿宋" w:eastAsia="仿宋" w:cs="Times New Roman" w:hAnsi="仿宋" w:hint="eastAsia"/>
          <w:vanish w:val="0"/>
          <w:spacing w:val="6"/>
          <w:kern w:val="2"/>
          <w:sz w:val="32"/>
          <w:szCs w:val="32"/>
        </w:rPr>
        <w:t xml:space="preserve"> 国有独资企业、国有独资公司的董事、高级管理人员在所任职企业出资的企业（包括全资、控股和参股企业，下同）兼职的，须按照干部管理权限任前备案或审批；到任职年龄界限、不再担任</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属国有企业领导职务的，其在出资企业所兼任的其他职务也应当一并免除。现职</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属国有企业领导人员，不得到出资企业之外的其他企业兼职。未经履行出资人职责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党组织同意,国有独资公司的董事长不得兼任经理。未经股东会、股东大会同意,国有资本控股公司的董事长不得兼任经理。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第二十一条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的董事、高级管理人员,应当遵守法律法规以及企业章程,不得利用职权收受贿赂或者取得其他非法收入和不当利益,不得侵占、挪用企业资产,不得超越职权或者违反程序决定企业重大事项,不得有其他侵害国有资产出资人权益的行为。</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黑体" w:eastAsia="黑体" w:cs="Times New Roman" w:hAnsi="Times New Roman" w:hint="eastAsia"/>
          <w:vanish w:val="0"/>
          <w:spacing w:val="6"/>
          <w:kern w:val="2"/>
          <w:sz w:val="32"/>
          <w:szCs w:val="32"/>
        </w:rPr>
      </w:pPr>
      <w:r>
        <w:rPr>
          <w:rFonts w:ascii="黑体" w:eastAsia="黑体" w:cs="Times New Roman" w:hAnsi="黑体" w:hint="eastAsia"/>
          <w:vanish w:val="0"/>
          <w:spacing w:val="6"/>
          <w:kern w:val="2"/>
          <w:sz w:val="32"/>
          <w:szCs w:val="32"/>
        </w:rPr>
        <w:t xml:space="preserve">第二十二条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属国有企业领导人员应当按照有关规定严格控制职务消费行为和薪酬管理。国有企业领导人员不得违规自定薪酬、兼职取酬、滥发补贴和奖金。</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黑体" w:eastAsia="黑体" w:cs="Times New Roman" w:hAnsi="Times New Roman" w:hint="eastAsia"/>
          <w:vanish w:val="0"/>
          <w:spacing w:val="6"/>
          <w:kern w:val="2"/>
          <w:sz w:val="32"/>
          <w:szCs w:val="32"/>
        </w:rPr>
      </w:pPr>
      <w:r>
        <w:rPr>
          <w:rFonts w:ascii="黑体" w:eastAsia="黑体" w:cs="Times New Roman" w:hAnsi="Times New Roman" w:hint="eastAsia"/>
          <w:vanish w:val="0"/>
          <w:spacing w:val="6"/>
          <w:kern w:val="2"/>
          <w:sz w:val="32"/>
          <w:szCs w:val="32"/>
        </w:rPr>
        <w:t xml:space="preserve">第五章  </w:t>
      </w:r>
      <w:r>
        <w:rPr>
          <w:rFonts w:ascii="黑体" w:eastAsia="黑体" w:cs="Times New Roman" w:hint="eastAsia"/>
          <w:vanish w:val="0"/>
          <w:spacing w:val="6"/>
          <w:kern w:val="2"/>
          <w:sz w:val="32"/>
          <w:szCs w:val="32"/>
          <w:lang w:eastAsia="zh-CN"/>
        </w:rPr>
        <w:t>县</w:t>
      </w:r>
      <w:r>
        <w:rPr>
          <w:rFonts w:ascii="黑体" w:eastAsia="黑体" w:cs="Times New Roman" w:hAnsi="Times New Roman" w:hint="eastAsia"/>
          <w:vanish w:val="0"/>
          <w:spacing w:val="6"/>
          <w:kern w:val="2"/>
          <w:sz w:val="32"/>
          <w:szCs w:val="32"/>
        </w:rPr>
        <w:t>属国有企业重大事项管理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kern w:val="2"/>
          <w:sz w:val="32"/>
          <w:szCs w:val="32"/>
        </w:rPr>
      </w:pPr>
      <w:r>
        <w:rPr>
          <w:rFonts w:ascii="黑体" w:eastAsia="黑体" w:cs="Times New Roman" w:hAnsi="黑体" w:hint="eastAsia"/>
          <w:vanish w:val="0"/>
          <w:spacing w:val="6"/>
          <w:kern w:val="2"/>
          <w:sz w:val="32"/>
          <w:szCs w:val="32"/>
        </w:rPr>
        <w:t>第二十三条</w:t>
      </w:r>
      <w:r>
        <w:rPr>
          <w:rFonts w:ascii="仿宋" w:eastAsia="仿宋" w:cs="Times New Roman" w:hAnsi="仿宋" w:hint="eastAsia"/>
          <w:vanish w:val="0"/>
          <w:kern w:val="2"/>
          <w:sz w:val="32"/>
          <w:szCs w:val="32"/>
        </w:rPr>
        <w:t xml:space="preserve">  </w:t>
      </w:r>
      <w:r>
        <w:rPr>
          <w:rFonts w:ascii="仿宋" w:eastAsia="仿宋" w:cs="Times New Roman" w:hAnsi="仿宋" w:hint="eastAsia"/>
          <w:vanish w:val="0"/>
          <w:spacing w:val="6"/>
          <w:kern w:val="2"/>
          <w:sz w:val="32"/>
          <w:szCs w:val="32"/>
        </w:rPr>
        <w:t>国有企业合并、分立、改制、上市,增加或者减少注册资本,发行债券,进行重大投资,为他人提供大额担保,转让重大财产,进行大额捐赠、分配利润，解散、申请破产等重大事项,以及履行出资人职责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认为的重大事项，应当遵守法律法规以及企业章程的规定,不得损害出资人和债权人的权益。</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属国有企业重大事项按照法律法规</w:t>
      </w:r>
      <w:r>
        <w:rPr>
          <w:rFonts w:ascii="仿宋" w:eastAsia="仿宋" w:cs="Times New Roman" w:hAnsi="仿宋" w:hint="eastAsia"/>
          <w:vanish w:val="0"/>
          <w:color w:val="auto"/>
          <w:spacing w:val="6"/>
          <w:kern w:val="2"/>
          <w:sz w:val="32"/>
          <w:szCs w:val="32"/>
          <w:highlight w:val="none"/>
        </w:rPr>
        <w:t>以及公司章程的规定,由公司股东会、股东大会或者董事会决定，报履行出资人职责</w:t>
      </w:r>
      <w:r>
        <w:rPr>
          <w:rFonts w:ascii="仿宋" w:eastAsia="仿宋" w:cs="Times New Roman" w:hAnsi="仿宋" w:hint="eastAsia"/>
          <w:vanish w:val="0"/>
          <w:color w:val="auto"/>
          <w:spacing w:val="6"/>
          <w:kern w:val="2"/>
          <w:sz w:val="32"/>
          <w:szCs w:val="32"/>
          <w:lang w:eastAsia="zh-CN"/>
          <w:highlight w:val="none"/>
        </w:rPr>
        <w:t>的部门</w:t>
      </w:r>
      <w:r>
        <w:rPr>
          <w:rFonts w:ascii="仿宋" w:eastAsia="仿宋" w:cs="Times New Roman" w:hAnsi="仿宋" w:hint="eastAsia"/>
          <w:vanish w:val="0"/>
          <w:color w:val="auto"/>
          <w:spacing w:val="6"/>
          <w:kern w:val="2"/>
          <w:sz w:val="32"/>
          <w:szCs w:val="32"/>
          <w:highlight w:val="none"/>
        </w:rPr>
        <w:t>核准</w:t>
      </w:r>
      <w:r>
        <w:rPr>
          <w:rFonts w:ascii="仿宋" w:eastAsia="仿宋" w:cs="Times New Roman" w:hAnsi="仿宋" w:hint="eastAsia"/>
          <w:vanish w:val="0"/>
          <w:color w:val="auto"/>
          <w:spacing w:val="6"/>
          <w:kern w:val="2"/>
          <w:sz w:val="32"/>
          <w:szCs w:val="32"/>
          <w:lang w:eastAsia="zh-CN"/>
          <w:highlight w:val="none"/>
        </w:rPr>
        <w:t>后，报县</w:t>
      </w:r>
      <w:r>
        <w:rPr>
          <w:rFonts w:ascii="仿宋" w:eastAsia="仿宋" w:cs="Times New Roman" w:hAnsi="仿宋" w:hint="eastAsia"/>
          <w:vanish w:val="0"/>
          <w:color w:val="auto"/>
          <w:spacing w:val="6"/>
          <w:kern w:val="2"/>
          <w:sz w:val="32"/>
          <w:szCs w:val="32"/>
          <w:highlight w:val="none"/>
        </w:rPr>
        <w:t>政府</w:t>
      </w:r>
      <w:r>
        <w:rPr>
          <w:rFonts w:ascii="仿宋" w:eastAsia="仿宋" w:cs="Times New Roman" w:hAnsi="仿宋" w:hint="eastAsia"/>
          <w:vanish w:val="0"/>
          <w:color w:val="auto"/>
          <w:spacing w:val="6"/>
          <w:kern w:val="2"/>
          <w:sz w:val="32"/>
          <w:szCs w:val="32"/>
          <w:lang w:eastAsia="zh-CN"/>
          <w:highlight w:val="none"/>
        </w:rPr>
        <w:t>批准，并报县财政局</w:t>
      </w:r>
      <w:r>
        <w:rPr>
          <w:rFonts w:ascii="仿宋" w:eastAsia="仿宋" w:cs="Times New Roman" w:hAnsi="仿宋" w:hint="eastAsia"/>
          <w:vanish w:val="0"/>
          <w:color w:val="auto"/>
          <w:spacing w:val="6"/>
          <w:kern w:val="2"/>
          <w:sz w:val="32"/>
          <w:szCs w:val="32"/>
          <w:highlight w:val="none"/>
        </w:rPr>
        <w:t>备案。履行出资人职责</w:t>
      </w:r>
      <w:r>
        <w:rPr>
          <w:rFonts w:ascii="仿宋" w:eastAsia="仿宋" w:cs="Times New Roman" w:hAnsi="仿宋" w:hint="eastAsia"/>
          <w:vanish w:val="0"/>
          <w:color w:val="auto"/>
          <w:spacing w:val="6"/>
          <w:kern w:val="2"/>
          <w:sz w:val="32"/>
          <w:szCs w:val="32"/>
          <w:lang w:eastAsia="zh-CN"/>
          <w:highlight w:val="none"/>
        </w:rPr>
        <w:t>的部门</w:t>
      </w:r>
      <w:r>
        <w:rPr>
          <w:rFonts w:ascii="仿宋" w:eastAsia="仿宋" w:cs="Times New Roman" w:hAnsi="仿宋" w:hint="eastAsia"/>
          <w:vanish w:val="0"/>
          <w:color w:val="auto"/>
          <w:spacing w:val="6"/>
          <w:kern w:val="2"/>
          <w:sz w:val="32"/>
          <w:szCs w:val="32"/>
          <w:highlight w:val="none"/>
        </w:rPr>
        <w:t>委派的股东代表应当按照规定</w:t>
      </w:r>
      <w:r>
        <w:rPr>
          <w:rFonts w:ascii="仿宋" w:eastAsia="仿宋" w:cs="Times New Roman" w:hAnsi="仿宋" w:hint="eastAsia"/>
          <w:vanish w:val="0"/>
          <w:spacing w:val="6"/>
          <w:kern w:val="2"/>
          <w:sz w:val="32"/>
          <w:szCs w:val="32"/>
        </w:rPr>
        <w:t>行使权利。</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第二十四条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属国有企业改制应当按照法定程序,由履行出资人职责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决定或者由公司股东会、股东大会决定，改制方案应报</w:t>
      </w:r>
      <w:r>
        <w:rPr>
          <w:rFonts w:ascii="仿宋" w:eastAsia="仿宋" w:cs="Times New Roman" w:hAnsi="仿宋" w:hint="eastAsia"/>
          <w:vanish w:val="0"/>
          <w:color w:val="auto"/>
          <w:spacing w:val="6"/>
          <w:kern w:val="2"/>
          <w:sz w:val="32"/>
          <w:szCs w:val="32"/>
          <w:highlight w:val="none"/>
        </w:rPr>
        <w:t>履行出资人职责</w:t>
      </w:r>
      <w:r>
        <w:rPr>
          <w:rFonts w:ascii="仿宋" w:eastAsia="仿宋" w:cs="Times New Roman" w:hAnsi="仿宋" w:hint="eastAsia"/>
          <w:vanish w:val="0"/>
          <w:color w:val="auto"/>
          <w:spacing w:val="6"/>
          <w:kern w:val="2"/>
          <w:sz w:val="32"/>
          <w:szCs w:val="32"/>
          <w:lang w:eastAsia="zh-CN"/>
          <w:highlight w:val="none"/>
        </w:rPr>
        <w:t>的部门核准，并报</w:t>
      </w:r>
      <w:r>
        <w:rPr>
          <w:rFonts w:ascii="仿宋" w:eastAsia="仿宋" w:cs="Times New Roman" w:hAnsi="仿宋" w:hint="eastAsia"/>
          <w:vanish w:val="0"/>
          <w:spacing w:val="6"/>
          <w:kern w:val="2"/>
          <w:sz w:val="32"/>
          <w:szCs w:val="32"/>
        </w:rPr>
        <w:t>本级人民政府批准。改制方案应载明改制后的企业组织形式、企业资产和债权债务处理方案、股权变动方案、改制的操作程序、财务审计和资产评估等中介机构的选聘等事项。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属国有企业改制应当按照规定清产核资、财务审计、资产评估,准确界定和核实资产,客观、公正地确定资产的价值。</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rPr>
        <w:t>国有企业改制和涉及重新安置企业职工的,应当充分听取职工意见和建议，制定职工安置方案,并经职工代表大会或者职工大会审议通过。</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第二十五条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属国有企业资产评估项目实行核准制和备案制，重大资产评估项目实行核准制。资产评估机构应当对其出具的评估报告负责。</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第二十六条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属国有企业国有产权转让应按照国务院及国务院国资委、省政府及省国资委、市政府及市国资委</w:t>
      </w:r>
      <w:r>
        <w:rPr>
          <w:rFonts w:ascii="仿宋" w:eastAsia="仿宋" w:cs="Times New Roman" w:hAnsi="仿宋" w:hint="eastAsia"/>
          <w:vanish w:val="0"/>
          <w:spacing w:val="6"/>
          <w:kern w:val="2"/>
          <w:sz w:val="32"/>
          <w:szCs w:val="32"/>
          <w:lang w:eastAsia="zh-CN"/>
        </w:rPr>
        <w:t>、县政府等相关文件</w:t>
      </w:r>
      <w:r>
        <w:rPr>
          <w:rFonts w:ascii="仿宋" w:eastAsia="仿宋" w:cs="Times New Roman" w:hAnsi="仿宋" w:hint="eastAsia"/>
          <w:vanish w:val="0"/>
          <w:spacing w:val="6"/>
          <w:kern w:val="2"/>
          <w:sz w:val="32"/>
          <w:szCs w:val="32"/>
        </w:rPr>
        <w:t>关于国有资产管理转让、交易的有关规定执行。</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第二十七条 </w:t>
      </w:r>
      <w:r>
        <w:rPr>
          <w:rFonts w:ascii="仿宋" w:eastAsia="仿宋" w:cs="Times New Roman" w:hAnsi="仿宋" w:hint="eastAsia"/>
          <w:vanish w:val="0"/>
          <w:spacing w:val="6"/>
          <w:kern w:val="2"/>
          <w:sz w:val="32"/>
          <w:szCs w:val="32"/>
        </w:rPr>
        <w:t xml:space="preserve"> 落实“三重一大”决策制度。</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属国有企业应当健全议事规则,明确“三重一大”事项的决策规则和程序,完善群众参与、专家咨询和集体决策相结合的决策机制。</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_GB2312" w:eastAsia="仿宋_GB2312" w:cs="Times New Roman" w:hAnsi="Times New Roman" w:hint="eastAsia"/>
          <w:vanish w:val="0"/>
          <w:spacing w:val="6"/>
          <w:kern w:val="2"/>
          <w:sz w:val="32"/>
          <w:szCs w:val="32"/>
        </w:rPr>
      </w:pPr>
      <w:r>
        <w:rPr>
          <w:rFonts w:ascii="仿宋" w:eastAsia="仿宋" w:cs="Times New Roman" w:hAnsi="仿宋" w:hint="eastAsia"/>
          <w:vanish w:val="0"/>
          <w:spacing w:val="6"/>
          <w:kern w:val="2"/>
          <w:sz w:val="32"/>
          <w:szCs w:val="32"/>
        </w:rPr>
        <w:t>涉及重大决策事项、重要人事任免事项、重大项目安排事项和大额度资金运作事项的“三重一大”事项, 应把党组织研究讨论作为决策重大问题的前置程序，</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属国有企业党</w:t>
      </w:r>
      <w:r>
        <w:rPr>
          <w:rFonts w:ascii="仿宋" w:eastAsia="仿宋" w:cs="Times New Roman" w:hAnsi="仿宋" w:hint="eastAsia"/>
          <w:vanish w:val="0"/>
          <w:spacing w:val="6"/>
          <w:kern w:val="2"/>
          <w:sz w:val="32"/>
          <w:szCs w:val="32"/>
          <w:lang w:eastAsia="zh-CN"/>
        </w:rPr>
        <w:t>组织</w:t>
      </w:r>
      <w:r>
        <w:rPr>
          <w:rFonts w:ascii="仿宋" w:eastAsia="仿宋" w:cs="Times New Roman" w:hAnsi="仿宋" w:hint="eastAsia"/>
          <w:vanish w:val="0"/>
          <w:spacing w:val="6"/>
          <w:kern w:val="2"/>
          <w:sz w:val="32"/>
          <w:szCs w:val="32"/>
        </w:rPr>
        <w:t>、董事会、未设董事会的经理班子等决策机构要依据各自的职责、权限和议事规则,集体讨论决定“三重一大”事项,防止个人或少数人专断。</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黑体" w:eastAsia="黑体" w:cs="Times New Roman" w:hAnsi="Times New Roman" w:hint="eastAsia"/>
          <w:vanish w:val="0"/>
          <w:spacing w:val="6"/>
          <w:kern w:val="2"/>
          <w:sz w:val="32"/>
          <w:szCs w:val="32"/>
        </w:rPr>
      </w:pPr>
      <w:r>
        <w:rPr>
          <w:rFonts w:ascii="黑体" w:eastAsia="黑体" w:cs="Times New Roman" w:hAnsi="Times New Roman" w:hint="eastAsia"/>
          <w:vanish w:val="0"/>
          <w:spacing w:val="6"/>
          <w:kern w:val="2"/>
          <w:sz w:val="32"/>
          <w:szCs w:val="32"/>
        </w:rPr>
        <w:t>第六章  国有资本经营预算</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第二十八条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属国有企业应当按照法律法规以及企业章程的规定,向出资人分配利润。</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第二十九条  </w:t>
      </w:r>
      <w:r>
        <w:rPr>
          <w:rFonts w:ascii="仿宋" w:eastAsia="仿宋" w:cs="Times New Roman" w:hAnsi="仿宋" w:hint="eastAsia"/>
          <w:b w:val="0"/>
          <w:i w:val="0"/>
          <w:caps w:val="0"/>
          <w:smallCaps w:val="0"/>
          <w:strike w:val="0"/>
          <w:dstrike w:val="0"/>
          <w:vanish w:val="0"/>
          <w:spacing w:val="6"/>
          <w:kern w:val="2"/>
          <w:sz w:val="32"/>
          <w:szCs w:val="32"/>
          <w:lang w:eastAsia="zh-CN"/>
        </w:rPr>
        <w:t>县</w:t>
      </w:r>
      <w:r>
        <w:rPr>
          <w:rFonts w:ascii="仿宋" w:eastAsia="仿宋" w:cs="Times New Roman" w:hAnsi="仿宋" w:hint="eastAsia"/>
          <w:b w:val="0"/>
          <w:i w:val="0"/>
          <w:caps w:val="0"/>
          <w:smallCaps w:val="0"/>
          <w:strike w:val="0"/>
          <w:dstrike w:val="0"/>
          <w:vanish w:val="0"/>
          <w:spacing w:val="6"/>
          <w:kern w:val="2"/>
          <w:sz w:val="32"/>
          <w:szCs w:val="32"/>
        </w:rPr>
        <w:t>属</w:t>
      </w:r>
      <w:r>
        <w:rPr>
          <w:rFonts w:ascii="仿宋" w:eastAsia="仿宋" w:cs="Times New Roman" w:hAnsi="仿宋" w:hint="eastAsia"/>
          <w:vanish w:val="0"/>
          <w:spacing w:val="6"/>
          <w:kern w:val="2"/>
          <w:sz w:val="32"/>
          <w:szCs w:val="32"/>
        </w:rPr>
        <w:t>国有企业应按照《</w:t>
      </w:r>
      <w:r>
        <w:rPr>
          <w:rFonts w:ascii="仿宋" w:eastAsia="仿宋" w:cs="Times New Roman" w:hAnsi="仿宋" w:hint="eastAsia"/>
          <w:vanish w:val="0"/>
          <w:spacing w:val="6"/>
          <w:kern w:val="2"/>
          <w:sz w:val="32"/>
          <w:szCs w:val="32"/>
          <w:lang w:eastAsia="zh-CN"/>
        </w:rPr>
        <w:t>魏县县级</w:t>
      </w:r>
      <w:r>
        <w:rPr>
          <w:rFonts w:ascii="仿宋" w:eastAsia="仿宋" w:cs="Times New Roman" w:hAnsi="仿宋" w:hint="eastAsia"/>
          <w:vanish w:val="0"/>
          <w:spacing w:val="6"/>
          <w:kern w:val="2"/>
          <w:sz w:val="32"/>
          <w:szCs w:val="32"/>
        </w:rPr>
        <w:t>国有资本经营预算管理办法》等相关要求,按时上缴国有资本经营收益。</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_GB2312" w:eastAsia="仿宋_GB2312" w:cs="Times New Roman" w:hAnsi="Times New Roman" w:hint="eastAsia"/>
          <w:vanish w:val="0"/>
          <w:spacing w:val="6"/>
          <w:kern w:val="2"/>
          <w:sz w:val="32"/>
          <w:szCs w:val="32"/>
        </w:rPr>
      </w:pPr>
      <w:r>
        <w:rPr>
          <w:rFonts w:ascii="黑体" w:eastAsia="黑体" w:cs="Times New Roman" w:hAnsi="黑体" w:hint="eastAsia"/>
          <w:vanish w:val="0"/>
          <w:spacing w:val="6"/>
          <w:kern w:val="2"/>
          <w:sz w:val="32"/>
          <w:szCs w:val="32"/>
        </w:rPr>
        <w:t>第三十条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属国有企业按照</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财政有关要求编制年度经营预算,纳入本级政府预算,报本级人民代表大会批准。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right="0"/>
        <w:contextualSpacing w:val="0"/>
        <w:jc w:val="center"/>
        <w:rPr>
          <w:rFonts w:ascii="黑体" w:eastAsia="黑体" w:cs="Times New Roman" w:hAnsi="Times New Roman" w:hint="eastAsia"/>
          <w:vanish w:val="0"/>
          <w:spacing w:val="6"/>
          <w:kern w:val="2"/>
          <w:sz w:val="32"/>
          <w:szCs w:val="32"/>
        </w:rPr>
      </w:pPr>
      <w:r>
        <w:rPr>
          <w:rFonts w:ascii="黑体" w:eastAsia="黑体" w:cs="Times New Roman" w:hint="eastAsia"/>
          <w:vanish w:val="0"/>
          <w:spacing w:val="6"/>
          <w:kern w:val="2"/>
          <w:sz w:val="32"/>
          <w:szCs w:val="32"/>
          <w:lang w:eastAsia="zh-CN"/>
        </w:rPr>
        <w:t>第七章</w:t>
      </w:r>
      <w:r>
        <w:rPr>
          <w:rFonts w:ascii="黑体" w:eastAsia="黑体" w:cs="Times New Roman" w:hint="eastAsia"/>
          <w:vanish w:val="0"/>
          <w:spacing w:val="6"/>
          <w:kern w:val="2"/>
          <w:sz w:val="32"/>
          <w:szCs w:val="32"/>
          <w:lang w:val="en-US" w:eastAsia="zh-CN"/>
        </w:rPr>
        <w:t xml:space="preserve"> </w:t>
      </w:r>
      <w:r>
        <w:rPr>
          <w:rFonts w:ascii="黑体" w:eastAsia="黑体" w:cs="Times New Roman" w:hAnsi="Times New Roman" w:hint="eastAsia"/>
          <w:vanish w:val="0"/>
          <w:spacing w:val="6"/>
          <w:kern w:val="2"/>
          <w:sz w:val="32"/>
          <w:szCs w:val="32"/>
        </w:rPr>
        <w:t xml:space="preserve"> 监督管理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第三十一条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政府对其授权履行出资人职责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履行职责的情况进行监督。</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第三十二条  </w:t>
      </w:r>
      <w:r>
        <w:rPr>
          <w:rFonts w:ascii="仿宋" w:eastAsia="仿宋" w:cs="Times New Roman" w:hAnsi="仿宋" w:hint="eastAsia"/>
          <w:vanish w:val="0"/>
          <w:spacing w:val="6"/>
          <w:kern w:val="2"/>
          <w:sz w:val="32"/>
          <w:szCs w:val="32"/>
        </w:rPr>
        <w:t>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应当依照法律行政法规以及企业章程履行出资人职责，保障出资人权益，防止国有资产损失。</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第三十三条</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审计部门依法对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属国有企业开展各项审计监督,按照干部管理权限,负责</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属国有企业领导人员任期和离任经济责任审计。</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第三十四条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纪委监委应对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属国有企业党风廉政建设、廉洁自律、廉洁从业等情况进行监督检查，及时受理信访举报，依法依规查处违纪违法案件。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第三十五条</w:t>
      </w:r>
      <w:r>
        <w:rPr>
          <w:rFonts w:ascii="仿宋" w:eastAsia="仿宋" w:cs="Times New Roman" w:hAnsi="仿宋" w:hint="eastAsia"/>
          <w:b/>
          <w:bCs w:val="0"/>
          <w:vanish w:val="0"/>
          <w:spacing w:val="6"/>
          <w:kern w:val="2"/>
          <w:sz w:val="32"/>
          <w:szCs w:val="32"/>
        </w:rPr>
        <w:t xml:space="preserve">  </w:t>
      </w:r>
      <w:r>
        <w:rPr>
          <w:rFonts w:ascii="仿宋" w:eastAsia="仿宋" w:cs="Times New Roman" w:hAnsi="仿宋" w:hint="eastAsia"/>
          <w:b w:val="0"/>
          <w:i w:val="0"/>
          <w:caps w:val="0"/>
          <w:smallCaps w:val="0"/>
          <w:strike w:val="0"/>
          <w:dstrike w:val="0"/>
          <w:vanish w:val="0"/>
          <w:spacing w:val="6"/>
          <w:kern w:val="2"/>
          <w:sz w:val="32"/>
          <w:szCs w:val="32"/>
          <w:lang w:eastAsia="zh-CN"/>
        </w:rPr>
        <w:t>县</w:t>
      </w:r>
      <w:r>
        <w:rPr>
          <w:rFonts w:ascii="仿宋" w:eastAsia="仿宋" w:cs="Times New Roman" w:hAnsi="仿宋" w:hint="eastAsia"/>
          <w:b w:val="0"/>
          <w:i w:val="0"/>
          <w:caps w:val="0"/>
          <w:smallCaps w:val="0"/>
          <w:strike w:val="0"/>
          <w:dstrike w:val="0"/>
          <w:vanish w:val="0"/>
          <w:spacing w:val="6"/>
          <w:kern w:val="2"/>
          <w:sz w:val="32"/>
          <w:szCs w:val="32"/>
        </w:rPr>
        <w:t>政府</w:t>
      </w:r>
      <w:r>
        <w:rPr>
          <w:rFonts w:ascii="仿宋" w:eastAsia="仿宋" w:cs="Times New Roman" w:hAnsi="仿宋" w:hint="eastAsia"/>
          <w:vanish w:val="0"/>
          <w:spacing w:val="6"/>
          <w:kern w:val="2"/>
          <w:sz w:val="32"/>
          <w:szCs w:val="32"/>
        </w:rPr>
        <w:t>其他有关部门依据各自职责,对</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属国有企业进行监督管理。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contextualSpacing w:val="0"/>
        <w:jc w:val="center"/>
        <w:rPr>
          <w:rFonts w:ascii="黑体" w:eastAsia="黑体" w:cs="Times New Roman" w:hAnsi="Times New Roman" w:hint="eastAsia"/>
          <w:vanish w:val="0"/>
          <w:spacing w:val="6"/>
          <w:kern w:val="2"/>
          <w:sz w:val="32"/>
          <w:szCs w:val="32"/>
        </w:rPr>
      </w:pPr>
      <w:r>
        <w:rPr>
          <w:rFonts w:ascii="黑体" w:eastAsia="黑体" w:cs="Times New Roman" w:hAnsi="Times New Roman" w:hint="eastAsia"/>
          <w:vanish w:val="0"/>
          <w:spacing w:val="6"/>
          <w:kern w:val="2"/>
          <w:sz w:val="32"/>
          <w:szCs w:val="32"/>
        </w:rPr>
        <w:t>第八章  加强和改进党对</w:t>
      </w:r>
      <w:r>
        <w:rPr>
          <w:rFonts w:ascii="黑体" w:eastAsia="黑体" w:cs="Times New Roman" w:hint="eastAsia"/>
          <w:vanish w:val="0"/>
          <w:spacing w:val="6"/>
          <w:kern w:val="2"/>
          <w:sz w:val="32"/>
          <w:szCs w:val="32"/>
          <w:lang w:eastAsia="zh-CN"/>
        </w:rPr>
        <w:t>县</w:t>
      </w:r>
      <w:r>
        <w:rPr>
          <w:rFonts w:ascii="黑体" w:eastAsia="黑体" w:cs="Times New Roman" w:hAnsi="Times New Roman" w:hint="eastAsia"/>
          <w:vanish w:val="0"/>
          <w:spacing w:val="6"/>
          <w:kern w:val="2"/>
          <w:sz w:val="32"/>
          <w:szCs w:val="32"/>
        </w:rPr>
        <w:t>属国有企业的领导</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第三十六条 </w:t>
      </w:r>
      <w:r>
        <w:rPr>
          <w:rFonts w:ascii="仿宋" w:eastAsia="仿宋" w:cs="Times New Roman" w:hAnsi="仿宋" w:hint="eastAsia"/>
          <w:vanish w:val="0"/>
          <w:spacing w:val="6"/>
          <w:kern w:val="2"/>
          <w:sz w:val="32"/>
          <w:szCs w:val="32"/>
        </w:rPr>
        <w:t xml:space="preserve"> 明确党组织在</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属国有企业法人治理结构中的法定地位，充分发挥</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属国有企业党组织领导作用，把方向、管大局、保落实，依照规定讨论和决定企业重大事项。将党建工作总体要求纳入</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属国有企业章程，全面落实从严管党治党政治责任。党组织书记履行党建工作第一责任人职责,专职副书记履行直接责任人职责。党组织班子其他成员履行“一岗双责”,抓好党建工作。</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第三十七条 </w:t>
      </w:r>
      <w:r>
        <w:rPr>
          <w:rFonts w:ascii="仿宋" w:eastAsia="仿宋" w:cs="Times New Roman" w:hAnsi="仿宋" w:hint="eastAsia"/>
          <w:vanish w:val="0"/>
          <w:spacing w:val="6"/>
          <w:kern w:val="2"/>
          <w:sz w:val="32"/>
          <w:szCs w:val="32"/>
        </w:rPr>
        <w:t xml:space="preserve"> </w:t>
      </w:r>
      <w:r>
        <w:rPr>
          <w:rFonts w:ascii="仿宋" w:eastAsia="仿宋" w:cs="仿宋_GB2312" w:hAnsi="仿宋" w:hint="eastAsia"/>
          <w:vanish w:val="0"/>
          <w:spacing w:val="6"/>
          <w:kern w:val="2"/>
          <w:sz w:val="32"/>
          <w:szCs w:val="32"/>
        </w:rPr>
        <w:t>党组织研究讨论是</w:t>
      </w:r>
      <w:r>
        <w:rPr>
          <w:rFonts w:ascii="仿宋" w:eastAsia="仿宋" w:cs="仿宋_GB2312" w:hAnsi="仿宋" w:hint="eastAsia"/>
          <w:vanish w:val="0"/>
          <w:spacing w:val="6"/>
          <w:kern w:val="2"/>
          <w:sz w:val="32"/>
          <w:szCs w:val="32"/>
          <w:lang w:eastAsia="zh-CN"/>
        </w:rPr>
        <w:t>县</w:t>
      </w:r>
      <w:r>
        <w:rPr>
          <w:rFonts w:ascii="仿宋" w:eastAsia="仿宋" w:cs="仿宋_GB2312" w:hAnsi="仿宋" w:hint="eastAsia"/>
          <w:vanish w:val="0"/>
          <w:spacing w:val="6"/>
          <w:kern w:val="2"/>
          <w:sz w:val="32"/>
          <w:szCs w:val="32"/>
        </w:rPr>
        <w:t>属</w:t>
      </w:r>
      <w:r>
        <w:rPr>
          <w:rFonts w:ascii="仿宋" w:eastAsia="仿宋" w:cs="Times New Roman" w:hAnsi="仿宋" w:hint="eastAsia"/>
          <w:vanish w:val="0"/>
          <w:spacing w:val="6"/>
          <w:kern w:val="2"/>
          <w:sz w:val="32"/>
          <w:szCs w:val="32"/>
        </w:rPr>
        <w:t>国有企业</w:t>
      </w:r>
      <w:r>
        <w:rPr>
          <w:rFonts w:ascii="仿宋" w:eastAsia="仿宋" w:cs="仿宋_GB2312" w:hAnsi="仿宋" w:hint="eastAsia"/>
          <w:vanish w:val="0"/>
          <w:spacing w:val="6"/>
          <w:kern w:val="2"/>
          <w:sz w:val="32"/>
          <w:szCs w:val="32"/>
        </w:rPr>
        <w:t>董事会、经理层决策重大问题的前置程序，重大经营管理事项必须经党组织研究讨论后，再由董事会或经理层作出决定，不能以党政联席会、董事会、总经理办公会代</w:t>
      </w:r>
      <w:r>
        <w:rPr>
          <w:rFonts w:ascii="仿宋" w:eastAsia="仿宋" w:cs="Times New Roman" w:hAnsi="仿宋" w:hint="eastAsia"/>
          <w:vanish w:val="0"/>
          <w:spacing w:val="6"/>
          <w:kern w:val="2"/>
          <w:sz w:val="32"/>
          <w:szCs w:val="32"/>
        </w:rPr>
        <w:t>替党</w:t>
      </w:r>
      <w:r>
        <w:rPr>
          <w:rFonts w:ascii="仿宋" w:eastAsia="仿宋" w:cs="Times New Roman" w:hAnsi="仿宋" w:hint="eastAsia"/>
          <w:vanish w:val="0"/>
          <w:spacing w:val="6"/>
          <w:kern w:val="2"/>
          <w:sz w:val="32"/>
          <w:szCs w:val="32"/>
          <w:lang w:eastAsia="zh-CN"/>
        </w:rPr>
        <w:t>的</w:t>
      </w:r>
      <w:r>
        <w:rPr>
          <w:rFonts w:ascii="仿宋" w:eastAsia="仿宋" w:cs="Times New Roman" w:hAnsi="仿宋" w:hint="eastAsia"/>
          <w:vanish w:val="0"/>
          <w:spacing w:val="6"/>
          <w:kern w:val="2"/>
          <w:sz w:val="32"/>
          <w:szCs w:val="32"/>
        </w:rPr>
        <w:t>会</w:t>
      </w:r>
      <w:r>
        <w:rPr>
          <w:rFonts w:ascii="仿宋" w:eastAsia="仿宋" w:cs="Times New Roman" w:hAnsi="仿宋" w:hint="eastAsia"/>
          <w:vanish w:val="0"/>
          <w:spacing w:val="6"/>
          <w:kern w:val="2"/>
          <w:sz w:val="32"/>
          <w:szCs w:val="32"/>
          <w:lang w:eastAsia="zh-CN"/>
        </w:rPr>
        <w:t>议</w:t>
      </w:r>
      <w:r>
        <w:rPr>
          <w:rFonts w:ascii="仿宋" w:eastAsia="仿宋" w:cs="Times New Roman" w:hAnsi="仿宋" w:hint="eastAsia"/>
          <w:vanish w:val="0"/>
          <w:spacing w:val="6"/>
          <w:kern w:val="2"/>
          <w:sz w:val="32"/>
          <w:szCs w:val="32"/>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第三十八条</w:t>
      </w:r>
      <w:r>
        <w:rPr>
          <w:rFonts w:ascii="仿宋" w:eastAsia="仿宋" w:cs="Times New Roman" w:hAnsi="仿宋" w:hint="eastAsia"/>
          <w:vanish w:val="0"/>
          <w:spacing w:val="6"/>
          <w:kern w:val="2"/>
          <w:sz w:val="32"/>
          <w:szCs w:val="32"/>
        </w:rPr>
        <w:t xml:space="preserve">  坚持和完善“双向进入、交叉任职”的领导体制。支持符合条件的党组织领导班子成员通过法定程序进入董事会、经理层,推进企业党委专职副书记进入董事会且不分管经营管理工作。支持董事会、经理层符合条件的党员按照有关规定和程序进入党组织领导班子。</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仿宋" w:eastAsia="仿宋" w:cs="Times New Roman" w:hAnsi="仿宋" w:hint="eastAsia"/>
          <w:vanish w:val="0"/>
          <w:spacing w:val="6"/>
          <w:kern w:val="2"/>
          <w:sz w:val="32"/>
          <w:szCs w:val="32"/>
        </w:rPr>
        <w:t>经理层成员与党组织领导班子成员适度交叉任职;董事长、总经理原则上分设,全面推行</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属国有企业党组织书记、董事长一般由一人担任。</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right="0"/>
        <w:contextualSpacing w:val="0"/>
        <w:jc w:val="center"/>
        <w:rPr>
          <w:rFonts w:ascii="黑体" w:eastAsia="黑体" w:cs="Times New Roman" w:hAnsi="黑体" w:hint="eastAsia"/>
          <w:vanish w:val="0"/>
          <w:spacing w:val="6"/>
          <w:kern w:val="2"/>
          <w:sz w:val="32"/>
          <w:szCs w:val="32"/>
        </w:rPr>
      </w:pPr>
      <w:r>
        <w:rPr>
          <w:rFonts w:ascii="黑体" w:eastAsia="黑体" w:cs="Times New Roman" w:hAnsi="黑体" w:hint="eastAsia"/>
          <w:vanish w:val="0"/>
          <w:spacing w:val="6"/>
          <w:kern w:val="2"/>
          <w:sz w:val="32"/>
          <w:szCs w:val="32"/>
          <w:lang w:eastAsia="zh-CN"/>
        </w:rPr>
        <w:t>第八章</w:t>
      </w:r>
      <w:r>
        <w:rPr>
          <w:rFonts w:ascii="黑体" w:eastAsia="黑体" w:cs="Times New Roman" w:hAnsi="黑体" w:hint="eastAsia"/>
          <w:vanish w:val="0"/>
          <w:spacing w:val="6"/>
          <w:kern w:val="2"/>
          <w:sz w:val="32"/>
          <w:szCs w:val="32"/>
          <w:lang w:val="en-US" w:eastAsia="zh-CN"/>
        </w:rPr>
        <w:t xml:space="preserve"> </w:t>
      </w:r>
      <w:r>
        <w:rPr>
          <w:rFonts w:ascii="黑体" w:eastAsia="黑体" w:cs="Times New Roman" w:hAnsi="黑体" w:hint="eastAsia"/>
          <w:vanish w:val="0"/>
          <w:spacing w:val="6"/>
          <w:kern w:val="2"/>
          <w:sz w:val="32"/>
          <w:szCs w:val="32"/>
        </w:rPr>
        <w:t xml:space="preserve"> 附   则</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第三十九条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属国有企业领导人员、履行出资人职责</w:t>
      </w:r>
      <w:r>
        <w:rPr>
          <w:rFonts w:ascii="仿宋" w:eastAsia="仿宋" w:cs="Times New Roman" w:hAnsi="仿宋" w:hint="eastAsia"/>
          <w:vanish w:val="0"/>
          <w:spacing w:val="6"/>
          <w:kern w:val="2"/>
          <w:sz w:val="32"/>
          <w:szCs w:val="32"/>
          <w:lang w:eastAsia="zh-CN"/>
        </w:rPr>
        <w:t>的部门</w:t>
      </w:r>
      <w:r>
        <w:rPr>
          <w:rFonts w:ascii="仿宋" w:eastAsia="仿宋" w:cs="Times New Roman" w:hAnsi="仿宋" w:hint="eastAsia"/>
          <w:vanish w:val="0"/>
          <w:spacing w:val="6"/>
          <w:kern w:val="2"/>
          <w:sz w:val="32"/>
          <w:szCs w:val="32"/>
        </w:rPr>
        <w:t>和</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政府相关部门工作人员,在</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属国有企业监管过程中,有违法违纪行为的,按照相关法律法规的规定,依法追究责任。</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第四十条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属国有企业破产按照《中华人民共和国企业破产法》和国家有关法律法规进行。</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第四十一条 </w:t>
      </w:r>
      <w:r>
        <w:rPr>
          <w:rFonts w:ascii="仿宋" w:eastAsia="仿宋" w:cs="Times New Roman" w:hAnsi="仿宋" w:hint="eastAsia"/>
          <w:vanish w:val="0"/>
          <w:spacing w:val="6"/>
          <w:kern w:val="2"/>
          <w:sz w:val="32"/>
          <w:szCs w:val="32"/>
        </w:rPr>
        <w:t xml:space="preserve"> 地方金融和文化企业国有资产的管理与监督,法律法规另有规定的,按照其规定执行。</w:t>
      </w:r>
    </w:p>
    <w:p>
      <w:pPr>
        <w:keepNext w:val="0"/>
        <w:keepLines w:val="0"/>
        <w:pageBreakBefore w:val="0"/>
        <w:widowControl w:val="0"/>
        <w:suppressLineNumbers w:val="0"/>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rPr>
        <w:t xml:space="preserve">第四十二条 </w:t>
      </w:r>
      <w:r>
        <w:rPr>
          <w:rFonts w:ascii="仿宋" w:eastAsia="仿宋" w:cs="Times New Roman" w:hAnsi="仿宋" w:hint="eastAsia"/>
          <w:vanish w:val="0"/>
          <w:spacing w:val="6"/>
          <w:kern w:val="2"/>
          <w:sz w:val="32"/>
          <w:szCs w:val="32"/>
        </w:rPr>
        <w:t xml:space="preserve"> </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属国有企业党的基层组织建设、社会主义精神文明建设和党风廉政建设,按照《中国共产党章程》和有关规定执行。</w:t>
      </w:r>
      <w:r>
        <w:rPr>
          <w:rFonts w:ascii="仿宋" w:eastAsia="仿宋" w:cs="Times New Roman" w:hAnsi="仿宋" w:hint="eastAsia"/>
          <w:vanish w:val="0"/>
          <w:spacing w:val="6"/>
          <w:kern w:val="2"/>
          <w:sz w:val="32"/>
          <w:szCs w:val="32"/>
          <w:lang w:eastAsia="zh-CN"/>
        </w:rPr>
        <w:t>县</w:t>
      </w:r>
      <w:r>
        <w:rPr>
          <w:rFonts w:ascii="仿宋" w:eastAsia="仿宋" w:cs="Times New Roman" w:hAnsi="仿宋" w:hint="eastAsia"/>
          <w:vanish w:val="0"/>
          <w:spacing w:val="6"/>
          <w:kern w:val="2"/>
          <w:sz w:val="32"/>
          <w:szCs w:val="32"/>
        </w:rPr>
        <w:t>属国有企业工会组织按照《中华人民共和国工会法》和《中国工会章程》的有关规定执行。</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rPr>
      </w:pPr>
      <w:r>
        <w:rPr>
          <w:rFonts w:ascii="黑体" w:eastAsia="黑体" w:cs="Times New Roman" w:hAnsi="黑体" w:hint="eastAsia"/>
          <w:vanish w:val="0"/>
          <w:spacing w:val="6"/>
          <w:kern w:val="2"/>
          <w:sz w:val="32"/>
          <w:szCs w:val="32"/>
          <w:lang w:eastAsia="zh-CN"/>
        </w:rPr>
        <w:t>第四十三条</w:t>
      </w:r>
      <w:r>
        <w:rPr>
          <w:rFonts w:ascii="仿宋" w:eastAsia="仿宋" w:cs="Times New Roman" w:hAnsi="仿宋" w:hint="eastAsia"/>
          <w:vanish w:val="0"/>
          <w:spacing w:val="6"/>
          <w:kern w:val="2"/>
          <w:sz w:val="32"/>
          <w:szCs w:val="32"/>
          <w:lang w:val="en-US" w:eastAsia="zh-CN"/>
        </w:rPr>
        <w:t xml:space="preserve">  </w:t>
      </w:r>
      <w:r>
        <w:rPr>
          <w:rFonts w:ascii="仿宋" w:eastAsia="仿宋" w:cs="Times New Roman" w:hAnsi="仿宋" w:hint="eastAsia"/>
          <w:vanish w:val="0"/>
          <w:spacing w:val="6"/>
          <w:kern w:val="2"/>
          <w:sz w:val="32"/>
          <w:szCs w:val="32"/>
        </w:rPr>
        <w:t>本办法未尽事宜，以国家、省、</w:t>
      </w:r>
      <w:r>
        <w:rPr>
          <w:rFonts w:ascii="仿宋" w:eastAsia="仿宋" w:cs="Times New Roman" w:hAnsi="仿宋" w:hint="eastAsia"/>
          <w:vanish w:val="0"/>
          <w:spacing w:val="6"/>
          <w:kern w:val="2"/>
          <w:sz w:val="32"/>
          <w:szCs w:val="32"/>
          <w:lang w:eastAsia="zh-CN"/>
        </w:rPr>
        <w:t>市、县</w:t>
      </w:r>
      <w:r>
        <w:rPr>
          <w:rFonts w:ascii="仿宋" w:eastAsia="仿宋" w:cs="Times New Roman" w:hAnsi="仿宋" w:hint="eastAsia"/>
          <w:vanish w:val="0"/>
          <w:spacing w:val="6"/>
          <w:kern w:val="2"/>
          <w:sz w:val="32"/>
          <w:szCs w:val="32"/>
        </w:rPr>
        <w:t>有关规定为准。</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lang w:val="en-US" w:eastAsia="zh-CN"/>
        </w:rPr>
      </w:pPr>
      <w:r>
        <w:rPr>
          <w:rFonts w:ascii="黑体" w:eastAsia="黑体" w:cs="Times New Roman" w:hAnsi="黑体" w:hint="eastAsia"/>
          <w:vanish w:val="0"/>
          <w:spacing w:val="6"/>
          <w:kern w:val="2"/>
          <w:sz w:val="32"/>
          <w:szCs w:val="32"/>
          <w:lang w:eastAsia="zh-CN"/>
        </w:rPr>
        <w:t>第四十四条</w:t>
      </w:r>
      <w:r>
        <w:rPr>
          <w:rFonts w:ascii="黑体" w:eastAsia="黑体" w:cs="Times New Roman" w:hAnsi="黑体" w:hint="eastAsia"/>
          <w:vanish w:val="0"/>
          <w:spacing w:val="6"/>
          <w:kern w:val="2"/>
          <w:sz w:val="32"/>
          <w:szCs w:val="32"/>
          <w:lang w:val="en-US" w:eastAsia="zh-CN"/>
        </w:rPr>
        <w:t xml:space="preserve"> </w:t>
      </w:r>
      <w:r>
        <w:rPr>
          <w:rFonts w:ascii="仿宋" w:eastAsia="仿宋" w:cs="Times New Roman" w:hAnsi="仿宋" w:hint="eastAsia"/>
          <w:vanish w:val="0"/>
          <w:spacing w:val="6"/>
          <w:kern w:val="2"/>
          <w:sz w:val="32"/>
          <w:szCs w:val="32"/>
          <w:lang w:val="en-US" w:eastAsia="zh-CN"/>
        </w:rPr>
        <w:t xml:space="preserve"> 本办法自印发之日起开始执行。由县财政局负责解释。</w:t>
      </w: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hint="eastAsia"/>
          <w:vanish w:val="0"/>
          <w:spacing w:val="6"/>
          <w:kern w:val="2"/>
          <w:sz w:val="32"/>
          <w:szCs w:val="32"/>
          <w:lang w:eastAsia="zh-CN"/>
        </w:rPr>
      </w:pPr>
    </w:p>
    <w:p>
      <w:pPr>
        <w:keepNext w:val="0"/>
        <w:keepLines w:val="0"/>
        <w:pageBreakBefore w:val="0"/>
        <w:widowControl w:val="0"/>
        <w:suppressLineNumbers w:val="0"/>
        <w:shd w:val="clear" w:color="auto" w:fill="auto"/>
        <w:suppressAutoHyphens w:val="0"/>
        <w:kinsoku/>
        <w:wordWrap/>
        <w:overflowPunct/>
        <w:topLinePunct w:val="0"/>
        <w:autoSpaceDE/>
        <w:autoSpaceDN/>
        <w:bidi w:val="0"/>
        <w:adjustRightInd/>
        <w:snapToGrid/>
        <w:spacing w:after="0" w:line="560" w:lineRule="exact"/>
        <w:ind w:leftChars="50" w:left="105" w:firstLineChars="200" w:firstLine="664"/>
        <w:contextualSpacing w:val="0"/>
        <w:rPr>
          <w:rFonts w:ascii="仿宋" w:eastAsia="仿宋" w:cs="Times New Roman" w:hAnsi="仿宋"/>
          <w:vanish w:val="0"/>
          <w:spacing w:val="6"/>
          <w:kern w:val="2"/>
          <w:sz w:val="32"/>
          <w:szCs w:val="32"/>
          <w:lang w:val="en-US" w:eastAsia="zh-CN"/>
        </w:rPr>
      </w:pPr>
    </w:p>
    <w:sectPr>
      <w:footerReference w:type="default" r:id="rId2"/>
      <w:pgSz w:w="11907" w:h="16839"/>
      <w:pgMar w:top="2098" w:right="1417" w:bottom="1984" w:left="1417" w:header="851" w:footer="992" w:gutter="0"/>
      <w:pgNumType w:fmt="numberInDash"/>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00" w:usb3="00000000" w:csb0="00040000" w:csb1="00000000"/>
  </w:font>
  <w:font w:name="国标小标宋">
    <w:panose1 w:val="02000500000000000000"/>
    <w:charset w:val="86"/>
    <w:family w:val="script"/>
    <w:pitch w:val="variable"/>
    <w:sig w:usb0="00000001" w:usb1="08000000" w:usb2="00000000" w:usb3="00000000" w:csb0="00060007"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CC"/>
    <w:family w:val="auto"/>
    <w:pitch w:val="variable"/>
    <w:sig w:usb0="E0002AFF" w:usb1="C0007841"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outside" w:y="1" w:anchorLock="0"/>
      <w:tabs>
        <w:tab w:val="center" w:pos="4153"/>
        <w:tab w:val="right" w:pos="8306"/>
      </w:tabs>
      <w:rPr>
        <w:rFonts w:ascii="仿宋" w:eastAsia="仿宋" w:cs="仿宋" w:hAnsi="仿宋" w:hint="eastAsia"/>
        <w:sz w:val="28"/>
        <w:szCs w:val="28"/>
      </w:rPr>
    </w:pPr>
    <w:r>
      <w:rPr>
        <w:rStyle w:val="46"/>
        <w:rFonts w:ascii="仿宋" w:eastAsia="仿宋" w:cs="仿宋" w:hAnsi="仿宋" w:hint="eastAsia"/>
        <w:sz w:val="28"/>
        <w:szCs w:val="28"/>
      </w:rPr>
      <w:fldChar w:fldCharType="begin"/>
    </w:r>
    <w:r>
      <w:rPr>
        <w:rStyle w:val="46"/>
        <w:rFonts w:ascii="仿宋" w:eastAsia="仿宋" w:cs="仿宋" w:hAnsi="仿宋" w:hint="eastAsia"/>
        <w:sz w:val="28"/>
        <w:szCs w:val="28"/>
      </w:rPr>
      <w:instrText>Page</w:instrText>
    </w:r>
    <w:r>
      <w:rPr>
        <w:rStyle w:val="46"/>
        <w:rFonts w:ascii="仿宋" w:eastAsia="仿宋" w:cs="仿宋" w:hAnsi="仿宋" w:hint="eastAsia"/>
        <w:sz w:val="28"/>
        <w:szCs w:val="28"/>
      </w:rPr>
      <w:fldChar w:fldCharType="separate"/>
    </w:r>
    <w:r>
      <w:rPr>
        <w:rStyle w:val="46"/>
        <w:rFonts w:ascii="仿宋" w:eastAsia="仿宋" w:cs="仿宋" w:hAnsi="仿宋" w:hint="eastAsia"/>
        <w:sz w:val="28"/>
        <w:szCs w:val="28"/>
      </w:rPr>
      <w:t>— 1 —</w:t>
    </w:r>
    <w:r>
      <w:rPr>
        <w:rStyle w:val="46"/>
        <w:rFonts w:ascii="仿宋" w:eastAsia="仿宋" w:cs="仿宋" w:hAnsi="仿宋" w:hint="eastAsia"/>
        <w:sz w:val="28"/>
        <w:szCs w:val="28"/>
      </w:rPr>
      <w:fldChar w:fldCharType="end"/>
    </w:r>
  </w:p>
  <w:p>
    <w:pPr>
      <w:pStyle w:val="19"/>
      <w:tabs>
        <w:tab w:val="center" w:pos="4153"/>
        <w:tab w:val="right" w:pos="8306"/>
      </w:tabs>
      <w:ind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Arial" w:hAnsi="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1">
    <w:name w:val="heading 1"/>
    <w:qFormat/>
    <w:basedOn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Arial" w:hAnsi="Times New Roman"/>
      <w:b/>
      <w:bCs/>
      <w:snapToGrid/>
      <w:color w:val="auto"/>
      <w:spacing w:val="0"/>
      <w:w w:val="100"/>
      <w:kern w:val="44"/>
      <w:position w:val="0"/>
      <w:sz w:val="44"/>
      <w:szCs w:val="44"/>
      <w:u w:val="none" w:color="auto"/>
      <w:shd w:val="clear" w:color="auto" w:fill="auto"/>
      <w:vertAlign w:val="baseline"/>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napToGrid/>
      <w:color w:val="auto"/>
      <w:spacing w:val="0"/>
      <w:w w:val="100"/>
      <w:kern w:val="2"/>
      <w:position w:val="0"/>
      <w:sz w:val="32"/>
      <w:szCs w:val="32"/>
      <w:u w:val="none" w:color="auto"/>
      <w:shd w:val="clear" w:color="auto" w:fill="auto"/>
      <w:vertAlign w:val="baseline"/>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Arial" w:hAnsi="Times New Roman"/>
      <w:b/>
      <w:bCs/>
      <w:snapToGrid/>
      <w:color w:val="auto"/>
      <w:spacing w:val="0"/>
      <w:w w:val="100"/>
      <w:kern w:val="2"/>
      <w:position w:val="0"/>
      <w:sz w:val="32"/>
      <w:szCs w:val="32"/>
      <w:u w:val="none" w:color="auto"/>
      <w:shd w:val="clear" w:color="auto" w:fill="auto"/>
      <w:vertAlign w:val="baseline"/>
      <w:lang w:val="en-US" w:eastAsia="zh-CN" w:bidi="ar-SA"/>
    </w:rPr>
  </w:style>
  <w:style w:type="character" w:default="1" w:styleId="10">
    <w:name w:val="Default Paragraph Font"/>
    <w:qFormat/>
  </w:style>
  <w:style w:type="paragraph" w:styleId="15">
    <w:name w:val="Body Text Indent"/>
    <w:qFormat/>
    <w:basedOn w:val="0"/>
    <w:next w:val="0"/>
    <w:pPr>
      <w:spacing w:after="120"/>
      <w:ind w:leftChars="200" w:left="200"/>
    </w:pPr>
  </w:style>
  <w:style w:type="paragraph" w:customStyle="1" w:yozoId="4094" w:styleId="16">
    <w:name w:val="Default"/>
    <w:qFormat/>
    <w:basedOn w:val="15"/>
    <w:next w:val="17"/>
    <w:pPr>
      <w:keepNext w:val="0"/>
      <w:keepLines w:val="0"/>
      <w:pageBreakBefore w:val="0"/>
      <w:widowControl w:val="0"/>
      <w:suppressLineNumbers w:val="0"/>
      <w:suppressAutoHyphens w:val="0"/>
      <w:kinsoku/>
      <w:wordWrap/>
      <w:overflowPunct/>
      <w:topLinePunct w:val="0"/>
      <w:autoSpaceDE w:val="0"/>
      <w:autoSpaceDN w:val="0"/>
      <w:adjustRightInd w:val="0"/>
      <w:snapToGrid/>
      <w:contextualSpacing w:val="0"/>
    </w:pPr>
    <w:rPr>
      <w:rFonts w:ascii="Times New Roman" w:eastAsia="宋体" w:cs="Times New Roman" w:hAnsi="Times New Roman"/>
      <w:color w:val="000000"/>
      <w:sz w:val="24"/>
      <w:szCs w:val="24"/>
      <w:lang w:val="en-US" w:eastAsia="zh-CN" w:bidi="ar-SA"/>
    </w:rPr>
  </w:style>
  <w:style w:type="paragraph" w:styleId="17">
    <w:name w:val="index 5"/>
    <w:qFormat/>
    <w:basedOn w:val="0"/>
    <w:next w:val="0"/>
    <w:pPr>
      <w:keepNext w:val="0"/>
      <w:keepLines w:val="0"/>
      <w:pageBreakBefore w:val="0"/>
      <w:widowControl w:val="0"/>
      <w:suppressLineNumbers w:val="0"/>
      <w:suppressAutoHyphens w:val="0"/>
      <w:spacing w:line="560" w:lineRule="exact"/>
      <w:ind w:left="1680" w:firstLineChars="200" w:firstLine="200"/>
      <w:jc w:val="both"/>
    </w:pPr>
    <w:rPr>
      <w:rFonts w:ascii="Calibri" w:eastAsia="宋体" w:cs="Times New Roman" w:hAnsi="Calibri"/>
      <w:kern w:val="2"/>
      <w:sz w:val="32"/>
      <w:szCs w:val="24"/>
      <w:lang w:val="en-US" w:eastAsia="zh-CN" w:bidi="ar-SA"/>
    </w:rPr>
  </w:style>
  <w:style w:type="paragraph" w:styleId="18">
    <w:name w:val="Body Text"/>
    <w:qFormat/>
    <w:basedOn w:val="0"/>
    <w:pPr>
      <w:spacing w:after="120"/>
    </w:pPr>
  </w:style>
  <w:style w:type="paragraph" w:styleId="19">
    <w:name w:val="footer"/>
    <w:qFormat/>
    <w:basedOn w:val="0"/>
    <w:pPr>
      <w:tabs>
        <w:tab w:val="center" w:pos="4153"/>
        <w:tab w:val="right" w:pos="8306"/>
      </w:tabs>
      <w:adjustRightInd/>
      <w:snapToGrid w:val="0"/>
      <w:contextualSpacing w:val="0"/>
      <w:jc w:val="left"/>
    </w:pPr>
    <w:rPr>
      <w:sz w:val="18"/>
    </w:rPr>
  </w:style>
  <w:style w:type="paragraph" w:styleId="20">
    <w:name w:val="header"/>
    <w:qFormat/>
    <w:basedOn w:val="0"/>
    <w:pPr>
      <w:pBdr>
        <w:top w:val="none" w:sz="0" w:space="1" w:color="auto"/>
        <w:left w:val="none" w:sz="0" w:space="4" w:color="auto"/>
        <w:bottom w:val="none" w:sz="0" w:space="1" w:color="auto"/>
        <w:right w:val="none" w:sz="0" w:space="4" w:color="auto"/>
      </w:pBdr>
      <w:tabs>
        <w:tab w:val="center" w:pos="4153"/>
        <w:tab w:val="right" w:pos="8306"/>
      </w:tabs>
      <w:adjustRightInd/>
      <w:snapToGrid w:val="0"/>
      <w:spacing w:line="240" w:lineRule="auto"/>
      <w:contextualSpacing w:val="0"/>
      <w:jc w:val="both"/>
      <w:outlineLvl w:val="9"/>
    </w:pPr>
    <w:rPr>
      <w:sz w:val="18"/>
    </w:rPr>
  </w:style>
  <w:style w:type="paragraph" w:styleId="21">
    <w:name w:val="table of figures"/>
    <w:qFormat/>
    <w:basedOn w:val="0"/>
    <w:next w:val="0"/>
    <w:pPr>
      <w:ind w:leftChars="200" w:left="400" w:hangingChars="200" w:hanging="200"/>
    </w:pPr>
  </w:style>
  <w:style w:type="paragraph" w:styleId="22">
    <w:name w:val="Normal (Web)"/>
    <w:qFormat/>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Arial" w:hAnsi="Times New Roman"/>
      <w:snapToGrid/>
      <w:color w:val="auto"/>
      <w:spacing w:val="0"/>
      <w:w w:val="100"/>
      <w:kern w:val="0"/>
      <w:position w:val="0"/>
      <w:sz w:val="24"/>
      <w:szCs w:val="24"/>
      <w:u w:val="none" w:color="auto"/>
      <w:shd w:val="clear" w:color="auto" w:fill="auto"/>
      <w:vertAlign w:val="baseline"/>
      <w:lang w:val="en-US" w:eastAsia="zh-CN"/>
    </w:rPr>
  </w:style>
  <w:style w:type="character" w:styleId="46">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pgNumType="\* ArabicDash2"/>
  </customProps>
</customData>
</file>

<file path=customXml/itemProps1.xml><?xml version="1.0" encoding="utf-8"?>
<ds:datastoreItem xmlns:ds="http://schemas.openxmlformats.org/officeDocument/2006/customXml" ds:itemID="{8C9C1F49-D4F8-4D34-B241-D6139F5005A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48</TotalTime>
  <Application>WPS_Yozo_Office9.0.5847.101ZH.S1</Application>
  <Pages>11</Pages>
  <Words>0</Words>
  <Characters>4135</Characters>
  <Lines>0</Lines>
  <Paragraphs>70</Paragraphs>
  <CharactersWithSpaces>5514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6</cp:revision>
  <cp:lastPrinted>2026-03-10T10:13:00Z</cp:lastPrinted>
  <dcterms:created xsi:type="dcterms:W3CDTF">2025-12-30T00:45:00Z</dcterms:created>
  <dcterms:modified xsi:type="dcterms:W3CDTF">2026-03-15T03:10:31Z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eyJoZGlkIjoiZWJjYjk4YWRhMzE1MmI0ZjdjY2ZjZDZhNmFjMDJiOGIiLCJ1c2VySWQiOiIyMDc1MjE3NTYifQ==</vt:lpwstr>
  </property>
  <property fmtid="{D5CDD505-2E9C-101B-9397-08002B2CF9AE}" pid="3" name="KSOProductBuildVer">
    <vt:lpwstr>2052-12.1.0.24657</vt:lpwstr>
  </property>
  <property fmtid="{D5CDD505-2E9C-101B-9397-08002B2CF9AE}" pid="4" name="ICV">
    <vt:lpwstr>64DC1F702BAF4CBAA3A92C06C2DF8D97_12</vt:lpwstr>
  </property>
</Properties>
</file>