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80B5B">
      <w:pPr>
        <w:jc w:val="center"/>
        <w:rPr>
          <w:rFonts w:hint="eastAsia" w:ascii="宋体" w:hAnsi="宋体" w:cs="方正小标宋简体"/>
          <w:b/>
          <w:sz w:val="44"/>
          <w:szCs w:val="44"/>
        </w:rPr>
      </w:pPr>
      <w:r>
        <w:rPr>
          <w:rFonts w:hint="eastAsia" w:ascii="宋体" w:hAnsi="宋体" w:cs="方正小标宋简体"/>
          <w:b/>
          <w:sz w:val="44"/>
          <w:szCs w:val="44"/>
        </w:rPr>
        <w:t>魏县文化广电和旅游局权责清单事项分表</w:t>
      </w:r>
    </w:p>
    <w:p w14:paraId="494B0E27">
      <w:pPr>
        <w:spacing w:after="156" w:afterLines="50"/>
        <w:jc w:val="center"/>
        <w:rPr>
          <w:rFonts w:hint="eastAsia"/>
        </w:rPr>
      </w:pPr>
      <w:r>
        <w:rPr>
          <w:rFonts w:hAnsi="楷体_GB2312" w:eastAsia="楷体_GB2312"/>
          <w:sz w:val="32"/>
          <w:szCs w:val="32"/>
        </w:rPr>
        <w:t>（共</w:t>
      </w:r>
      <w:r>
        <w:rPr>
          <w:rFonts w:hint="eastAsia" w:eastAsia="楷体_GB2312"/>
          <w:sz w:val="32"/>
          <w:szCs w:val="32"/>
          <w:lang w:val="en-US" w:eastAsia="zh-CN"/>
        </w:rPr>
        <w:t>1</w:t>
      </w:r>
      <w:r>
        <w:rPr>
          <w:rFonts w:hAnsi="楷体_GB2312" w:eastAsia="楷体_GB2312"/>
          <w:sz w:val="32"/>
          <w:szCs w:val="32"/>
        </w:rPr>
        <w:t>类</w:t>
      </w:r>
      <w:r>
        <w:rPr>
          <w:rFonts w:hint="eastAsia" w:hAnsi="楷体_GB2312" w:eastAsia="楷体_GB2312"/>
          <w:sz w:val="32"/>
          <w:szCs w:val="32"/>
        </w:rPr>
        <w:t>，</w:t>
      </w:r>
      <w:r>
        <w:rPr>
          <w:rFonts w:hint="eastAsia" w:hAnsi="楷体_GB2312" w:eastAsia="楷体_GB2312"/>
          <w:sz w:val="32"/>
          <w:szCs w:val="32"/>
          <w:lang w:val="en-US" w:eastAsia="zh-CN"/>
        </w:rPr>
        <w:t>4</w:t>
      </w:r>
      <w:r>
        <w:rPr>
          <w:rFonts w:hAnsi="楷体_GB2312" w:eastAsia="楷体_GB2312"/>
          <w:sz w:val="32"/>
          <w:szCs w:val="32"/>
        </w:rPr>
        <w:t>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570"/>
        <w:gridCol w:w="616"/>
        <w:gridCol w:w="1082"/>
        <w:gridCol w:w="810"/>
        <w:gridCol w:w="4970"/>
        <w:gridCol w:w="2829"/>
        <w:gridCol w:w="2771"/>
        <w:gridCol w:w="982"/>
      </w:tblGrid>
      <w:tr w14:paraId="609D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9" w:hRule="atLeast"/>
          <w:tblHeade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53B458">
            <w:pPr>
              <w:autoSpaceDN w:val="0"/>
              <w:spacing w:line="260" w:lineRule="exact"/>
              <w:ind w:left="-105" w:leftChars="-50" w:right="-105" w:rightChars="-50"/>
              <w:jc w:val="center"/>
              <w:textAlignment w:val="center"/>
              <w:rPr>
                <w:rFonts w:ascii="黑体" w:hAnsi="黑体" w:eastAsia="黑体"/>
                <w:color w:val="000000"/>
                <w:sz w:val="18"/>
                <w:szCs w:val="18"/>
              </w:rPr>
            </w:pPr>
            <w:r>
              <w:rPr>
                <w:rFonts w:ascii="黑体" w:hAnsi="黑体" w:eastAsia="黑体"/>
                <w:color w:val="000000"/>
                <w:sz w:val="18"/>
                <w:szCs w:val="18"/>
              </w:rPr>
              <w:t>序号</w:t>
            </w:r>
          </w:p>
        </w:tc>
        <w:tc>
          <w:tcPr>
            <w:tcW w:w="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B00B86">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权力类型</w:t>
            </w:r>
          </w:p>
        </w:tc>
        <w:tc>
          <w:tcPr>
            <w:tcW w:w="10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384C55">
            <w:pPr>
              <w:autoSpaceDN w:val="0"/>
              <w:spacing w:line="260" w:lineRule="exact"/>
              <w:jc w:val="center"/>
              <w:textAlignment w:val="center"/>
              <w:rPr>
                <w:rFonts w:hint="eastAsia" w:ascii="黑体" w:hAnsi="黑体" w:eastAsia="黑体" w:cs="仿宋"/>
                <w:color w:val="000000"/>
                <w:sz w:val="18"/>
                <w:szCs w:val="18"/>
              </w:rPr>
            </w:pPr>
            <w:r>
              <w:rPr>
                <w:rFonts w:hint="eastAsia" w:ascii="黑体" w:hAnsi="黑体" w:eastAsia="黑体" w:cs="仿宋"/>
                <w:color w:val="000000"/>
                <w:sz w:val="18"/>
                <w:szCs w:val="18"/>
              </w:rPr>
              <w:t>权力</w:t>
            </w:r>
          </w:p>
          <w:p w14:paraId="7EF9265D">
            <w:pPr>
              <w:autoSpaceDN w:val="0"/>
              <w:spacing w:line="260" w:lineRule="exact"/>
              <w:jc w:val="center"/>
              <w:textAlignment w:val="center"/>
              <w:rPr>
                <w:rFonts w:hint="eastAsia" w:ascii="黑体" w:hAnsi="黑体" w:eastAsia="黑体" w:cs="仿宋"/>
                <w:color w:val="000000"/>
                <w:sz w:val="18"/>
                <w:szCs w:val="18"/>
              </w:rPr>
            </w:pPr>
            <w:r>
              <w:rPr>
                <w:rFonts w:hint="eastAsia" w:ascii="黑体" w:hAnsi="黑体" w:eastAsia="黑体" w:cs="仿宋"/>
                <w:color w:val="000000"/>
                <w:sz w:val="18"/>
                <w:szCs w:val="18"/>
              </w:rPr>
              <w:t>事项</w:t>
            </w:r>
          </w:p>
        </w:tc>
        <w:tc>
          <w:tcPr>
            <w:tcW w:w="8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EDD0B5">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行政主体</w:t>
            </w:r>
          </w:p>
        </w:tc>
        <w:tc>
          <w:tcPr>
            <w:tcW w:w="4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0A9F99">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实施依据</w:t>
            </w:r>
          </w:p>
        </w:tc>
        <w:tc>
          <w:tcPr>
            <w:tcW w:w="28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E94517">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责任事项</w:t>
            </w:r>
          </w:p>
        </w:tc>
        <w:tc>
          <w:tcPr>
            <w:tcW w:w="27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AA5EE3">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追责情形</w:t>
            </w:r>
          </w:p>
        </w:tc>
        <w:tc>
          <w:tcPr>
            <w:tcW w:w="9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D3C641">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备注</w:t>
            </w:r>
          </w:p>
        </w:tc>
      </w:tr>
      <w:tr w14:paraId="73AD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592" w:hRule="atLeast"/>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67A785">
            <w:pPr>
              <w:numPr>
                <w:ilvl w:val="0"/>
                <w:numId w:val="0"/>
              </w:numPr>
              <w:tabs>
                <w:tab w:val="left" w:pos="0"/>
              </w:tabs>
              <w:autoSpaceDN w:val="0"/>
              <w:spacing w:line="260" w:lineRule="exact"/>
              <w:ind w:leftChars="0" w:right="-105" w:rightChars="-50"/>
              <w:jc w:val="both"/>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w:t>
            </w:r>
          </w:p>
        </w:tc>
        <w:tc>
          <w:tcPr>
            <w:tcW w:w="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582E9E">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行政奖励</w:t>
            </w:r>
          </w:p>
        </w:tc>
        <w:tc>
          <w:tcPr>
            <w:tcW w:w="10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64E701">
            <w:pPr>
              <w:spacing w:line="260" w:lineRule="exact"/>
              <w:jc w:val="center"/>
              <w:rPr>
                <w:rFonts w:hint="eastAsia" w:ascii="仿宋" w:hAnsi="仿宋" w:eastAsia="仿宋" w:cs="仿宋"/>
                <w:color w:val="000000"/>
                <w:sz w:val="18"/>
                <w:szCs w:val="18"/>
              </w:rPr>
            </w:pPr>
            <w:r>
              <w:rPr>
                <w:rFonts w:hint="eastAsia" w:ascii="仿宋" w:hAnsi="仿宋" w:eastAsia="仿宋" w:cs="仿宋"/>
              </w:rPr>
              <w:t>对在艺术档案工作中做出显著成绩的单位和个人的表彰和奖励</w:t>
            </w:r>
            <w:r>
              <w:rPr>
                <w:rFonts w:hint="eastAsia" w:ascii="仿宋" w:hAnsi="仿宋" w:eastAsia="仿宋" w:cs="仿宋"/>
                <w:color w:val="000000"/>
                <w:sz w:val="18"/>
                <w:szCs w:val="18"/>
              </w:rPr>
              <w:fldChar w:fldCharType="begin"/>
            </w:r>
            <w:r>
              <w:rPr>
                <w:rFonts w:hint="eastAsia" w:ascii="仿宋" w:hAnsi="仿宋" w:eastAsia="仿宋" w:cs="仿宋"/>
                <w:color w:val="000000"/>
                <w:sz w:val="18"/>
                <w:szCs w:val="18"/>
              </w:rPr>
              <w:instrText xml:space="preserve"> HYPERLINK "http://10.242.2.19/qlk/epointqlk/audititem/yibeian/void(0)" </w:instrText>
            </w:r>
            <w:r>
              <w:rPr>
                <w:rFonts w:hint="eastAsia" w:ascii="仿宋" w:hAnsi="仿宋" w:eastAsia="仿宋" w:cs="仿宋"/>
                <w:color w:val="000000"/>
                <w:sz w:val="18"/>
                <w:szCs w:val="18"/>
              </w:rPr>
              <w:fldChar w:fldCharType="separate"/>
            </w:r>
            <w:r>
              <w:rPr>
                <w:rFonts w:hint="eastAsia" w:ascii="仿宋" w:hAnsi="仿宋" w:eastAsia="仿宋" w:cs="仿宋"/>
                <w:color w:val="000000"/>
                <w:sz w:val="18"/>
                <w:szCs w:val="18"/>
              </w:rPr>
              <w:fldChar w:fldCharType="end"/>
            </w:r>
          </w:p>
        </w:tc>
        <w:tc>
          <w:tcPr>
            <w:tcW w:w="8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CECD50">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魏县文化广电和旅游局</w:t>
            </w:r>
          </w:p>
        </w:tc>
        <w:tc>
          <w:tcPr>
            <w:tcW w:w="4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5A4A8B">
            <w:pPr>
              <w:pStyle w:val="4"/>
              <w:widowControl/>
              <w:spacing w:line="260" w:lineRule="exact"/>
              <w:ind w:left="76"/>
              <w:jc w:val="both"/>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1、《国家档案法》第七条 国家鼓励社会力量参与和支持档案事业的发展。对在档案收集、整理、保护、利用等方面做出突出贡献的单位和个人，按照国家有关规定给予表彰、奖励。</w:t>
            </w:r>
          </w:p>
          <w:p w14:paraId="3DB5B4AB">
            <w:pPr>
              <w:pStyle w:val="4"/>
              <w:widowControl/>
              <w:spacing w:line="260" w:lineRule="exact"/>
              <w:ind w:left="76"/>
              <w:jc w:val="both"/>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2、《艺术档案管理办法》文化部、国家档案局令第21号第六条第六条各级文化行政管理部门应当依据</w:t>
            </w:r>
            <w:bookmarkStart w:id="0" w:name="_GoBack"/>
            <w:bookmarkEnd w:id="0"/>
            <w:r>
              <w:rPr>
                <w:rFonts w:hint="eastAsia" w:ascii="仿宋" w:hAnsi="仿宋" w:eastAsia="仿宋" w:cs="仿宋"/>
                <w:color w:val="000000"/>
                <w:sz w:val="18"/>
                <w:szCs w:val="18"/>
                <w:lang w:eastAsia="zh-CN" w:bidi="ar"/>
              </w:rPr>
              <w:t>《中华人民共和国档案法》</w:t>
            </w:r>
            <w:r>
              <w:rPr>
                <w:rFonts w:hint="eastAsia" w:ascii="仿宋" w:hAnsi="仿宋" w:eastAsia="仿宋" w:cs="仿宋"/>
                <w:color w:val="000000"/>
                <w:sz w:val="18"/>
                <w:szCs w:val="18"/>
                <w:lang w:bidi="ar"/>
              </w:rPr>
              <w:t>的有关规定对在艺术档案工作中做出显著成绩的单位和个人，给予表彰和奖励。</w:t>
            </w:r>
          </w:p>
          <w:p w14:paraId="1C2E4828">
            <w:pPr>
              <w:autoSpaceDN w:val="0"/>
              <w:spacing w:line="260" w:lineRule="exact"/>
              <w:textAlignment w:val="center"/>
              <w:rPr>
                <w:rFonts w:hint="eastAsia" w:ascii="仿宋" w:hAnsi="仿宋" w:eastAsia="仿宋" w:cs="仿宋"/>
                <w:color w:val="000000"/>
                <w:sz w:val="18"/>
                <w:szCs w:val="18"/>
              </w:rPr>
            </w:pPr>
          </w:p>
        </w:tc>
        <w:tc>
          <w:tcPr>
            <w:tcW w:w="28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2512ED">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1.准备阶段责任：制定</w:t>
            </w:r>
            <w:r>
              <w:rPr>
                <w:rFonts w:hint="eastAsia" w:ascii="仿宋" w:hAnsi="仿宋" w:eastAsia="仿宋" w:cs="仿宋"/>
                <w:color w:val="000000"/>
                <w:kern w:val="0"/>
                <w:sz w:val="18"/>
                <w:szCs w:val="18"/>
                <w:lang w:bidi="ar"/>
              </w:rPr>
              <w:fldChar w:fldCharType="begin"/>
            </w:r>
            <w:r>
              <w:rPr>
                <w:rFonts w:hint="eastAsia" w:ascii="仿宋" w:hAnsi="仿宋" w:eastAsia="仿宋" w:cs="仿宋"/>
                <w:color w:val="000000"/>
                <w:kern w:val="0"/>
                <w:sz w:val="18"/>
                <w:szCs w:val="18"/>
                <w:lang w:bidi="ar"/>
              </w:rPr>
              <w:instrText xml:space="preserve"> HYPERLINK "http://10.242.2.19/qlk/epointqlk/audititem/yibeian/void(0)" </w:instrText>
            </w:r>
            <w:r>
              <w:rPr>
                <w:rFonts w:hint="eastAsia" w:ascii="仿宋" w:hAnsi="仿宋" w:eastAsia="仿宋" w:cs="仿宋"/>
                <w:color w:val="000000"/>
                <w:kern w:val="0"/>
                <w:sz w:val="18"/>
                <w:szCs w:val="18"/>
                <w:lang w:bidi="ar"/>
              </w:rPr>
              <w:fldChar w:fldCharType="separate"/>
            </w:r>
            <w:r>
              <w:rPr>
                <w:rFonts w:hint="eastAsia" w:ascii="仿宋" w:hAnsi="仿宋" w:eastAsia="仿宋" w:cs="仿宋"/>
                <w:color w:val="000000"/>
                <w:kern w:val="0"/>
                <w:sz w:val="18"/>
                <w:szCs w:val="18"/>
                <w:lang w:bidi="ar"/>
              </w:rPr>
              <w:t>对在艺术档案工作中做出显著成绩的单位和个人的表彰和奖励</w:t>
            </w:r>
            <w:r>
              <w:rPr>
                <w:rFonts w:hint="eastAsia" w:ascii="仿宋" w:hAnsi="仿宋" w:eastAsia="仿宋" w:cs="仿宋"/>
                <w:color w:val="000000"/>
                <w:kern w:val="0"/>
                <w:sz w:val="18"/>
                <w:szCs w:val="18"/>
                <w:lang w:bidi="ar"/>
              </w:rPr>
              <w:fldChar w:fldCharType="end"/>
            </w:r>
            <w:r>
              <w:rPr>
                <w:rFonts w:hint="eastAsia" w:ascii="仿宋" w:hAnsi="仿宋" w:eastAsia="仿宋" w:cs="仿宋"/>
                <w:color w:val="000000"/>
                <w:kern w:val="0"/>
                <w:sz w:val="18"/>
                <w:szCs w:val="18"/>
                <w:lang w:bidi="ar"/>
              </w:rPr>
              <w:t>的方案。</w:t>
            </w:r>
          </w:p>
          <w:p w14:paraId="7DCE787D">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2.组织推荐责任：按照规定的条件、程序开展组织推荐工作，对推荐对象进行初审。</w:t>
            </w:r>
          </w:p>
          <w:p w14:paraId="73A62EA2">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3.审核公示责任：对符合条件的推荐对象进行审核，报经批准后予以公示。</w:t>
            </w:r>
          </w:p>
          <w:p w14:paraId="7038D59A">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4.实施奖励责任：公示无异议或者异议不成立的，给予表彰和奖励。</w:t>
            </w:r>
          </w:p>
          <w:p w14:paraId="27A9FE65">
            <w:pPr>
              <w:autoSpaceDN w:val="0"/>
              <w:spacing w:line="2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5.其他法律法规规章文件规定应履行的责任。</w:t>
            </w:r>
          </w:p>
        </w:tc>
        <w:tc>
          <w:tcPr>
            <w:tcW w:w="27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733555">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因不履行或者不正确履行行政职责，有下列情形的，行政机关及相关工作人员承担相应责任：</w:t>
            </w:r>
          </w:p>
          <w:p w14:paraId="5F672026">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1、不符合条件违规受理并通过初评，造成不良影响的；</w:t>
            </w:r>
          </w:p>
          <w:p w14:paraId="599D983D">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2、未经批准擅自举办表彰奖励活动的；</w:t>
            </w:r>
          </w:p>
          <w:p w14:paraId="34BF6124">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3、向参评单位和个人收取费用的；</w:t>
            </w:r>
          </w:p>
          <w:p w14:paraId="5DB34E7C">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4、未按照规定进行公示的；</w:t>
            </w:r>
          </w:p>
          <w:p w14:paraId="1378B723">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5、其他违反法律法规规章文件规定的行为。</w:t>
            </w:r>
          </w:p>
        </w:tc>
        <w:tc>
          <w:tcPr>
            <w:tcW w:w="9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466219">
            <w:pPr>
              <w:autoSpaceDN w:val="0"/>
              <w:spacing w:line="260" w:lineRule="exact"/>
              <w:jc w:val="both"/>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目前财政未设对在艺术档案工作中做出显著成绩的单位和个人行政奖励专项基金。</w:t>
            </w:r>
          </w:p>
        </w:tc>
      </w:tr>
      <w:tr w14:paraId="647C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839" w:hRule="atLeast"/>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28C79A">
            <w:pPr>
              <w:numPr>
                <w:ilvl w:val="0"/>
                <w:numId w:val="0"/>
              </w:numPr>
              <w:tabs>
                <w:tab w:val="left" w:pos="0"/>
              </w:tabs>
              <w:autoSpaceDN w:val="0"/>
              <w:spacing w:line="260" w:lineRule="exact"/>
              <w:ind w:leftChars="0" w:right="-105" w:rightChars="-50"/>
              <w:jc w:val="both"/>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w:t>
            </w:r>
          </w:p>
        </w:tc>
        <w:tc>
          <w:tcPr>
            <w:tcW w:w="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9056C9">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行政奖励</w:t>
            </w:r>
          </w:p>
        </w:tc>
        <w:tc>
          <w:tcPr>
            <w:tcW w:w="10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D5CDAD">
            <w:pPr>
              <w:spacing w:line="2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对在公共文化体育设施的建设、管理和保护工作中做出突出贡献的单位和个人给予奖励</w:t>
            </w:r>
          </w:p>
        </w:tc>
        <w:tc>
          <w:tcPr>
            <w:tcW w:w="8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819364">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魏县文化广电和旅游局</w:t>
            </w:r>
          </w:p>
        </w:tc>
        <w:tc>
          <w:tcPr>
            <w:tcW w:w="4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7013C7">
            <w:pPr>
              <w:pStyle w:val="4"/>
              <w:widowControl/>
              <w:spacing w:line="260" w:lineRule="exact"/>
              <w:ind w:left="76"/>
              <w:jc w:val="both"/>
              <w:rPr>
                <w:rFonts w:hint="eastAsia" w:ascii="仿宋" w:hAnsi="仿宋" w:eastAsia="仿宋" w:cs="仿宋"/>
                <w:color w:val="000000"/>
                <w:sz w:val="18"/>
                <w:szCs w:val="18"/>
                <w:lang w:bidi="ar"/>
              </w:rPr>
            </w:pPr>
            <w:r>
              <w:rPr>
                <w:rFonts w:hint="eastAsia" w:ascii="仿宋" w:hAnsi="仿宋" w:eastAsia="仿宋" w:cs="仿宋"/>
                <w:color w:val="000000"/>
                <w:sz w:val="18"/>
                <w:szCs w:val="18"/>
              </w:rPr>
              <w:t>《公共文化体育设施条</w:t>
            </w:r>
            <w:r>
              <w:rPr>
                <w:rFonts w:hint="eastAsia" w:ascii="仿宋" w:hAnsi="仿宋" w:eastAsia="仿宋" w:cs="仿宋"/>
                <w:color w:val="000000"/>
                <w:sz w:val="18"/>
                <w:szCs w:val="18"/>
                <w:lang w:bidi="ar"/>
              </w:rPr>
              <w:t>例》第八条对在公共文化体育设施的建设、管理和保护工作中做出突出贡献的单位和个人，由县级以上地方人民政府或者有关部门给予奖励。</w:t>
            </w:r>
          </w:p>
          <w:p w14:paraId="752E94B3">
            <w:pPr>
              <w:autoSpaceDN w:val="0"/>
              <w:spacing w:line="260" w:lineRule="exact"/>
              <w:textAlignment w:val="center"/>
              <w:rPr>
                <w:rFonts w:hint="eastAsia" w:ascii="仿宋" w:hAnsi="仿宋" w:eastAsia="仿宋" w:cs="仿宋"/>
                <w:color w:val="000000"/>
                <w:sz w:val="18"/>
                <w:szCs w:val="18"/>
              </w:rPr>
            </w:pPr>
          </w:p>
        </w:tc>
        <w:tc>
          <w:tcPr>
            <w:tcW w:w="28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992316">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1.准备阶段责任：制定对在公共文化体育设施的建设、管理和保护工作中做出突出贡献的单位和个人给予奖励的方案。</w:t>
            </w:r>
          </w:p>
          <w:p w14:paraId="0996F253">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2.组织推荐责任：按照规定的条件、程序开展组织推荐工作，对推荐对象进行初审。</w:t>
            </w:r>
          </w:p>
          <w:p w14:paraId="329C25BA">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3.审核公示责任：对符合条件的推荐对象进行审核，报经批准后予以公示。</w:t>
            </w:r>
          </w:p>
          <w:p w14:paraId="7D7FFEFC">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4.实施奖励责任：公示无异议或者异议不成立的，给予表彰和奖励。</w:t>
            </w:r>
          </w:p>
          <w:p w14:paraId="597FE2C2">
            <w:pPr>
              <w:autoSpaceDN w:val="0"/>
              <w:spacing w:line="2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5.其他法律法规规章文件规定应履行的责任。</w:t>
            </w:r>
          </w:p>
        </w:tc>
        <w:tc>
          <w:tcPr>
            <w:tcW w:w="27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2D70E3">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因不履行或者不正确履行行政职责，有下列情形的，行政机关及相关工作人员承担相应责任：</w:t>
            </w:r>
          </w:p>
          <w:p w14:paraId="52AD7173">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1、不符合条件违规受理并通过初评，造成不良影响的；</w:t>
            </w:r>
          </w:p>
          <w:p w14:paraId="30685E94">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2、未经批准擅自举办表彰奖励活动的；</w:t>
            </w:r>
          </w:p>
          <w:p w14:paraId="318BE5CD">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3、向参评单位和个人收取费用的；</w:t>
            </w:r>
          </w:p>
          <w:p w14:paraId="06208E6E">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4、未按照规定进行公示的；</w:t>
            </w:r>
          </w:p>
          <w:p w14:paraId="337FF10C">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5、其他违反法律法规规章文件规定的行为。</w:t>
            </w:r>
          </w:p>
          <w:p w14:paraId="028B04FD">
            <w:pPr>
              <w:autoSpaceDN w:val="0"/>
              <w:spacing w:line="260" w:lineRule="exact"/>
              <w:textAlignment w:val="center"/>
              <w:rPr>
                <w:rFonts w:hint="eastAsia" w:ascii="仿宋" w:hAnsi="仿宋" w:eastAsia="仿宋" w:cs="仿宋"/>
                <w:color w:val="000000"/>
                <w:sz w:val="18"/>
                <w:szCs w:val="18"/>
              </w:rPr>
            </w:pPr>
          </w:p>
        </w:tc>
        <w:tc>
          <w:tcPr>
            <w:tcW w:w="9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399FDD">
            <w:pPr>
              <w:autoSpaceDN w:val="0"/>
              <w:spacing w:line="260" w:lineRule="exact"/>
              <w:jc w:val="both"/>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目前财政未设</w:t>
            </w:r>
            <w:r>
              <w:rPr>
                <w:rFonts w:hint="eastAsia" w:ascii="仿宋" w:hAnsi="仿宋" w:eastAsia="仿宋" w:cs="仿宋"/>
                <w:color w:val="000000"/>
                <w:sz w:val="18"/>
                <w:szCs w:val="18"/>
              </w:rPr>
              <w:t>对在公共文化体育设施的建设、管理和保护工作中做出突出贡献的单位和个人</w:t>
            </w:r>
            <w:r>
              <w:rPr>
                <w:rFonts w:hint="eastAsia" w:ascii="仿宋" w:hAnsi="仿宋" w:eastAsia="仿宋" w:cs="仿宋"/>
                <w:color w:val="000000"/>
                <w:kern w:val="0"/>
                <w:sz w:val="18"/>
                <w:szCs w:val="18"/>
                <w:lang w:bidi="ar"/>
              </w:rPr>
              <w:t>行政奖励专项基金。</w:t>
            </w:r>
          </w:p>
        </w:tc>
      </w:tr>
      <w:tr w14:paraId="1239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084" w:hRule="atLeast"/>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2DAC20">
            <w:pPr>
              <w:numPr>
                <w:ilvl w:val="0"/>
                <w:numId w:val="0"/>
              </w:numPr>
              <w:tabs>
                <w:tab w:val="left" w:pos="0"/>
              </w:tabs>
              <w:autoSpaceDN w:val="0"/>
              <w:spacing w:line="260" w:lineRule="exact"/>
              <w:ind w:leftChars="0" w:right="-105" w:rightChars="-50"/>
              <w:jc w:val="both"/>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w:t>
            </w:r>
          </w:p>
        </w:tc>
        <w:tc>
          <w:tcPr>
            <w:tcW w:w="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DFF70D">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行政奖励</w:t>
            </w:r>
          </w:p>
        </w:tc>
        <w:tc>
          <w:tcPr>
            <w:tcW w:w="10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ACB9E8">
            <w:pPr>
              <w:spacing w:line="260" w:lineRule="exact"/>
              <w:jc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对作出突出贡献的营业性演出社会义务监督员的表彰</w:t>
            </w:r>
          </w:p>
        </w:tc>
        <w:tc>
          <w:tcPr>
            <w:tcW w:w="8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B0112D">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魏县文化广电和旅游局</w:t>
            </w:r>
          </w:p>
        </w:tc>
        <w:tc>
          <w:tcPr>
            <w:tcW w:w="4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2E1941">
            <w:pPr>
              <w:widowControl/>
              <w:spacing w:line="260" w:lineRule="exac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《营业性演出管理条例》第三十四条：县级以上地方人民政府文化主管部门应当充分发挥文化执法机构的作用，并可以聘请社会义务监督员对营业性演出进行监督。</w:t>
            </w:r>
          </w:p>
          <w:p w14:paraId="5F8F4AD9">
            <w:pPr>
              <w:widowControl/>
              <w:spacing w:line="260" w:lineRule="exac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任何单位或者个人可以采取电话、手机短信等方式举报违反本条例规定的行为。县级以上地方人民政府文化主管部门应当向社会公布举报电话，并保证随时有人接听。</w:t>
            </w:r>
          </w:p>
          <w:p w14:paraId="5EC7C980">
            <w:pPr>
              <w:widowControl/>
              <w:spacing w:line="260" w:lineRule="exac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县级以上地方人民政府文化主管部门接到社会义务监督员的报告或者公众的举报，应当作出记录，立即赶赴现场进行调查、处理，并自处理完毕之日起7日内公布结果。</w:t>
            </w:r>
          </w:p>
          <w:p w14:paraId="503B38C2">
            <w:pPr>
              <w:widowControl/>
              <w:spacing w:line="2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县级以上地方人民政府文化主管部门对作出突出贡献的社会义务监督员应当给予表彰；公众举报经调查核实的，应当对举报人给予奖励。</w:t>
            </w:r>
          </w:p>
        </w:tc>
        <w:tc>
          <w:tcPr>
            <w:tcW w:w="28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FC70B1">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1.准备阶段责任：制定对作出突出贡献的营业性演出社会义务监督员的表彰的方案。</w:t>
            </w:r>
          </w:p>
          <w:p w14:paraId="14CA81D8">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2.组织推荐责任：按照规定的条件、程序开展组织推荐工作，对推荐对象进行初审。</w:t>
            </w:r>
          </w:p>
          <w:p w14:paraId="169686E3">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3.审核公示责任：对符合条件的推荐对象进行审核，报经批准后予以公示。</w:t>
            </w:r>
          </w:p>
          <w:p w14:paraId="3C91227E">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4.实施奖励责任：公示无异议或者异议不成立的，给予表彰和奖励。</w:t>
            </w:r>
          </w:p>
          <w:p w14:paraId="7D61D136">
            <w:pPr>
              <w:autoSpaceDN w:val="0"/>
              <w:spacing w:line="2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5.其他法律法规规章文件规定应履行的责任。</w:t>
            </w:r>
          </w:p>
        </w:tc>
        <w:tc>
          <w:tcPr>
            <w:tcW w:w="27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428E8C">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因不履行或者不正确履行行政职责，有下列情形的，行政机关及相关工作人员承担相应责任：</w:t>
            </w:r>
          </w:p>
          <w:p w14:paraId="101BA222">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1、不符合条件违规受理并通过初评，造成不良影响的；</w:t>
            </w:r>
          </w:p>
          <w:p w14:paraId="1B148B15">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2、未经批准擅自举办表彰奖励活动的；</w:t>
            </w:r>
          </w:p>
          <w:p w14:paraId="442CB2E5">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w:t>
            </w: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bidi="ar"/>
              </w:rPr>
              <w:t>向参评单位和个人收取费用的；</w:t>
            </w:r>
          </w:p>
          <w:p w14:paraId="407F3B7E">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4、未按照规定进行公示的；</w:t>
            </w:r>
          </w:p>
          <w:p w14:paraId="51D27288">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5、其他违反法律法规规章文件规定的行为。</w:t>
            </w:r>
          </w:p>
          <w:p w14:paraId="7AE2E25E">
            <w:pPr>
              <w:autoSpaceDN w:val="0"/>
              <w:spacing w:line="260" w:lineRule="exact"/>
              <w:textAlignment w:val="center"/>
              <w:rPr>
                <w:rFonts w:hint="eastAsia" w:ascii="仿宋" w:hAnsi="仿宋" w:eastAsia="仿宋" w:cs="仿宋"/>
                <w:color w:val="000000"/>
                <w:kern w:val="0"/>
                <w:sz w:val="18"/>
                <w:szCs w:val="18"/>
                <w:lang w:bidi="ar"/>
              </w:rPr>
            </w:pPr>
          </w:p>
        </w:tc>
        <w:tc>
          <w:tcPr>
            <w:tcW w:w="9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EB5E00">
            <w:pPr>
              <w:widowControl/>
              <w:spacing w:line="260" w:lineRule="exact"/>
              <w:jc w:val="both"/>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目前财政未设对作出突出贡献的营业性演出社会义务监督员行政奖励专项基金。</w:t>
            </w:r>
          </w:p>
        </w:tc>
      </w:tr>
      <w:tr w14:paraId="6189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65" w:hRule="exact"/>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208A56">
            <w:pPr>
              <w:numPr>
                <w:ilvl w:val="0"/>
                <w:numId w:val="0"/>
              </w:numPr>
              <w:tabs>
                <w:tab w:val="left" w:pos="0"/>
              </w:tabs>
              <w:autoSpaceDN w:val="0"/>
              <w:spacing w:line="260" w:lineRule="exact"/>
              <w:ind w:leftChars="0" w:right="-105" w:rightChars="-50"/>
              <w:jc w:val="both"/>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4</w:t>
            </w:r>
          </w:p>
        </w:tc>
        <w:tc>
          <w:tcPr>
            <w:tcW w:w="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0B3661">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行政奖励</w:t>
            </w:r>
          </w:p>
        </w:tc>
        <w:tc>
          <w:tcPr>
            <w:tcW w:w="10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E1B2E6">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对营业性演出举报人的奖励</w:t>
            </w:r>
          </w:p>
        </w:tc>
        <w:tc>
          <w:tcPr>
            <w:tcW w:w="8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40F2E7">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魏县文化广电和旅游局</w:t>
            </w:r>
          </w:p>
        </w:tc>
        <w:tc>
          <w:tcPr>
            <w:tcW w:w="4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F4526E">
            <w:pPr>
              <w:widowControl/>
              <w:spacing w:line="260" w:lineRule="exac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《营业性演出管理条例》第三十四条：县级以上地方人民政府文化主管部门应当充分发挥文化执法机构的作用，并可以聘请社会义务监督员对营业性演出进行监督。</w:t>
            </w:r>
          </w:p>
          <w:p w14:paraId="553846AD">
            <w:pPr>
              <w:widowControl/>
              <w:spacing w:line="260" w:lineRule="exac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任何单位或者个人可以采取电话、手机短信等方式举报违反本条例规定的行为。县级以上地方人民政府文化主管部门应当向社会公布举报电话，并保证随时有人接听。</w:t>
            </w:r>
          </w:p>
          <w:p w14:paraId="6F05E2CF">
            <w:pPr>
              <w:widowControl/>
              <w:spacing w:line="260" w:lineRule="exac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县级以上地方人民政府文化主管部门接到社会义务监督员的报告或者公众的举报，应当作出记录，立即赶赴现场进行调查、处理，并自处理完毕之日起7日内公布结果。</w:t>
            </w:r>
          </w:p>
          <w:p w14:paraId="5DD8C6E9">
            <w:pPr>
              <w:widowControl/>
              <w:spacing w:line="2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县级以上地方人民政府文化主管部门对作出突出贡献的社会义务监督员应当给予表彰；公众举报经调查核实的，应当对举报人给予奖励。</w:t>
            </w:r>
          </w:p>
        </w:tc>
        <w:tc>
          <w:tcPr>
            <w:tcW w:w="28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1FBE8D">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1.准备阶段责任：制定对营业性演出举报人的奖励的方案。</w:t>
            </w:r>
          </w:p>
          <w:p w14:paraId="3C691662">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2.组织推荐责任：按照规定的条件、程序开展组织推荐工作，对推荐对象进行初审。</w:t>
            </w:r>
          </w:p>
          <w:p w14:paraId="60DFF3C2">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3.审核公示责任：对符合条件的推荐对象进行审核，报经批准后予以公示。</w:t>
            </w:r>
          </w:p>
          <w:p w14:paraId="4F4D4EBD">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4.实施奖励责任：公示无异议或者异议不成立的，给予表彰和奖励。</w:t>
            </w:r>
          </w:p>
          <w:p w14:paraId="26D2245A">
            <w:pPr>
              <w:autoSpaceDN w:val="0"/>
              <w:spacing w:line="2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5.其他法律法规规章文件规定应履行的责任。</w:t>
            </w:r>
          </w:p>
        </w:tc>
        <w:tc>
          <w:tcPr>
            <w:tcW w:w="27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5E89B2">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因不履行或者不正确履行行政职责，有下列情形的，行政机关及相关工作人员承担相应责任：</w:t>
            </w:r>
          </w:p>
          <w:p w14:paraId="1E71D1E0">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1、不符合条件违规受理并通过初评，造成不良影响的；</w:t>
            </w:r>
          </w:p>
          <w:p w14:paraId="5AEDC8D9">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2、未经批准擅自举办表彰奖励活动的；</w:t>
            </w:r>
          </w:p>
          <w:p w14:paraId="57051BD2">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3、向参评单位和个人收取费用的；</w:t>
            </w:r>
          </w:p>
          <w:p w14:paraId="08B8761A">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4、未按照规定进行公示的；</w:t>
            </w:r>
          </w:p>
          <w:p w14:paraId="774337C6">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5、其他违反法律法规规章文件规定的行为。</w:t>
            </w:r>
          </w:p>
          <w:p w14:paraId="303BFB4C">
            <w:pPr>
              <w:autoSpaceDN w:val="0"/>
              <w:spacing w:line="260" w:lineRule="exact"/>
              <w:textAlignment w:val="center"/>
              <w:rPr>
                <w:rFonts w:hint="eastAsia" w:ascii="仿宋" w:hAnsi="仿宋" w:eastAsia="仿宋" w:cs="仿宋"/>
                <w:color w:val="000000"/>
                <w:sz w:val="18"/>
                <w:szCs w:val="18"/>
              </w:rPr>
            </w:pPr>
          </w:p>
        </w:tc>
        <w:tc>
          <w:tcPr>
            <w:tcW w:w="9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F3EA35">
            <w:pPr>
              <w:widowControl/>
              <w:spacing w:line="260" w:lineRule="exact"/>
              <w:jc w:val="both"/>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目前财政未设</w:t>
            </w:r>
            <w:r>
              <w:rPr>
                <w:rFonts w:hint="eastAsia" w:ascii="仿宋" w:hAnsi="仿宋" w:eastAsia="仿宋" w:cs="仿宋"/>
                <w:color w:val="000000"/>
                <w:sz w:val="18"/>
                <w:szCs w:val="18"/>
              </w:rPr>
              <w:t>对营业性演出举报人</w:t>
            </w:r>
            <w:r>
              <w:rPr>
                <w:rFonts w:hint="eastAsia" w:ascii="仿宋" w:hAnsi="仿宋" w:eastAsia="仿宋" w:cs="仿宋"/>
                <w:color w:val="000000"/>
                <w:kern w:val="0"/>
                <w:sz w:val="18"/>
                <w:szCs w:val="18"/>
                <w:lang w:bidi="ar"/>
              </w:rPr>
              <w:t>行政奖励专项基金。</w:t>
            </w:r>
          </w:p>
        </w:tc>
      </w:tr>
    </w:tbl>
    <w:p w14:paraId="15347C92"/>
    <w:sectPr>
      <w:footerReference r:id="rId3" w:type="default"/>
      <w:footerReference r:id="rId4" w:type="even"/>
      <w:pgSz w:w="16838" w:h="11906" w:orient="landscape"/>
      <w:pgMar w:top="1134" w:right="1134" w:bottom="1134"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BC0DD">
    <w:pPr>
      <w:pStyle w:val="2"/>
      <w:jc w:val="center"/>
      <w:rPr>
        <w:rFonts w:ascii="宋体" w:hAnsi="宋体"/>
        <w:sz w:val="21"/>
        <w:szCs w:val="21"/>
      </w:rPr>
    </w:pPr>
    <w:r>
      <w:rPr>
        <w:rFonts w:ascii="宋体" w:hAnsi="宋体"/>
        <w:kern w:val="0"/>
        <w:sz w:val="21"/>
        <w:szCs w:val="21"/>
      </w:rPr>
      <w:t>-</w:t>
    </w:r>
    <w:r>
      <w:rPr>
        <w:rFonts w:hint="eastAsia"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10</w:t>
    </w:r>
    <w:r>
      <w:rPr>
        <w:rFonts w:ascii="宋体" w:hAnsi="宋体"/>
        <w:kern w:val="0"/>
        <w:sz w:val="21"/>
        <w:szCs w:val="21"/>
      </w:rPr>
      <w:fldChar w:fldCharType="end"/>
    </w:r>
    <w:r>
      <w:rPr>
        <w:rFonts w:hint="eastAsia" w:ascii="宋体" w:hAnsi="宋体"/>
        <w:kern w:val="0"/>
        <w:sz w:val="21"/>
        <w:szCs w:val="21"/>
      </w:rPr>
      <w:t xml:space="preserve"> </w:t>
    </w:r>
    <w:r>
      <w:rPr>
        <w:rFonts w:ascii="宋体" w:hAnsi="宋体"/>
        <w:kern w:val="0"/>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4874">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07E4504B">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MDQwYTVhMGZmOTEwNGI3ODNjYTBkNTk5MWU4NmIifQ=="/>
  </w:docVars>
  <w:rsids>
    <w:rsidRoot w:val="004C70B6"/>
    <w:rsid w:val="00031EAA"/>
    <w:rsid w:val="000654EA"/>
    <w:rsid w:val="000C1021"/>
    <w:rsid w:val="000C10A1"/>
    <w:rsid w:val="000E26E6"/>
    <w:rsid w:val="000F2085"/>
    <w:rsid w:val="000F212E"/>
    <w:rsid w:val="00167255"/>
    <w:rsid w:val="00191177"/>
    <w:rsid w:val="00196615"/>
    <w:rsid w:val="001A4380"/>
    <w:rsid w:val="00220B57"/>
    <w:rsid w:val="00241208"/>
    <w:rsid w:val="00282711"/>
    <w:rsid w:val="002A0B61"/>
    <w:rsid w:val="003160E7"/>
    <w:rsid w:val="0033736D"/>
    <w:rsid w:val="003515C1"/>
    <w:rsid w:val="00371E6D"/>
    <w:rsid w:val="00402DDE"/>
    <w:rsid w:val="00477365"/>
    <w:rsid w:val="004B43FE"/>
    <w:rsid w:val="004C22E6"/>
    <w:rsid w:val="004C70B6"/>
    <w:rsid w:val="004E18DC"/>
    <w:rsid w:val="004E1D25"/>
    <w:rsid w:val="004E756F"/>
    <w:rsid w:val="0053720B"/>
    <w:rsid w:val="0055729D"/>
    <w:rsid w:val="00582049"/>
    <w:rsid w:val="005E59BE"/>
    <w:rsid w:val="005F292B"/>
    <w:rsid w:val="006430E0"/>
    <w:rsid w:val="0068241D"/>
    <w:rsid w:val="0076125E"/>
    <w:rsid w:val="00774C59"/>
    <w:rsid w:val="00790DE3"/>
    <w:rsid w:val="007D58CD"/>
    <w:rsid w:val="008232F7"/>
    <w:rsid w:val="00833A28"/>
    <w:rsid w:val="00966B66"/>
    <w:rsid w:val="0097560C"/>
    <w:rsid w:val="00985E09"/>
    <w:rsid w:val="009A0E9E"/>
    <w:rsid w:val="009A42E6"/>
    <w:rsid w:val="00A463CE"/>
    <w:rsid w:val="00AC6E19"/>
    <w:rsid w:val="00AE44CF"/>
    <w:rsid w:val="00B00BD6"/>
    <w:rsid w:val="00BD4546"/>
    <w:rsid w:val="00C23376"/>
    <w:rsid w:val="00CF5A5B"/>
    <w:rsid w:val="00D21199"/>
    <w:rsid w:val="00DC34D5"/>
    <w:rsid w:val="00E869AC"/>
    <w:rsid w:val="00E875A8"/>
    <w:rsid w:val="00E96F14"/>
    <w:rsid w:val="00F27263"/>
    <w:rsid w:val="00F55977"/>
    <w:rsid w:val="00FB57D9"/>
    <w:rsid w:val="00FE360C"/>
    <w:rsid w:val="01B0282E"/>
    <w:rsid w:val="01E925F2"/>
    <w:rsid w:val="020F5660"/>
    <w:rsid w:val="02D45050"/>
    <w:rsid w:val="02EC3FAF"/>
    <w:rsid w:val="032C4E8C"/>
    <w:rsid w:val="05685F23"/>
    <w:rsid w:val="06782196"/>
    <w:rsid w:val="071A149F"/>
    <w:rsid w:val="09796FB6"/>
    <w:rsid w:val="0AD57BB7"/>
    <w:rsid w:val="0B4765DB"/>
    <w:rsid w:val="0EB21FBD"/>
    <w:rsid w:val="0EBE4569"/>
    <w:rsid w:val="0F4A0448"/>
    <w:rsid w:val="0F711E78"/>
    <w:rsid w:val="12374163"/>
    <w:rsid w:val="12EF37E0"/>
    <w:rsid w:val="14103A0E"/>
    <w:rsid w:val="15204125"/>
    <w:rsid w:val="17A34B99"/>
    <w:rsid w:val="185C36C6"/>
    <w:rsid w:val="18602A8A"/>
    <w:rsid w:val="18B21538"/>
    <w:rsid w:val="18FA1964"/>
    <w:rsid w:val="193A32DB"/>
    <w:rsid w:val="19597C05"/>
    <w:rsid w:val="19747697"/>
    <w:rsid w:val="1B1F09DB"/>
    <w:rsid w:val="1B2B55D1"/>
    <w:rsid w:val="1CAA5CF0"/>
    <w:rsid w:val="1CC23D13"/>
    <w:rsid w:val="1CD31A7D"/>
    <w:rsid w:val="1D953300"/>
    <w:rsid w:val="1EB726E7"/>
    <w:rsid w:val="1F0D7099"/>
    <w:rsid w:val="1F383B03"/>
    <w:rsid w:val="204C4020"/>
    <w:rsid w:val="2074045F"/>
    <w:rsid w:val="20E406FC"/>
    <w:rsid w:val="21ED35E0"/>
    <w:rsid w:val="22312D8B"/>
    <w:rsid w:val="23166B67"/>
    <w:rsid w:val="234E00AF"/>
    <w:rsid w:val="234E6301"/>
    <w:rsid w:val="24AF2564"/>
    <w:rsid w:val="268A47A5"/>
    <w:rsid w:val="26DB60FD"/>
    <w:rsid w:val="27A44741"/>
    <w:rsid w:val="27DF1DF1"/>
    <w:rsid w:val="283D06F2"/>
    <w:rsid w:val="284E0B51"/>
    <w:rsid w:val="296D5007"/>
    <w:rsid w:val="297E0341"/>
    <w:rsid w:val="29B35110"/>
    <w:rsid w:val="2AA50EFC"/>
    <w:rsid w:val="2B05199B"/>
    <w:rsid w:val="2B2838DB"/>
    <w:rsid w:val="2B3C2EE3"/>
    <w:rsid w:val="2B9845BD"/>
    <w:rsid w:val="2BB84C5F"/>
    <w:rsid w:val="2C892158"/>
    <w:rsid w:val="2CA81C8A"/>
    <w:rsid w:val="2CD05FD9"/>
    <w:rsid w:val="2D182972"/>
    <w:rsid w:val="2E8878F2"/>
    <w:rsid w:val="2EE45D6B"/>
    <w:rsid w:val="30182170"/>
    <w:rsid w:val="30D75B88"/>
    <w:rsid w:val="31061FC9"/>
    <w:rsid w:val="31644EEA"/>
    <w:rsid w:val="31B41A25"/>
    <w:rsid w:val="31F95445"/>
    <w:rsid w:val="32470AEB"/>
    <w:rsid w:val="32CB34CA"/>
    <w:rsid w:val="33995B91"/>
    <w:rsid w:val="346C65E7"/>
    <w:rsid w:val="349652E9"/>
    <w:rsid w:val="34CB7098"/>
    <w:rsid w:val="34EF2BE5"/>
    <w:rsid w:val="35A63D7A"/>
    <w:rsid w:val="37064583"/>
    <w:rsid w:val="377A0217"/>
    <w:rsid w:val="37912EC7"/>
    <w:rsid w:val="39033292"/>
    <w:rsid w:val="3B003F2D"/>
    <w:rsid w:val="3BC136BC"/>
    <w:rsid w:val="3BE445F1"/>
    <w:rsid w:val="3DC00FA3"/>
    <w:rsid w:val="3F827606"/>
    <w:rsid w:val="3F977902"/>
    <w:rsid w:val="3FA0183A"/>
    <w:rsid w:val="40694322"/>
    <w:rsid w:val="40800854"/>
    <w:rsid w:val="411E6EBB"/>
    <w:rsid w:val="422F6321"/>
    <w:rsid w:val="426B6130"/>
    <w:rsid w:val="43407BA5"/>
    <w:rsid w:val="45350C77"/>
    <w:rsid w:val="457E43CC"/>
    <w:rsid w:val="45D43A64"/>
    <w:rsid w:val="461940F5"/>
    <w:rsid w:val="46B362F7"/>
    <w:rsid w:val="47370CD6"/>
    <w:rsid w:val="47EB7DB0"/>
    <w:rsid w:val="480A63EB"/>
    <w:rsid w:val="48877A3B"/>
    <w:rsid w:val="499E503D"/>
    <w:rsid w:val="4A6D50D1"/>
    <w:rsid w:val="4AFB201B"/>
    <w:rsid w:val="4B752A3C"/>
    <w:rsid w:val="4B8A1D1C"/>
    <w:rsid w:val="4CE4545C"/>
    <w:rsid w:val="4DF0398D"/>
    <w:rsid w:val="500E459E"/>
    <w:rsid w:val="50574197"/>
    <w:rsid w:val="51256043"/>
    <w:rsid w:val="51A42173"/>
    <w:rsid w:val="524B1ADA"/>
    <w:rsid w:val="548F2152"/>
    <w:rsid w:val="559E63C4"/>
    <w:rsid w:val="584C035A"/>
    <w:rsid w:val="58D77C23"/>
    <w:rsid w:val="59524BAF"/>
    <w:rsid w:val="5A7476F4"/>
    <w:rsid w:val="5B1A029B"/>
    <w:rsid w:val="5C14118E"/>
    <w:rsid w:val="5CB85FBE"/>
    <w:rsid w:val="5CEB0141"/>
    <w:rsid w:val="5D944335"/>
    <w:rsid w:val="5EBD78BB"/>
    <w:rsid w:val="5F227236"/>
    <w:rsid w:val="60A56859"/>
    <w:rsid w:val="612300A8"/>
    <w:rsid w:val="61D33772"/>
    <w:rsid w:val="626F1B98"/>
    <w:rsid w:val="628C7CD0"/>
    <w:rsid w:val="62D11B87"/>
    <w:rsid w:val="630930CF"/>
    <w:rsid w:val="633345F0"/>
    <w:rsid w:val="65727C4B"/>
    <w:rsid w:val="65A05841"/>
    <w:rsid w:val="66C7577B"/>
    <w:rsid w:val="67DB18DE"/>
    <w:rsid w:val="687A1388"/>
    <w:rsid w:val="69DF102E"/>
    <w:rsid w:val="6A0C7949"/>
    <w:rsid w:val="6A5A5AF1"/>
    <w:rsid w:val="6AFD14CE"/>
    <w:rsid w:val="6B144D07"/>
    <w:rsid w:val="6BD149A6"/>
    <w:rsid w:val="6C133210"/>
    <w:rsid w:val="6D400035"/>
    <w:rsid w:val="6DC9627D"/>
    <w:rsid w:val="6E184B0E"/>
    <w:rsid w:val="6E31797E"/>
    <w:rsid w:val="6F885CC3"/>
    <w:rsid w:val="704063D9"/>
    <w:rsid w:val="71A5490B"/>
    <w:rsid w:val="72BB4952"/>
    <w:rsid w:val="72EC0317"/>
    <w:rsid w:val="73661E78"/>
    <w:rsid w:val="7375655F"/>
    <w:rsid w:val="739B7C05"/>
    <w:rsid w:val="73E07E7C"/>
    <w:rsid w:val="747405C4"/>
    <w:rsid w:val="757765BE"/>
    <w:rsid w:val="770F2826"/>
    <w:rsid w:val="77530965"/>
    <w:rsid w:val="775F32F6"/>
    <w:rsid w:val="77731007"/>
    <w:rsid w:val="784731A7"/>
    <w:rsid w:val="78F10436"/>
    <w:rsid w:val="79A27982"/>
    <w:rsid w:val="79E81839"/>
    <w:rsid w:val="79F521A7"/>
    <w:rsid w:val="7A283066"/>
    <w:rsid w:val="7A83640D"/>
    <w:rsid w:val="7AE709B6"/>
    <w:rsid w:val="7B890DF9"/>
    <w:rsid w:val="7C3F03FF"/>
    <w:rsid w:val="7CFB341F"/>
    <w:rsid w:val="7CFB5D27"/>
    <w:rsid w:val="7D361188"/>
    <w:rsid w:val="7D9B4E14"/>
    <w:rsid w:val="7E4B683A"/>
    <w:rsid w:val="7EED16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eastAsia="仿宋_GB2312"/>
      <w:kern w:val="0"/>
      <w:sz w:val="24"/>
      <w:szCs w:val="32"/>
    </w:rPr>
  </w:style>
  <w:style w:type="character" w:styleId="7">
    <w:name w:val="page number"/>
    <w:basedOn w:val="6"/>
    <w:qFormat/>
    <w:uiPriority w:val="0"/>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2322</Words>
  <Characters>2343</Characters>
  <Lines>144</Lines>
  <Paragraphs>40</Paragraphs>
  <TotalTime>0</TotalTime>
  <ScaleCrop>false</ScaleCrop>
  <LinksUpToDate>false</LinksUpToDate>
  <CharactersWithSpaces>2343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2021-05-28T10:08:00Z</dcterms:created>
  <dc:creator>8615297515768</dc:creator>
  <cp:lastModifiedBy>ATTRACTIVE DAVID</cp:lastModifiedBy>
  <cp:lastPrinted>2024-08-12T10:08:00Z</cp:lastPrinted>
  <dcterms:modified xsi:type="dcterms:W3CDTF">2025-10-23T03:04:59Z</dcterms:modified>
  <dc:title>魏县文化广电和旅游局权责清单事项总表</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E2B5074E618A4CC393B7C6B65D2DBA54_13</vt:lpwstr>
  </property>
  <property fmtid="{D5CDD505-2E9C-101B-9397-08002B2CF9AE}" pid="4" name="KSOTemplateDocerSaveRecord">
    <vt:lpwstr>eyJoZGlkIjoiZWE4ZTBkYjg2ODRiM2UwNTIzMDhiNTkwMjhmNjBmMWUiLCJ1c2VySWQiOiIxMTMyNTMwMjA1In0=</vt:lpwstr>
  </property>
</Properties>
</file>