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80B5B">
      <w:pPr>
        <w:jc w:val="center"/>
        <w:rPr>
          <w:rFonts w:hint="eastAsia" w:ascii="宋体" w:hAnsi="宋体" w:cs="方正小标宋简体"/>
          <w:b/>
          <w:sz w:val="44"/>
          <w:szCs w:val="44"/>
        </w:rPr>
      </w:pPr>
      <w:bookmarkStart w:id="0" w:name="_GoBack"/>
      <w:bookmarkEnd w:id="0"/>
      <w:r>
        <w:rPr>
          <w:rFonts w:hint="eastAsia" w:ascii="宋体" w:hAnsi="宋体" w:cs="方正小标宋简体"/>
          <w:b/>
          <w:sz w:val="44"/>
          <w:szCs w:val="44"/>
        </w:rPr>
        <w:t>魏县文化广电和旅游局权责清单事项分表</w:t>
      </w:r>
    </w:p>
    <w:p w14:paraId="494B0E27">
      <w:pPr>
        <w:spacing w:after="156" w:afterLines="50"/>
        <w:jc w:val="center"/>
        <w:rPr>
          <w:rFonts w:hint="eastAsia"/>
        </w:rPr>
      </w:pPr>
      <w:r>
        <w:rPr>
          <w:rFonts w:hAnsi="楷体_GB2312" w:eastAsia="楷体_GB2312"/>
          <w:sz w:val="32"/>
          <w:szCs w:val="32"/>
        </w:rPr>
        <w:t>（共</w:t>
      </w:r>
      <w:r>
        <w:rPr>
          <w:rFonts w:hint="eastAsia" w:eastAsia="楷体_GB2312"/>
          <w:sz w:val="32"/>
          <w:szCs w:val="32"/>
          <w:lang w:val="en-US" w:eastAsia="zh-CN"/>
        </w:rPr>
        <w:t>1</w:t>
      </w:r>
      <w:r>
        <w:rPr>
          <w:rFonts w:hAnsi="楷体_GB2312" w:eastAsia="楷体_GB2312"/>
          <w:sz w:val="32"/>
          <w:szCs w:val="32"/>
        </w:rPr>
        <w:t>类</w:t>
      </w:r>
      <w:r>
        <w:rPr>
          <w:rFonts w:hint="eastAsia" w:hAnsi="楷体_GB2312" w:eastAsia="楷体_GB2312"/>
          <w:sz w:val="32"/>
          <w:szCs w:val="32"/>
        </w:rPr>
        <w:t>，</w:t>
      </w:r>
      <w:r>
        <w:rPr>
          <w:rFonts w:hint="eastAsia" w:hAnsi="楷体_GB2312" w:eastAsia="楷体_GB2312"/>
          <w:sz w:val="32"/>
          <w:szCs w:val="32"/>
          <w:lang w:val="en-US" w:eastAsia="zh-CN"/>
        </w:rPr>
        <w:t>4</w:t>
      </w:r>
      <w:r>
        <w:rPr>
          <w:rFonts w:hAnsi="楷体_GB2312" w:eastAsia="楷体_GB2312"/>
          <w:sz w:val="32"/>
          <w:szCs w:val="32"/>
        </w:rPr>
        <w:t>项）</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570"/>
        <w:gridCol w:w="616"/>
        <w:gridCol w:w="1082"/>
        <w:gridCol w:w="810"/>
        <w:gridCol w:w="4970"/>
        <w:gridCol w:w="2829"/>
        <w:gridCol w:w="2771"/>
        <w:gridCol w:w="982"/>
      </w:tblGrid>
      <w:tr w14:paraId="609D1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19" w:hRule="atLeast"/>
          <w:tblHeader/>
          <w:jc w:val="center"/>
        </w:trPr>
        <w:tc>
          <w:tcPr>
            <w:tcW w:w="5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C53B458">
            <w:pPr>
              <w:autoSpaceDN w:val="0"/>
              <w:spacing w:line="260" w:lineRule="exact"/>
              <w:ind w:left="-105" w:leftChars="-50" w:right="-105" w:rightChars="-50"/>
              <w:jc w:val="center"/>
              <w:textAlignment w:val="center"/>
              <w:rPr>
                <w:rFonts w:ascii="黑体" w:hAnsi="黑体" w:eastAsia="黑体"/>
                <w:color w:val="000000"/>
                <w:sz w:val="18"/>
                <w:szCs w:val="18"/>
              </w:rPr>
            </w:pPr>
            <w:r>
              <w:rPr>
                <w:rFonts w:ascii="黑体" w:hAnsi="黑体" w:eastAsia="黑体"/>
                <w:color w:val="000000"/>
                <w:sz w:val="18"/>
                <w:szCs w:val="18"/>
              </w:rPr>
              <w:t>序号</w:t>
            </w:r>
          </w:p>
        </w:tc>
        <w:tc>
          <w:tcPr>
            <w:tcW w:w="6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2B00B86">
            <w:pPr>
              <w:autoSpaceDN w:val="0"/>
              <w:spacing w:line="260" w:lineRule="exact"/>
              <w:jc w:val="center"/>
              <w:textAlignment w:val="center"/>
              <w:rPr>
                <w:rFonts w:ascii="黑体" w:hAnsi="黑体" w:eastAsia="黑体"/>
                <w:color w:val="000000"/>
                <w:sz w:val="18"/>
                <w:szCs w:val="18"/>
              </w:rPr>
            </w:pPr>
            <w:r>
              <w:rPr>
                <w:rFonts w:ascii="黑体" w:hAnsi="黑体" w:eastAsia="黑体"/>
                <w:color w:val="000000"/>
                <w:sz w:val="18"/>
                <w:szCs w:val="18"/>
              </w:rPr>
              <w:t>权力类型</w:t>
            </w:r>
          </w:p>
        </w:tc>
        <w:tc>
          <w:tcPr>
            <w:tcW w:w="10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7384C55">
            <w:pPr>
              <w:autoSpaceDN w:val="0"/>
              <w:spacing w:line="260" w:lineRule="exact"/>
              <w:jc w:val="center"/>
              <w:textAlignment w:val="center"/>
              <w:rPr>
                <w:rFonts w:hint="eastAsia" w:ascii="黑体" w:hAnsi="黑体" w:eastAsia="黑体" w:cs="仿宋"/>
                <w:color w:val="000000"/>
                <w:sz w:val="18"/>
                <w:szCs w:val="18"/>
              </w:rPr>
            </w:pPr>
            <w:r>
              <w:rPr>
                <w:rFonts w:hint="eastAsia" w:ascii="黑体" w:hAnsi="黑体" w:eastAsia="黑体" w:cs="仿宋"/>
                <w:color w:val="000000"/>
                <w:sz w:val="18"/>
                <w:szCs w:val="18"/>
              </w:rPr>
              <w:t>权力</w:t>
            </w:r>
          </w:p>
          <w:p w14:paraId="7EF9265D">
            <w:pPr>
              <w:autoSpaceDN w:val="0"/>
              <w:spacing w:line="260" w:lineRule="exact"/>
              <w:jc w:val="center"/>
              <w:textAlignment w:val="center"/>
              <w:rPr>
                <w:rFonts w:hint="eastAsia" w:ascii="黑体" w:hAnsi="黑体" w:eastAsia="黑体" w:cs="仿宋"/>
                <w:color w:val="000000"/>
                <w:sz w:val="18"/>
                <w:szCs w:val="18"/>
              </w:rPr>
            </w:pPr>
            <w:r>
              <w:rPr>
                <w:rFonts w:hint="eastAsia" w:ascii="黑体" w:hAnsi="黑体" w:eastAsia="黑体" w:cs="仿宋"/>
                <w:color w:val="000000"/>
                <w:sz w:val="18"/>
                <w:szCs w:val="18"/>
              </w:rPr>
              <w:t>事项</w:t>
            </w:r>
          </w:p>
        </w:tc>
        <w:tc>
          <w:tcPr>
            <w:tcW w:w="81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AEDD0B5">
            <w:pPr>
              <w:autoSpaceDN w:val="0"/>
              <w:spacing w:line="260" w:lineRule="exact"/>
              <w:jc w:val="center"/>
              <w:textAlignment w:val="center"/>
              <w:rPr>
                <w:rFonts w:ascii="黑体" w:hAnsi="黑体" w:eastAsia="黑体"/>
                <w:color w:val="000000"/>
                <w:sz w:val="18"/>
                <w:szCs w:val="18"/>
              </w:rPr>
            </w:pPr>
            <w:r>
              <w:rPr>
                <w:rFonts w:ascii="黑体" w:hAnsi="黑体" w:eastAsia="黑体"/>
                <w:color w:val="000000"/>
                <w:sz w:val="18"/>
                <w:szCs w:val="18"/>
              </w:rPr>
              <w:t>行政主体</w:t>
            </w:r>
          </w:p>
        </w:tc>
        <w:tc>
          <w:tcPr>
            <w:tcW w:w="49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D0A9F99">
            <w:pPr>
              <w:autoSpaceDN w:val="0"/>
              <w:spacing w:line="260" w:lineRule="exact"/>
              <w:jc w:val="center"/>
              <w:textAlignment w:val="center"/>
              <w:rPr>
                <w:rFonts w:ascii="黑体" w:hAnsi="黑体" w:eastAsia="黑体"/>
                <w:color w:val="000000"/>
                <w:sz w:val="18"/>
                <w:szCs w:val="18"/>
              </w:rPr>
            </w:pPr>
            <w:r>
              <w:rPr>
                <w:rFonts w:ascii="黑体" w:hAnsi="黑体" w:eastAsia="黑体"/>
                <w:color w:val="000000"/>
                <w:sz w:val="18"/>
                <w:szCs w:val="18"/>
              </w:rPr>
              <w:t>实施依据</w:t>
            </w:r>
          </w:p>
        </w:tc>
        <w:tc>
          <w:tcPr>
            <w:tcW w:w="28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2E94517">
            <w:pPr>
              <w:autoSpaceDN w:val="0"/>
              <w:spacing w:line="260" w:lineRule="exact"/>
              <w:jc w:val="center"/>
              <w:textAlignment w:val="center"/>
              <w:rPr>
                <w:rFonts w:ascii="黑体" w:hAnsi="黑体" w:eastAsia="黑体"/>
                <w:color w:val="000000"/>
                <w:sz w:val="18"/>
                <w:szCs w:val="18"/>
              </w:rPr>
            </w:pPr>
            <w:r>
              <w:rPr>
                <w:rFonts w:ascii="黑体" w:hAnsi="黑体" w:eastAsia="黑体"/>
                <w:color w:val="000000"/>
                <w:sz w:val="18"/>
                <w:szCs w:val="18"/>
              </w:rPr>
              <w:t>责任事项</w:t>
            </w:r>
          </w:p>
        </w:tc>
        <w:tc>
          <w:tcPr>
            <w:tcW w:w="277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FAA5EE3">
            <w:pPr>
              <w:autoSpaceDN w:val="0"/>
              <w:spacing w:line="260" w:lineRule="exact"/>
              <w:jc w:val="center"/>
              <w:textAlignment w:val="center"/>
              <w:rPr>
                <w:rFonts w:ascii="黑体" w:hAnsi="黑体" w:eastAsia="黑体"/>
                <w:color w:val="000000"/>
                <w:sz w:val="18"/>
                <w:szCs w:val="18"/>
              </w:rPr>
            </w:pPr>
            <w:r>
              <w:rPr>
                <w:rFonts w:ascii="黑体" w:hAnsi="黑体" w:eastAsia="黑体"/>
                <w:color w:val="000000"/>
                <w:sz w:val="18"/>
                <w:szCs w:val="18"/>
              </w:rPr>
              <w:t>追责情形</w:t>
            </w:r>
          </w:p>
        </w:tc>
        <w:tc>
          <w:tcPr>
            <w:tcW w:w="9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7D3C641">
            <w:pPr>
              <w:autoSpaceDN w:val="0"/>
              <w:spacing w:line="260" w:lineRule="exact"/>
              <w:jc w:val="center"/>
              <w:textAlignment w:val="center"/>
              <w:rPr>
                <w:rFonts w:ascii="黑体" w:hAnsi="黑体" w:eastAsia="黑体"/>
                <w:color w:val="000000"/>
                <w:sz w:val="18"/>
                <w:szCs w:val="18"/>
              </w:rPr>
            </w:pPr>
            <w:r>
              <w:rPr>
                <w:rFonts w:ascii="黑体" w:hAnsi="黑体" w:eastAsia="黑体"/>
                <w:color w:val="000000"/>
                <w:sz w:val="18"/>
                <w:szCs w:val="18"/>
              </w:rPr>
              <w:t>备注</w:t>
            </w:r>
          </w:p>
        </w:tc>
      </w:tr>
      <w:tr w14:paraId="73ADC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592" w:hRule="atLeast"/>
          <w:jc w:val="center"/>
        </w:trPr>
        <w:tc>
          <w:tcPr>
            <w:tcW w:w="5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F67A785">
            <w:pPr>
              <w:numPr>
                <w:ilvl w:val="0"/>
                <w:numId w:val="0"/>
              </w:numPr>
              <w:tabs>
                <w:tab w:val="left" w:pos="0"/>
              </w:tabs>
              <w:autoSpaceDN w:val="0"/>
              <w:spacing w:line="260" w:lineRule="exact"/>
              <w:ind w:leftChars="0" w:right="-105" w:rightChars="-50"/>
              <w:jc w:val="both"/>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1</w:t>
            </w:r>
          </w:p>
        </w:tc>
        <w:tc>
          <w:tcPr>
            <w:tcW w:w="6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7582E9E">
            <w:pPr>
              <w:autoSpaceDN w:val="0"/>
              <w:spacing w:line="260" w:lineRule="exact"/>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行政奖励</w:t>
            </w:r>
          </w:p>
        </w:tc>
        <w:tc>
          <w:tcPr>
            <w:tcW w:w="10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164E701">
            <w:pPr>
              <w:spacing w:line="260" w:lineRule="exact"/>
              <w:jc w:val="center"/>
              <w:rPr>
                <w:rFonts w:hint="eastAsia" w:ascii="仿宋" w:hAnsi="仿宋" w:eastAsia="仿宋" w:cs="仿宋"/>
                <w:color w:val="000000"/>
                <w:sz w:val="18"/>
                <w:szCs w:val="18"/>
              </w:rPr>
            </w:pPr>
            <w:r>
              <w:rPr>
                <w:rFonts w:hint="eastAsia" w:ascii="仿宋" w:hAnsi="仿宋" w:eastAsia="仿宋" w:cs="仿宋"/>
              </w:rPr>
              <w:t>对在艺术档案工作中做出显著成绩的单位和个人的表彰和奖励</w:t>
            </w:r>
            <w:r>
              <w:rPr>
                <w:rFonts w:hint="eastAsia" w:ascii="仿宋" w:hAnsi="仿宋" w:eastAsia="仿宋" w:cs="仿宋"/>
                <w:color w:val="000000"/>
                <w:sz w:val="18"/>
                <w:szCs w:val="18"/>
              </w:rPr>
              <w:fldChar w:fldCharType="begin"/>
            </w:r>
            <w:r>
              <w:rPr>
                <w:rFonts w:hint="eastAsia" w:ascii="仿宋" w:hAnsi="仿宋" w:eastAsia="仿宋" w:cs="仿宋"/>
                <w:color w:val="000000"/>
                <w:sz w:val="18"/>
                <w:szCs w:val="18"/>
              </w:rPr>
              <w:instrText xml:space="preserve"> HYPERLINK "http://10.242.2.19/qlk/epointqlk/audititem/yibeian/void(0)" </w:instrText>
            </w:r>
            <w:r>
              <w:rPr>
                <w:rFonts w:hint="eastAsia" w:ascii="仿宋" w:hAnsi="仿宋" w:eastAsia="仿宋" w:cs="仿宋"/>
                <w:color w:val="000000"/>
                <w:sz w:val="18"/>
                <w:szCs w:val="18"/>
              </w:rPr>
              <w:fldChar w:fldCharType="separate"/>
            </w:r>
            <w:r>
              <w:rPr>
                <w:rFonts w:hint="eastAsia" w:ascii="仿宋" w:hAnsi="仿宋" w:eastAsia="仿宋" w:cs="仿宋"/>
                <w:color w:val="000000"/>
                <w:sz w:val="18"/>
                <w:szCs w:val="18"/>
              </w:rPr>
              <w:fldChar w:fldCharType="end"/>
            </w:r>
          </w:p>
        </w:tc>
        <w:tc>
          <w:tcPr>
            <w:tcW w:w="81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1CECD50">
            <w:pPr>
              <w:autoSpaceDN w:val="0"/>
              <w:spacing w:line="260" w:lineRule="exact"/>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魏县文化广电和旅游局</w:t>
            </w:r>
          </w:p>
        </w:tc>
        <w:tc>
          <w:tcPr>
            <w:tcW w:w="49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55A4A8B">
            <w:pPr>
              <w:pStyle w:val="4"/>
              <w:widowControl/>
              <w:spacing w:line="260" w:lineRule="exact"/>
              <w:ind w:left="76"/>
              <w:jc w:val="both"/>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1、《国家档案法》第七条 国家鼓励社会力量参与和支持档案事业的发展。对在档案收集、整理、保护、利用等方面做出突出贡献的单位和个人，按照国家有关规定给予表彰、奖励。</w:t>
            </w:r>
          </w:p>
          <w:p w14:paraId="3DB5B4AB">
            <w:pPr>
              <w:pStyle w:val="4"/>
              <w:widowControl/>
              <w:spacing w:line="260" w:lineRule="exact"/>
              <w:ind w:left="76"/>
              <w:jc w:val="both"/>
              <w:rPr>
                <w:rFonts w:hint="eastAsia" w:ascii="仿宋" w:hAnsi="仿宋" w:eastAsia="仿宋" w:cs="仿宋"/>
                <w:color w:val="000000"/>
                <w:sz w:val="18"/>
                <w:szCs w:val="18"/>
                <w:lang w:bidi="ar"/>
              </w:rPr>
            </w:pPr>
            <w:r>
              <w:rPr>
                <w:rFonts w:hint="eastAsia" w:ascii="仿宋" w:hAnsi="仿宋" w:eastAsia="仿宋" w:cs="仿宋"/>
                <w:color w:val="000000"/>
                <w:sz w:val="18"/>
                <w:szCs w:val="18"/>
                <w:lang w:bidi="ar"/>
              </w:rPr>
              <w:t>2、《艺术档案管理办法》文化部、国家档案局令第21号第六条第六条各级文化行政管理部门应当依据《档案法》的有关规定对在艺术档案工作中做出显著成绩的单位和个人，给予表彰和奖励。</w:t>
            </w:r>
          </w:p>
          <w:p w14:paraId="1C2E4828">
            <w:pPr>
              <w:autoSpaceDN w:val="0"/>
              <w:spacing w:line="260" w:lineRule="exact"/>
              <w:textAlignment w:val="center"/>
              <w:rPr>
                <w:rFonts w:hint="eastAsia" w:ascii="仿宋" w:hAnsi="仿宋" w:eastAsia="仿宋" w:cs="仿宋"/>
                <w:color w:val="000000"/>
                <w:sz w:val="18"/>
                <w:szCs w:val="18"/>
              </w:rPr>
            </w:pPr>
          </w:p>
        </w:tc>
        <w:tc>
          <w:tcPr>
            <w:tcW w:w="28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2512ED">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1.准备阶段责任：制定</w:t>
            </w:r>
            <w:r>
              <w:rPr>
                <w:rFonts w:hint="eastAsia" w:ascii="仿宋" w:hAnsi="仿宋" w:eastAsia="仿宋" w:cs="仿宋"/>
                <w:color w:val="000000"/>
                <w:kern w:val="0"/>
                <w:sz w:val="18"/>
                <w:szCs w:val="18"/>
                <w:lang w:bidi="ar"/>
              </w:rPr>
              <w:fldChar w:fldCharType="begin"/>
            </w:r>
            <w:r>
              <w:rPr>
                <w:rFonts w:hint="eastAsia" w:ascii="仿宋" w:hAnsi="仿宋" w:eastAsia="仿宋" w:cs="仿宋"/>
                <w:color w:val="000000"/>
                <w:kern w:val="0"/>
                <w:sz w:val="18"/>
                <w:szCs w:val="18"/>
                <w:lang w:bidi="ar"/>
              </w:rPr>
              <w:instrText xml:space="preserve"> HYPERLINK "http://10.242.2.19/qlk/epointqlk/audititem/yibeian/void(0)" </w:instrText>
            </w:r>
            <w:r>
              <w:rPr>
                <w:rFonts w:hint="eastAsia" w:ascii="仿宋" w:hAnsi="仿宋" w:eastAsia="仿宋" w:cs="仿宋"/>
                <w:color w:val="000000"/>
                <w:kern w:val="0"/>
                <w:sz w:val="18"/>
                <w:szCs w:val="18"/>
                <w:lang w:bidi="ar"/>
              </w:rPr>
              <w:fldChar w:fldCharType="separate"/>
            </w:r>
            <w:r>
              <w:rPr>
                <w:rFonts w:hint="eastAsia" w:ascii="仿宋" w:hAnsi="仿宋" w:eastAsia="仿宋" w:cs="仿宋"/>
                <w:color w:val="000000"/>
                <w:kern w:val="0"/>
                <w:sz w:val="18"/>
                <w:szCs w:val="18"/>
                <w:lang w:bidi="ar"/>
              </w:rPr>
              <w:t>对在艺术档案工作中做出显著成绩的单位和个人的表彰和奖励</w:t>
            </w:r>
            <w:r>
              <w:rPr>
                <w:rFonts w:hint="eastAsia" w:ascii="仿宋" w:hAnsi="仿宋" w:eastAsia="仿宋" w:cs="仿宋"/>
                <w:color w:val="000000"/>
                <w:kern w:val="0"/>
                <w:sz w:val="18"/>
                <w:szCs w:val="18"/>
                <w:lang w:bidi="ar"/>
              </w:rPr>
              <w:fldChar w:fldCharType="end"/>
            </w:r>
            <w:r>
              <w:rPr>
                <w:rFonts w:hint="eastAsia" w:ascii="仿宋" w:hAnsi="仿宋" w:eastAsia="仿宋" w:cs="仿宋"/>
                <w:color w:val="000000"/>
                <w:kern w:val="0"/>
                <w:sz w:val="18"/>
                <w:szCs w:val="18"/>
                <w:lang w:bidi="ar"/>
              </w:rPr>
              <w:t>的方案。</w:t>
            </w:r>
          </w:p>
          <w:p w14:paraId="7DCE787D">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2.组织推荐责任：按照规定的条件、程序开展组织推荐工作，对推荐对象进行初审。</w:t>
            </w:r>
          </w:p>
          <w:p w14:paraId="73A62EA2">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3.审核公示责任：对符合条件的推荐对象进行审核，报经批准后予以公示。</w:t>
            </w:r>
          </w:p>
          <w:p w14:paraId="7038D59A">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4.实施奖励责任：公示无异议或者异议不成立的，给予表彰和奖励。</w:t>
            </w:r>
          </w:p>
          <w:p w14:paraId="27A9FE65">
            <w:pPr>
              <w:autoSpaceDN w:val="0"/>
              <w:spacing w:line="26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5.其他法律法规规章文件规定应履行的责任。</w:t>
            </w:r>
          </w:p>
        </w:tc>
        <w:tc>
          <w:tcPr>
            <w:tcW w:w="277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F733555">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因不履行或者不正确履行行政职责，有下列情形的，行政机关及相关工作人员承担相应责任：</w:t>
            </w:r>
          </w:p>
          <w:p w14:paraId="5F672026">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1、不符合条件违规受理并通过初评，造成不良影响的；</w:t>
            </w:r>
          </w:p>
          <w:p w14:paraId="599D983D">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2、未经批准擅自举办表彰奖励活动的；</w:t>
            </w:r>
          </w:p>
          <w:p w14:paraId="34BF6124">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3、向参评单位和个人收取费用的；</w:t>
            </w:r>
          </w:p>
          <w:p w14:paraId="5DB34E7C">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4、未按照规定进行公示的；</w:t>
            </w:r>
          </w:p>
          <w:p w14:paraId="1378B723">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5、其他违反法律法规规章文件规定的行为。</w:t>
            </w:r>
          </w:p>
        </w:tc>
        <w:tc>
          <w:tcPr>
            <w:tcW w:w="9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1466219">
            <w:pPr>
              <w:autoSpaceDN w:val="0"/>
              <w:spacing w:line="260" w:lineRule="exact"/>
              <w:jc w:val="both"/>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目前财政未设对在艺术档案工作中做出显著成绩的单位和个人行政奖励专项基金。</w:t>
            </w:r>
          </w:p>
        </w:tc>
      </w:tr>
      <w:tr w14:paraId="647C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839" w:hRule="atLeast"/>
          <w:jc w:val="center"/>
        </w:trPr>
        <w:tc>
          <w:tcPr>
            <w:tcW w:w="5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28C79A">
            <w:pPr>
              <w:numPr>
                <w:ilvl w:val="0"/>
                <w:numId w:val="0"/>
              </w:numPr>
              <w:tabs>
                <w:tab w:val="left" w:pos="0"/>
              </w:tabs>
              <w:autoSpaceDN w:val="0"/>
              <w:spacing w:line="260" w:lineRule="exact"/>
              <w:ind w:leftChars="0" w:right="-105" w:rightChars="-50"/>
              <w:jc w:val="both"/>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w:t>
            </w:r>
          </w:p>
        </w:tc>
        <w:tc>
          <w:tcPr>
            <w:tcW w:w="6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39056C9">
            <w:pPr>
              <w:autoSpaceDN w:val="0"/>
              <w:spacing w:line="260" w:lineRule="exact"/>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行政奖励</w:t>
            </w:r>
          </w:p>
        </w:tc>
        <w:tc>
          <w:tcPr>
            <w:tcW w:w="10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D5CDAD">
            <w:pPr>
              <w:spacing w:line="260" w:lineRule="exact"/>
              <w:jc w:val="center"/>
              <w:rPr>
                <w:rFonts w:hint="eastAsia" w:ascii="仿宋" w:hAnsi="仿宋" w:eastAsia="仿宋" w:cs="仿宋"/>
                <w:color w:val="000000"/>
                <w:sz w:val="18"/>
                <w:szCs w:val="18"/>
              </w:rPr>
            </w:pPr>
            <w:r>
              <w:rPr>
                <w:rFonts w:hint="eastAsia" w:ascii="仿宋" w:hAnsi="仿宋" w:eastAsia="仿宋" w:cs="仿宋"/>
                <w:color w:val="000000"/>
                <w:sz w:val="18"/>
                <w:szCs w:val="18"/>
              </w:rPr>
              <w:t>对在公共文化体育设施的建设、管理和保护工作中做出突出贡献的单位和个人给予奖励</w:t>
            </w:r>
          </w:p>
        </w:tc>
        <w:tc>
          <w:tcPr>
            <w:tcW w:w="81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819364">
            <w:pPr>
              <w:autoSpaceDN w:val="0"/>
              <w:spacing w:line="260" w:lineRule="exact"/>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魏县文化广电和旅游局</w:t>
            </w:r>
          </w:p>
        </w:tc>
        <w:tc>
          <w:tcPr>
            <w:tcW w:w="49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37013C7">
            <w:pPr>
              <w:pStyle w:val="4"/>
              <w:widowControl/>
              <w:spacing w:line="260" w:lineRule="exact"/>
              <w:ind w:left="76"/>
              <w:jc w:val="both"/>
              <w:rPr>
                <w:rFonts w:hint="eastAsia" w:ascii="仿宋" w:hAnsi="仿宋" w:eastAsia="仿宋" w:cs="仿宋"/>
                <w:color w:val="000000"/>
                <w:sz w:val="18"/>
                <w:szCs w:val="18"/>
                <w:lang w:bidi="ar"/>
              </w:rPr>
            </w:pPr>
            <w:r>
              <w:rPr>
                <w:rFonts w:hint="eastAsia" w:ascii="仿宋" w:hAnsi="仿宋" w:eastAsia="仿宋" w:cs="仿宋"/>
                <w:color w:val="000000"/>
                <w:sz w:val="18"/>
                <w:szCs w:val="18"/>
              </w:rPr>
              <w:t>《公共文化体育设施条</w:t>
            </w:r>
            <w:r>
              <w:rPr>
                <w:rFonts w:hint="eastAsia" w:ascii="仿宋" w:hAnsi="仿宋" w:eastAsia="仿宋" w:cs="仿宋"/>
                <w:color w:val="000000"/>
                <w:sz w:val="18"/>
                <w:szCs w:val="18"/>
                <w:lang w:bidi="ar"/>
              </w:rPr>
              <w:t>例》第八条对在公共文化体育设施的建设、管理和保护工作中做出突出贡献的单位和个人，由县级以上地方人民政府或者有关部门给予奖励。</w:t>
            </w:r>
          </w:p>
          <w:p w14:paraId="752E94B3">
            <w:pPr>
              <w:autoSpaceDN w:val="0"/>
              <w:spacing w:line="260" w:lineRule="exact"/>
              <w:textAlignment w:val="center"/>
              <w:rPr>
                <w:rFonts w:hint="eastAsia" w:ascii="仿宋" w:hAnsi="仿宋" w:eastAsia="仿宋" w:cs="仿宋"/>
                <w:color w:val="000000"/>
                <w:sz w:val="18"/>
                <w:szCs w:val="18"/>
              </w:rPr>
            </w:pPr>
          </w:p>
        </w:tc>
        <w:tc>
          <w:tcPr>
            <w:tcW w:w="28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8992316">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1.准备阶段责任：制定对在公共文化体育设施的建设、管理和保护工作中做出突出贡献的单位和个人给予奖励的方案。</w:t>
            </w:r>
          </w:p>
          <w:p w14:paraId="0996F253">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2.组织推荐责任：按照规定的条件、程序开展组织推荐工作，对推荐对象进行初审。</w:t>
            </w:r>
          </w:p>
          <w:p w14:paraId="329C25BA">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3.审核公示责任：对符合条件的推荐对象进行审核，报经批准后予以公示。</w:t>
            </w:r>
          </w:p>
          <w:p w14:paraId="7D7FFEFC">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4.实施奖励责任：公示无异议或者异议不成立的，给予表彰和奖励。</w:t>
            </w:r>
          </w:p>
          <w:p w14:paraId="597FE2C2">
            <w:pPr>
              <w:autoSpaceDN w:val="0"/>
              <w:spacing w:line="26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5.其他法律法规规章文件规定应履行的责任。</w:t>
            </w:r>
          </w:p>
        </w:tc>
        <w:tc>
          <w:tcPr>
            <w:tcW w:w="277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D2D70E3">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因不履行或者不正确履行行政职责，有下列情形的，行政机关及相关工作人员承担相应责任：</w:t>
            </w:r>
          </w:p>
          <w:p w14:paraId="52AD7173">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1、不符合条件违规受理并通过初评，造成不良影响的；</w:t>
            </w:r>
          </w:p>
          <w:p w14:paraId="30685E94">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2、未经批准擅自举办表彰奖励活动的；</w:t>
            </w:r>
          </w:p>
          <w:p w14:paraId="318BE5CD">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3、向参评单位和个人收取费用的；</w:t>
            </w:r>
          </w:p>
          <w:p w14:paraId="06208E6E">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4、未按照规定进行公示的；</w:t>
            </w:r>
          </w:p>
          <w:p w14:paraId="337FF10C">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5、其他违反法律法规规章文件规定的行为。</w:t>
            </w:r>
          </w:p>
          <w:p w14:paraId="028B04FD">
            <w:pPr>
              <w:autoSpaceDN w:val="0"/>
              <w:spacing w:line="260" w:lineRule="exact"/>
              <w:textAlignment w:val="center"/>
              <w:rPr>
                <w:rFonts w:hint="eastAsia" w:ascii="仿宋" w:hAnsi="仿宋" w:eastAsia="仿宋" w:cs="仿宋"/>
                <w:color w:val="000000"/>
                <w:sz w:val="18"/>
                <w:szCs w:val="18"/>
              </w:rPr>
            </w:pPr>
          </w:p>
        </w:tc>
        <w:tc>
          <w:tcPr>
            <w:tcW w:w="9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4399FDD">
            <w:pPr>
              <w:autoSpaceDN w:val="0"/>
              <w:spacing w:line="260" w:lineRule="exact"/>
              <w:jc w:val="both"/>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目前财政未设</w:t>
            </w:r>
            <w:r>
              <w:rPr>
                <w:rFonts w:hint="eastAsia" w:ascii="仿宋" w:hAnsi="仿宋" w:eastAsia="仿宋" w:cs="仿宋"/>
                <w:color w:val="000000"/>
                <w:sz w:val="18"/>
                <w:szCs w:val="18"/>
              </w:rPr>
              <w:t>对在公共文化体育设施的建设、管理和保护工作中做出突出贡献的单位和个人</w:t>
            </w:r>
            <w:r>
              <w:rPr>
                <w:rFonts w:hint="eastAsia" w:ascii="仿宋" w:hAnsi="仿宋" w:eastAsia="仿宋" w:cs="仿宋"/>
                <w:color w:val="000000"/>
                <w:kern w:val="0"/>
                <w:sz w:val="18"/>
                <w:szCs w:val="18"/>
                <w:lang w:bidi="ar"/>
              </w:rPr>
              <w:t>行政奖励专项基金。</w:t>
            </w:r>
          </w:p>
        </w:tc>
      </w:tr>
      <w:tr w14:paraId="12394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084" w:hRule="atLeast"/>
          <w:jc w:val="center"/>
        </w:trPr>
        <w:tc>
          <w:tcPr>
            <w:tcW w:w="5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2DAC20">
            <w:pPr>
              <w:numPr>
                <w:ilvl w:val="0"/>
                <w:numId w:val="0"/>
              </w:numPr>
              <w:tabs>
                <w:tab w:val="left" w:pos="0"/>
              </w:tabs>
              <w:autoSpaceDN w:val="0"/>
              <w:spacing w:line="260" w:lineRule="exact"/>
              <w:ind w:leftChars="0" w:right="-105" w:rightChars="-50"/>
              <w:jc w:val="both"/>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3</w:t>
            </w:r>
          </w:p>
        </w:tc>
        <w:tc>
          <w:tcPr>
            <w:tcW w:w="6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DDFF70D">
            <w:pPr>
              <w:autoSpaceDN w:val="0"/>
              <w:spacing w:line="260" w:lineRule="exact"/>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行政奖励</w:t>
            </w:r>
          </w:p>
        </w:tc>
        <w:tc>
          <w:tcPr>
            <w:tcW w:w="10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EACB9E8">
            <w:pPr>
              <w:spacing w:line="260" w:lineRule="exact"/>
              <w:jc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对作出突出贡献的营业性演出社会义务监督员的表彰</w:t>
            </w:r>
          </w:p>
        </w:tc>
        <w:tc>
          <w:tcPr>
            <w:tcW w:w="81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4B0112D">
            <w:pPr>
              <w:autoSpaceDN w:val="0"/>
              <w:spacing w:line="260" w:lineRule="exact"/>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魏县文化广电和旅游局</w:t>
            </w:r>
          </w:p>
        </w:tc>
        <w:tc>
          <w:tcPr>
            <w:tcW w:w="49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B2E1941">
            <w:pPr>
              <w:widowControl/>
              <w:spacing w:line="260" w:lineRule="exact"/>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bidi="ar"/>
              </w:rPr>
              <w:t>《营业性演出管理条例》第三十四条：县级以上地方人民政府文化主管部门应当充分发挥文化执法机构的作用，并可以聘请社会义务监督员对营业性演出进行监督。</w:t>
            </w:r>
          </w:p>
          <w:p w14:paraId="5F8F4AD9">
            <w:pPr>
              <w:widowControl/>
              <w:spacing w:line="260" w:lineRule="exact"/>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bidi="ar"/>
              </w:rPr>
              <w:t>任何单位或者个人可以采取电话、手机短信等方式举报违反本条例规定的行为。县级以上地方人民政府文化主管部门应当向社会公布举报电话，并保证随时有人接听。</w:t>
            </w:r>
          </w:p>
          <w:p w14:paraId="5EC7C980">
            <w:pPr>
              <w:widowControl/>
              <w:spacing w:line="260" w:lineRule="exact"/>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bidi="ar"/>
              </w:rPr>
              <w:t>县级以上地方人民政府文化主管部门接到社会义务监督员的报告或者公众的举报，应当作出记录，立即赶赴现场进行调查、处理，并自处理完毕之日起7日内公布结果。</w:t>
            </w:r>
          </w:p>
          <w:p w14:paraId="503B38C2">
            <w:pPr>
              <w:widowControl/>
              <w:spacing w:line="26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县级以上地方人民政府文化主管部门对作出突出贡献的社会义务监督员应当给予表彰；公众举报经调查核实的，应当对举报人给予奖励。</w:t>
            </w:r>
          </w:p>
        </w:tc>
        <w:tc>
          <w:tcPr>
            <w:tcW w:w="28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1FC70B1">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1.准备阶段责任：制定对作出突出贡献的营业性演出社会义务监督员的表彰的方案。</w:t>
            </w:r>
          </w:p>
          <w:p w14:paraId="14CA81D8">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2.组织推荐责任：按照规定的条件、程序开展组织推荐工作，对推荐对象进行初审。</w:t>
            </w:r>
          </w:p>
          <w:p w14:paraId="169686E3">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3.审核公示责任：对符合条件的推荐对象进行审核，报经批准后予以公示。</w:t>
            </w:r>
          </w:p>
          <w:p w14:paraId="3C91227E">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4.实施奖励责任：公示无异议或者异议不成立的，给予表彰和奖励。</w:t>
            </w:r>
          </w:p>
          <w:p w14:paraId="7D61D136">
            <w:pPr>
              <w:autoSpaceDN w:val="0"/>
              <w:spacing w:line="26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5.其他法律法规规章文件规定应履行的责任。</w:t>
            </w:r>
          </w:p>
        </w:tc>
        <w:tc>
          <w:tcPr>
            <w:tcW w:w="277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6428E8C">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因不履行或者不正确履行行政职责，有下列情形的，行政机关及相关工作人员承担相应责任：</w:t>
            </w:r>
          </w:p>
          <w:p w14:paraId="101BA222">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1、不符合条件违规受理并通过初评，造成不良影响的；</w:t>
            </w:r>
          </w:p>
          <w:p w14:paraId="1B148B15">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2、未经批准擅自举办表彰奖励活动的；</w:t>
            </w:r>
          </w:p>
          <w:p w14:paraId="442CB2E5">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w:t>
            </w:r>
            <w:r>
              <w:rPr>
                <w:rFonts w:hint="eastAsia" w:ascii="仿宋" w:hAnsi="仿宋" w:eastAsia="仿宋" w:cs="仿宋"/>
                <w:color w:val="000000"/>
                <w:kern w:val="0"/>
                <w:sz w:val="18"/>
                <w:szCs w:val="18"/>
                <w:lang w:eastAsia="zh-CN" w:bidi="ar"/>
              </w:rPr>
              <w:t>、</w:t>
            </w:r>
            <w:r>
              <w:rPr>
                <w:rFonts w:hint="eastAsia" w:ascii="仿宋" w:hAnsi="仿宋" w:eastAsia="仿宋" w:cs="仿宋"/>
                <w:color w:val="000000"/>
                <w:kern w:val="0"/>
                <w:sz w:val="18"/>
                <w:szCs w:val="18"/>
                <w:lang w:bidi="ar"/>
              </w:rPr>
              <w:t>向参评单位和个人收取费用的；</w:t>
            </w:r>
          </w:p>
          <w:p w14:paraId="407F3B7E">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4、未按照规定进行公示的；</w:t>
            </w:r>
          </w:p>
          <w:p w14:paraId="51D27288">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5、其他违反法律法规规章文件规定的行为。</w:t>
            </w:r>
          </w:p>
          <w:p w14:paraId="7AE2E25E">
            <w:pPr>
              <w:autoSpaceDN w:val="0"/>
              <w:spacing w:line="260" w:lineRule="exact"/>
              <w:textAlignment w:val="center"/>
              <w:rPr>
                <w:rFonts w:hint="eastAsia" w:ascii="仿宋" w:hAnsi="仿宋" w:eastAsia="仿宋" w:cs="仿宋"/>
                <w:color w:val="000000"/>
                <w:kern w:val="0"/>
                <w:sz w:val="18"/>
                <w:szCs w:val="18"/>
                <w:lang w:bidi="ar"/>
              </w:rPr>
            </w:pPr>
          </w:p>
        </w:tc>
        <w:tc>
          <w:tcPr>
            <w:tcW w:w="9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CEB5E00">
            <w:pPr>
              <w:widowControl/>
              <w:spacing w:line="260" w:lineRule="exact"/>
              <w:jc w:val="both"/>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目前财政未设对作出突出贡献的营业性演出社会义务监督员行政奖励专项基金。</w:t>
            </w:r>
          </w:p>
        </w:tc>
      </w:tr>
      <w:tr w14:paraId="61890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365" w:hRule="exact"/>
          <w:jc w:val="center"/>
        </w:trPr>
        <w:tc>
          <w:tcPr>
            <w:tcW w:w="5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9208A56">
            <w:pPr>
              <w:numPr>
                <w:ilvl w:val="0"/>
                <w:numId w:val="0"/>
              </w:numPr>
              <w:tabs>
                <w:tab w:val="left" w:pos="0"/>
              </w:tabs>
              <w:autoSpaceDN w:val="0"/>
              <w:spacing w:line="260" w:lineRule="exact"/>
              <w:ind w:leftChars="0" w:right="-105" w:rightChars="-50"/>
              <w:jc w:val="both"/>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4</w:t>
            </w:r>
          </w:p>
        </w:tc>
        <w:tc>
          <w:tcPr>
            <w:tcW w:w="6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F0B3661">
            <w:pPr>
              <w:autoSpaceDN w:val="0"/>
              <w:spacing w:line="260" w:lineRule="exact"/>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行政奖励</w:t>
            </w:r>
          </w:p>
        </w:tc>
        <w:tc>
          <w:tcPr>
            <w:tcW w:w="10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AE1B2E6">
            <w:pPr>
              <w:autoSpaceDN w:val="0"/>
              <w:spacing w:line="260" w:lineRule="exact"/>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对营业性演出举报人的奖励</w:t>
            </w:r>
          </w:p>
        </w:tc>
        <w:tc>
          <w:tcPr>
            <w:tcW w:w="81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240F2E7">
            <w:pPr>
              <w:autoSpaceDN w:val="0"/>
              <w:spacing w:line="260" w:lineRule="exact"/>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魏县文化广电和旅游局</w:t>
            </w:r>
          </w:p>
        </w:tc>
        <w:tc>
          <w:tcPr>
            <w:tcW w:w="49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2F4526E">
            <w:pPr>
              <w:widowControl/>
              <w:spacing w:line="260" w:lineRule="exact"/>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bidi="ar"/>
              </w:rPr>
              <w:t>《营业性演出管理条例》第三十四条：县级以上地方人民政府文化主管部门应当充分发挥文化执法机构的作用，并可以聘请社会义务监督员对营业性演出进行监督。</w:t>
            </w:r>
          </w:p>
          <w:p w14:paraId="553846AD">
            <w:pPr>
              <w:widowControl/>
              <w:spacing w:line="260" w:lineRule="exact"/>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bidi="ar"/>
              </w:rPr>
              <w:t>任何单位或者个人可以采取电话、手机短信等方式举报违反本条例规定的行为。县级以上地方人民政府文化主管部门应当向社会公布举报电话，并保证随时有人接听。</w:t>
            </w:r>
          </w:p>
          <w:p w14:paraId="6F05E2CF">
            <w:pPr>
              <w:widowControl/>
              <w:spacing w:line="260" w:lineRule="exact"/>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bidi="ar"/>
              </w:rPr>
              <w:t>县级以上地方人民政府文化主管部门接到社会义务监督员的报告或者公众的举报，应当作出记录，立即赶赴现场进行调查、处理，并自处理完毕之日起7日内公布结果。</w:t>
            </w:r>
          </w:p>
          <w:p w14:paraId="5DD8C6E9">
            <w:pPr>
              <w:widowControl/>
              <w:spacing w:line="26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县级以上地方人民政府文化主管部门对作出突出贡献的社会义务监督员应当给予表彰；公众举报经调查核实的，应当对举报人给予奖励。</w:t>
            </w:r>
          </w:p>
        </w:tc>
        <w:tc>
          <w:tcPr>
            <w:tcW w:w="28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71FBE8D">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1.准备阶段责任：制定对营业性演出举报人的奖励的方案。</w:t>
            </w:r>
          </w:p>
          <w:p w14:paraId="3C691662">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2.组织推荐责任：按照规定的条件、程序开展组织推荐工作，对推荐对象进行初审。</w:t>
            </w:r>
          </w:p>
          <w:p w14:paraId="60DFF3C2">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3.审核公示责任：对符合条件的推荐对象进行审核，报经批准后予以公示。</w:t>
            </w:r>
          </w:p>
          <w:p w14:paraId="4F4D4EBD">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4.实施奖励责任：公示无异议或者异议不成立的，给予表彰和奖励。</w:t>
            </w:r>
          </w:p>
          <w:p w14:paraId="26D2245A">
            <w:pPr>
              <w:autoSpaceDN w:val="0"/>
              <w:spacing w:line="260" w:lineRule="exac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5.其他法律法规规章文件规定应履行的责任。</w:t>
            </w:r>
          </w:p>
        </w:tc>
        <w:tc>
          <w:tcPr>
            <w:tcW w:w="277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A5E89B2">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因不履行或者不正确履行行政职责，有下列情形的，行政机关及相关工作人员承担相应责任：</w:t>
            </w:r>
          </w:p>
          <w:p w14:paraId="1E71D1E0">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1、不符合条件违规受理并通过初评，造成不良影响的；</w:t>
            </w:r>
          </w:p>
          <w:p w14:paraId="5AEDC8D9">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2、未经批准擅自举办表彰奖励活动的；</w:t>
            </w:r>
          </w:p>
          <w:p w14:paraId="57051BD2">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3、向参评单位和个人收取费用的；</w:t>
            </w:r>
          </w:p>
          <w:p w14:paraId="08B8761A">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4、未按照规定进行公示的；</w:t>
            </w:r>
          </w:p>
          <w:p w14:paraId="774337C6">
            <w:pPr>
              <w:autoSpaceDN w:val="0"/>
              <w:spacing w:line="260" w:lineRule="exac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5、其他违反法律法规规章文件规定的行为。</w:t>
            </w:r>
          </w:p>
          <w:p w14:paraId="303BFB4C">
            <w:pPr>
              <w:autoSpaceDN w:val="0"/>
              <w:spacing w:line="260" w:lineRule="exact"/>
              <w:textAlignment w:val="center"/>
              <w:rPr>
                <w:rFonts w:hint="eastAsia" w:ascii="仿宋" w:hAnsi="仿宋" w:eastAsia="仿宋" w:cs="仿宋"/>
                <w:color w:val="000000"/>
                <w:sz w:val="18"/>
                <w:szCs w:val="18"/>
              </w:rPr>
            </w:pPr>
          </w:p>
        </w:tc>
        <w:tc>
          <w:tcPr>
            <w:tcW w:w="98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F3EA35">
            <w:pPr>
              <w:widowControl/>
              <w:spacing w:line="260" w:lineRule="exact"/>
              <w:jc w:val="both"/>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目前财政未设</w:t>
            </w:r>
            <w:r>
              <w:rPr>
                <w:rFonts w:hint="eastAsia" w:ascii="仿宋" w:hAnsi="仿宋" w:eastAsia="仿宋" w:cs="仿宋"/>
                <w:color w:val="000000"/>
                <w:sz w:val="18"/>
                <w:szCs w:val="18"/>
              </w:rPr>
              <w:t>对营业性演出举报人</w:t>
            </w:r>
            <w:r>
              <w:rPr>
                <w:rFonts w:hint="eastAsia" w:ascii="仿宋" w:hAnsi="仿宋" w:eastAsia="仿宋" w:cs="仿宋"/>
                <w:color w:val="000000"/>
                <w:kern w:val="0"/>
                <w:sz w:val="18"/>
                <w:szCs w:val="18"/>
                <w:lang w:bidi="ar"/>
              </w:rPr>
              <w:t>行政奖励专项基金。</w:t>
            </w:r>
          </w:p>
        </w:tc>
      </w:tr>
    </w:tbl>
    <w:p w14:paraId="15347C92"/>
    <w:sectPr>
      <w:footerReference r:id="rId3" w:type="default"/>
      <w:footerReference r:id="rId4" w:type="even"/>
      <w:pgSz w:w="16838" w:h="11906" w:orient="landscape"/>
      <w:pgMar w:top="1134" w:right="1134" w:bottom="1134" w:left="1134" w:header="851" w:footer="79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BC0DD">
    <w:pPr>
      <w:pStyle w:val="2"/>
      <w:jc w:val="center"/>
      <w:rPr>
        <w:rFonts w:ascii="宋体" w:hAnsi="宋体"/>
        <w:sz w:val="21"/>
        <w:szCs w:val="21"/>
      </w:rPr>
    </w:pPr>
    <w:r>
      <w:rPr>
        <w:rFonts w:ascii="宋体" w:hAnsi="宋体"/>
        <w:kern w:val="0"/>
        <w:sz w:val="21"/>
        <w:szCs w:val="21"/>
      </w:rPr>
      <w:t>-</w:t>
    </w:r>
    <w:r>
      <w:rPr>
        <w:rFonts w:hint="eastAsia" w:ascii="宋体" w:hAnsi="宋体"/>
        <w:kern w:val="0"/>
        <w:sz w:val="21"/>
        <w:szCs w:val="21"/>
      </w:rPr>
      <w:t xml:space="preserve"> </w:t>
    </w:r>
    <w:r>
      <w:rPr>
        <w:rFonts w:ascii="宋体" w:hAnsi="宋体"/>
        <w:kern w:val="0"/>
        <w:sz w:val="21"/>
        <w:szCs w:val="21"/>
      </w:rPr>
      <w:fldChar w:fldCharType="begin"/>
    </w:r>
    <w:r>
      <w:rPr>
        <w:rFonts w:ascii="宋体" w:hAnsi="宋体"/>
        <w:kern w:val="0"/>
        <w:sz w:val="21"/>
        <w:szCs w:val="21"/>
      </w:rPr>
      <w:instrText xml:space="preserve"> PAGE </w:instrText>
    </w:r>
    <w:r>
      <w:rPr>
        <w:rFonts w:ascii="宋体" w:hAnsi="宋体"/>
        <w:kern w:val="0"/>
        <w:sz w:val="21"/>
        <w:szCs w:val="21"/>
      </w:rPr>
      <w:fldChar w:fldCharType="separate"/>
    </w:r>
    <w:r>
      <w:rPr>
        <w:rFonts w:ascii="宋体" w:hAnsi="宋体"/>
        <w:kern w:val="0"/>
        <w:sz w:val="21"/>
        <w:szCs w:val="21"/>
      </w:rPr>
      <w:t>10</w:t>
    </w:r>
    <w:r>
      <w:rPr>
        <w:rFonts w:ascii="宋体" w:hAnsi="宋体"/>
        <w:kern w:val="0"/>
        <w:sz w:val="21"/>
        <w:szCs w:val="21"/>
      </w:rPr>
      <w:fldChar w:fldCharType="end"/>
    </w:r>
    <w:r>
      <w:rPr>
        <w:rFonts w:hint="eastAsia" w:ascii="宋体" w:hAnsi="宋体"/>
        <w:kern w:val="0"/>
        <w:sz w:val="21"/>
        <w:szCs w:val="21"/>
      </w:rPr>
      <w:t xml:space="preserve"> </w:t>
    </w:r>
    <w:r>
      <w:rPr>
        <w:rFonts w:ascii="宋体" w:hAnsi="宋体"/>
        <w:kern w:val="0"/>
        <w:sz w:val="21"/>
        <w:szCs w:val="21"/>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44874">
    <w:pPr>
      <w:pStyle w:val="2"/>
      <w:framePr w:wrap="around" w:vAnchor="text" w:hAnchor="margin" w:xAlign="right" w:y="1"/>
      <w:rPr>
        <w:rStyle w:val="7"/>
      </w:rPr>
    </w:pPr>
    <w:r>
      <w:rPr>
        <w:rStyle w:val="7"/>
      </w:rPr>
      <w:fldChar w:fldCharType="begin"/>
    </w:r>
    <w:r>
      <w:rPr>
        <w:rStyle w:val="7"/>
      </w:rPr>
      <w:instrText xml:space="preserve">PAGE  </w:instrText>
    </w:r>
    <w:r>
      <w:rPr>
        <w:rStyle w:val="7"/>
      </w:rPr>
      <w:fldChar w:fldCharType="end"/>
    </w:r>
  </w:p>
  <w:p w14:paraId="07E4504B">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yMDQwYTVhMGZmOTEwNGI3ODNjYTBkNTk5MWU4NmIifQ=="/>
  </w:docVars>
  <w:rsids>
    <w:rsidRoot w:val="004C70B6"/>
    <w:rsid w:val="00031EAA"/>
    <w:rsid w:val="000654EA"/>
    <w:rsid w:val="000C1021"/>
    <w:rsid w:val="000C10A1"/>
    <w:rsid w:val="000E26E6"/>
    <w:rsid w:val="000F2085"/>
    <w:rsid w:val="000F212E"/>
    <w:rsid w:val="00167255"/>
    <w:rsid w:val="00191177"/>
    <w:rsid w:val="00196615"/>
    <w:rsid w:val="001A4380"/>
    <w:rsid w:val="00220B57"/>
    <w:rsid w:val="00241208"/>
    <w:rsid w:val="00282711"/>
    <w:rsid w:val="002A0B61"/>
    <w:rsid w:val="003160E7"/>
    <w:rsid w:val="0033736D"/>
    <w:rsid w:val="003515C1"/>
    <w:rsid w:val="00371E6D"/>
    <w:rsid w:val="00402DDE"/>
    <w:rsid w:val="00477365"/>
    <w:rsid w:val="004B43FE"/>
    <w:rsid w:val="004C22E6"/>
    <w:rsid w:val="004C70B6"/>
    <w:rsid w:val="004E18DC"/>
    <w:rsid w:val="004E1D25"/>
    <w:rsid w:val="004E756F"/>
    <w:rsid w:val="0053720B"/>
    <w:rsid w:val="0055729D"/>
    <w:rsid w:val="00582049"/>
    <w:rsid w:val="005E59BE"/>
    <w:rsid w:val="005F292B"/>
    <w:rsid w:val="006430E0"/>
    <w:rsid w:val="0068241D"/>
    <w:rsid w:val="0076125E"/>
    <w:rsid w:val="00774C59"/>
    <w:rsid w:val="00790DE3"/>
    <w:rsid w:val="007D58CD"/>
    <w:rsid w:val="008232F7"/>
    <w:rsid w:val="00833A28"/>
    <w:rsid w:val="00966B66"/>
    <w:rsid w:val="0097560C"/>
    <w:rsid w:val="00985E09"/>
    <w:rsid w:val="009A0E9E"/>
    <w:rsid w:val="009A42E6"/>
    <w:rsid w:val="00A463CE"/>
    <w:rsid w:val="00AC6E19"/>
    <w:rsid w:val="00AE44CF"/>
    <w:rsid w:val="00B00BD6"/>
    <w:rsid w:val="00BD4546"/>
    <w:rsid w:val="00C23376"/>
    <w:rsid w:val="00CF5A5B"/>
    <w:rsid w:val="00D21199"/>
    <w:rsid w:val="00DC34D5"/>
    <w:rsid w:val="00E869AC"/>
    <w:rsid w:val="00E875A8"/>
    <w:rsid w:val="00E96F14"/>
    <w:rsid w:val="00F27263"/>
    <w:rsid w:val="00F55977"/>
    <w:rsid w:val="00FB57D9"/>
    <w:rsid w:val="00FE360C"/>
    <w:rsid w:val="01B0282E"/>
    <w:rsid w:val="01E925F2"/>
    <w:rsid w:val="020F5660"/>
    <w:rsid w:val="02D45050"/>
    <w:rsid w:val="02EC3FAF"/>
    <w:rsid w:val="032C4E8C"/>
    <w:rsid w:val="05685F23"/>
    <w:rsid w:val="06782196"/>
    <w:rsid w:val="071A149F"/>
    <w:rsid w:val="09796FB6"/>
    <w:rsid w:val="0AD57BB7"/>
    <w:rsid w:val="0B4765DB"/>
    <w:rsid w:val="0EB21FBD"/>
    <w:rsid w:val="0EBE4569"/>
    <w:rsid w:val="0F4A0448"/>
    <w:rsid w:val="0F711E78"/>
    <w:rsid w:val="12374163"/>
    <w:rsid w:val="12EF37E0"/>
    <w:rsid w:val="14103A0E"/>
    <w:rsid w:val="15204125"/>
    <w:rsid w:val="17A34B99"/>
    <w:rsid w:val="185C36C6"/>
    <w:rsid w:val="18602A8A"/>
    <w:rsid w:val="18B21538"/>
    <w:rsid w:val="18FA1964"/>
    <w:rsid w:val="193A32DB"/>
    <w:rsid w:val="19597C05"/>
    <w:rsid w:val="19747697"/>
    <w:rsid w:val="1B1F09DB"/>
    <w:rsid w:val="1B2B55D1"/>
    <w:rsid w:val="1CAA5CF0"/>
    <w:rsid w:val="1CC23D13"/>
    <w:rsid w:val="1CD31A7D"/>
    <w:rsid w:val="1D953300"/>
    <w:rsid w:val="1EB726E7"/>
    <w:rsid w:val="1F0D7099"/>
    <w:rsid w:val="1F383B03"/>
    <w:rsid w:val="204C4020"/>
    <w:rsid w:val="2074045F"/>
    <w:rsid w:val="20E406FC"/>
    <w:rsid w:val="21ED35E0"/>
    <w:rsid w:val="22312D8B"/>
    <w:rsid w:val="23166B67"/>
    <w:rsid w:val="234E00AF"/>
    <w:rsid w:val="234E6301"/>
    <w:rsid w:val="24AF2564"/>
    <w:rsid w:val="268A47A5"/>
    <w:rsid w:val="26DB60FD"/>
    <w:rsid w:val="27A44741"/>
    <w:rsid w:val="27DF1DF1"/>
    <w:rsid w:val="283D06F2"/>
    <w:rsid w:val="284E0B51"/>
    <w:rsid w:val="296D5007"/>
    <w:rsid w:val="297E0341"/>
    <w:rsid w:val="29B35110"/>
    <w:rsid w:val="2AA50EFC"/>
    <w:rsid w:val="2B05199B"/>
    <w:rsid w:val="2B2838DB"/>
    <w:rsid w:val="2B3C2EE3"/>
    <w:rsid w:val="2B9845BD"/>
    <w:rsid w:val="2BB84C5F"/>
    <w:rsid w:val="2C892158"/>
    <w:rsid w:val="2CA81C8A"/>
    <w:rsid w:val="2CD05FD9"/>
    <w:rsid w:val="2D182972"/>
    <w:rsid w:val="2E8878F2"/>
    <w:rsid w:val="2EE45D6B"/>
    <w:rsid w:val="30182170"/>
    <w:rsid w:val="30D75B88"/>
    <w:rsid w:val="31061FC9"/>
    <w:rsid w:val="31644EEA"/>
    <w:rsid w:val="31B41A25"/>
    <w:rsid w:val="31F95445"/>
    <w:rsid w:val="32470AEB"/>
    <w:rsid w:val="32CB34CA"/>
    <w:rsid w:val="33995B91"/>
    <w:rsid w:val="346C65E7"/>
    <w:rsid w:val="349652E9"/>
    <w:rsid w:val="34CB7098"/>
    <w:rsid w:val="34EF2BE5"/>
    <w:rsid w:val="35A63D7A"/>
    <w:rsid w:val="37064583"/>
    <w:rsid w:val="377A0217"/>
    <w:rsid w:val="37912EC7"/>
    <w:rsid w:val="39033292"/>
    <w:rsid w:val="3B003F2D"/>
    <w:rsid w:val="3BC136BC"/>
    <w:rsid w:val="3BE445F1"/>
    <w:rsid w:val="3DC00FA3"/>
    <w:rsid w:val="3F827606"/>
    <w:rsid w:val="3F977902"/>
    <w:rsid w:val="3FA0183A"/>
    <w:rsid w:val="40694322"/>
    <w:rsid w:val="40800854"/>
    <w:rsid w:val="411E6EBB"/>
    <w:rsid w:val="422F6321"/>
    <w:rsid w:val="426B6130"/>
    <w:rsid w:val="43407BA5"/>
    <w:rsid w:val="45350C77"/>
    <w:rsid w:val="457E43CC"/>
    <w:rsid w:val="45D43A64"/>
    <w:rsid w:val="461940F5"/>
    <w:rsid w:val="46B362F7"/>
    <w:rsid w:val="47370CD6"/>
    <w:rsid w:val="47EB7DB0"/>
    <w:rsid w:val="480A63EB"/>
    <w:rsid w:val="48877A3B"/>
    <w:rsid w:val="499E503D"/>
    <w:rsid w:val="4A6D50D1"/>
    <w:rsid w:val="4AFB201B"/>
    <w:rsid w:val="4B752A3C"/>
    <w:rsid w:val="4B8A1D1C"/>
    <w:rsid w:val="4CE4545C"/>
    <w:rsid w:val="4DF0398D"/>
    <w:rsid w:val="500E459E"/>
    <w:rsid w:val="50574197"/>
    <w:rsid w:val="51256043"/>
    <w:rsid w:val="51A42173"/>
    <w:rsid w:val="524B1ADA"/>
    <w:rsid w:val="548F2152"/>
    <w:rsid w:val="559E63C4"/>
    <w:rsid w:val="584C035A"/>
    <w:rsid w:val="58D77C23"/>
    <w:rsid w:val="59524BAF"/>
    <w:rsid w:val="5A7476F4"/>
    <w:rsid w:val="5B1A029B"/>
    <w:rsid w:val="5C14118E"/>
    <w:rsid w:val="5CB85FBE"/>
    <w:rsid w:val="5CEB0141"/>
    <w:rsid w:val="5D944335"/>
    <w:rsid w:val="5EBD78BB"/>
    <w:rsid w:val="5F227236"/>
    <w:rsid w:val="60A56859"/>
    <w:rsid w:val="612300A8"/>
    <w:rsid w:val="61D33772"/>
    <w:rsid w:val="626F1B98"/>
    <w:rsid w:val="628C7CD0"/>
    <w:rsid w:val="62D11B87"/>
    <w:rsid w:val="630930CF"/>
    <w:rsid w:val="633345F0"/>
    <w:rsid w:val="65727C4B"/>
    <w:rsid w:val="65A05841"/>
    <w:rsid w:val="66C7577B"/>
    <w:rsid w:val="67DB18DE"/>
    <w:rsid w:val="687A1388"/>
    <w:rsid w:val="69DF102E"/>
    <w:rsid w:val="6A0C7949"/>
    <w:rsid w:val="6A5A5AF1"/>
    <w:rsid w:val="6AFD14CE"/>
    <w:rsid w:val="6B144D07"/>
    <w:rsid w:val="6BD149A6"/>
    <w:rsid w:val="6C133210"/>
    <w:rsid w:val="6D400035"/>
    <w:rsid w:val="6DC9627D"/>
    <w:rsid w:val="6E184B0E"/>
    <w:rsid w:val="6E31797E"/>
    <w:rsid w:val="6F885CC3"/>
    <w:rsid w:val="704063D9"/>
    <w:rsid w:val="71A5490B"/>
    <w:rsid w:val="72BB4952"/>
    <w:rsid w:val="72EC0317"/>
    <w:rsid w:val="73661E78"/>
    <w:rsid w:val="7375655F"/>
    <w:rsid w:val="739B7C05"/>
    <w:rsid w:val="73E07E7C"/>
    <w:rsid w:val="747405C4"/>
    <w:rsid w:val="757765BE"/>
    <w:rsid w:val="770F2826"/>
    <w:rsid w:val="77530965"/>
    <w:rsid w:val="775F32F6"/>
    <w:rsid w:val="77731007"/>
    <w:rsid w:val="784731A7"/>
    <w:rsid w:val="78F10436"/>
    <w:rsid w:val="79A27982"/>
    <w:rsid w:val="79E81839"/>
    <w:rsid w:val="79F521A7"/>
    <w:rsid w:val="7A283066"/>
    <w:rsid w:val="7A83640D"/>
    <w:rsid w:val="7AE709B6"/>
    <w:rsid w:val="7B890DF9"/>
    <w:rsid w:val="7C3F03FF"/>
    <w:rsid w:val="7CFB341F"/>
    <w:rsid w:val="7CFB5D27"/>
    <w:rsid w:val="7D9B4E14"/>
    <w:rsid w:val="7E4B683A"/>
    <w:rsid w:val="7EED169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jc w:val="left"/>
    </w:pPr>
    <w:rPr>
      <w:rFonts w:eastAsia="仿宋_GB2312"/>
      <w:kern w:val="0"/>
      <w:sz w:val="24"/>
      <w:szCs w:val="32"/>
    </w:rPr>
  </w:style>
  <w:style w:type="character" w:styleId="7">
    <w:name w:val="page number"/>
    <w:basedOn w:val="6"/>
    <w:uiPriority w:val="0"/>
  </w:style>
  <w:style w:type="character" w:styleId="8">
    <w:name w:val="Hyperlink"/>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2576</Words>
  <Characters>2600</Characters>
  <Lines>144</Lines>
  <Paragraphs>40</Paragraphs>
  <TotalTime>0</TotalTime>
  <ScaleCrop>false</ScaleCrop>
  <LinksUpToDate>false</LinksUpToDate>
  <CharactersWithSpaces>2600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2021-05-28T10:08:00Z</dcterms:created>
  <dc:creator>8615297515768</dc:creator>
  <cp:lastModifiedBy>Administrator</cp:lastModifiedBy>
  <cp:lastPrinted>2024-08-12T10:08:00Z</cp:lastPrinted>
  <dcterms:modified xsi:type="dcterms:W3CDTF">2025-10-13T02:55:03Z</dcterms:modified>
  <dc:title>魏县文化广电和旅游局权责清单事项总表</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E2B5074E618A4CC393B7C6B65D2DBA54_13</vt:lpwstr>
  </property>
  <property fmtid="{D5CDD505-2E9C-101B-9397-08002B2CF9AE}" pid="4" name="KSOTemplateDocerSaveRecord">
    <vt:lpwstr>eyJoZGlkIjoiODYyMDQwYTVhMGZmOTEwNGI3ODNjYTBkNTk5MWU4NmIiLCJ1c2VySWQiOiI3NDAxNTIwMjgifQ==</vt:lpwstr>
  </property>
</Properties>
</file>