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E4169">
      <w:pPr>
        <w:jc w:val="center"/>
        <w:rPr>
          <w:rFonts w:hint="eastAsia" w:ascii="宋体" w:hAnsi="宋体" w:cs="方正小标宋简体"/>
          <w:b/>
          <w:sz w:val="44"/>
          <w:szCs w:val="44"/>
        </w:rPr>
      </w:pPr>
      <w:bookmarkStart w:id="0" w:name="_GoBack"/>
      <w:bookmarkEnd w:id="0"/>
      <w:r>
        <w:rPr>
          <w:rFonts w:hint="eastAsia" w:ascii="宋体" w:hAnsi="宋体" w:cs="方正小标宋简体"/>
          <w:b/>
          <w:sz w:val="44"/>
          <w:szCs w:val="44"/>
        </w:rPr>
        <w:t>魏县水利局权责清单事项分表</w:t>
      </w:r>
    </w:p>
    <w:p w14:paraId="0355C444">
      <w:pPr>
        <w:spacing w:after="156" w:afterLines="50"/>
        <w:jc w:val="center"/>
        <w:rPr>
          <w:rFonts w:hint="eastAsia"/>
        </w:rPr>
      </w:pPr>
      <w:r>
        <w:rPr>
          <w:rFonts w:hAnsi="楷体_GB2312" w:eastAsia="楷体_GB2312"/>
          <w:sz w:val="32"/>
          <w:szCs w:val="32"/>
        </w:rPr>
        <w:t>（共</w:t>
      </w:r>
      <w:r>
        <w:rPr>
          <w:rFonts w:hint="eastAsia" w:hAnsi="楷体_GB2312" w:eastAsia="楷体_GB2312"/>
          <w:sz w:val="32"/>
          <w:szCs w:val="32"/>
          <w:lang w:val="en-US" w:eastAsia="zh-CN"/>
        </w:rPr>
        <w:t>三</w:t>
      </w:r>
      <w:r>
        <w:rPr>
          <w:rFonts w:hAnsi="楷体_GB2312" w:eastAsia="楷体_GB2312"/>
          <w:sz w:val="32"/>
          <w:szCs w:val="32"/>
        </w:rPr>
        <w:t>类</w:t>
      </w:r>
      <w:r>
        <w:rPr>
          <w:rFonts w:hint="eastAsia" w:hAnsi="楷体_GB2312" w:eastAsia="楷体_GB2312"/>
          <w:sz w:val="32"/>
          <w:szCs w:val="32"/>
        </w:rPr>
        <w:t>，</w:t>
      </w:r>
      <w:r>
        <w:rPr>
          <w:rFonts w:hint="eastAsia" w:hAnsi="楷体_GB2312" w:eastAsia="楷体_GB2312"/>
          <w:sz w:val="32"/>
          <w:szCs w:val="32"/>
          <w:lang w:val="en-US" w:eastAsia="zh-CN"/>
        </w:rPr>
        <w:t>11</w:t>
      </w:r>
      <w:r>
        <w:rPr>
          <w:rFonts w:hAnsi="楷体_GB2312" w:eastAsia="楷体_GB2312"/>
          <w:sz w:val="32"/>
          <w:szCs w:val="32"/>
        </w:rPr>
        <w:t>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616"/>
        <w:gridCol w:w="761"/>
        <w:gridCol w:w="751"/>
        <w:gridCol w:w="5252"/>
        <w:gridCol w:w="2705"/>
        <w:gridCol w:w="2800"/>
        <w:gridCol w:w="963"/>
      </w:tblGrid>
      <w:tr w14:paraId="32C5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blHeader/>
          <w:jc w:val="center"/>
        </w:trPr>
        <w:tc>
          <w:tcPr>
            <w:tcW w:w="448" w:type="dxa"/>
            <w:noWrap w:val="0"/>
            <w:vAlign w:val="center"/>
          </w:tcPr>
          <w:p w14:paraId="5E28CA0E">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序号</w:t>
            </w:r>
          </w:p>
        </w:tc>
        <w:tc>
          <w:tcPr>
            <w:tcW w:w="616" w:type="dxa"/>
            <w:noWrap w:val="0"/>
            <w:vAlign w:val="center"/>
          </w:tcPr>
          <w:p w14:paraId="3A1F6530">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权力类型</w:t>
            </w:r>
          </w:p>
        </w:tc>
        <w:tc>
          <w:tcPr>
            <w:tcW w:w="761" w:type="dxa"/>
            <w:noWrap w:val="0"/>
            <w:vAlign w:val="center"/>
          </w:tcPr>
          <w:p w14:paraId="580AE9EC">
            <w:pPr>
              <w:autoSpaceDN w:val="0"/>
              <w:spacing w:line="260" w:lineRule="exact"/>
              <w:jc w:val="center"/>
              <w:textAlignment w:val="center"/>
              <w:rPr>
                <w:rFonts w:hint="eastAsia" w:ascii="黑体" w:hAnsi="黑体" w:eastAsia="黑体"/>
                <w:color w:val="000000"/>
                <w:sz w:val="18"/>
                <w:szCs w:val="18"/>
              </w:rPr>
            </w:pPr>
            <w:r>
              <w:rPr>
                <w:rFonts w:ascii="黑体" w:hAnsi="黑体" w:eastAsia="黑体"/>
                <w:color w:val="000000"/>
                <w:sz w:val="18"/>
                <w:szCs w:val="18"/>
              </w:rPr>
              <w:t>权力</w:t>
            </w:r>
          </w:p>
          <w:p w14:paraId="11986317">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事项</w:t>
            </w:r>
          </w:p>
        </w:tc>
        <w:tc>
          <w:tcPr>
            <w:tcW w:w="751" w:type="dxa"/>
            <w:noWrap w:val="0"/>
            <w:vAlign w:val="center"/>
          </w:tcPr>
          <w:p w14:paraId="3C4BB6CA">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行政主体</w:t>
            </w:r>
          </w:p>
        </w:tc>
        <w:tc>
          <w:tcPr>
            <w:tcW w:w="5252" w:type="dxa"/>
            <w:noWrap w:val="0"/>
            <w:vAlign w:val="center"/>
          </w:tcPr>
          <w:p w14:paraId="54749EEB">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实施依据</w:t>
            </w:r>
          </w:p>
        </w:tc>
        <w:tc>
          <w:tcPr>
            <w:tcW w:w="2705" w:type="dxa"/>
            <w:noWrap w:val="0"/>
            <w:vAlign w:val="center"/>
          </w:tcPr>
          <w:p w14:paraId="6CB3C207">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责任事项</w:t>
            </w:r>
          </w:p>
        </w:tc>
        <w:tc>
          <w:tcPr>
            <w:tcW w:w="2800" w:type="dxa"/>
            <w:noWrap w:val="0"/>
            <w:vAlign w:val="center"/>
          </w:tcPr>
          <w:p w14:paraId="28C6BA9E">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追责情形</w:t>
            </w:r>
          </w:p>
        </w:tc>
        <w:tc>
          <w:tcPr>
            <w:tcW w:w="963" w:type="dxa"/>
            <w:noWrap w:val="0"/>
            <w:vAlign w:val="center"/>
          </w:tcPr>
          <w:p w14:paraId="20518048">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备注</w:t>
            </w:r>
          </w:p>
        </w:tc>
      </w:tr>
      <w:tr w14:paraId="76C5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8" w:hRule="atLeast"/>
          <w:jc w:val="center"/>
        </w:trPr>
        <w:tc>
          <w:tcPr>
            <w:tcW w:w="448" w:type="dxa"/>
            <w:noWrap w:val="0"/>
            <w:vAlign w:val="center"/>
          </w:tcPr>
          <w:p w14:paraId="0867E523">
            <w:pPr>
              <w:autoSpaceDN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c>
          <w:tcPr>
            <w:tcW w:w="616" w:type="dxa"/>
            <w:noWrap w:val="0"/>
            <w:textDirection w:val="tbRlV"/>
            <w:vAlign w:val="center"/>
          </w:tcPr>
          <w:p w14:paraId="708C2052">
            <w:pPr>
              <w:autoSpaceDN w:val="0"/>
              <w:spacing w:line="260" w:lineRule="exact"/>
              <w:ind w:left="113" w:right="113"/>
              <w:jc w:val="center"/>
              <w:textAlignment w:val="center"/>
              <w:rPr>
                <w:rFonts w:hint="eastAsia" w:ascii="宋体" w:hAnsi="宋体" w:cs="宋体"/>
                <w:color w:val="000000"/>
                <w:sz w:val="18"/>
                <w:szCs w:val="18"/>
              </w:rPr>
            </w:pPr>
            <w:r>
              <w:rPr>
                <w:rFonts w:hint="eastAsia" w:ascii="宋体" w:hAnsi="宋体" w:cs="宋体"/>
                <w:color w:val="000000"/>
                <w:sz w:val="18"/>
                <w:szCs w:val="18"/>
              </w:rPr>
              <w:t>行政裁决</w:t>
            </w:r>
          </w:p>
        </w:tc>
        <w:tc>
          <w:tcPr>
            <w:tcW w:w="761" w:type="dxa"/>
            <w:noWrap w:val="0"/>
            <w:textDirection w:val="tbRlV"/>
            <w:vAlign w:val="center"/>
          </w:tcPr>
          <w:p w14:paraId="61C5FD32">
            <w:pPr>
              <w:autoSpaceDN w:val="0"/>
              <w:spacing w:line="260" w:lineRule="exact"/>
              <w:ind w:left="113" w:right="113"/>
              <w:jc w:val="center"/>
              <w:textAlignment w:val="center"/>
              <w:rPr>
                <w:rFonts w:hint="eastAsia" w:ascii="宋体" w:hAnsi="宋体" w:cs="宋体"/>
                <w:color w:val="000000"/>
                <w:sz w:val="18"/>
                <w:szCs w:val="18"/>
              </w:rPr>
            </w:pPr>
            <w:r>
              <w:rPr>
                <w:rFonts w:hint="eastAsia" w:ascii="宋体" w:hAnsi="宋体" w:cs="宋体"/>
                <w:color w:val="000000"/>
                <w:sz w:val="18"/>
                <w:szCs w:val="18"/>
                <w:shd w:val="clear" w:color="auto" w:fill="FFFFFF"/>
              </w:rPr>
              <w:t>水事纠纷裁决</w:t>
            </w:r>
          </w:p>
        </w:tc>
        <w:tc>
          <w:tcPr>
            <w:tcW w:w="751" w:type="dxa"/>
            <w:noWrap w:val="0"/>
            <w:textDirection w:val="tbRlV"/>
            <w:vAlign w:val="center"/>
          </w:tcPr>
          <w:p w14:paraId="78F29CF5">
            <w:pPr>
              <w:autoSpaceDN w:val="0"/>
              <w:spacing w:line="260" w:lineRule="exact"/>
              <w:ind w:left="113" w:right="113"/>
              <w:jc w:val="center"/>
              <w:textAlignment w:val="center"/>
              <w:rPr>
                <w:rFonts w:hint="eastAsia" w:ascii="宋体" w:hAnsi="宋体" w:cs="宋体"/>
                <w:color w:val="000000"/>
                <w:sz w:val="18"/>
                <w:szCs w:val="18"/>
              </w:rPr>
            </w:pPr>
            <w:r>
              <w:rPr>
                <w:rFonts w:hint="eastAsia" w:ascii="宋体" w:hAnsi="宋体" w:cs="宋体"/>
                <w:color w:val="000000"/>
                <w:sz w:val="18"/>
                <w:szCs w:val="18"/>
              </w:rPr>
              <w:t>魏县水利局</w:t>
            </w:r>
          </w:p>
        </w:tc>
        <w:tc>
          <w:tcPr>
            <w:tcW w:w="5252" w:type="dxa"/>
            <w:noWrap w:val="0"/>
            <w:vAlign w:val="center"/>
          </w:tcPr>
          <w:p w14:paraId="7FDBB9DD">
            <w:pPr>
              <w:autoSpaceDN w:val="0"/>
              <w:spacing w:line="260" w:lineRule="exact"/>
              <w:textAlignment w:val="center"/>
              <w:rPr>
                <w:rFonts w:hint="eastAsia" w:ascii="宋体" w:hAnsi="宋体" w:cs="宋体"/>
                <w:color w:val="000000"/>
                <w:sz w:val="18"/>
                <w:szCs w:val="18"/>
              </w:rPr>
            </w:pPr>
            <w:r>
              <w:rPr>
                <w:rFonts w:hint="eastAsia" w:ascii="宋体" w:hAnsi="宋体" w:cs="宋体"/>
                <w:color w:val="000000"/>
                <w:sz w:val="18"/>
                <w:szCs w:val="18"/>
              </w:rPr>
              <w:t>法律法规：《取水许可和水资源费征收管理条例》;第四十六条第三款上一级水行政主管部门或者流域管理机构发现越权审批、取水许可证核准的总取水量超过水量分配方案或者协议规定的数量、年度实际取水总量超过下达的年度水量分配方案和年度取水计划的，应当及时要求有关水行政主管部门或者流域管理机构纠正。《中华人民共和国水法》;第四十六条县级以上地方人民政府水行政主管部门或者流域管理机构应当根据批准的水量分配方案和年度预测来水量，制定年度水量分配方案和调度计划，实施水量统一调度；有关地方人民政府必须服从。国家确定的重要江河、湖泊的年度水量分配方案，应当纳入国家的国民经济和社会发展年度计划。《中华人民共和国水法》第五十七条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中华人民共和国水法》第五十六条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中华人民共和国水法》;第十八条：县级以上人民政府水行政主管部门或者其授权的部门在处理水事纠纷时，有权采取临时处置，有关各方或当事人必须服从。《中华人民共和国水土保持法》第四十六条不同行政区域之间发生水土流失纠纷应当协商解决；协商不成的，由共同的上一级人民政府裁决。</w:t>
            </w:r>
          </w:p>
        </w:tc>
        <w:tc>
          <w:tcPr>
            <w:tcW w:w="2705" w:type="dxa"/>
            <w:noWrap w:val="0"/>
            <w:vAlign w:val="center"/>
          </w:tcPr>
          <w:p w14:paraId="6968F0F5">
            <w:pPr>
              <w:pStyle w:val="4"/>
              <w:spacing w:before="0" w:beforeAutospacing="0" w:after="0" w:afterAutospacing="0" w:line="260" w:lineRule="exact"/>
              <w:rPr>
                <w:rFonts w:ascii="宋体" w:hAnsi="宋体" w:eastAsia="宋体"/>
                <w:color w:val="000000"/>
                <w:sz w:val="18"/>
                <w:szCs w:val="18"/>
              </w:rPr>
            </w:pPr>
            <w:r>
              <w:rPr>
                <w:rFonts w:hint="eastAsia" w:ascii="宋体" w:hAnsi="宋体" w:eastAsia="宋体" w:cs="宋体"/>
                <w:color w:val="000000"/>
                <w:sz w:val="18"/>
                <w:szCs w:val="18"/>
                <w:shd w:val="clear" w:color="auto" w:fill="FFFFFF"/>
              </w:rPr>
              <w:t>1、受理阶段责任</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对符合裁决条件、材料齐备的予以受理，对材料不齐的一次性告知补正，对不符合裁决条件的，不予受理并告知其理由。</w:t>
            </w:r>
          </w:p>
          <w:p w14:paraId="21A0BFB0">
            <w:pPr>
              <w:pStyle w:val="4"/>
              <w:spacing w:before="0" w:beforeAutospacing="0" w:after="0" w:afterAutospacing="0" w:line="260" w:lineRule="exact"/>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2、审理阶段责任</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对争议的事实、证据材料进行审查，组织实地勘察和听证活动,并由双方当面陈述情况，以查明案情。</w:t>
            </w:r>
          </w:p>
          <w:p w14:paraId="13B80E86">
            <w:pPr>
              <w:pStyle w:val="4"/>
              <w:spacing w:before="0" w:beforeAutospacing="0" w:after="0" w:afterAutospacing="0" w:line="260" w:lineRule="exact"/>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3、裁决阶段责任</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根据事实和法规做出裁决，将裁决建议上报市政府。</w:t>
            </w:r>
          </w:p>
          <w:p w14:paraId="34E495F1">
            <w:pPr>
              <w:pStyle w:val="4"/>
              <w:spacing w:before="0" w:beforeAutospacing="0" w:after="0" w:afterAutospacing="0" w:line="260" w:lineRule="exact"/>
              <w:rPr>
                <w:rFonts w:hint="eastAsia"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4、执行阶段责任</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裁决生效后，争议双方应当自觉履行。</w:t>
            </w:r>
          </w:p>
          <w:p w14:paraId="19655512">
            <w:pPr>
              <w:pStyle w:val="4"/>
              <w:spacing w:before="0" w:beforeAutospacing="0" w:after="0" w:afterAutospacing="0" w:line="260" w:lineRule="exact"/>
              <w:rPr>
                <w:rFonts w:hint="eastAsia" w:ascii="宋体" w:hAnsi="宋体" w:eastAsia="宋体" w:cs="宋体"/>
                <w:color w:val="000000"/>
                <w:sz w:val="18"/>
                <w:szCs w:val="18"/>
                <w:shd w:val="clear" w:color="auto" w:fill="FFFFFF"/>
              </w:rPr>
            </w:pPr>
            <w:r>
              <w:rPr>
                <w:rFonts w:hint="eastAsia" w:ascii="宋体" w:hAnsi="宋体" w:cs="宋体"/>
                <w:color w:val="000000"/>
                <w:sz w:val="18"/>
                <w:szCs w:val="18"/>
              </w:rPr>
              <w:t>5</w:t>
            </w:r>
            <w:r>
              <w:rPr>
                <w:rFonts w:hint="eastAsia" w:ascii="宋体" w:hAnsi="宋体" w:eastAsia="宋体" w:cs="宋体"/>
                <w:color w:val="000000"/>
                <w:sz w:val="18"/>
                <w:szCs w:val="18"/>
                <w:shd w:val="clear" w:color="auto" w:fill="FFFFFF"/>
              </w:rPr>
              <w:t>、其他法律法规文件规定要求应履行的责任。</w:t>
            </w:r>
          </w:p>
        </w:tc>
        <w:tc>
          <w:tcPr>
            <w:tcW w:w="2800" w:type="dxa"/>
            <w:noWrap w:val="0"/>
            <w:vAlign w:val="center"/>
          </w:tcPr>
          <w:p w14:paraId="6ACC6FF0">
            <w:pPr>
              <w:pStyle w:val="4"/>
              <w:spacing w:before="0" w:beforeAutospacing="0" w:after="0" w:afterAutospacing="0" w:line="260" w:lineRule="exact"/>
              <w:rPr>
                <w:rFonts w:ascii="宋体" w:hAnsi="宋体" w:eastAsia="宋体"/>
                <w:color w:val="000000"/>
                <w:sz w:val="18"/>
                <w:szCs w:val="18"/>
              </w:rPr>
            </w:pPr>
            <w:r>
              <w:rPr>
                <w:rFonts w:hint="eastAsia" w:ascii="宋体" w:hAnsi="宋体" w:eastAsia="宋体" w:cs="宋体"/>
                <w:color w:val="000000"/>
                <w:sz w:val="18"/>
                <w:szCs w:val="18"/>
                <w:shd w:val="clear" w:color="auto" w:fill="FFFFFF"/>
              </w:rPr>
              <w:t>因不履行或不正确履行行政职责，出现以下情形的，行政机关及相关工作人员应承担相应责任：</w:t>
            </w:r>
          </w:p>
          <w:p w14:paraId="0E0590C7">
            <w:pPr>
              <w:pStyle w:val="4"/>
              <w:spacing w:before="0" w:beforeAutospacing="0" w:after="0" w:afterAutospacing="0" w:line="260" w:lineRule="exact"/>
              <w:rPr>
                <w:rFonts w:ascii="宋体" w:hAnsi="宋体" w:eastAsia="宋体"/>
                <w:color w:val="000000"/>
                <w:sz w:val="18"/>
                <w:szCs w:val="18"/>
              </w:rPr>
            </w:pPr>
            <w:r>
              <w:rPr>
                <w:rFonts w:hint="eastAsia" w:ascii="宋体" w:hAnsi="宋体" w:eastAsia="宋体" w:cs="宋体"/>
                <w:color w:val="000000"/>
                <w:sz w:val="18"/>
                <w:szCs w:val="18"/>
                <w:shd w:val="clear" w:color="auto" w:fill="FFFFFF"/>
                <w:lang w:val="en-US" w:eastAsia="zh-CN"/>
              </w:rPr>
              <w:t>1、</w:t>
            </w:r>
            <w:r>
              <w:rPr>
                <w:rFonts w:hint="eastAsia" w:ascii="宋体" w:hAnsi="宋体" w:eastAsia="宋体" w:cs="宋体"/>
                <w:color w:val="000000"/>
                <w:sz w:val="18"/>
                <w:szCs w:val="18"/>
                <w:shd w:val="clear" w:color="auto" w:fill="FFFFFF"/>
              </w:rPr>
              <w:t>对符合条件的水事纠纷裁决申请，无正当理由不予受理的；</w:t>
            </w:r>
          </w:p>
          <w:p w14:paraId="42CC5FED">
            <w:pPr>
              <w:pStyle w:val="4"/>
              <w:spacing w:before="0" w:beforeAutospacing="0" w:after="0" w:afterAutospacing="0" w:line="260" w:lineRule="exact"/>
              <w:rPr>
                <w:rFonts w:ascii="宋体" w:hAnsi="宋体" w:eastAsia="宋体"/>
                <w:color w:val="000000"/>
                <w:sz w:val="18"/>
                <w:szCs w:val="18"/>
              </w:rPr>
            </w:pPr>
            <w:r>
              <w:rPr>
                <w:rFonts w:hint="eastAsia" w:ascii="宋体" w:hAnsi="宋体" w:eastAsia="宋体" w:cs="宋体"/>
                <w:color w:val="000000"/>
                <w:sz w:val="18"/>
                <w:szCs w:val="18"/>
                <w:shd w:val="clear" w:color="auto" w:fill="FFFFFF"/>
                <w:lang w:val="en-US" w:eastAsia="zh-CN"/>
              </w:rPr>
              <w:t>2、</w:t>
            </w:r>
            <w:r>
              <w:rPr>
                <w:rFonts w:hint="eastAsia" w:ascii="宋体" w:hAnsi="宋体" w:eastAsia="宋体" w:cs="宋体"/>
                <w:color w:val="000000"/>
                <w:sz w:val="18"/>
                <w:szCs w:val="18"/>
                <w:shd w:val="clear" w:color="auto" w:fill="FFFFFF"/>
              </w:rPr>
              <w:t>没有法规和事实依据进行水事纠纷行政裁决的；</w:t>
            </w:r>
          </w:p>
          <w:p w14:paraId="75D3F041">
            <w:pPr>
              <w:pStyle w:val="4"/>
              <w:spacing w:before="0" w:beforeAutospacing="0" w:after="0" w:afterAutospacing="0" w:line="260" w:lineRule="exact"/>
              <w:rPr>
                <w:rFonts w:ascii="宋体" w:hAnsi="宋体" w:eastAsia="宋体"/>
                <w:color w:val="000000"/>
                <w:sz w:val="18"/>
                <w:szCs w:val="18"/>
              </w:rPr>
            </w:pPr>
            <w:r>
              <w:rPr>
                <w:rFonts w:hint="eastAsia" w:ascii="宋体" w:hAnsi="宋体" w:eastAsia="宋体" w:cs="宋体"/>
                <w:color w:val="000000"/>
                <w:sz w:val="18"/>
                <w:szCs w:val="18"/>
                <w:shd w:val="clear" w:color="auto" w:fill="FFFFFF"/>
                <w:lang w:val="en-US" w:eastAsia="zh-CN"/>
              </w:rPr>
              <w:t>3、</w:t>
            </w:r>
            <w:r>
              <w:rPr>
                <w:rFonts w:hint="eastAsia" w:ascii="宋体" w:hAnsi="宋体" w:eastAsia="宋体" w:cs="宋体"/>
                <w:color w:val="000000"/>
                <w:sz w:val="18"/>
                <w:szCs w:val="18"/>
                <w:shd w:val="clear" w:color="auto" w:fill="FFFFFF"/>
              </w:rPr>
              <w:t>符合听证条件、当事人要求听证，应予组织听证而不组织听证的；</w:t>
            </w:r>
          </w:p>
          <w:p w14:paraId="7CC09460">
            <w:pPr>
              <w:pStyle w:val="4"/>
              <w:spacing w:before="0" w:beforeAutospacing="0" w:after="0" w:afterAutospacing="0" w:line="260" w:lineRule="exact"/>
              <w:rPr>
                <w:rFonts w:hint="eastAsia" w:ascii="宋体" w:hAnsi="宋体" w:eastAsia="宋体"/>
                <w:color w:val="000000"/>
                <w:sz w:val="18"/>
                <w:szCs w:val="18"/>
                <w:lang w:eastAsia="zh-CN"/>
              </w:rPr>
            </w:pPr>
            <w:r>
              <w:rPr>
                <w:rFonts w:hint="eastAsia" w:ascii="宋体" w:hAnsi="宋体" w:eastAsia="宋体" w:cs="宋体"/>
                <w:color w:val="000000"/>
                <w:sz w:val="18"/>
                <w:szCs w:val="18"/>
                <w:shd w:val="clear" w:color="auto" w:fill="FFFFFF"/>
                <w:lang w:val="en-US" w:eastAsia="zh-CN"/>
              </w:rPr>
              <w:t>4、</w:t>
            </w:r>
            <w:r>
              <w:rPr>
                <w:rFonts w:hint="eastAsia" w:ascii="宋体" w:hAnsi="宋体" w:eastAsia="宋体" w:cs="宋体"/>
                <w:color w:val="000000"/>
                <w:sz w:val="18"/>
                <w:szCs w:val="18"/>
                <w:shd w:val="clear" w:color="auto" w:fill="FFFFFF"/>
              </w:rPr>
              <w:t>不依法裁决，造成不良影响和后果的</w:t>
            </w:r>
            <w:r>
              <w:rPr>
                <w:rFonts w:hint="eastAsia" w:ascii="宋体" w:hAnsi="宋体" w:eastAsia="宋体" w:cs="宋体"/>
                <w:color w:val="000000"/>
                <w:sz w:val="18"/>
                <w:szCs w:val="18"/>
                <w:shd w:val="clear" w:color="auto" w:fill="FFFFFF"/>
                <w:lang w:eastAsia="zh-CN"/>
              </w:rPr>
              <w:t>；</w:t>
            </w:r>
          </w:p>
          <w:p w14:paraId="41DB2BE6">
            <w:pPr>
              <w:autoSpaceDN w:val="0"/>
              <w:spacing w:line="260" w:lineRule="exact"/>
              <w:textAlignment w:val="center"/>
              <w:rPr>
                <w:rFonts w:hint="eastAsia" w:ascii="宋体" w:hAnsi="宋体" w:eastAsia="宋体" w:cs="宋体"/>
                <w:color w:val="000000"/>
                <w:sz w:val="18"/>
                <w:szCs w:val="18"/>
                <w:shd w:val="clear" w:color="auto" w:fill="FFFFFF"/>
                <w:lang w:eastAsia="zh-CN"/>
              </w:rPr>
            </w:pPr>
            <w:r>
              <w:rPr>
                <w:rFonts w:hint="eastAsia" w:ascii="宋体" w:hAnsi="宋体" w:cs="宋体"/>
                <w:color w:val="000000"/>
                <w:sz w:val="18"/>
                <w:szCs w:val="18"/>
                <w:shd w:val="clear" w:color="auto" w:fill="FFFFFF"/>
                <w:lang w:val="en-US" w:eastAsia="zh-CN"/>
              </w:rPr>
              <w:t>5、</w:t>
            </w:r>
            <w:r>
              <w:rPr>
                <w:rFonts w:hint="eastAsia" w:ascii="宋体" w:hAnsi="宋体" w:cs="宋体"/>
                <w:color w:val="000000"/>
                <w:sz w:val="18"/>
                <w:szCs w:val="18"/>
                <w:shd w:val="clear" w:color="auto" w:fill="FFFFFF"/>
              </w:rPr>
              <w:t>在行政裁决过程中发生腐败行为的</w:t>
            </w:r>
            <w:r>
              <w:rPr>
                <w:rFonts w:hint="eastAsia" w:ascii="宋体" w:hAnsi="宋体" w:cs="宋体"/>
                <w:color w:val="000000"/>
                <w:sz w:val="18"/>
                <w:szCs w:val="18"/>
                <w:shd w:val="clear" w:color="auto" w:fill="FFFFFF"/>
                <w:lang w:eastAsia="zh-CN"/>
              </w:rPr>
              <w:t>；</w:t>
            </w:r>
          </w:p>
          <w:p w14:paraId="1983F91F">
            <w:pPr>
              <w:autoSpaceDN w:val="0"/>
              <w:spacing w:line="260" w:lineRule="exact"/>
              <w:textAlignment w:val="center"/>
              <w:rPr>
                <w:rFonts w:hint="eastAsia" w:ascii="宋体" w:hAnsi="宋体" w:eastAsia="宋体" w:cs="宋体"/>
                <w:color w:val="000000"/>
                <w:sz w:val="18"/>
                <w:szCs w:val="18"/>
                <w:shd w:val="clear" w:color="auto" w:fill="FFFFFF"/>
                <w:lang w:val="en-US" w:eastAsia="zh-CN"/>
              </w:rPr>
            </w:pPr>
            <w:r>
              <w:rPr>
                <w:rFonts w:hint="eastAsia" w:ascii="宋体" w:hAnsi="宋体" w:cs="宋体"/>
                <w:color w:val="000000"/>
                <w:sz w:val="18"/>
                <w:szCs w:val="18"/>
                <w:shd w:val="clear" w:color="auto" w:fill="FFFFFF"/>
                <w:lang w:val="en-US" w:eastAsia="zh-CN"/>
              </w:rPr>
              <w:t>6、</w:t>
            </w:r>
            <w:r>
              <w:rPr>
                <w:rFonts w:hint="eastAsia" w:ascii="宋体" w:hAnsi="宋体" w:cs="宋体"/>
                <w:color w:val="000000"/>
                <w:sz w:val="18"/>
                <w:szCs w:val="18"/>
              </w:rPr>
              <w:t>其他违反法律法规规章文件规定的行为。</w:t>
            </w:r>
          </w:p>
        </w:tc>
        <w:tc>
          <w:tcPr>
            <w:tcW w:w="963" w:type="dxa"/>
            <w:noWrap w:val="0"/>
            <w:vAlign w:val="center"/>
          </w:tcPr>
          <w:p w14:paraId="3FE36E40">
            <w:pPr>
              <w:autoSpaceDN w:val="0"/>
              <w:spacing w:line="260" w:lineRule="exact"/>
              <w:jc w:val="center"/>
              <w:textAlignment w:val="center"/>
              <w:rPr>
                <w:rFonts w:hint="eastAsia" w:ascii="宋体" w:hAnsi="宋体" w:cs="宋体"/>
                <w:color w:val="000000"/>
                <w:sz w:val="18"/>
                <w:szCs w:val="18"/>
              </w:rPr>
            </w:pPr>
          </w:p>
        </w:tc>
      </w:tr>
      <w:tr w14:paraId="10BB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jc w:val="center"/>
        </w:trPr>
        <w:tc>
          <w:tcPr>
            <w:tcW w:w="448" w:type="dxa"/>
            <w:noWrap w:val="0"/>
            <w:vAlign w:val="center"/>
          </w:tcPr>
          <w:p w14:paraId="70039D41">
            <w:pPr>
              <w:autoSpaceDN w:val="0"/>
              <w:spacing w:line="260" w:lineRule="exact"/>
              <w:jc w:val="center"/>
              <w:textAlignment w:val="center"/>
              <w:rPr>
                <w:rFonts w:hint="eastAsia" w:ascii="宋体" w:hAnsi="宋体" w:cs="宋体"/>
                <w:color w:val="000000"/>
                <w:sz w:val="18"/>
                <w:szCs w:val="18"/>
              </w:rPr>
            </w:pPr>
            <w:r>
              <w:rPr>
                <w:rFonts w:hint="eastAsia" w:ascii="宋体" w:hAnsi="宋体" w:cs="宋体"/>
                <w:color w:val="000000"/>
                <w:sz w:val="18"/>
                <w:szCs w:val="18"/>
              </w:rPr>
              <w:t>2</w:t>
            </w:r>
          </w:p>
        </w:tc>
        <w:tc>
          <w:tcPr>
            <w:tcW w:w="616" w:type="dxa"/>
            <w:noWrap w:val="0"/>
            <w:textDirection w:val="tbRlV"/>
            <w:vAlign w:val="center"/>
          </w:tcPr>
          <w:p w14:paraId="5E5A7A9F">
            <w:pPr>
              <w:autoSpaceDN w:val="0"/>
              <w:spacing w:line="260" w:lineRule="exact"/>
              <w:ind w:left="113" w:right="113"/>
              <w:jc w:val="center"/>
              <w:textAlignment w:val="center"/>
              <w:rPr>
                <w:rFonts w:hint="eastAsia" w:ascii="宋体" w:hAnsi="宋体" w:cs="宋体"/>
                <w:color w:val="000000"/>
                <w:sz w:val="18"/>
                <w:szCs w:val="18"/>
              </w:rPr>
            </w:pPr>
            <w:r>
              <w:rPr>
                <w:rFonts w:hint="eastAsia" w:ascii="宋体" w:hAnsi="宋体" w:cs="宋体"/>
                <w:color w:val="000000"/>
                <w:sz w:val="18"/>
                <w:szCs w:val="18"/>
              </w:rPr>
              <w:t>行政裁决</w:t>
            </w:r>
          </w:p>
        </w:tc>
        <w:tc>
          <w:tcPr>
            <w:tcW w:w="761" w:type="dxa"/>
            <w:noWrap w:val="0"/>
            <w:textDirection w:val="tbRlV"/>
            <w:vAlign w:val="center"/>
          </w:tcPr>
          <w:p w14:paraId="35EF1D8A">
            <w:pPr>
              <w:autoSpaceDN w:val="0"/>
              <w:spacing w:line="260" w:lineRule="exact"/>
              <w:ind w:left="113" w:right="113"/>
              <w:jc w:val="center"/>
              <w:textAlignment w:val="center"/>
              <w:rPr>
                <w:rFonts w:hint="eastAsia" w:ascii="宋体" w:hAnsi="宋体" w:cs="宋体"/>
                <w:color w:val="000000"/>
                <w:sz w:val="18"/>
                <w:szCs w:val="18"/>
              </w:rPr>
            </w:pPr>
            <w:r>
              <w:rPr>
                <w:rFonts w:hint="eastAsia" w:ascii="宋体" w:hAnsi="宋体" w:cs="宋体"/>
                <w:color w:val="000000"/>
                <w:sz w:val="18"/>
                <w:szCs w:val="18"/>
              </w:rPr>
              <w:t>违反河道管理条例经济损失处理</w:t>
            </w:r>
          </w:p>
        </w:tc>
        <w:tc>
          <w:tcPr>
            <w:tcW w:w="751" w:type="dxa"/>
            <w:noWrap w:val="0"/>
            <w:textDirection w:val="tbRlV"/>
            <w:vAlign w:val="center"/>
          </w:tcPr>
          <w:p w14:paraId="701E36FD">
            <w:pPr>
              <w:autoSpaceDN w:val="0"/>
              <w:spacing w:line="260" w:lineRule="exact"/>
              <w:ind w:left="113" w:right="113"/>
              <w:jc w:val="center"/>
              <w:textAlignment w:val="center"/>
              <w:rPr>
                <w:rFonts w:hint="eastAsia" w:ascii="宋体" w:hAnsi="宋体" w:cs="宋体"/>
                <w:color w:val="000000"/>
                <w:sz w:val="18"/>
                <w:szCs w:val="18"/>
              </w:rPr>
            </w:pPr>
            <w:r>
              <w:rPr>
                <w:rFonts w:hint="eastAsia" w:ascii="宋体" w:hAnsi="宋体" w:cs="宋体"/>
                <w:color w:val="000000"/>
                <w:sz w:val="18"/>
                <w:szCs w:val="18"/>
              </w:rPr>
              <w:t>魏县水利局</w:t>
            </w:r>
          </w:p>
        </w:tc>
        <w:tc>
          <w:tcPr>
            <w:tcW w:w="5252" w:type="dxa"/>
            <w:noWrap w:val="0"/>
            <w:vAlign w:val="center"/>
          </w:tcPr>
          <w:p w14:paraId="43B55FB6">
            <w:pPr>
              <w:pStyle w:val="4"/>
              <w:spacing w:before="0" w:beforeAutospacing="0" w:after="0" w:afterAutospacing="0" w:line="260" w:lineRule="exac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1:法律法规</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中华人民共和国河道管理条例》;依据文号:1988年6月10日国务院令第3号发布，2011年1月8日第一次修正，2017年3月1日第二次修正，2017年10月7日第三次修正，2018年3月19日第四次修正;条款号:第四十七条：对违反本条例规定，造成国家、集体、个人经济损失的，受害方可以请求县级以上河道主管机关处理。受害方也可以直接向人民法院起诉。</w:t>
            </w:r>
          </w:p>
          <w:p w14:paraId="68326C2A">
            <w:pPr>
              <w:pStyle w:val="4"/>
              <w:spacing w:before="0" w:beforeAutospacing="0" w:after="0" w:afterAutospacing="0" w:line="260" w:lineRule="exac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当事人对河道主管机关的处理决定不服的，可以在接到通知之日起，15日内向人民法院起诉。;颁布机关:国务院;实施日期:2018-03-19</w:t>
            </w:r>
            <w:r>
              <w:rPr>
                <w:rFonts w:hint="eastAsia" w:ascii="宋体" w:hAnsi="宋体" w:eastAsia="宋体" w:cs="宋体"/>
                <w:color w:val="000000"/>
                <w:sz w:val="18"/>
                <w:szCs w:val="18"/>
                <w:lang w:eastAsia="zh-CN"/>
              </w:rPr>
              <w:t>。</w:t>
            </w:r>
          </w:p>
          <w:p w14:paraId="6386B6EB">
            <w:pPr>
              <w:autoSpaceDN w:val="0"/>
              <w:spacing w:line="260" w:lineRule="exact"/>
              <w:jc w:val="center"/>
              <w:textAlignment w:val="center"/>
              <w:rPr>
                <w:rFonts w:hint="eastAsia" w:ascii="宋体" w:hAnsi="宋体" w:cs="宋体"/>
                <w:color w:val="000000"/>
                <w:sz w:val="18"/>
                <w:szCs w:val="18"/>
              </w:rPr>
            </w:pPr>
          </w:p>
        </w:tc>
        <w:tc>
          <w:tcPr>
            <w:tcW w:w="2705" w:type="dxa"/>
            <w:noWrap w:val="0"/>
            <w:vAlign w:val="center"/>
          </w:tcPr>
          <w:p w14:paraId="0EA02D3B">
            <w:pPr>
              <w:pStyle w:val="4"/>
              <w:spacing w:before="0" w:beforeAutospacing="0" w:after="0" w:afterAutospacing="0" w:line="260" w:lineRule="exact"/>
              <w:jc w:val="both"/>
              <w:rPr>
                <w:rFonts w:ascii="宋体" w:hAnsi="宋体" w:eastAsia="宋体"/>
                <w:color w:val="000000"/>
                <w:sz w:val="18"/>
                <w:szCs w:val="18"/>
              </w:rPr>
            </w:pPr>
            <w:r>
              <w:rPr>
                <w:rFonts w:hint="eastAsia" w:ascii="宋体" w:hAnsi="宋体" w:eastAsia="宋体" w:cs="宋体"/>
                <w:color w:val="000000"/>
                <w:sz w:val="18"/>
                <w:szCs w:val="18"/>
              </w:rPr>
              <w:t>1、受理阶段责任</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对符合裁决条件、材料齐备的予以受理，对材料不齐的一次性告知补正，对不符合裁决条件的，不予受理并告知其理由。</w:t>
            </w:r>
          </w:p>
          <w:p w14:paraId="60354880">
            <w:pPr>
              <w:pStyle w:val="4"/>
              <w:spacing w:before="0" w:beforeAutospacing="0" w:after="0" w:afterAutospacing="0" w:line="260" w:lineRule="exact"/>
              <w:jc w:val="both"/>
              <w:rPr>
                <w:rFonts w:ascii="宋体" w:hAnsi="宋体" w:eastAsia="宋体"/>
                <w:color w:val="000000"/>
                <w:sz w:val="18"/>
                <w:szCs w:val="18"/>
              </w:rPr>
            </w:pPr>
            <w:r>
              <w:rPr>
                <w:rFonts w:hint="eastAsia" w:ascii="宋体" w:hAnsi="宋体" w:eastAsia="宋体" w:cs="宋体"/>
                <w:color w:val="000000"/>
                <w:sz w:val="18"/>
                <w:szCs w:val="18"/>
              </w:rPr>
              <w:t>2、审理阶段责任</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对争议的事实、证据材料进行审查，组织实地勘察和听证活动</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并由双方当面陈述情况，以查明案情。</w:t>
            </w:r>
          </w:p>
          <w:p w14:paraId="3D1F0F9C">
            <w:pPr>
              <w:pStyle w:val="4"/>
              <w:spacing w:before="0" w:beforeAutospacing="0" w:after="0" w:afterAutospacing="0" w:line="260" w:lineRule="exact"/>
              <w:jc w:val="both"/>
              <w:rPr>
                <w:rFonts w:ascii="宋体" w:hAnsi="宋体" w:eastAsia="宋体"/>
                <w:color w:val="000000"/>
                <w:sz w:val="18"/>
                <w:szCs w:val="18"/>
              </w:rPr>
            </w:pPr>
            <w:r>
              <w:rPr>
                <w:rFonts w:hint="eastAsia" w:ascii="宋体" w:hAnsi="宋体" w:eastAsia="宋体" w:cs="宋体"/>
                <w:color w:val="000000"/>
                <w:sz w:val="18"/>
                <w:szCs w:val="18"/>
              </w:rPr>
              <w:t>3、裁决阶段责任</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根据事实和法规做出裁决，将裁决建议上报市政府。</w:t>
            </w:r>
          </w:p>
          <w:p w14:paraId="52DBEA01">
            <w:pPr>
              <w:pStyle w:val="4"/>
              <w:spacing w:before="0" w:beforeAutospacing="0" w:after="0" w:afterAutospacing="0" w:line="260" w:lineRule="exact"/>
              <w:jc w:val="both"/>
              <w:rPr>
                <w:rFonts w:ascii="宋体" w:hAnsi="宋体" w:eastAsia="宋体"/>
                <w:color w:val="000000"/>
                <w:sz w:val="18"/>
                <w:szCs w:val="18"/>
              </w:rPr>
            </w:pPr>
            <w:r>
              <w:rPr>
                <w:rFonts w:hint="eastAsia" w:ascii="宋体" w:hAnsi="宋体" w:eastAsia="宋体" w:cs="宋体"/>
                <w:color w:val="000000"/>
                <w:sz w:val="18"/>
                <w:szCs w:val="18"/>
              </w:rPr>
              <w:t>4、执行阶段责任</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裁决生效后，争议双方应当自觉履行。</w:t>
            </w:r>
          </w:p>
          <w:p w14:paraId="6D4F4C4F">
            <w:pPr>
              <w:autoSpaceDN w:val="0"/>
              <w:spacing w:line="260" w:lineRule="exact"/>
              <w:textAlignment w:val="center"/>
              <w:rPr>
                <w:rFonts w:hint="eastAsia" w:ascii="宋体" w:hAnsi="宋体" w:cs="宋体"/>
                <w:color w:val="000000"/>
                <w:sz w:val="18"/>
                <w:szCs w:val="18"/>
              </w:rPr>
            </w:pPr>
            <w:r>
              <w:rPr>
                <w:rFonts w:hint="eastAsia" w:ascii="宋体" w:hAnsi="宋体" w:cs="宋体"/>
                <w:color w:val="000000"/>
                <w:sz w:val="18"/>
                <w:szCs w:val="18"/>
              </w:rPr>
              <w:t>5、其他法律法规文件规定要求应履行的责任。</w:t>
            </w:r>
          </w:p>
        </w:tc>
        <w:tc>
          <w:tcPr>
            <w:tcW w:w="2800" w:type="dxa"/>
            <w:noWrap w:val="0"/>
            <w:vAlign w:val="center"/>
          </w:tcPr>
          <w:p w14:paraId="56B23F15">
            <w:pPr>
              <w:pStyle w:val="4"/>
              <w:spacing w:before="0" w:beforeAutospacing="0" w:after="0" w:afterAutospacing="0" w:line="260" w:lineRule="exact"/>
              <w:jc w:val="both"/>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因不履行或不正确履行行政职责，有下列情形的，行政机关及相关工作人员应承担相应责任：1、对符合条件的权属争议裁决申请不予受理、裁决的；</w:t>
            </w:r>
          </w:p>
          <w:p w14:paraId="7A1D5A93">
            <w:pPr>
              <w:pStyle w:val="4"/>
              <w:numPr>
                <w:ilvl w:val="0"/>
                <w:numId w:val="1"/>
              </w:numPr>
              <w:spacing w:before="0" w:beforeAutospacing="0" w:after="0" w:afterAutospacing="0" w:line="260" w:lineRule="exact"/>
              <w:jc w:val="both"/>
              <w:rPr>
                <w:rFonts w:hint="eastAsia" w:ascii="宋体" w:hAnsi="宋体" w:eastAsia="宋体" w:cs="宋体"/>
                <w:color w:val="000000"/>
                <w:sz w:val="18"/>
                <w:szCs w:val="18"/>
              </w:rPr>
            </w:pPr>
            <w:r>
              <w:rPr>
                <w:rFonts w:hint="eastAsia" w:ascii="宋体" w:hAnsi="宋体" w:eastAsia="宋体" w:cs="宋体"/>
                <w:color w:val="000000"/>
                <w:sz w:val="18"/>
                <w:szCs w:val="18"/>
              </w:rPr>
              <w:t>对不符合法定条件的权属争议裁决申请受理、裁决的；</w:t>
            </w:r>
          </w:p>
          <w:p w14:paraId="483A5205">
            <w:pPr>
              <w:pStyle w:val="4"/>
              <w:numPr>
                <w:ilvl w:val="0"/>
                <w:numId w:val="0"/>
              </w:numPr>
              <w:spacing w:before="0" w:beforeAutospacing="0" w:after="0" w:afterAutospacing="0" w:line="260" w:lineRule="exact"/>
              <w:jc w:val="both"/>
              <w:rPr>
                <w:rFonts w:hint="eastAsia" w:ascii="宋体" w:hAnsi="宋体" w:eastAsia="宋体" w:cs="宋体"/>
                <w:color w:val="000000"/>
                <w:sz w:val="18"/>
                <w:szCs w:val="18"/>
              </w:rPr>
            </w:pPr>
            <w:r>
              <w:rPr>
                <w:rFonts w:hint="eastAsia" w:ascii="宋体" w:hAnsi="宋体" w:eastAsia="宋体" w:cs="宋体"/>
                <w:color w:val="000000"/>
                <w:sz w:val="18"/>
                <w:szCs w:val="18"/>
              </w:rPr>
              <w:t>3、因裁决不当给行政相对人造成损失的；</w:t>
            </w:r>
          </w:p>
          <w:p w14:paraId="3BDA49D3">
            <w:pPr>
              <w:pStyle w:val="4"/>
              <w:spacing w:before="0" w:beforeAutospacing="0" w:after="0" w:afterAutospacing="0" w:line="260" w:lineRule="exact"/>
              <w:jc w:val="both"/>
              <w:rPr>
                <w:rFonts w:hint="eastAsia" w:ascii="宋体" w:hAnsi="宋体" w:eastAsia="宋体" w:cs="宋体"/>
                <w:color w:val="000000"/>
                <w:sz w:val="18"/>
                <w:szCs w:val="18"/>
              </w:rPr>
            </w:pPr>
            <w:r>
              <w:rPr>
                <w:rFonts w:hint="eastAsia" w:ascii="宋体" w:hAnsi="宋体" w:eastAsia="宋体" w:cs="宋体"/>
                <w:color w:val="000000"/>
                <w:sz w:val="18"/>
                <w:szCs w:val="18"/>
              </w:rPr>
              <w:t>4、没有法律和事实依据进行行政裁决的；</w:t>
            </w:r>
          </w:p>
          <w:p w14:paraId="3665456E">
            <w:pPr>
              <w:pStyle w:val="4"/>
              <w:spacing w:before="0" w:beforeAutospacing="0" w:after="0" w:afterAutospacing="0" w:line="260" w:lineRule="exact"/>
              <w:jc w:val="both"/>
              <w:rPr>
                <w:rFonts w:hint="eastAsia" w:ascii="宋体" w:hAnsi="宋体" w:eastAsia="宋体" w:cs="宋体"/>
                <w:color w:val="000000"/>
                <w:sz w:val="18"/>
                <w:szCs w:val="18"/>
              </w:rPr>
            </w:pPr>
            <w:r>
              <w:rPr>
                <w:rFonts w:hint="eastAsia" w:ascii="宋体" w:hAnsi="宋体" w:eastAsia="宋体" w:cs="宋体"/>
                <w:color w:val="000000"/>
                <w:sz w:val="18"/>
                <w:szCs w:val="18"/>
              </w:rPr>
              <w:t>5、符合听证条件、当事人要求听证，应予组织听证而不组织听证的；</w:t>
            </w:r>
          </w:p>
          <w:p w14:paraId="3B9C1550">
            <w:pPr>
              <w:pStyle w:val="4"/>
              <w:spacing w:before="0" w:beforeAutospacing="0" w:after="0" w:afterAutospacing="0" w:line="260" w:lineRule="exact"/>
              <w:jc w:val="both"/>
              <w:rPr>
                <w:rFonts w:hint="eastAsia" w:ascii="宋体" w:hAnsi="宋体" w:eastAsia="宋体" w:cs="宋体"/>
                <w:color w:val="000000"/>
                <w:sz w:val="18"/>
                <w:szCs w:val="18"/>
              </w:rPr>
            </w:pPr>
            <w:r>
              <w:rPr>
                <w:rFonts w:hint="eastAsia" w:ascii="宋体" w:hAnsi="宋体" w:eastAsia="宋体" w:cs="宋体"/>
                <w:color w:val="000000"/>
                <w:sz w:val="18"/>
                <w:szCs w:val="18"/>
              </w:rPr>
              <w:t>6、在权属争议裁决工作中玩忽职守、滥用职权的；</w:t>
            </w:r>
          </w:p>
          <w:p w14:paraId="4CC0B440">
            <w:pPr>
              <w:pStyle w:val="4"/>
              <w:spacing w:before="0" w:beforeAutospacing="0" w:after="0" w:afterAutospacing="0" w:line="260" w:lineRule="exact"/>
              <w:jc w:val="both"/>
              <w:rPr>
                <w:rFonts w:hint="eastAsia" w:ascii="宋体" w:hAnsi="宋体" w:eastAsia="宋体" w:cs="宋体"/>
                <w:color w:val="000000"/>
                <w:sz w:val="18"/>
                <w:szCs w:val="18"/>
              </w:rPr>
            </w:pPr>
            <w:r>
              <w:rPr>
                <w:rFonts w:hint="eastAsia" w:ascii="宋体" w:hAnsi="宋体" w:eastAsia="宋体" w:cs="宋体"/>
                <w:color w:val="000000"/>
                <w:sz w:val="18"/>
                <w:szCs w:val="18"/>
              </w:rPr>
              <w:t>7、在行政裁决过程中发生腐败行为的；</w:t>
            </w:r>
          </w:p>
          <w:p w14:paraId="06682CAE">
            <w:pPr>
              <w:autoSpaceDN w:val="0"/>
              <w:spacing w:line="260" w:lineRule="exact"/>
              <w:textAlignment w:val="center"/>
              <w:rPr>
                <w:rFonts w:hint="eastAsia" w:ascii="宋体" w:hAnsi="宋体" w:cs="宋体"/>
                <w:color w:val="000000"/>
                <w:sz w:val="18"/>
                <w:szCs w:val="18"/>
              </w:rPr>
            </w:pPr>
            <w:r>
              <w:rPr>
                <w:rFonts w:hint="eastAsia" w:ascii="宋体" w:hAnsi="宋体" w:cs="宋体"/>
                <w:color w:val="000000"/>
                <w:sz w:val="18"/>
                <w:szCs w:val="18"/>
              </w:rPr>
              <w:t>8、其他违反法律法规规章文件规定的行为。</w:t>
            </w:r>
          </w:p>
        </w:tc>
        <w:tc>
          <w:tcPr>
            <w:tcW w:w="963" w:type="dxa"/>
            <w:noWrap w:val="0"/>
            <w:vAlign w:val="center"/>
          </w:tcPr>
          <w:p w14:paraId="1F66699F">
            <w:pPr>
              <w:autoSpaceDN w:val="0"/>
              <w:spacing w:line="260" w:lineRule="exact"/>
              <w:jc w:val="center"/>
              <w:textAlignment w:val="center"/>
              <w:rPr>
                <w:rFonts w:hint="eastAsia" w:ascii="宋体" w:hAnsi="宋体" w:cs="宋体"/>
                <w:color w:val="000000"/>
                <w:sz w:val="18"/>
                <w:szCs w:val="18"/>
              </w:rPr>
            </w:pPr>
          </w:p>
        </w:tc>
      </w:tr>
      <w:tr w14:paraId="0C5F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jc w:val="center"/>
        </w:trPr>
        <w:tc>
          <w:tcPr>
            <w:tcW w:w="448" w:type="dxa"/>
            <w:noWrap w:val="0"/>
            <w:vAlign w:val="center"/>
          </w:tcPr>
          <w:p w14:paraId="792F4400">
            <w:pPr>
              <w:autoSpaceDN w:val="0"/>
              <w:spacing w:line="260" w:lineRule="exact"/>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616" w:type="dxa"/>
            <w:noWrap w:val="0"/>
            <w:textDirection w:val="tbRlV"/>
            <w:vAlign w:val="center"/>
          </w:tcPr>
          <w:p w14:paraId="2ED3342E">
            <w:pPr>
              <w:autoSpaceDN w:val="0"/>
              <w:spacing w:line="260" w:lineRule="exact"/>
              <w:ind w:left="113" w:leftChars="0" w:right="113" w:rightChars="0"/>
              <w:jc w:val="both"/>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 xml:space="preserve">                       行政裁决</w:t>
            </w:r>
          </w:p>
        </w:tc>
        <w:tc>
          <w:tcPr>
            <w:tcW w:w="761" w:type="dxa"/>
            <w:noWrap w:val="0"/>
            <w:textDirection w:val="tbRlV"/>
            <w:vAlign w:val="center"/>
          </w:tcPr>
          <w:p w14:paraId="405100DB">
            <w:pPr>
              <w:autoSpaceDN w:val="0"/>
              <w:spacing w:line="260" w:lineRule="exact"/>
              <w:ind w:left="113" w:leftChars="0" w:right="113" w:rightChars="0"/>
              <w:jc w:val="both"/>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 xml:space="preserve">   </w:t>
            </w:r>
            <w:r>
              <w:rPr>
                <w:rFonts w:hint="eastAsia" w:ascii="宋体" w:hAnsi="宋体" w:eastAsia="宋体" w:cs="宋体"/>
                <w:color w:val="000000"/>
                <w:kern w:val="0"/>
                <w:sz w:val="18"/>
                <w:szCs w:val="18"/>
                <w:shd w:val="clear" w:color="auto" w:fill="FFFFFF"/>
                <w:lang w:val="en-US" w:eastAsia="zh-CN" w:bidi="ar-SA"/>
              </w:rPr>
              <w:t xml:space="preserve">   不同行政区域之间发生水土流失纠纷的裁决</w:t>
            </w:r>
          </w:p>
        </w:tc>
        <w:tc>
          <w:tcPr>
            <w:tcW w:w="751" w:type="dxa"/>
            <w:noWrap w:val="0"/>
            <w:textDirection w:val="tbRlV"/>
            <w:vAlign w:val="center"/>
          </w:tcPr>
          <w:p w14:paraId="2141D995">
            <w:pPr>
              <w:autoSpaceDN w:val="0"/>
              <w:spacing w:line="260" w:lineRule="exact"/>
              <w:ind w:left="113" w:leftChars="0" w:right="113" w:rightChars="0"/>
              <w:jc w:val="center"/>
              <w:textAlignment w:val="center"/>
              <w:rPr>
                <w:rFonts w:hint="eastAsia" w:ascii="宋体" w:hAnsi="宋体" w:cs="宋体"/>
                <w:color w:val="000000"/>
                <w:sz w:val="18"/>
                <w:szCs w:val="18"/>
              </w:rPr>
            </w:pPr>
            <w:r>
              <w:rPr>
                <w:rFonts w:hint="eastAsia" w:ascii="宋体" w:hAnsi="宋体" w:cs="宋体"/>
                <w:color w:val="000000"/>
                <w:sz w:val="18"/>
                <w:szCs w:val="18"/>
              </w:rPr>
              <w:t>魏县水利局</w:t>
            </w:r>
          </w:p>
        </w:tc>
        <w:tc>
          <w:tcPr>
            <w:tcW w:w="5252" w:type="dxa"/>
            <w:noWrap w:val="0"/>
            <w:vAlign w:val="center"/>
          </w:tcPr>
          <w:p w14:paraId="750D33B5">
            <w:pPr>
              <w:autoSpaceDN w:val="0"/>
              <w:spacing w:line="260" w:lineRule="exact"/>
              <w:jc w:val="center"/>
              <w:textAlignment w:val="center"/>
              <w:rPr>
                <w:rFonts w:hint="eastAsia" w:ascii="宋体" w:hAnsi="宋体" w:cs="宋体"/>
                <w:color w:val="000000"/>
                <w:sz w:val="18"/>
                <w:szCs w:val="18"/>
              </w:rPr>
            </w:pPr>
            <w:r>
              <w:rPr>
                <w:rFonts w:hint="eastAsia" w:ascii="宋体" w:hAnsi="宋体" w:eastAsia="宋体" w:cs="宋体"/>
                <w:color w:val="000000"/>
                <w:kern w:val="0"/>
                <w:sz w:val="18"/>
                <w:szCs w:val="18"/>
                <w:shd w:val="clear" w:color="auto" w:fill="FFFFFF"/>
                <w:lang w:val="en-US" w:eastAsia="zh-CN" w:bidi="ar-SA"/>
              </w:rPr>
              <w:t>《中华人民共和国水法》</w:t>
            </w:r>
            <w:r>
              <w:rPr>
                <w:rFonts w:hint="eastAsia" w:ascii="宋体" w:hAnsi="宋体" w:eastAsia="宋体" w:cs="宋体"/>
                <w:color w:val="000000"/>
                <w:kern w:val="0"/>
                <w:sz w:val="18"/>
                <w:szCs w:val="18"/>
                <w:shd w:val="clear" w:color="auto" w:fill="FFFFFF"/>
                <w:lang w:val="en-US" w:eastAsia="zh-CN" w:bidi="ar-SA"/>
              </w:rPr>
              <w:br w:type="textWrapping"/>
            </w:r>
            <w:r>
              <w:rPr>
                <w:rFonts w:hint="eastAsia" w:ascii="宋体" w:hAnsi="宋体" w:eastAsia="宋体" w:cs="宋体"/>
                <w:color w:val="000000"/>
                <w:kern w:val="0"/>
                <w:sz w:val="18"/>
                <w:szCs w:val="18"/>
                <w:shd w:val="clear" w:color="auto" w:fill="FFFFFF"/>
                <w:lang w:val="en-US" w:eastAsia="zh-CN" w:bidi="ar-SA"/>
              </w:rPr>
              <w:t>《中华人民共和国防汛条例》</w:t>
            </w:r>
            <w:r>
              <w:rPr>
                <w:rFonts w:hint="eastAsia" w:ascii="宋体" w:hAnsi="宋体" w:eastAsia="宋体" w:cs="宋体"/>
                <w:color w:val="000000"/>
                <w:kern w:val="0"/>
                <w:sz w:val="18"/>
                <w:szCs w:val="18"/>
                <w:shd w:val="clear" w:color="auto" w:fill="FFFFFF"/>
                <w:lang w:val="en-US" w:eastAsia="zh-CN" w:bidi="ar-SA"/>
              </w:rPr>
              <w:br w:type="textWrapping"/>
            </w:r>
            <w:r>
              <w:rPr>
                <w:rFonts w:hint="eastAsia" w:ascii="宋体" w:hAnsi="宋体" w:eastAsia="宋体" w:cs="宋体"/>
                <w:color w:val="000000"/>
                <w:kern w:val="0"/>
                <w:sz w:val="18"/>
                <w:szCs w:val="18"/>
                <w:shd w:val="clear" w:color="auto" w:fill="FFFFFF"/>
                <w:lang w:val="en-US" w:eastAsia="zh-CN" w:bidi="ar-SA"/>
              </w:rPr>
              <w:t>《中华人民共和国河道管理条例》</w:t>
            </w:r>
            <w:r>
              <w:rPr>
                <w:rFonts w:hint="eastAsia" w:ascii="宋体" w:hAnsi="宋体" w:eastAsia="宋体" w:cs="宋体"/>
                <w:color w:val="000000"/>
                <w:kern w:val="0"/>
                <w:sz w:val="18"/>
                <w:szCs w:val="18"/>
                <w:shd w:val="clear" w:color="auto" w:fill="FFFFFF"/>
                <w:lang w:val="en-US" w:eastAsia="zh-CN" w:bidi="ar-SA"/>
              </w:rPr>
              <w:br w:type="textWrapping"/>
            </w:r>
            <w:r>
              <w:rPr>
                <w:rFonts w:hint="eastAsia" w:ascii="宋体" w:hAnsi="宋体" w:eastAsia="宋体" w:cs="宋体"/>
                <w:color w:val="000000"/>
                <w:kern w:val="0"/>
                <w:sz w:val="18"/>
                <w:szCs w:val="18"/>
                <w:shd w:val="clear" w:color="auto" w:fill="FFFFFF"/>
                <w:lang w:val="en-US" w:eastAsia="zh-CN" w:bidi="ar-SA"/>
              </w:rPr>
              <w:t>《河北省水利工程管理条例》</w:t>
            </w:r>
          </w:p>
        </w:tc>
        <w:tc>
          <w:tcPr>
            <w:tcW w:w="2705" w:type="dxa"/>
            <w:noWrap w:val="0"/>
            <w:vAlign w:val="center"/>
          </w:tcPr>
          <w:p w14:paraId="28941709">
            <w:pPr>
              <w:pStyle w:val="4"/>
              <w:spacing w:before="0" w:beforeAutospacing="0" w:after="0" w:afterAutospacing="0" w:line="260" w:lineRule="exact"/>
              <w:rPr>
                <w:rFonts w:ascii="宋体" w:hAnsi="宋体" w:eastAsia="宋体"/>
                <w:color w:val="000000"/>
                <w:sz w:val="18"/>
                <w:szCs w:val="18"/>
              </w:rPr>
            </w:pPr>
            <w:r>
              <w:rPr>
                <w:rFonts w:hint="eastAsia" w:ascii="宋体" w:hAnsi="宋体" w:eastAsia="宋体" w:cs="宋体"/>
                <w:color w:val="000000"/>
                <w:sz w:val="18"/>
                <w:szCs w:val="18"/>
                <w:shd w:val="clear" w:color="auto" w:fill="FFFFFF"/>
              </w:rPr>
              <w:t>1、受理阶段责任</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对符合裁决条件、材料齐备的予以受理，对材料不齐的一次性告知补正，对不符合裁决条件的，不予受理并告知其理由。</w:t>
            </w:r>
          </w:p>
          <w:p w14:paraId="507EC90D">
            <w:pPr>
              <w:pStyle w:val="4"/>
              <w:spacing w:before="0" w:beforeAutospacing="0" w:after="0" w:afterAutospacing="0" w:line="260" w:lineRule="exact"/>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2、审理阶段责任</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对争议的事实、证据材料进行审查，组织实地勘察和听证活动,并由双方当面陈述情况，以查明案情。</w:t>
            </w:r>
          </w:p>
          <w:p w14:paraId="05D25C66">
            <w:pPr>
              <w:pStyle w:val="4"/>
              <w:spacing w:before="0" w:beforeAutospacing="0" w:after="0" w:afterAutospacing="0" w:line="260" w:lineRule="exact"/>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3、裁决阶段责任</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根据事实和法规做出裁决，将裁决建议上报市政府。</w:t>
            </w:r>
          </w:p>
          <w:p w14:paraId="54D03CBE">
            <w:pPr>
              <w:pStyle w:val="4"/>
              <w:spacing w:before="0" w:beforeAutospacing="0" w:after="0" w:afterAutospacing="0" w:line="260" w:lineRule="exact"/>
              <w:rPr>
                <w:rFonts w:hint="eastAsia"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4、执行阶段责任</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裁决生效后，争议双方应当自觉履行。</w:t>
            </w:r>
          </w:p>
          <w:p w14:paraId="4B16C552">
            <w:pPr>
              <w:widowControl/>
              <w:spacing w:line="260" w:lineRule="exact"/>
              <w:rPr>
                <w:rFonts w:hint="eastAsia" w:ascii="宋体" w:hAnsi="宋体" w:cs="宋体"/>
                <w:color w:val="000000"/>
                <w:sz w:val="18"/>
                <w:szCs w:val="18"/>
              </w:rPr>
            </w:pPr>
            <w:r>
              <w:rPr>
                <w:rFonts w:hint="eastAsia" w:ascii="宋体" w:hAnsi="宋体" w:cs="宋体"/>
                <w:color w:val="000000"/>
                <w:sz w:val="18"/>
                <w:szCs w:val="18"/>
              </w:rPr>
              <w:t>5</w:t>
            </w:r>
            <w:r>
              <w:rPr>
                <w:rFonts w:hint="eastAsia" w:ascii="宋体" w:hAnsi="宋体" w:eastAsia="宋体" w:cs="宋体"/>
                <w:color w:val="000000"/>
                <w:sz w:val="18"/>
                <w:szCs w:val="18"/>
                <w:shd w:val="clear" w:color="auto" w:fill="FFFFFF"/>
              </w:rPr>
              <w:t>、其他法律法规文件规定要求应履行的责任。</w:t>
            </w:r>
          </w:p>
        </w:tc>
        <w:tc>
          <w:tcPr>
            <w:tcW w:w="2800" w:type="dxa"/>
            <w:noWrap w:val="0"/>
            <w:vAlign w:val="center"/>
          </w:tcPr>
          <w:p w14:paraId="09048102">
            <w:pPr>
              <w:tabs>
                <w:tab w:val="left" w:pos="764"/>
              </w:tabs>
              <w:autoSpaceDN w:val="0"/>
              <w:spacing w:line="260" w:lineRule="exact"/>
              <w:textAlignment w:val="center"/>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963" w:type="dxa"/>
            <w:noWrap w:val="0"/>
            <w:vAlign w:val="center"/>
          </w:tcPr>
          <w:p w14:paraId="58AFA8CF">
            <w:pPr>
              <w:autoSpaceDN w:val="0"/>
              <w:spacing w:line="260" w:lineRule="exact"/>
              <w:jc w:val="center"/>
              <w:textAlignment w:val="center"/>
              <w:rPr>
                <w:rFonts w:hint="eastAsia" w:ascii="宋体" w:hAnsi="宋体" w:cs="宋体"/>
                <w:color w:val="000000"/>
                <w:sz w:val="18"/>
                <w:szCs w:val="18"/>
              </w:rPr>
            </w:pPr>
          </w:p>
        </w:tc>
      </w:tr>
      <w:tr w14:paraId="13DC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448" w:type="dxa"/>
            <w:noWrap w:val="0"/>
            <w:vAlign w:val="center"/>
          </w:tcPr>
          <w:p w14:paraId="16CEBFF8">
            <w:pPr>
              <w:autoSpaceDN w:val="0"/>
              <w:spacing w:line="260" w:lineRule="exact"/>
              <w:jc w:val="center"/>
              <w:textAlignment w:val="center"/>
              <w:rPr>
                <w:rFonts w:hint="eastAsia" w:ascii="宋体" w:hAnsi="宋体" w:eastAsia="宋体" w:cs="宋体"/>
                <w:color w:val="000000"/>
                <w:sz w:val="18"/>
                <w:szCs w:val="18"/>
                <w:lang w:val="en-US" w:eastAsia="zh-CN"/>
              </w:rPr>
            </w:pPr>
            <w:r>
              <w:rPr>
                <w:rFonts w:hint="eastAsia"/>
                <w:kern w:val="2"/>
                <w:sz w:val="21"/>
                <w:szCs w:val="24"/>
                <w:lang w:val="en-US" w:eastAsia="zh-CN" w:bidi="ar-SA"/>
              </w:rPr>
              <w:t>4</w:t>
            </w:r>
          </w:p>
        </w:tc>
        <w:tc>
          <w:tcPr>
            <w:tcW w:w="616" w:type="dxa"/>
            <w:noWrap w:val="0"/>
            <w:textDirection w:val="tbRlV"/>
            <w:vAlign w:val="center"/>
          </w:tcPr>
          <w:p w14:paraId="7DA0A63E">
            <w:pPr>
              <w:autoSpaceDN w:val="0"/>
              <w:spacing w:line="260" w:lineRule="exact"/>
              <w:ind w:left="113" w:leftChars="0" w:right="113" w:righ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行政</w:t>
            </w:r>
            <w:r>
              <w:rPr>
                <w:rFonts w:hint="eastAsia" w:ascii="宋体" w:hAnsi="宋体" w:cs="宋体"/>
                <w:color w:val="000000"/>
                <w:sz w:val="18"/>
                <w:szCs w:val="18"/>
                <w:lang w:val="en-US" w:eastAsia="zh-CN"/>
              </w:rPr>
              <w:t>备案</w:t>
            </w:r>
          </w:p>
        </w:tc>
        <w:tc>
          <w:tcPr>
            <w:tcW w:w="761" w:type="dxa"/>
            <w:noWrap w:val="0"/>
            <w:textDirection w:val="tbRlV"/>
            <w:vAlign w:val="center"/>
          </w:tcPr>
          <w:p w14:paraId="4399D6DD">
            <w:pPr>
              <w:autoSpaceDN w:val="0"/>
              <w:spacing w:line="260" w:lineRule="exact"/>
              <w:ind w:left="113" w:leftChars="0" w:right="113" w:rightChars="0"/>
              <w:jc w:val="center"/>
              <w:textAlignment w:val="center"/>
              <w:rPr>
                <w:rFonts w:hint="default"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河道管理范围内建设项目施工安排备案</w:t>
            </w:r>
          </w:p>
        </w:tc>
        <w:tc>
          <w:tcPr>
            <w:tcW w:w="751" w:type="dxa"/>
            <w:noWrap w:val="0"/>
            <w:textDirection w:val="tbRlV"/>
            <w:vAlign w:val="center"/>
          </w:tcPr>
          <w:p w14:paraId="5419CFBB">
            <w:pPr>
              <w:autoSpaceDN w:val="0"/>
              <w:spacing w:line="260" w:lineRule="exact"/>
              <w:ind w:left="113" w:leftChars="0" w:right="113" w:rightChars="0"/>
              <w:jc w:val="center"/>
              <w:textAlignment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魏县水利局</w:t>
            </w:r>
          </w:p>
        </w:tc>
        <w:tc>
          <w:tcPr>
            <w:tcW w:w="5252" w:type="dxa"/>
            <w:noWrap w:val="0"/>
            <w:vAlign w:val="center"/>
          </w:tcPr>
          <w:p w14:paraId="59D1AB27">
            <w:pPr>
              <w:autoSpaceDN w:val="0"/>
              <w:spacing w:line="260" w:lineRule="exact"/>
              <w:jc w:val="center"/>
              <w:textAlignment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《中华人民共和国河道管理条例》</w:t>
            </w:r>
          </w:p>
        </w:tc>
        <w:tc>
          <w:tcPr>
            <w:tcW w:w="2705" w:type="dxa"/>
            <w:noWrap w:val="0"/>
            <w:vAlign w:val="center"/>
          </w:tcPr>
          <w:p w14:paraId="1F64D450">
            <w:pPr>
              <w:pStyle w:val="4"/>
              <w:spacing w:before="0" w:beforeAutospacing="0" w:after="0" w:afterAutospacing="0" w:line="260" w:lineRule="exact"/>
              <w:rPr>
                <w:rFonts w:hint="eastAsia" w:ascii="宋体" w:hAnsi="宋体" w:eastAsia="宋体" w:cs="宋体"/>
                <w:color w:val="000000"/>
                <w:kern w:val="0"/>
                <w:sz w:val="18"/>
                <w:szCs w:val="18"/>
                <w:shd w:val="clear" w:color="auto" w:fill="FFFFFF"/>
                <w:lang w:val="en-US" w:eastAsia="zh-CN" w:bidi="ar-SA"/>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3、决定责任；对符合条件的，准予网签备案；对不符合条件的，不予网签备案，并说明理由。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2800" w:type="dxa"/>
            <w:noWrap w:val="0"/>
            <w:vAlign w:val="center"/>
          </w:tcPr>
          <w:p w14:paraId="4166B55A">
            <w:pPr>
              <w:autoSpaceDN w:val="0"/>
              <w:spacing w:line="260" w:lineRule="exact"/>
              <w:jc w:val="left"/>
              <w:textAlignment w:val="center"/>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lang w:val="en-US" w:eastAsia="zh-CN" w:bidi="ar-SA"/>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lang w:val="en-US" w:eastAsia="zh-CN" w:bidi="ar-SA"/>
              </w:rPr>
              <w:br w:type="textWrapping"/>
            </w:r>
            <w:r>
              <w:rPr>
                <w:rFonts w:hint="eastAsia" w:ascii="宋体" w:hAnsi="宋体" w:eastAsia="宋体" w:cs="宋体"/>
                <w:b w:val="0"/>
                <w:bCs/>
                <w:color w:val="auto"/>
                <w:kern w:val="0"/>
                <w:sz w:val="18"/>
                <w:szCs w:val="18"/>
                <w:highlight w:val="none"/>
                <w:lang w:val="en-US" w:eastAsia="zh-CN" w:bidi="ar-SA"/>
              </w:rPr>
              <w:t>1、对符合条件的申请不予受理的；</w:t>
            </w:r>
            <w:r>
              <w:rPr>
                <w:rFonts w:hint="eastAsia" w:ascii="宋体" w:hAnsi="宋体" w:eastAsia="宋体" w:cs="宋体"/>
                <w:b w:val="0"/>
                <w:bCs/>
                <w:color w:val="auto"/>
                <w:kern w:val="0"/>
                <w:sz w:val="18"/>
                <w:szCs w:val="18"/>
                <w:highlight w:val="none"/>
                <w:lang w:val="en-US" w:eastAsia="zh-CN" w:bidi="ar-SA"/>
              </w:rPr>
              <w:br w:type="textWrapping"/>
            </w:r>
            <w:r>
              <w:rPr>
                <w:rFonts w:hint="eastAsia" w:ascii="宋体" w:hAnsi="宋体" w:eastAsia="宋体" w:cs="宋体"/>
                <w:b w:val="0"/>
                <w:bCs/>
                <w:color w:val="auto"/>
                <w:kern w:val="0"/>
                <w:sz w:val="18"/>
                <w:szCs w:val="18"/>
                <w:highlight w:val="none"/>
                <w:lang w:val="en-US" w:eastAsia="zh-CN" w:bidi="ar-SA"/>
              </w:rPr>
              <w:t>2、对不符合条件的申请人准予办理的；</w:t>
            </w:r>
            <w:r>
              <w:rPr>
                <w:rFonts w:hint="eastAsia" w:ascii="宋体" w:hAnsi="宋体" w:eastAsia="宋体" w:cs="宋体"/>
                <w:b w:val="0"/>
                <w:bCs/>
                <w:color w:val="auto"/>
                <w:kern w:val="0"/>
                <w:sz w:val="18"/>
                <w:szCs w:val="18"/>
                <w:highlight w:val="none"/>
                <w:lang w:val="en-US" w:eastAsia="zh-CN" w:bidi="ar-SA"/>
              </w:rPr>
              <w:br w:type="textWrapping"/>
            </w:r>
            <w:r>
              <w:rPr>
                <w:rFonts w:hint="eastAsia" w:ascii="宋体" w:hAnsi="宋体" w:eastAsia="宋体" w:cs="宋体"/>
                <w:b w:val="0"/>
                <w:bCs/>
                <w:color w:val="auto"/>
                <w:kern w:val="0"/>
                <w:sz w:val="18"/>
                <w:szCs w:val="18"/>
                <w:highlight w:val="none"/>
                <w:lang w:val="en-US" w:eastAsia="zh-CN" w:bidi="ar-SA"/>
              </w:rPr>
              <w:t>3、工作中玩忽职守、滥用职权的；</w:t>
            </w:r>
            <w:r>
              <w:rPr>
                <w:rFonts w:hint="eastAsia" w:ascii="宋体" w:hAnsi="宋体" w:eastAsia="宋体" w:cs="宋体"/>
                <w:b w:val="0"/>
                <w:bCs/>
                <w:color w:val="auto"/>
                <w:kern w:val="0"/>
                <w:sz w:val="18"/>
                <w:szCs w:val="18"/>
                <w:highlight w:val="none"/>
                <w:lang w:val="en-US" w:eastAsia="zh-CN" w:bidi="ar-SA"/>
              </w:rPr>
              <w:br w:type="textWrapping"/>
            </w:r>
            <w:r>
              <w:rPr>
                <w:rFonts w:hint="eastAsia" w:ascii="宋体" w:hAnsi="宋体" w:eastAsia="宋体" w:cs="宋体"/>
                <w:b w:val="0"/>
                <w:bCs/>
                <w:color w:val="auto"/>
                <w:kern w:val="0"/>
                <w:sz w:val="18"/>
                <w:szCs w:val="18"/>
                <w:highlight w:val="none"/>
                <w:lang w:val="en-US" w:eastAsia="zh-CN" w:bidi="ar-SA"/>
              </w:rPr>
              <w:t>4、办理工作中，索取或者收受他人财物或者谋取其他利益的；</w:t>
            </w:r>
            <w:r>
              <w:rPr>
                <w:rFonts w:hint="eastAsia" w:ascii="宋体" w:hAnsi="宋体" w:eastAsia="宋体" w:cs="宋体"/>
                <w:b w:val="0"/>
                <w:bCs/>
                <w:color w:val="auto"/>
                <w:kern w:val="0"/>
                <w:sz w:val="18"/>
                <w:szCs w:val="18"/>
                <w:highlight w:val="none"/>
                <w:lang w:val="en-US" w:eastAsia="zh-CN" w:bidi="ar-SA"/>
              </w:rPr>
              <w:br w:type="textWrapping"/>
            </w:r>
            <w:r>
              <w:rPr>
                <w:rFonts w:hint="eastAsia" w:ascii="宋体" w:hAnsi="宋体" w:eastAsia="宋体" w:cs="宋体"/>
                <w:b w:val="0"/>
                <w:bCs/>
                <w:color w:val="auto"/>
                <w:kern w:val="0"/>
                <w:sz w:val="18"/>
                <w:szCs w:val="18"/>
                <w:highlight w:val="none"/>
                <w:lang w:val="en-US" w:eastAsia="zh-CN" w:bidi="ar-SA"/>
              </w:rPr>
              <w:t>5、其他违反法律法规规章文件规定的行为。</w:t>
            </w:r>
          </w:p>
        </w:tc>
        <w:tc>
          <w:tcPr>
            <w:tcW w:w="963" w:type="dxa"/>
            <w:noWrap w:val="0"/>
            <w:vAlign w:val="center"/>
          </w:tcPr>
          <w:p w14:paraId="36A9194C">
            <w:pPr>
              <w:autoSpaceDN w:val="0"/>
              <w:spacing w:line="260" w:lineRule="exact"/>
              <w:jc w:val="center"/>
              <w:textAlignment w:val="center"/>
              <w:rPr>
                <w:rFonts w:hint="eastAsia" w:ascii="宋体" w:hAnsi="宋体" w:cs="宋体"/>
                <w:color w:val="000000"/>
                <w:sz w:val="18"/>
                <w:szCs w:val="18"/>
              </w:rPr>
            </w:pPr>
          </w:p>
        </w:tc>
      </w:tr>
      <w:tr w14:paraId="536C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448" w:type="dxa"/>
            <w:noWrap w:val="0"/>
            <w:vAlign w:val="center"/>
          </w:tcPr>
          <w:p w14:paraId="5AAE97B1">
            <w:pPr>
              <w:autoSpaceDN w:val="0"/>
              <w:spacing w:line="2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lang w:val="en-US" w:eastAsia="zh-CN"/>
              </w:rPr>
              <w:t>5</w:t>
            </w:r>
          </w:p>
        </w:tc>
        <w:tc>
          <w:tcPr>
            <w:tcW w:w="616" w:type="dxa"/>
            <w:noWrap w:val="0"/>
            <w:textDirection w:val="tbRlV"/>
            <w:vAlign w:val="center"/>
          </w:tcPr>
          <w:p w14:paraId="25294E2A">
            <w:pPr>
              <w:autoSpaceDN w:val="0"/>
              <w:spacing w:line="260" w:lineRule="exact"/>
              <w:ind w:left="113" w:leftChars="0" w:right="113" w:rightChars="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备案</w:t>
            </w:r>
          </w:p>
        </w:tc>
        <w:tc>
          <w:tcPr>
            <w:tcW w:w="761" w:type="dxa"/>
            <w:noWrap w:val="0"/>
            <w:textDirection w:val="tbRlV"/>
            <w:vAlign w:val="center"/>
          </w:tcPr>
          <w:p w14:paraId="70631FDC">
            <w:pPr>
              <w:autoSpaceDN w:val="0"/>
              <w:spacing w:line="260" w:lineRule="exact"/>
              <w:ind w:left="113" w:leftChars="0" w:right="113" w:right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水利工程拆除和爆破工程备案</w:t>
            </w:r>
          </w:p>
        </w:tc>
        <w:tc>
          <w:tcPr>
            <w:tcW w:w="751" w:type="dxa"/>
            <w:noWrap w:val="0"/>
            <w:textDirection w:val="tbRlV"/>
            <w:vAlign w:val="center"/>
          </w:tcPr>
          <w:p w14:paraId="6E4BE158">
            <w:pPr>
              <w:autoSpaceDN w:val="0"/>
              <w:spacing w:line="260" w:lineRule="exact"/>
              <w:ind w:left="113" w:leftChars="0" w:right="113" w:right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魏县水利局</w:t>
            </w:r>
          </w:p>
        </w:tc>
        <w:tc>
          <w:tcPr>
            <w:tcW w:w="5252" w:type="dxa"/>
            <w:noWrap w:val="0"/>
            <w:vAlign w:val="center"/>
          </w:tcPr>
          <w:p w14:paraId="60447C2F">
            <w:pPr>
              <w:autoSpaceDN w:val="0"/>
              <w:spacing w:line="26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《水利工程建设安全生产管理规定》</w:t>
            </w:r>
          </w:p>
        </w:tc>
        <w:tc>
          <w:tcPr>
            <w:tcW w:w="2705" w:type="dxa"/>
            <w:noWrap w:val="0"/>
            <w:vAlign w:val="center"/>
          </w:tcPr>
          <w:p w14:paraId="07273FEA">
            <w:pPr>
              <w:pStyle w:val="4"/>
              <w:spacing w:before="0" w:beforeAutospacing="0" w:after="0" w:afterAutospacing="0" w:line="260" w:lineRule="exact"/>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3、决定责任；对符合条件的，准予网签备案；对不符合条件的，不予网签备案，并说明理由。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2800" w:type="dxa"/>
            <w:noWrap w:val="0"/>
            <w:vAlign w:val="center"/>
          </w:tcPr>
          <w:p w14:paraId="616E49A9">
            <w:pPr>
              <w:autoSpaceDN w:val="0"/>
              <w:spacing w:line="260" w:lineRule="exact"/>
              <w:jc w:val="left"/>
              <w:textAlignment w:val="center"/>
              <w:rPr>
                <w:rFonts w:hint="eastAsia" w:ascii="宋体" w:hAnsi="宋体" w:cs="宋体"/>
                <w:color w:val="000000"/>
                <w:sz w:val="18"/>
                <w:szCs w:val="18"/>
              </w:rPr>
            </w:pPr>
          </w:p>
          <w:p w14:paraId="43D2E689">
            <w:pPr>
              <w:bidi w:val="0"/>
              <w:jc w:val="left"/>
              <w:rPr>
                <w:rFonts w:hint="eastAsia"/>
                <w:kern w:val="2"/>
                <w:sz w:val="21"/>
                <w:szCs w:val="24"/>
                <w:lang w:val="en-US" w:eastAsia="zh-CN" w:bidi="ar-SA"/>
              </w:rPr>
            </w:pPr>
          </w:p>
          <w:p w14:paraId="1457B94C">
            <w:pPr>
              <w:bidi w:val="0"/>
              <w:jc w:val="left"/>
              <w:rPr>
                <w:rFonts w:hint="eastAsia" w:ascii="宋体" w:hAnsi="宋体" w:cs="宋体"/>
                <w:color w:val="000000"/>
                <w:sz w:val="18"/>
                <w:szCs w:val="18"/>
                <w:lang w:eastAsia="zh-CN"/>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963" w:type="dxa"/>
            <w:noWrap w:val="0"/>
            <w:vAlign w:val="center"/>
          </w:tcPr>
          <w:p w14:paraId="3A80E996">
            <w:pPr>
              <w:autoSpaceDN w:val="0"/>
              <w:spacing w:line="260" w:lineRule="exact"/>
              <w:jc w:val="center"/>
              <w:textAlignment w:val="center"/>
              <w:rPr>
                <w:rFonts w:hint="eastAsia" w:ascii="宋体" w:hAnsi="宋体" w:cs="宋体"/>
                <w:color w:val="000000"/>
                <w:sz w:val="18"/>
                <w:szCs w:val="18"/>
              </w:rPr>
            </w:pPr>
          </w:p>
        </w:tc>
      </w:tr>
      <w:tr w14:paraId="7E9F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448" w:type="dxa"/>
            <w:noWrap w:val="0"/>
            <w:vAlign w:val="center"/>
          </w:tcPr>
          <w:p w14:paraId="0BE789F0">
            <w:pPr>
              <w:autoSpaceDN w:val="0"/>
              <w:spacing w:line="26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616" w:type="dxa"/>
            <w:noWrap w:val="0"/>
            <w:textDirection w:val="tbRlV"/>
            <w:vAlign w:val="center"/>
          </w:tcPr>
          <w:p w14:paraId="49FC6D99">
            <w:pPr>
              <w:autoSpaceDN w:val="0"/>
              <w:spacing w:line="260" w:lineRule="exact"/>
              <w:ind w:left="113" w:leftChars="0" w:right="113" w:right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行政</w:t>
            </w:r>
            <w:r>
              <w:rPr>
                <w:rFonts w:hint="eastAsia" w:ascii="宋体" w:hAnsi="宋体" w:cs="宋体"/>
                <w:color w:val="000000"/>
                <w:sz w:val="18"/>
                <w:szCs w:val="18"/>
                <w:lang w:val="en-US" w:eastAsia="zh-CN"/>
              </w:rPr>
              <w:t>备案</w:t>
            </w:r>
          </w:p>
        </w:tc>
        <w:tc>
          <w:tcPr>
            <w:tcW w:w="761" w:type="dxa"/>
            <w:noWrap w:val="0"/>
            <w:textDirection w:val="tbRlV"/>
            <w:vAlign w:val="center"/>
          </w:tcPr>
          <w:p w14:paraId="49C95491">
            <w:pPr>
              <w:autoSpaceDN w:val="0"/>
              <w:spacing w:line="260" w:lineRule="exact"/>
              <w:jc w:val="center"/>
              <w:textAlignment w:val="center"/>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lang w:val="en-US" w:eastAsia="zh-CN" w:bidi="ar-SA"/>
              </w:rPr>
              <w:t>水利工程建设项目安全生产措施方案备案</w:t>
            </w:r>
          </w:p>
        </w:tc>
        <w:tc>
          <w:tcPr>
            <w:tcW w:w="751" w:type="dxa"/>
            <w:noWrap w:val="0"/>
            <w:textDirection w:val="tbRlV"/>
            <w:vAlign w:val="center"/>
          </w:tcPr>
          <w:p w14:paraId="55125BFD">
            <w:pPr>
              <w:autoSpaceDN w:val="0"/>
              <w:spacing w:line="260" w:lineRule="exact"/>
              <w:ind w:left="113" w:leftChars="0" w:right="113" w:rightChars="0"/>
              <w:jc w:val="center"/>
              <w:textAlignment w:val="center"/>
              <w:rPr>
                <w:rFonts w:hint="eastAsia" w:ascii="宋体" w:hAnsi="宋体" w:cs="宋体"/>
                <w:color w:val="000000"/>
                <w:sz w:val="18"/>
                <w:szCs w:val="18"/>
              </w:rPr>
            </w:pPr>
            <w:r>
              <w:rPr>
                <w:rFonts w:hint="eastAsia" w:ascii="宋体" w:hAnsi="宋体" w:cs="宋体"/>
                <w:color w:val="000000"/>
                <w:sz w:val="18"/>
                <w:szCs w:val="18"/>
              </w:rPr>
              <w:t>魏县水利局</w:t>
            </w:r>
          </w:p>
        </w:tc>
        <w:tc>
          <w:tcPr>
            <w:tcW w:w="5252" w:type="dxa"/>
            <w:noWrap w:val="0"/>
            <w:vAlign w:val="center"/>
          </w:tcPr>
          <w:p w14:paraId="63386CFC">
            <w:pPr>
              <w:autoSpaceDN w:val="0"/>
              <w:spacing w:line="260" w:lineRule="exact"/>
              <w:jc w:val="center"/>
              <w:textAlignment w:val="center"/>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lang w:val="en-US" w:eastAsia="zh-CN" w:bidi="ar-SA"/>
              </w:rPr>
              <w:t>《水利工程建设安全生产管理规定》</w:t>
            </w:r>
          </w:p>
        </w:tc>
        <w:tc>
          <w:tcPr>
            <w:tcW w:w="2705" w:type="dxa"/>
            <w:noWrap w:val="0"/>
            <w:vAlign w:val="center"/>
          </w:tcPr>
          <w:p w14:paraId="49504077">
            <w:pPr>
              <w:pStyle w:val="4"/>
              <w:spacing w:before="0" w:beforeAutospacing="0" w:after="0" w:afterAutospacing="0" w:line="260" w:lineRule="exact"/>
              <w:rPr>
                <w:rFonts w:hint="eastAsia" w:ascii="宋体" w:hAnsi="宋体" w:eastAsia="宋体" w:cs="宋体"/>
                <w:color w:val="000000"/>
                <w:kern w:val="0"/>
                <w:sz w:val="18"/>
                <w:szCs w:val="18"/>
                <w:shd w:val="clear" w:color="auto" w:fill="FFFFFF"/>
                <w:lang w:val="en-US" w:eastAsia="zh-CN" w:bidi="ar-SA"/>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3、决定责任；对符合条件的，准予网签备案；对不符合条件的，不予网签备案，并说明理由。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2800" w:type="dxa"/>
            <w:noWrap w:val="0"/>
            <w:vAlign w:val="center"/>
          </w:tcPr>
          <w:p w14:paraId="3E0C1C68">
            <w:pPr>
              <w:autoSpaceDN w:val="0"/>
              <w:spacing w:line="260" w:lineRule="exact"/>
              <w:textAlignment w:val="center"/>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963" w:type="dxa"/>
            <w:noWrap w:val="0"/>
            <w:vAlign w:val="center"/>
          </w:tcPr>
          <w:p w14:paraId="2B91C179">
            <w:pPr>
              <w:autoSpaceDN w:val="0"/>
              <w:spacing w:line="260" w:lineRule="exact"/>
              <w:jc w:val="center"/>
              <w:textAlignment w:val="center"/>
              <w:rPr>
                <w:rFonts w:hint="eastAsia" w:ascii="宋体" w:hAnsi="宋体" w:cs="宋体"/>
                <w:color w:val="000000"/>
                <w:sz w:val="18"/>
                <w:szCs w:val="18"/>
              </w:rPr>
            </w:pPr>
          </w:p>
        </w:tc>
      </w:tr>
      <w:tr w14:paraId="3CFC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448" w:type="dxa"/>
            <w:noWrap w:val="0"/>
            <w:vAlign w:val="center"/>
          </w:tcPr>
          <w:p w14:paraId="09464765">
            <w:pPr>
              <w:autoSpaceDN w:val="0"/>
              <w:spacing w:line="26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616" w:type="dxa"/>
            <w:noWrap w:val="0"/>
            <w:textDirection w:val="tbRlV"/>
            <w:vAlign w:val="center"/>
          </w:tcPr>
          <w:p w14:paraId="1D017330">
            <w:pPr>
              <w:autoSpaceDN w:val="0"/>
              <w:spacing w:line="260" w:lineRule="exact"/>
              <w:ind w:left="113" w:leftChars="0" w:right="113" w:right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行政</w:t>
            </w:r>
            <w:r>
              <w:rPr>
                <w:rFonts w:hint="eastAsia" w:ascii="宋体" w:hAnsi="宋体" w:cs="宋体"/>
                <w:color w:val="000000"/>
                <w:sz w:val="18"/>
                <w:szCs w:val="18"/>
                <w:lang w:val="en-US" w:eastAsia="zh-CN"/>
              </w:rPr>
              <w:t>备案</w:t>
            </w:r>
          </w:p>
        </w:tc>
        <w:tc>
          <w:tcPr>
            <w:tcW w:w="761" w:type="dxa"/>
            <w:noWrap w:val="0"/>
            <w:textDirection w:val="tbRlV"/>
            <w:vAlign w:val="center"/>
          </w:tcPr>
          <w:p w14:paraId="020B853C">
            <w:pPr>
              <w:pStyle w:val="4"/>
              <w:spacing w:before="0" w:beforeAutospacing="0" w:after="0" w:afterAutospacing="0" w:line="260" w:lineRule="exact"/>
              <w:jc w:val="center"/>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lang w:val="en-US" w:eastAsia="zh-CN"/>
              </w:rPr>
              <w:t>水利工程建设项目法人验收工作计划备案</w:t>
            </w:r>
          </w:p>
        </w:tc>
        <w:tc>
          <w:tcPr>
            <w:tcW w:w="751" w:type="dxa"/>
            <w:noWrap w:val="0"/>
            <w:textDirection w:val="tbRlV"/>
            <w:vAlign w:val="center"/>
          </w:tcPr>
          <w:p w14:paraId="5A914C1B">
            <w:pPr>
              <w:autoSpaceDN w:val="0"/>
              <w:spacing w:line="260" w:lineRule="exact"/>
              <w:ind w:left="113" w:leftChars="0" w:right="113" w:rightChars="0"/>
              <w:jc w:val="center"/>
              <w:textAlignment w:val="center"/>
              <w:rPr>
                <w:rFonts w:hint="eastAsia" w:ascii="宋体" w:hAnsi="宋体" w:cs="宋体"/>
                <w:color w:val="000000"/>
                <w:sz w:val="18"/>
                <w:szCs w:val="18"/>
              </w:rPr>
            </w:pPr>
            <w:r>
              <w:rPr>
                <w:rFonts w:hint="eastAsia" w:ascii="宋体" w:hAnsi="宋体" w:cs="宋体"/>
                <w:color w:val="000000"/>
                <w:sz w:val="18"/>
                <w:szCs w:val="18"/>
              </w:rPr>
              <w:t>魏县水利局</w:t>
            </w:r>
          </w:p>
        </w:tc>
        <w:tc>
          <w:tcPr>
            <w:tcW w:w="5252" w:type="dxa"/>
            <w:noWrap w:val="0"/>
            <w:vAlign w:val="center"/>
          </w:tcPr>
          <w:p w14:paraId="20F67FB7">
            <w:pPr>
              <w:pStyle w:val="4"/>
              <w:spacing w:before="0" w:beforeAutospacing="0" w:after="0" w:afterAutospacing="0" w:line="260" w:lineRule="exact"/>
              <w:jc w:val="center"/>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lang w:val="en-US" w:eastAsia="zh-CN"/>
              </w:rPr>
              <w:t>《水利工程建设项目验收管理规定》</w:t>
            </w:r>
          </w:p>
        </w:tc>
        <w:tc>
          <w:tcPr>
            <w:tcW w:w="2705" w:type="dxa"/>
            <w:noWrap w:val="0"/>
            <w:vAlign w:val="center"/>
          </w:tcPr>
          <w:p w14:paraId="637CA22C">
            <w:pPr>
              <w:pStyle w:val="4"/>
              <w:spacing w:before="0" w:beforeAutospacing="0" w:after="0" w:afterAutospacing="0" w:line="260" w:lineRule="exact"/>
              <w:jc w:val="left"/>
              <w:rPr>
                <w:rFonts w:hint="eastAsia" w:ascii="宋体" w:hAnsi="宋体" w:eastAsia="宋体" w:cs="宋体"/>
                <w:color w:val="000000"/>
                <w:kern w:val="0"/>
                <w:sz w:val="18"/>
                <w:szCs w:val="18"/>
                <w:shd w:val="clear" w:color="auto" w:fill="FFFFFF"/>
                <w:lang w:val="en-US" w:eastAsia="zh-CN" w:bidi="ar-SA"/>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3、决定责任；对符合条件的，准予网签备案；对不符合条件的，不予网签备案，并说明理由。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2800" w:type="dxa"/>
            <w:noWrap w:val="0"/>
            <w:vAlign w:val="center"/>
          </w:tcPr>
          <w:p w14:paraId="371CE6BA">
            <w:pPr>
              <w:autoSpaceDN w:val="0"/>
              <w:spacing w:line="260" w:lineRule="exact"/>
              <w:jc w:val="left"/>
              <w:textAlignment w:val="center"/>
              <w:rPr>
                <w:rFonts w:hint="eastAsia"/>
                <w:lang w:val="en-US" w:eastAsia="zh-CN"/>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963" w:type="dxa"/>
            <w:noWrap w:val="0"/>
            <w:vAlign w:val="center"/>
          </w:tcPr>
          <w:p w14:paraId="5704E91E">
            <w:pPr>
              <w:autoSpaceDN w:val="0"/>
              <w:spacing w:line="260" w:lineRule="exact"/>
              <w:jc w:val="center"/>
              <w:textAlignment w:val="center"/>
              <w:rPr>
                <w:rFonts w:hint="eastAsia" w:ascii="宋体" w:hAnsi="宋体" w:cs="宋体"/>
                <w:color w:val="000000"/>
                <w:sz w:val="18"/>
                <w:szCs w:val="18"/>
              </w:rPr>
            </w:pPr>
          </w:p>
        </w:tc>
      </w:tr>
      <w:tr w14:paraId="3D02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448" w:type="dxa"/>
            <w:noWrap w:val="0"/>
            <w:vAlign w:val="center"/>
          </w:tcPr>
          <w:p w14:paraId="503144C7">
            <w:pPr>
              <w:autoSpaceDN w:val="0"/>
              <w:spacing w:line="26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w:t>
            </w:r>
          </w:p>
        </w:tc>
        <w:tc>
          <w:tcPr>
            <w:tcW w:w="616" w:type="dxa"/>
            <w:noWrap w:val="0"/>
            <w:textDirection w:val="tbRlV"/>
            <w:vAlign w:val="center"/>
          </w:tcPr>
          <w:p w14:paraId="19D9BEDD">
            <w:pPr>
              <w:autoSpaceDN w:val="0"/>
              <w:spacing w:line="260" w:lineRule="exact"/>
              <w:ind w:left="113" w:leftChars="0" w:right="113" w:right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行政</w:t>
            </w:r>
            <w:r>
              <w:rPr>
                <w:rFonts w:hint="eastAsia" w:ascii="宋体" w:hAnsi="宋体" w:cs="宋体"/>
                <w:color w:val="000000"/>
                <w:sz w:val="18"/>
                <w:szCs w:val="18"/>
                <w:lang w:val="en-US" w:eastAsia="zh-CN"/>
              </w:rPr>
              <w:t>备案</w:t>
            </w:r>
          </w:p>
        </w:tc>
        <w:tc>
          <w:tcPr>
            <w:tcW w:w="761" w:type="dxa"/>
            <w:noWrap w:val="0"/>
            <w:textDirection w:val="tbRlV"/>
            <w:vAlign w:val="center"/>
          </w:tcPr>
          <w:p w14:paraId="025C2BEF">
            <w:pPr>
              <w:autoSpaceDN w:val="0"/>
              <w:spacing w:line="260" w:lineRule="exact"/>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水利工程建设项目法人验收鉴定书备案</w:t>
            </w:r>
          </w:p>
        </w:tc>
        <w:tc>
          <w:tcPr>
            <w:tcW w:w="751" w:type="dxa"/>
            <w:noWrap w:val="0"/>
            <w:textDirection w:val="tbRlV"/>
            <w:vAlign w:val="center"/>
          </w:tcPr>
          <w:p w14:paraId="5338DCE0">
            <w:pPr>
              <w:autoSpaceDN w:val="0"/>
              <w:spacing w:line="260" w:lineRule="exact"/>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魏县水利局</w:t>
            </w:r>
          </w:p>
        </w:tc>
        <w:tc>
          <w:tcPr>
            <w:tcW w:w="5252" w:type="dxa"/>
            <w:noWrap w:val="0"/>
            <w:vAlign w:val="center"/>
          </w:tcPr>
          <w:p w14:paraId="745D5550">
            <w:pPr>
              <w:autoSpaceDN w:val="0"/>
              <w:spacing w:line="260" w:lineRule="exact"/>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《水利工程建设项目验收管理规定》</w:t>
            </w:r>
          </w:p>
        </w:tc>
        <w:tc>
          <w:tcPr>
            <w:tcW w:w="2705" w:type="dxa"/>
            <w:noWrap w:val="0"/>
            <w:vAlign w:val="center"/>
          </w:tcPr>
          <w:p w14:paraId="20EB1395">
            <w:pPr>
              <w:autoSpaceDN w:val="0"/>
              <w:spacing w:line="260" w:lineRule="exact"/>
              <w:jc w:val="left"/>
              <w:textAlignment w:val="center"/>
              <w:rPr>
                <w:rFonts w:hint="eastAsia" w:ascii="宋体" w:hAnsi="宋体" w:eastAsia="宋体" w:cs="宋体"/>
                <w:color w:val="000000"/>
                <w:kern w:val="0"/>
                <w:sz w:val="18"/>
                <w:szCs w:val="18"/>
                <w:shd w:val="clear" w:color="auto" w:fill="FFFFFF"/>
                <w:lang w:val="en-US" w:eastAsia="zh-CN" w:bidi="ar-SA"/>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3、决定责任；对符合条件的，准予网签备案；对不符合条件的，不予网签备案，并说明理由。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2800" w:type="dxa"/>
            <w:noWrap w:val="0"/>
            <w:vAlign w:val="center"/>
          </w:tcPr>
          <w:p w14:paraId="0E30C8F9">
            <w:pPr>
              <w:autoSpaceDN w:val="0"/>
              <w:spacing w:line="260" w:lineRule="exact"/>
              <w:jc w:val="left"/>
              <w:textAlignment w:val="center"/>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963" w:type="dxa"/>
            <w:noWrap w:val="0"/>
            <w:vAlign w:val="center"/>
          </w:tcPr>
          <w:p w14:paraId="2172925E">
            <w:pPr>
              <w:autoSpaceDN w:val="0"/>
              <w:spacing w:line="260" w:lineRule="exact"/>
              <w:jc w:val="center"/>
              <w:textAlignment w:val="center"/>
              <w:rPr>
                <w:rFonts w:hint="eastAsia" w:ascii="宋体" w:hAnsi="宋体" w:cs="宋体"/>
                <w:color w:val="000000"/>
                <w:sz w:val="18"/>
                <w:szCs w:val="18"/>
              </w:rPr>
            </w:pPr>
          </w:p>
        </w:tc>
      </w:tr>
      <w:tr w14:paraId="3505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448" w:type="dxa"/>
            <w:noWrap w:val="0"/>
            <w:vAlign w:val="center"/>
          </w:tcPr>
          <w:p w14:paraId="72DDA64D">
            <w:pPr>
              <w:autoSpaceDN w:val="0"/>
              <w:spacing w:line="26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w:t>
            </w:r>
          </w:p>
        </w:tc>
        <w:tc>
          <w:tcPr>
            <w:tcW w:w="616" w:type="dxa"/>
            <w:noWrap w:val="0"/>
            <w:textDirection w:val="tbRlV"/>
            <w:vAlign w:val="center"/>
          </w:tcPr>
          <w:p w14:paraId="0EE187C4">
            <w:pPr>
              <w:autoSpaceDN w:val="0"/>
              <w:spacing w:line="260" w:lineRule="exact"/>
              <w:ind w:left="113" w:leftChars="0" w:right="113" w:right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行政</w:t>
            </w:r>
            <w:r>
              <w:rPr>
                <w:rFonts w:hint="eastAsia" w:ascii="宋体" w:hAnsi="宋体" w:cs="宋体"/>
                <w:color w:val="000000"/>
                <w:sz w:val="18"/>
                <w:szCs w:val="18"/>
                <w:lang w:val="en-US" w:eastAsia="zh-CN"/>
              </w:rPr>
              <w:t>备案</w:t>
            </w:r>
          </w:p>
        </w:tc>
        <w:tc>
          <w:tcPr>
            <w:tcW w:w="761" w:type="dxa"/>
            <w:noWrap w:val="0"/>
            <w:textDirection w:val="tbRlV"/>
            <w:vAlign w:val="center"/>
          </w:tcPr>
          <w:p w14:paraId="79202CBF">
            <w:pPr>
              <w:autoSpaceDN w:val="0"/>
              <w:spacing w:line="260" w:lineRule="exact"/>
              <w:ind w:left="113" w:leftChars="0" w:right="113" w:rightChars="0" w:firstLine="720" w:firstLineChars="400"/>
              <w:jc w:val="both"/>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水利工程建设项目专项验收成果文件备案</w:t>
            </w:r>
          </w:p>
        </w:tc>
        <w:tc>
          <w:tcPr>
            <w:tcW w:w="751" w:type="dxa"/>
            <w:noWrap w:val="0"/>
            <w:textDirection w:val="tbRlV"/>
            <w:vAlign w:val="center"/>
          </w:tcPr>
          <w:p w14:paraId="021A048F">
            <w:pPr>
              <w:autoSpaceDN w:val="0"/>
              <w:spacing w:line="260" w:lineRule="exact"/>
              <w:ind w:left="113" w:leftChars="0" w:right="113" w:rightChars="0"/>
              <w:jc w:val="center"/>
              <w:textAlignment w:val="center"/>
              <w:rPr>
                <w:rFonts w:hint="eastAsia" w:ascii="宋体" w:hAnsi="宋体" w:cs="宋体"/>
                <w:color w:val="000000"/>
                <w:sz w:val="18"/>
                <w:szCs w:val="18"/>
              </w:rPr>
            </w:pPr>
            <w:r>
              <w:rPr>
                <w:rFonts w:hint="eastAsia" w:ascii="宋体" w:hAnsi="宋体" w:cs="宋体"/>
                <w:color w:val="000000"/>
                <w:sz w:val="18"/>
                <w:szCs w:val="18"/>
              </w:rPr>
              <w:t>魏县水利局</w:t>
            </w:r>
          </w:p>
        </w:tc>
        <w:tc>
          <w:tcPr>
            <w:tcW w:w="5252" w:type="dxa"/>
            <w:noWrap w:val="0"/>
            <w:vAlign w:val="center"/>
          </w:tcPr>
          <w:p w14:paraId="4C5668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《水利工程建设项目验收管理规定》</w:t>
            </w:r>
          </w:p>
        </w:tc>
        <w:tc>
          <w:tcPr>
            <w:tcW w:w="2705" w:type="dxa"/>
            <w:noWrap w:val="0"/>
            <w:vAlign w:val="center"/>
          </w:tcPr>
          <w:p w14:paraId="23BBCB81">
            <w:pPr>
              <w:autoSpaceDN w:val="0"/>
              <w:spacing w:line="260" w:lineRule="exact"/>
              <w:jc w:val="left"/>
              <w:textAlignment w:val="center"/>
              <w:rPr>
                <w:rFonts w:hint="eastAsia" w:ascii="宋体" w:hAnsi="宋体" w:eastAsia="宋体" w:cs="宋体"/>
                <w:color w:val="000000"/>
                <w:kern w:val="0"/>
                <w:sz w:val="18"/>
                <w:szCs w:val="18"/>
                <w:shd w:val="clear" w:color="auto" w:fill="FFFFFF"/>
                <w:lang w:val="en-US" w:eastAsia="zh-CN" w:bidi="ar-SA"/>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3、决定责任；对符合条件的，准予网签备案；对不符合条件的，不予网签备案，并说明理由。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2800" w:type="dxa"/>
            <w:noWrap w:val="0"/>
            <w:vAlign w:val="center"/>
          </w:tcPr>
          <w:p w14:paraId="1798027C">
            <w:pPr>
              <w:autoSpaceDN w:val="0"/>
              <w:spacing w:line="260" w:lineRule="exact"/>
              <w:jc w:val="left"/>
              <w:textAlignment w:val="center"/>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963" w:type="dxa"/>
            <w:noWrap w:val="0"/>
            <w:vAlign w:val="center"/>
          </w:tcPr>
          <w:p w14:paraId="68858D57">
            <w:pPr>
              <w:autoSpaceDN w:val="0"/>
              <w:spacing w:line="260" w:lineRule="exact"/>
              <w:jc w:val="center"/>
              <w:textAlignment w:val="center"/>
              <w:rPr>
                <w:rFonts w:hint="eastAsia" w:ascii="宋体" w:hAnsi="宋体" w:cs="宋体"/>
                <w:color w:val="000000"/>
                <w:sz w:val="18"/>
                <w:szCs w:val="18"/>
              </w:rPr>
            </w:pPr>
          </w:p>
        </w:tc>
      </w:tr>
      <w:tr w14:paraId="1864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448" w:type="dxa"/>
            <w:noWrap w:val="0"/>
            <w:vAlign w:val="center"/>
          </w:tcPr>
          <w:p w14:paraId="149C2DD2">
            <w:pPr>
              <w:autoSpaceDN w:val="0"/>
              <w:spacing w:line="260" w:lineRule="exact"/>
              <w:jc w:val="center"/>
              <w:textAlignment w:val="center"/>
              <w:rPr>
                <w:rFonts w:hint="default" w:ascii="宋体" w:hAnsi="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10</w:t>
            </w:r>
          </w:p>
        </w:tc>
        <w:tc>
          <w:tcPr>
            <w:tcW w:w="616" w:type="dxa"/>
            <w:noWrap w:val="0"/>
            <w:textDirection w:val="tbRlV"/>
            <w:vAlign w:val="center"/>
          </w:tcPr>
          <w:p w14:paraId="3D462E3A">
            <w:pPr>
              <w:autoSpaceDN w:val="0"/>
              <w:spacing w:line="260" w:lineRule="exact"/>
              <w:ind w:left="113" w:leftChars="0" w:right="113" w:rightChars="0" w:firstLine="1980" w:firstLineChars="1100"/>
              <w:jc w:val="both"/>
              <w:textAlignment w:val="center"/>
              <w:rPr>
                <w:rFonts w:hint="eastAsia" w:ascii="宋体" w:hAnsi="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行政备案</w:t>
            </w:r>
          </w:p>
        </w:tc>
        <w:tc>
          <w:tcPr>
            <w:tcW w:w="761" w:type="dxa"/>
            <w:noWrap w:val="0"/>
            <w:vAlign w:val="center"/>
          </w:tcPr>
          <w:p w14:paraId="57278DFC">
            <w:pPr>
              <w:autoSpaceDN w:val="0"/>
              <w:spacing w:line="260" w:lineRule="exact"/>
              <w:ind w:left="113" w:leftChars="0" w:right="113" w:rightChars="0" w:firstLine="720" w:firstLineChars="400"/>
              <w:jc w:val="both"/>
              <w:textAlignment w:val="center"/>
              <w:rPr>
                <w:rFonts w:hint="eastAsia" w:ascii="宋体" w:hAnsi="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生生产建设项目水土保持设施验收报 备</w:t>
            </w:r>
          </w:p>
        </w:tc>
        <w:tc>
          <w:tcPr>
            <w:tcW w:w="751" w:type="dxa"/>
            <w:noWrap w:val="0"/>
            <w:textDirection w:val="tbRlV"/>
            <w:vAlign w:val="center"/>
          </w:tcPr>
          <w:p w14:paraId="6B46896D">
            <w:pPr>
              <w:autoSpaceDN w:val="0"/>
              <w:spacing w:line="260" w:lineRule="exact"/>
              <w:ind w:left="113" w:leftChars="0" w:right="113" w:rightChars="0"/>
              <w:jc w:val="center"/>
              <w:textAlignment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魏县水利局</w:t>
            </w:r>
          </w:p>
        </w:tc>
        <w:tc>
          <w:tcPr>
            <w:tcW w:w="5252" w:type="dxa"/>
            <w:noWrap w:val="0"/>
            <w:vAlign w:val="center"/>
          </w:tcPr>
          <w:p w14:paraId="2D18A1D1">
            <w:pPr>
              <w:autoSpaceDN w:val="0"/>
              <w:spacing w:line="26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宋体" w:hAnsi="宋体" w:eastAsia="宋体" w:cs="宋体"/>
                <w:b w:val="0"/>
                <w:bCs/>
                <w:color w:val="auto"/>
                <w:kern w:val="0"/>
                <w:sz w:val="18"/>
                <w:szCs w:val="18"/>
                <w:highlight w:val="none"/>
                <w:lang w:val="en-US" w:eastAsia="zh-CN" w:bidi="ar-SA"/>
              </w:rPr>
              <w:t>《国务院关于取消一批行政许可事项的决定》（国发〔2017〕46号）</w:t>
            </w:r>
            <w:r>
              <w:rPr>
                <w:rFonts w:hint="eastAsia" w:ascii="宋体" w:hAnsi="宋体" w:eastAsia="宋体" w:cs="宋体"/>
                <w:b w:val="0"/>
                <w:bCs/>
                <w:color w:val="auto"/>
                <w:kern w:val="0"/>
                <w:sz w:val="18"/>
                <w:szCs w:val="18"/>
                <w:highlight w:val="none"/>
                <w:lang w:val="en-US" w:eastAsia="zh-CN" w:bidi="ar-SA"/>
              </w:rPr>
              <w:br w:type="textWrapping"/>
            </w:r>
            <w:r>
              <w:rPr>
                <w:rFonts w:hint="eastAsia" w:ascii="宋体" w:hAnsi="宋体" w:eastAsia="宋体" w:cs="宋体"/>
                <w:b w:val="0"/>
                <w:bCs/>
                <w:color w:val="auto"/>
                <w:kern w:val="0"/>
                <w:sz w:val="18"/>
                <w:szCs w:val="18"/>
                <w:highlight w:val="none"/>
                <w:lang w:val="en-US" w:eastAsia="zh-CN" w:bidi="ar-SA"/>
              </w:rPr>
              <w:t>《生产建设项目水土保持方案管理办法》</w:t>
            </w:r>
            <w:r>
              <w:rPr>
                <w:rFonts w:hint="eastAsia" w:ascii="宋体" w:hAnsi="宋体" w:eastAsia="宋体" w:cs="宋体"/>
                <w:b w:val="0"/>
                <w:bCs/>
                <w:color w:val="auto"/>
                <w:kern w:val="0"/>
                <w:sz w:val="18"/>
                <w:szCs w:val="18"/>
                <w:highlight w:val="none"/>
                <w:lang w:val="en-US" w:eastAsia="zh-CN" w:bidi="ar-SA"/>
              </w:rPr>
              <w:br w:type="textWrapping"/>
            </w:r>
            <w:r>
              <w:rPr>
                <w:rFonts w:hint="eastAsia" w:ascii="宋体" w:hAnsi="宋体" w:eastAsia="宋体" w:cs="宋体"/>
                <w:b w:val="0"/>
                <w:bCs/>
                <w:color w:val="auto"/>
                <w:kern w:val="0"/>
                <w:sz w:val="18"/>
                <w:szCs w:val="18"/>
                <w:highlight w:val="none"/>
                <w:lang w:val="en-US" w:eastAsia="zh-CN" w:bidi="ar-SA"/>
              </w:rPr>
              <w:t>《水利部关于加强事中事后监管规范生产建设项目水土保持设施自主验收的通知》（水保〔2017〕365号）</w:t>
            </w:r>
            <w:r>
              <w:rPr>
                <w:rFonts w:hint="eastAsia" w:ascii="宋体" w:hAnsi="宋体" w:eastAsia="宋体" w:cs="宋体"/>
                <w:b w:val="0"/>
                <w:bCs/>
                <w:color w:val="auto"/>
                <w:kern w:val="0"/>
                <w:sz w:val="18"/>
                <w:szCs w:val="18"/>
                <w:highlight w:val="none"/>
                <w:lang w:val="en-US" w:eastAsia="zh-CN" w:bidi="ar-SA"/>
              </w:rPr>
              <w:br w:type="textWrapping"/>
            </w:r>
            <w:r>
              <w:rPr>
                <w:rFonts w:hint="eastAsia" w:ascii="宋体" w:hAnsi="宋体" w:eastAsia="宋体" w:cs="宋体"/>
                <w:b w:val="0"/>
                <w:bCs/>
                <w:color w:val="auto"/>
                <w:kern w:val="0"/>
                <w:sz w:val="18"/>
                <w:szCs w:val="18"/>
                <w:highlight w:val="none"/>
                <w:lang w:val="en-US" w:eastAsia="zh-CN" w:bidi="ar-SA"/>
              </w:rPr>
              <w:t>《水利部关于进一步深化“放管服”改革全面加强水土保持监管的意见》（水保〔2019〕160号）</w:t>
            </w:r>
            <w:r>
              <w:rPr>
                <w:rFonts w:hint="eastAsia" w:ascii="宋体" w:hAnsi="宋体" w:eastAsia="宋体" w:cs="宋体"/>
                <w:b w:val="0"/>
                <w:bCs/>
                <w:color w:val="auto"/>
                <w:kern w:val="0"/>
                <w:sz w:val="18"/>
                <w:szCs w:val="18"/>
                <w:highlight w:val="none"/>
                <w:lang w:val="en-US" w:eastAsia="zh-CN" w:bidi="ar-SA"/>
              </w:rPr>
              <w:br w:type="textWrapping"/>
            </w:r>
            <w:r>
              <w:rPr>
                <w:rFonts w:hint="eastAsia" w:ascii="宋体" w:hAnsi="宋体" w:eastAsia="宋体" w:cs="宋体"/>
                <w:b w:val="0"/>
                <w:bCs/>
                <w:color w:val="auto"/>
                <w:kern w:val="0"/>
                <w:sz w:val="18"/>
                <w:szCs w:val="18"/>
                <w:highlight w:val="none"/>
                <w:lang w:val="en-US" w:eastAsia="zh-CN" w:bidi="ar-SA"/>
              </w:rPr>
              <w:t>《水利部办公厅关于印发生产建设项目水土保持监督管理办法的通知》（办水保〔2019〕172号）</w:t>
            </w:r>
          </w:p>
        </w:tc>
        <w:tc>
          <w:tcPr>
            <w:tcW w:w="2705" w:type="dxa"/>
            <w:noWrap w:val="0"/>
            <w:vAlign w:val="center"/>
          </w:tcPr>
          <w:p w14:paraId="3BA041FA">
            <w:pPr>
              <w:pStyle w:val="4"/>
              <w:spacing w:before="0" w:beforeAutospacing="0" w:after="0" w:afterAutospacing="0" w:line="260" w:lineRule="exact"/>
              <w:rPr>
                <w:rFonts w:hint="eastAsia" w:ascii="宋体" w:hAnsi="宋体" w:eastAsia="仿宋_GB2312" w:cs="宋体"/>
                <w:color w:val="000000"/>
                <w:kern w:val="0"/>
                <w:sz w:val="18"/>
                <w:szCs w:val="18"/>
                <w:lang w:val="en-US" w:eastAsia="zh-CN" w:bidi="ar-SA"/>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3、决定责任；对符合条件的，准予网签备案；对不符合条件的，不予网签备案，并说明理由。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2800" w:type="dxa"/>
            <w:noWrap w:val="0"/>
            <w:vAlign w:val="center"/>
          </w:tcPr>
          <w:p w14:paraId="56FEF9F0">
            <w:pPr>
              <w:autoSpaceDN w:val="0"/>
              <w:spacing w:line="260" w:lineRule="exact"/>
              <w:jc w:val="both"/>
              <w:textAlignment w:val="center"/>
              <w:rPr>
                <w:rFonts w:hint="eastAsia" w:ascii="宋体" w:hAnsi="宋体" w:cs="宋体"/>
                <w:color w:val="000000"/>
                <w:kern w:val="2"/>
                <w:sz w:val="18"/>
                <w:szCs w:val="18"/>
                <w:lang w:val="en-US" w:eastAsia="zh-CN" w:bidi="ar-SA"/>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963" w:type="dxa"/>
            <w:noWrap w:val="0"/>
            <w:vAlign w:val="center"/>
          </w:tcPr>
          <w:p w14:paraId="621C2002">
            <w:pPr>
              <w:autoSpaceDN w:val="0"/>
              <w:spacing w:line="260" w:lineRule="exact"/>
              <w:jc w:val="center"/>
              <w:textAlignment w:val="center"/>
              <w:rPr>
                <w:rFonts w:hint="eastAsia" w:ascii="宋体" w:hAnsi="宋体" w:cs="宋体"/>
                <w:color w:val="000000"/>
                <w:sz w:val="18"/>
                <w:szCs w:val="18"/>
              </w:rPr>
            </w:pPr>
          </w:p>
        </w:tc>
      </w:tr>
      <w:tr w14:paraId="5BC4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448" w:type="dxa"/>
            <w:noWrap w:val="0"/>
            <w:vAlign w:val="center"/>
          </w:tcPr>
          <w:p w14:paraId="308E6214">
            <w:pPr>
              <w:autoSpaceDN w:val="0"/>
              <w:spacing w:line="26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616" w:type="dxa"/>
            <w:noWrap w:val="0"/>
            <w:textDirection w:val="tbRlV"/>
            <w:vAlign w:val="center"/>
          </w:tcPr>
          <w:p w14:paraId="6BF1C43F">
            <w:pPr>
              <w:autoSpaceDN w:val="0"/>
              <w:spacing w:line="260" w:lineRule="exact"/>
              <w:ind w:left="113" w:leftChars="0" w:right="113" w:rightChars="0" w:firstLine="1980" w:firstLineChars="110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其它类</w:t>
            </w:r>
          </w:p>
        </w:tc>
        <w:tc>
          <w:tcPr>
            <w:tcW w:w="761" w:type="dxa"/>
            <w:noWrap w:val="0"/>
            <w:textDirection w:val="tbRlV"/>
            <w:vAlign w:val="center"/>
          </w:tcPr>
          <w:p w14:paraId="3F12DB78">
            <w:pPr>
              <w:autoSpaceDN w:val="0"/>
              <w:spacing w:line="260" w:lineRule="exact"/>
              <w:ind w:left="113" w:leftChars="0" w:right="113" w:rightChars="0"/>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水利工程建设项目验收</w:t>
            </w:r>
          </w:p>
        </w:tc>
        <w:tc>
          <w:tcPr>
            <w:tcW w:w="751" w:type="dxa"/>
            <w:noWrap w:val="0"/>
            <w:textDirection w:val="tbRlV"/>
            <w:vAlign w:val="center"/>
          </w:tcPr>
          <w:p w14:paraId="6D47F43C">
            <w:pPr>
              <w:autoSpaceDN w:val="0"/>
              <w:spacing w:line="260" w:lineRule="exact"/>
              <w:ind w:left="113" w:leftChars="0" w:right="113" w:rightChars="0"/>
              <w:jc w:val="center"/>
              <w:textAlignment w:val="center"/>
              <w:rPr>
                <w:rFonts w:hint="eastAsia" w:ascii="宋体" w:hAnsi="宋体" w:cs="宋体"/>
                <w:color w:val="000000"/>
                <w:sz w:val="18"/>
                <w:szCs w:val="18"/>
              </w:rPr>
            </w:pPr>
            <w:r>
              <w:rPr>
                <w:rFonts w:hint="eastAsia" w:ascii="宋体" w:hAnsi="宋体" w:cs="宋体"/>
                <w:color w:val="000000"/>
                <w:sz w:val="18"/>
                <w:szCs w:val="18"/>
              </w:rPr>
              <w:t>魏县水利局</w:t>
            </w:r>
          </w:p>
        </w:tc>
        <w:tc>
          <w:tcPr>
            <w:tcW w:w="5252" w:type="dxa"/>
            <w:noWrap w:val="0"/>
            <w:vAlign w:val="center"/>
          </w:tcPr>
          <w:p w14:paraId="784E1990">
            <w:pPr>
              <w:autoSpaceDN w:val="0"/>
              <w:spacing w:line="260" w:lineRule="exact"/>
              <w:jc w:val="center"/>
              <w:textAlignment w:val="center"/>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lang w:val="en-US" w:eastAsia="zh-CN" w:bidi="ar-SA"/>
              </w:rPr>
              <w:t>《水利工程建设项目验收管理规定》</w:t>
            </w:r>
          </w:p>
        </w:tc>
        <w:tc>
          <w:tcPr>
            <w:tcW w:w="2705" w:type="dxa"/>
            <w:noWrap w:val="0"/>
            <w:vAlign w:val="center"/>
          </w:tcPr>
          <w:p w14:paraId="59E7A047">
            <w:pPr>
              <w:pStyle w:val="4"/>
              <w:spacing w:before="0" w:beforeAutospacing="0" w:after="0" w:afterAutospacing="0" w:line="260" w:lineRule="exact"/>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3、决定责任；对符合条件的，准予网签备案；对不符合条件的，不予网签备案，并说明理由。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2800" w:type="dxa"/>
            <w:noWrap w:val="0"/>
            <w:vAlign w:val="center"/>
          </w:tcPr>
          <w:p w14:paraId="51FA6D02">
            <w:pPr>
              <w:tabs>
                <w:tab w:val="left" w:pos="639"/>
              </w:tabs>
              <w:autoSpaceDN w:val="0"/>
              <w:spacing w:line="260" w:lineRule="exact"/>
              <w:textAlignment w:val="center"/>
              <w:rPr>
                <w:rFonts w:hint="eastAsia" w:ascii="宋体" w:hAnsi="宋体" w:cs="宋体"/>
                <w:color w:val="000000"/>
                <w:sz w:val="18"/>
                <w:szCs w:val="18"/>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963" w:type="dxa"/>
            <w:noWrap w:val="0"/>
            <w:vAlign w:val="center"/>
          </w:tcPr>
          <w:p w14:paraId="581AB09C">
            <w:pPr>
              <w:autoSpaceDN w:val="0"/>
              <w:spacing w:line="260" w:lineRule="exact"/>
              <w:jc w:val="center"/>
              <w:textAlignment w:val="center"/>
              <w:rPr>
                <w:rFonts w:hint="eastAsia" w:ascii="宋体" w:hAnsi="宋体" w:cs="宋体"/>
                <w:color w:val="000000"/>
                <w:sz w:val="18"/>
                <w:szCs w:val="18"/>
              </w:rPr>
            </w:pPr>
          </w:p>
        </w:tc>
      </w:tr>
    </w:tbl>
    <w:p w14:paraId="09D2BA7A"/>
    <w:sectPr>
      <w:footerReference r:id="rId3" w:type="default"/>
      <w:footerReference r:id="rId4" w:type="even"/>
      <w:pgSz w:w="16838" w:h="11906" w:orient="landscape"/>
      <w:pgMar w:top="1134" w:right="1134" w:bottom="1134" w:left="1134"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82874">
    <w:pPr>
      <w:pStyle w:val="3"/>
      <w:jc w:val="center"/>
      <w:rPr>
        <w:rFonts w:ascii="宋体" w:hAnsi="宋体"/>
        <w:sz w:val="21"/>
        <w:szCs w:val="21"/>
      </w:rPr>
    </w:pPr>
    <w:r>
      <w:rPr>
        <w:rFonts w:ascii="宋体" w:hAnsi="宋体"/>
        <w:kern w:val="0"/>
        <w:sz w:val="21"/>
        <w:szCs w:val="21"/>
      </w:rPr>
      <w:t>-</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1</w:t>
    </w:r>
    <w:r>
      <w:rPr>
        <w:rFonts w:ascii="宋体" w:hAnsi="宋体"/>
        <w:kern w:val="0"/>
        <w:sz w:val="21"/>
        <w:szCs w:val="21"/>
      </w:rPr>
      <w:fldChar w:fldCharType="end"/>
    </w:r>
    <w:r>
      <w:rPr>
        <w:rFonts w:ascii="宋体" w:hAnsi="宋体"/>
        <w:kern w:val="0"/>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56627">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59B3273B">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03A4D"/>
    <w:multiLevelType w:val="singleLevel"/>
    <w:tmpl w:val="BBF03A4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DQwYTVhMGZmOTEwNGI3ODNjYTBkNTk5MWU4NmIifQ=="/>
  </w:docVars>
  <w:rsids>
    <w:rsidRoot w:val="008B647E"/>
    <w:rsid w:val="00220B57"/>
    <w:rsid w:val="00371E6D"/>
    <w:rsid w:val="00471D6B"/>
    <w:rsid w:val="0053720B"/>
    <w:rsid w:val="00774C59"/>
    <w:rsid w:val="00790DE3"/>
    <w:rsid w:val="008232F7"/>
    <w:rsid w:val="008B647E"/>
    <w:rsid w:val="00B526CD"/>
    <w:rsid w:val="00E262CA"/>
    <w:rsid w:val="00E869AC"/>
    <w:rsid w:val="00F8103F"/>
    <w:rsid w:val="02610E76"/>
    <w:rsid w:val="092D428E"/>
    <w:rsid w:val="0A7315DB"/>
    <w:rsid w:val="0A8F4DB1"/>
    <w:rsid w:val="17A0154D"/>
    <w:rsid w:val="196D36B1"/>
    <w:rsid w:val="24AE5267"/>
    <w:rsid w:val="2847241B"/>
    <w:rsid w:val="28B06657"/>
    <w:rsid w:val="2A5C4B06"/>
    <w:rsid w:val="2A9F6179"/>
    <w:rsid w:val="2AA34038"/>
    <w:rsid w:val="3F197F7A"/>
    <w:rsid w:val="43862855"/>
    <w:rsid w:val="4C256F65"/>
    <w:rsid w:val="58536764"/>
    <w:rsid w:val="63EB381C"/>
    <w:rsid w:val="644C527C"/>
    <w:rsid w:val="699B2906"/>
    <w:rsid w:val="6B5C6C50"/>
    <w:rsid w:val="77400C29"/>
    <w:rsid w:val="78C871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jc w:val="left"/>
    </w:pPr>
    <w:rPr>
      <w:rFonts w:eastAsia="仿宋_GB2312"/>
      <w:kern w:val="0"/>
      <w:sz w:val="24"/>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5376</Words>
  <Characters>5432</Characters>
  <Lines>17</Lines>
  <Paragraphs>5</Paragraphs>
  <TotalTime>1</TotalTime>
  <ScaleCrop>false</ScaleCrop>
  <LinksUpToDate>false</LinksUpToDate>
  <CharactersWithSpaces>5464</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2021-05-28T11:44:00Z</dcterms:created>
  <dc:creator>8615297515768</dc:creator>
  <cp:lastModifiedBy>Administrator</cp:lastModifiedBy>
  <cp:lastPrinted>2024-08-09T02:14:00Z</cp:lastPrinted>
  <dcterms:modified xsi:type="dcterms:W3CDTF">2025-10-13T02:52:24Z</dcterms:modified>
  <dc:title>魏县水利局权责清单事项总表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6F62417FB9F9459390F1F93EB10DA2F1_13</vt:lpwstr>
  </property>
  <property fmtid="{D5CDD505-2E9C-101B-9397-08002B2CF9AE}" pid="4" name="KSOTemplateDocerSaveRecord">
    <vt:lpwstr>eyJoZGlkIjoiZWE4ZTBkYjg2ODRiM2UwNTIzMDhiNTkwMjhmNjBmMWUiLCJ1c2VySWQiOiIxMTMyNTMwMjA1In0=</vt:lpwstr>
  </property>
</Properties>
</file>