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p>
    <w:p>
      <w:pPr>
        <w:jc w:val="center"/>
      </w:pPr>
    </w:p>
    <w:p>
      <w:pPr>
        <w:jc w:val="center"/>
      </w:pPr>
    </w:p>
    <w:p>
      <w:pPr>
        <w:jc w:val="center"/>
      </w:pPr>
    </w:p>
    <w:p>
      <w:pPr>
        <w:jc w:val="center"/>
      </w:pPr>
    </w:p>
    <w:p>
      <w:pPr>
        <w:jc w:val="center"/>
      </w:pPr>
    </w:p>
    <w:p>
      <w:pPr>
        <w:pStyle w:val="4"/>
        <w:tabs>
          <w:tab w:val="right" w:leader="dot" w:pos="14562"/>
        </w:tabs>
        <w:jc w:val="center"/>
        <w:rPr>
          <w:rFonts w:ascii="黑体" w:hAnsi="黑体" w:eastAsia="黑体" w:cs="黑体"/>
          <w:b/>
          <w:color w:val="000000"/>
          <w:sz w:val="44"/>
        </w:rPr>
      </w:pPr>
      <w:r>
        <w:rPr>
          <w:rFonts w:ascii="黑体" w:hAnsi="黑体" w:eastAsia="黑体" w:cs="黑体"/>
          <w:b/>
          <w:color w:val="000000"/>
          <w:sz w:val="44"/>
        </w:rPr>
        <w:t>2022年部门</w:t>
      </w:r>
      <w:r>
        <w:rPr>
          <w:rFonts w:hint="eastAsia" w:ascii="黑体" w:hAnsi="黑体" w:eastAsia="黑体" w:cs="黑体"/>
          <w:b/>
          <w:color w:val="000000"/>
          <w:sz w:val="44"/>
          <w:lang w:eastAsia="zh-CN"/>
        </w:rPr>
        <w:t>所属单位</w:t>
      </w:r>
      <w:r>
        <w:rPr>
          <w:rFonts w:ascii="黑体" w:hAnsi="黑体" w:eastAsia="黑体" w:cs="黑体"/>
          <w:b/>
          <w:color w:val="000000"/>
          <w:sz w:val="44"/>
        </w:rPr>
        <w:t>预算信息公开目录</w:t>
      </w:r>
    </w:p>
    <w:p>
      <w:pPr>
        <w:pStyle w:val="4"/>
        <w:tabs>
          <w:tab w:val="right" w:leader="dot" w:pos="14562"/>
        </w:tabs>
      </w:pPr>
    </w:p>
    <w:p>
      <w:pPr>
        <w:pStyle w:val="4"/>
        <w:tabs>
          <w:tab w:val="right" w:leader="dot" w:pos="14562"/>
        </w:tabs>
        <w:ind w:left="0" w:leftChars="0" w:firstLine="0" w:firstLineChars="0"/>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w:t>
      </w:r>
      <w:r>
        <w:rPr>
          <w:rFonts w:hint="eastAsia"/>
          <w:lang w:val="en-US" w:eastAsia="zh-CN"/>
        </w:rPr>
        <w:t>魏县民族宗教事务局</w:t>
      </w:r>
      <w:r>
        <w:t>本级收支预算</w:t>
      </w:r>
      <w:r>
        <w:tab/>
      </w:r>
      <w:r>
        <w:rPr>
          <w:rFonts w:hint="eastAsia"/>
          <w:lang w:eastAsia="zh-CN"/>
        </w:rPr>
        <w:t>1</w:t>
      </w:r>
      <w:r>
        <w:rPr>
          <w:rFonts w:hint="eastAsia"/>
          <w:lang w:eastAsia="zh-CN"/>
        </w:rPr>
        <w:fldChar w:fldCharType="end"/>
      </w:r>
    </w:p>
    <w:p>
      <w:pPr>
        <w:jc w:val="center"/>
        <w:outlineLvl w:val="0"/>
      </w:pPr>
      <w:r>
        <w:fldChar w:fldCharType="end"/>
      </w: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部门</w:t>
      </w:r>
      <w:r>
        <w:rPr>
          <w:rFonts w:hint="eastAsia" w:ascii="方正小标宋_GBK" w:hAnsi="方正小标宋_GBK" w:eastAsia="方正小标宋_GBK" w:cs="方正小标宋_GBK"/>
          <w:color w:val="000000"/>
          <w:sz w:val="72"/>
          <w:lang w:eastAsia="zh-CN"/>
        </w:rPr>
        <w:t>所属单位</w:t>
      </w:r>
      <w:r>
        <w:rPr>
          <w:rFonts w:ascii="方正小标宋_GBK" w:hAnsi="方正小标宋_GBK" w:eastAsia="方正小标宋_GBK" w:cs="方正小标宋_GBK"/>
          <w:color w:val="000000"/>
          <w:sz w:val="72"/>
        </w:rPr>
        <w:t>预算</w:t>
      </w:r>
    </w:p>
    <w:p>
      <w:pPr>
        <w:jc w:val="center"/>
        <w:outlineLvl w:val="0"/>
      </w:pPr>
    </w:p>
    <w:p>
      <w:pPr>
        <w:jc w:val="center"/>
      </w:pPr>
    </w:p>
    <w:p>
      <w:pPr>
        <w:jc w:val="center"/>
      </w:pPr>
    </w:p>
    <w:p>
      <w:pPr>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308001魏县民族宗教事务局本级</w:t>
            </w:r>
          </w:p>
        </w:tc>
        <w:tc>
          <w:tcPr>
            <w:tcW w:w="2126" w:type="dxa"/>
            <w:tcBorders>
              <w:top w:val="single" w:color="FFFFFF" w:sz="6" w:space="0"/>
              <w:left w:val="single" w:color="FFFFFF" w:sz="6" w:space="0"/>
              <w:right w:val="single" w:color="FFFFFF" w:sz="6" w:space="0"/>
            </w:tcBorders>
            <w:vAlign w:val="center"/>
          </w:tcPr>
          <w:p>
            <w:pPr>
              <w:pStyle w:val="9"/>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188.59</w:t>
            </w:r>
          </w:p>
        </w:tc>
        <w:tc>
          <w:tcPr>
            <w:tcW w:w="4535" w:type="dxa"/>
            <w:vAlign w:val="center"/>
          </w:tcPr>
          <w:p>
            <w:pPr>
              <w:pStyle w:val="13"/>
            </w:pPr>
            <w:r>
              <w:t>一、一般公共服务支出</w:t>
            </w:r>
          </w:p>
        </w:tc>
        <w:tc>
          <w:tcPr>
            <w:tcW w:w="2126" w:type="dxa"/>
            <w:vAlign w:val="center"/>
          </w:tcPr>
          <w:p>
            <w:pPr>
              <w:pStyle w:val="12"/>
            </w:pPr>
            <w:r>
              <w:t>47.10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五、事业收入</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r>
              <w:t>六、事业单位经营收入</w:t>
            </w: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r>
              <w:t>131.29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r>
              <w:t>七、上级补助收入</w:t>
            </w: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r>
              <w:t>八、附属单位上缴收入</w:t>
            </w: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r>
              <w:t>九、其他收入</w:t>
            </w: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5.45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5"/>
            </w:pPr>
            <w:r>
              <w:t>本年收入合计</w:t>
            </w:r>
          </w:p>
        </w:tc>
        <w:tc>
          <w:tcPr>
            <w:tcW w:w="2126" w:type="dxa"/>
            <w:vAlign w:val="center"/>
          </w:tcPr>
          <w:p>
            <w:pPr>
              <w:pStyle w:val="16"/>
            </w:pPr>
            <w:r>
              <w:t>188.59</w:t>
            </w:r>
          </w:p>
        </w:tc>
        <w:tc>
          <w:tcPr>
            <w:tcW w:w="4535" w:type="dxa"/>
            <w:vAlign w:val="center"/>
          </w:tcPr>
          <w:p>
            <w:pPr>
              <w:pStyle w:val="15"/>
            </w:pPr>
            <w:r>
              <w:t>本年支出合计</w:t>
            </w:r>
          </w:p>
        </w:tc>
        <w:tc>
          <w:tcPr>
            <w:tcW w:w="2126" w:type="dxa"/>
            <w:vAlign w:val="center"/>
          </w:tcPr>
          <w:p>
            <w:pPr>
              <w:pStyle w:val="16"/>
            </w:pPr>
            <w:r>
              <w:t>188.59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5"/>
            </w:pPr>
            <w:r>
              <w:t>收入总计</w:t>
            </w:r>
          </w:p>
        </w:tc>
        <w:tc>
          <w:tcPr>
            <w:tcW w:w="2126" w:type="dxa"/>
            <w:vAlign w:val="center"/>
          </w:tcPr>
          <w:p>
            <w:pPr>
              <w:pStyle w:val="16"/>
            </w:pPr>
            <w:r>
              <w:t>188.59</w:t>
            </w:r>
          </w:p>
        </w:tc>
        <w:tc>
          <w:tcPr>
            <w:tcW w:w="4535" w:type="dxa"/>
            <w:vAlign w:val="center"/>
          </w:tcPr>
          <w:p>
            <w:pPr>
              <w:pStyle w:val="15"/>
            </w:pPr>
            <w:r>
              <w:t>支出总计</w:t>
            </w:r>
          </w:p>
        </w:tc>
        <w:tc>
          <w:tcPr>
            <w:tcW w:w="2126" w:type="dxa"/>
            <w:vAlign w:val="center"/>
          </w:tcPr>
          <w:p>
            <w:pPr>
              <w:pStyle w:val="16"/>
            </w:pPr>
            <w:r>
              <w:t>188.59</w:t>
            </w:r>
          </w:p>
        </w:tc>
      </w:tr>
    </w:tbl>
    <w:p>
      <w:pPr>
        <w:sectPr>
          <w:footerReference r:id="rId5" w:type="default"/>
          <w:footerReference r:id="rId6"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308001魏县民族宗教事务局本级</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188.59</w:t>
            </w:r>
          </w:p>
        </w:tc>
        <w:tc>
          <w:tcPr>
            <w:tcW w:w="1134" w:type="dxa"/>
            <w:vAlign w:val="center"/>
          </w:tcPr>
          <w:p>
            <w:pPr>
              <w:pStyle w:val="16"/>
            </w:pPr>
            <w:r>
              <w:t>188.59</w:t>
            </w:r>
          </w:p>
        </w:tc>
        <w:tc>
          <w:tcPr>
            <w:tcW w:w="1134" w:type="dxa"/>
            <w:vAlign w:val="center"/>
          </w:tcPr>
          <w:p>
            <w:pPr>
              <w:pStyle w:val="16"/>
            </w:pPr>
            <w:r>
              <w:t>188.59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47.10</w:t>
            </w:r>
          </w:p>
        </w:tc>
        <w:tc>
          <w:tcPr>
            <w:tcW w:w="1134" w:type="dxa"/>
            <w:vAlign w:val="center"/>
          </w:tcPr>
          <w:p>
            <w:pPr>
              <w:pStyle w:val="12"/>
            </w:pPr>
            <w:r>
              <w:t>47.10</w:t>
            </w:r>
          </w:p>
        </w:tc>
        <w:tc>
          <w:tcPr>
            <w:tcW w:w="1134" w:type="dxa"/>
            <w:vAlign w:val="center"/>
          </w:tcPr>
          <w:p>
            <w:pPr>
              <w:pStyle w:val="12"/>
            </w:pPr>
            <w:r>
              <w:t>47.10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20134</w:t>
            </w:r>
          </w:p>
        </w:tc>
        <w:tc>
          <w:tcPr>
            <w:tcW w:w="1559" w:type="dxa"/>
            <w:vAlign w:val="center"/>
          </w:tcPr>
          <w:p>
            <w:pPr>
              <w:pStyle w:val="13"/>
            </w:pPr>
            <w:r>
              <w:t>统战事务</w:t>
            </w:r>
          </w:p>
        </w:tc>
        <w:tc>
          <w:tcPr>
            <w:tcW w:w="1134" w:type="dxa"/>
            <w:vAlign w:val="center"/>
          </w:tcPr>
          <w:p>
            <w:pPr>
              <w:pStyle w:val="12"/>
            </w:pPr>
            <w:r>
              <w:t>47.10</w:t>
            </w:r>
          </w:p>
        </w:tc>
        <w:tc>
          <w:tcPr>
            <w:tcW w:w="1134" w:type="dxa"/>
            <w:vAlign w:val="center"/>
          </w:tcPr>
          <w:p>
            <w:pPr>
              <w:pStyle w:val="12"/>
            </w:pPr>
            <w:r>
              <w:t>47.10</w:t>
            </w:r>
          </w:p>
        </w:tc>
        <w:tc>
          <w:tcPr>
            <w:tcW w:w="1134" w:type="dxa"/>
            <w:vAlign w:val="center"/>
          </w:tcPr>
          <w:p>
            <w:pPr>
              <w:pStyle w:val="12"/>
            </w:pPr>
            <w:r>
              <w:t>47.10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2013404</w:t>
            </w:r>
          </w:p>
        </w:tc>
        <w:tc>
          <w:tcPr>
            <w:tcW w:w="1559" w:type="dxa"/>
            <w:vAlign w:val="center"/>
          </w:tcPr>
          <w:p>
            <w:pPr>
              <w:pStyle w:val="13"/>
            </w:pPr>
            <w:r>
              <w:t>宗教事务</w:t>
            </w:r>
          </w:p>
        </w:tc>
        <w:tc>
          <w:tcPr>
            <w:tcW w:w="1134" w:type="dxa"/>
            <w:vAlign w:val="center"/>
          </w:tcPr>
          <w:p>
            <w:pPr>
              <w:pStyle w:val="12"/>
            </w:pPr>
            <w:r>
              <w:t>47.10</w:t>
            </w:r>
          </w:p>
        </w:tc>
        <w:tc>
          <w:tcPr>
            <w:tcW w:w="1134" w:type="dxa"/>
            <w:vAlign w:val="center"/>
          </w:tcPr>
          <w:p>
            <w:pPr>
              <w:pStyle w:val="12"/>
            </w:pPr>
            <w:r>
              <w:t>47.10</w:t>
            </w:r>
          </w:p>
        </w:tc>
        <w:tc>
          <w:tcPr>
            <w:tcW w:w="1134" w:type="dxa"/>
            <w:vAlign w:val="center"/>
          </w:tcPr>
          <w:p>
            <w:pPr>
              <w:pStyle w:val="12"/>
            </w:pPr>
            <w:r>
              <w:t>47.10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206</w:t>
            </w:r>
          </w:p>
        </w:tc>
        <w:tc>
          <w:tcPr>
            <w:tcW w:w="1559" w:type="dxa"/>
            <w:vAlign w:val="center"/>
          </w:tcPr>
          <w:p>
            <w:pPr>
              <w:pStyle w:val="13"/>
            </w:pPr>
            <w:r>
              <w:t>科学技术支出</w:t>
            </w:r>
          </w:p>
        </w:tc>
        <w:tc>
          <w:tcPr>
            <w:tcW w:w="1134" w:type="dxa"/>
            <w:vAlign w:val="center"/>
          </w:tcPr>
          <w:p>
            <w:pPr>
              <w:pStyle w:val="12"/>
            </w:pPr>
            <w:r>
              <w:t>131.29</w:t>
            </w:r>
          </w:p>
        </w:tc>
        <w:tc>
          <w:tcPr>
            <w:tcW w:w="1134" w:type="dxa"/>
            <w:vAlign w:val="center"/>
          </w:tcPr>
          <w:p>
            <w:pPr>
              <w:pStyle w:val="12"/>
            </w:pPr>
            <w:r>
              <w:t>131.29</w:t>
            </w:r>
          </w:p>
        </w:tc>
        <w:tc>
          <w:tcPr>
            <w:tcW w:w="1134" w:type="dxa"/>
            <w:vAlign w:val="center"/>
          </w:tcPr>
          <w:p>
            <w:pPr>
              <w:pStyle w:val="12"/>
            </w:pPr>
            <w:r>
              <w:t>131.29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20601</w:t>
            </w:r>
          </w:p>
        </w:tc>
        <w:tc>
          <w:tcPr>
            <w:tcW w:w="1559" w:type="dxa"/>
            <w:vAlign w:val="center"/>
          </w:tcPr>
          <w:p>
            <w:pPr>
              <w:pStyle w:val="13"/>
            </w:pPr>
            <w:r>
              <w:t>科学技术管理事务</w:t>
            </w:r>
          </w:p>
        </w:tc>
        <w:tc>
          <w:tcPr>
            <w:tcW w:w="1134" w:type="dxa"/>
            <w:vAlign w:val="center"/>
          </w:tcPr>
          <w:p>
            <w:pPr>
              <w:pStyle w:val="12"/>
            </w:pPr>
            <w:r>
              <w:t>131.29</w:t>
            </w:r>
          </w:p>
        </w:tc>
        <w:tc>
          <w:tcPr>
            <w:tcW w:w="1134" w:type="dxa"/>
            <w:vAlign w:val="center"/>
          </w:tcPr>
          <w:p>
            <w:pPr>
              <w:pStyle w:val="12"/>
            </w:pPr>
            <w:r>
              <w:t>131.29</w:t>
            </w:r>
          </w:p>
        </w:tc>
        <w:tc>
          <w:tcPr>
            <w:tcW w:w="1134" w:type="dxa"/>
            <w:vAlign w:val="center"/>
          </w:tcPr>
          <w:p>
            <w:pPr>
              <w:pStyle w:val="12"/>
            </w:pPr>
            <w:r>
              <w:t>131.29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2060101</w:t>
            </w:r>
          </w:p>
        </w:tc>
        <w:tc>
          <w:tcPr>
            <w:tcW w:w="1559" w:type="dxa"/>
            <w:vAlign w:val="center"/>
          </w:tcPr>
          <w:p>
            <w:pPr>
              <w:pStyle w:val="13"/>
            </w:pPr>
            <w:r>
              <w:t>行政运行</w:t>
            </w:r>
          </w:p>
        </w:tc>
        <w:tc>
          <w:tcPr>
            <w:tcW w:w="1134" w:type="dxa"/>
            <w:vAlign w:val="center"/>
          </w:tcPr>
          <w:p>
            <w:pPr>
              <w:pStyle w:val="12"/>
            </w:pPr>
            <w:r>
              <w:t>131.29</w:t>
            </w:r>
          </w:p>
        </w:tc>
        <w:tc>
          <w:tcPr>
            <w:tcW w:w="1134" w:type="dxa"/>
            <w:vAlign w:val="center"/>
          </w:tcPr>
          <w:p>
            <w:pPr>
              <w:pStyle w:val="12"/>
            </w:pPr>
            <w:r>
              <w:t>131.29</w:t>
            </w:r>
          </w:p>
        </w:tc>
        <w:tc>
          <w:tcPr>
            <w:tcW w:w="1134" w:type="dxa"/>
            <w:vAlign w:val="center"/>
          </w:tcPr>
          <w:p>
            <w:pPr>
              <w:pStyle w:val="12"/>
            </w:pPr>
            <w:r>
              <w:t>131.29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4.75</w:t>
            </w:r>
          </w:p>
        </w:tc>
        <w:tc>
          <w:tcPr>
            <w:tcW w:w="1134" w:type="dxa"/>
            <w:vAlign w:val="center"/>
          </w:tcPr>
          <w:p>
            <w:pPr>
              <w:pStyle w:val="12"/>
            </w:pPr>
            <w:r>
              <w:t>4.75</w:t>
            </w:r>
          </w:p>
        </w:tc>
        <w:tc>
          <w:tcPr>
            <w:tcW w:w="1134" w:type="dxa"/>
            <w:vAlign w:val="center"/>
          </w:tcPr>
          <w:p>
            <w:pPr>
              <w:pStyle w:val="12"/>
            </w:pPr>
            <w:r>
              <w:t>4.75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4.75</w:t>
            </w:r>
          </w:p>
        </w:tc>
        <w:tc>
          <w:tcPr>
            <w:tcW w:w="1134" w:type="dxa"/>
            <w:vAlign w:val="center"/>
          </w:tcPr>
          <w:p>
            <w:pPr>
              <w:pStyle w:val="12"/>
            </w:pPr>
            <w:r>
              <w:t>4.75</w:t>
            </w:r>
          </w:p>
        </w:tc>
        <w:tc>
          <w:tcPr>
            <w:tcW w:w="1134" w:type="dxa"/>
            <w:vAlign w:val="center"/>
          </w:tcPr>
          <w:p>
            <w:pPr>
              <w:pStyle w:val="12"/>
            </w:pPr>
            <w:r>
              <w:t>4.75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4.75</w:t>
            </w:r>
          </w:p>
        </w:tc>
        <w:tc>
          <w:tcPr>
            <w:tcW w:w="1134" w:type="dxa"/>
            <w:vAlign w:val="center"/>
          </w:tcPr>
          <w:p>
            <w:pPr>
              <w:pStyle w:val="12"/>
            </w:pPr>
            <w:r>
              <w:t>4.75</w:t>
            </w:r>
          </w:p>
        </w:tc>
        <w:tc>
          <w:tcPr>
            <w:tcW w:w="1134" w:type="dxa"/>
            <w:vAlign w:val="center"/>
          </w:tcPr>
          <w:p>
            <w:pPr>
              <w:pStyle w:val="12"/>
            </w:pPr>
            <w:r>
              <w:t>4.75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5.45</w:t>
            </w:r>
          </w:p>
        </w:tc>
        <w:tc>
          <w:tcPr>
            <w:tcW w:w="1134" w:type="dxa"/>
            <w:vAlign w:val="center"/>
          </w:tcPr>
          <w:p>
            <w:pPr>
              <w:pStyle w:val="12"/>
            </w:pPr>
            <w:r>
              <w:t>5.45</w:t>
            </w:r>
          </w:p>
        </w:tc>
        <w:tc>
          <w:tcPr>
            <w:tcW w:w="1134" w:type="dxa"/>
            <w:vAlign w:val="center"/>
          </w:tcPr>
          <w:p>
            <w:pPr>
              <w:pStyle w:val="12"/>
            </w:pPr>
            <w:r>
              <w:t>5.45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5.45</w:t>
            </w:r>
          </w:p>
        </w:tc>
        <w:tc>
          <w:tcPr>
            <w:tcW w:w="1134" w:type="dxa"/>
            <w:vAlign w:val="center"/>
          </w:tcPr>
          <w:p>
            <w:pPr>
              <w:pStyle w:val="12"/>
            </w:pPr>
            <w:r>
              <w:t>5.45</w:t>
            </w:r>
          </w:p>
        </w:tc>
        <w:tc>
          <w:tcPr>
            <w:tcW w:w="1134" w:type="dxa"/>
            <w:vAlign w:val="center"/>
          </w:tcPr>
          <w:p>
            <w:pPr>
              <w:pStyle w:val="12"/>
            </w:pPr>
            <w:r>
              <w:t>5.45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2101199</w:t>
            </w:r>
          </w:p>
        </w:tc>
        <w:tc>
          <w:tcPr>
            <w:tcW w:w="1559" w:type="dxa"/>
            <w:vAlign w:val="center"/>
          </w:tcPr>
          <w:p>
            <w:pPr>
              <w:pStyle w:val="13"/>
            </w:pPr>
            <w:r>
              <w:t>其他行政事业单位医疗支出</w:t>
            </w:r>
          </w:p>
        </w:tc>
        <w:tc>
          <w:tcPr>
            <w:tcW w:w="1134" w:type="dxa"/>
            <w:vAlign w:val="center"/>
          </w:tcPr>
          <w:p>
            <w:pPr>
              <w:pStyle w:val="12"/>
            </w:pPr>
            <w:r>
              <w:t>5.45</w:t>
            </w:r>
          </w:p>
        </w:tc>
        <w:tc>
          <w:tcPr>
            <w:tcW w:w="1134" w:type="dxa"/>
            <w:vAlign w:val="center"/>
          </w:tcPr>
          <w:p>
            <w:pPr>
              <w:pStyle w:val="12"/>
            </w:pPr>
            <w:r>
              <w:t>5.45</w:t>
            </w:r>
          </w:p>
        </w:tc>
        <w:tc>
          <w:tcPr>
            <w:tcW w:w="1134" w:type="dxa"/>
            <w:vAlign w:val="center"/>
          </w:tcPr>
          <w:p>
            <w:pPr>
              <w:pStyle w:val="12"/>
            </w:pPr>
            <w:r>
              <w:t>5.45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308001魏县民族宗教事务局本级</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188.59</w:t>
            </w:r>
          </w:p>
        </w:tc>
        <w:tc>
          <w:tcPr>
            <w:tcW w:w="1361" w:type="dxa"/>
            <w:vAlign w:val="center"/>
          </w:tcPr>
          <w:p>
            <w:pPr>
              <w:pStyle w:val="16"/>
            </w:pPr>
            <w:r>
              <w:t>141.49</w:t>
            </w:r>
          </w:p>
        </w:tc>
        <w:tc>
          <w:tcPr>
            <w:tcW w:w="1361" w:type="dxa"/>
            <w:vAlign w:val="center"/>
          </w:tcPr>
          <w:p>
            <w:pPr>
              <w:pStyle w:val="16"/>
            </w:pPr>
            <w:r>
              <w:t>47.10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47.10</w:t>
            </w:r>
          </w:p>
        </w:tc>
        <w:tc>
          <w:tcPr>
            <w:tcW w:w="1361" w:type="dxa"/>
            <w:vAlign w:val="center"/>
          </w:tcPr>
          <w:p>
            <w:pPr>
              <w:pStyle w:val="12"/>
            </w:pPr>
          </w:p>
        </w:tc>
        <w:tc>
          <w:tcPr>
            <w:tcW w:w="1361" w:type="dxa"/>
            <w:vAlign w:val="center"/>
          </w:tcPr>
          <w:p>
            <w:pPr>
              <w:pStyle w:val="12"/>
            </w:pPr>
            <w:r>
              <w:t>47.10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20134</w:t>
            </w:r>
          </w:p>
        </w:tc>
        <w:tc>
          <w:tcPr>
            <w:tcW w:w="4535" w:type="dxa"/>
            <w:vAlign w:val="center"/>
          </w:tcPr>
          <w:p>
            <w:pPr>
              <w:pStyle w:val="13"/>
            </w:pPr>
            <w:r>
              <w:t>统战事务</w:t>
            </w:r>
          </w:p>
        </w:tc>
        <w:tc>
          <w:tcPr>
            <w:tcW w:w="1361" w:type="dxa"/>
            <w:vAlign w:val="center"/>
          </w:tcPr>
          <w:p>
            <w:pPr>
              <w:pStyle w:val="12"/>
            </w:pPr>
            <w:r>
              <w:t>47.10</w:t>
            </w:r>
          </w:p>
        </w:tc>
        <w:tc>
          <w:tcPr>
            <w:tcW w:w="1361" w:type="dxa"/>
            <w:vAlign w:val="center"/>
          </w:tcPr>
          <w:p>
            <w:pPr>
              <w:pStyle w:val="12"/>
            </w:pPr>
          </w:p>
        </w:tc>
        <w:tc>
          <w:tcPr>
            <w:tcW w:w="1361" w:type="dxa"/>
            <w:vAlign w:val="center"/>
          </w:tcPr>
          <w:p>
            <w:pPr>
              <w:pStyle w:val="12"/>
            </w:pPr>
            <w:r>
              <w:t>47.10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2013404</w:t>
            </w:r>
          </w:p>
        </w:tc>
        <w:tc>
          <w:tcPr>
            <w:tcW w:w="4535" w:type="dxa"/>
            <w:vAlign w:val="center"/>
          </w:tcPr>
          <w:p>
            <w:pPr>
              <w:pStyle w:val="13"/>
            </w:pPr>
            <w:r>
              <w:t>宗教事务</w:t>
            </w:r>
          </w:p>
        </w:tc>
        <w:tc>
          <w:tcPr>
            <w:tcW w:w="1361" w:type="dxa"/>
            <w:vAlign w:val="center"/>
          </w:tcPr>
          <w:p>
            <w:pPr>
              <w:pStyle w:val="12"/>
            </w:pPr>
            <w:r>
              <w:t>47.10</w:t>
            </w:r>
          </w:p>
        </w:tc>
        <w:tc>
          <w:tcPr>
            <w:tcW w:w="1361" w:type="dxa"/>
            <w:vAlign w:val="center"/>
          </w:tcPr>
          <w:p>
            <w:pPr>
              <w:pStyle w:val="12"/>
            </w:pPr>
          </w:p>
        </w:tc>
        <w:tc>
          <w:tcPr>
            <w:tcW w:w="1361" w:type="dxa"/>
            <w:vAlign w:val="center"/>
          </w:tcPr>
          <w:p>
            <w:pPr>
              <w:pStyle w:val="12"/>
            </w:pPr>
            <w:r>
              <w:t>47.10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206</w:t>
            </w:r>
          </w:p>
        </w:tc>
        <w:tc>
          <w:tcPr>
            <w:tcW w:w="4535" w:type="dxa"/>
            <w:vAlign w:val="center"/>
          </w:tcPr>
          <w:p>
            <w:pPr>
              <w:pStyle w:val="13"/>
            </w:pPr>
            <w:r>
              <w:t>科学技术支出</w:t>
            </w:r>
          </w:p>
        </w:tc>
        <w:tc>
          <w:tcPr>
            <w:tcW w:w="1361" w:type="dxa"/>
            <w:vAlign w:val="center"/>
          </w:tcPr>
          <w:p>
            <w:pPr>
              <w:pStyle w:val="12"/>
            </w:pPr>
            <w:r>
              <w:t>131.29</w:t>
            </w:r>
          </w:p>
        </w:tc>
        <w:tc>
          <w:tcPr>
            <w:tcW w:w="1361" w:type="dxa"/>
            <w:vAlign w:val="center"/>
          </w:tcPr>
          <w:p>
            <w:pPr>
              <w:pStyle w:val="12"/>
            </w:pPr>
            <w:r>
              <w:t>131.29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20601</w:t>
            </w:r>
          </w:p>
        </w:tc>
        <w:tc>
          <w:tcPr>
            <w:tcW w:w="4535" w:type="dxa"/>
            <w:vAlign w:val="center"/>
          </w:tcPr>
          <w:p>
            <w:pPr>
              <w:pStyle w:val="13"/>
            </w:pPr>
            <w:r>
              <w:t>科学技术管理事务</w:t>
            </w:r>
          </w:p>
        </w:tc>
        <w:tc>
          <w:tcPr>
            <w:tcW w:w="1361" w:type="dxa"/>
            <w:vAlign w:val="center"/>
          </w:tcPr>
          <w:p>
            <w:pPr>
              <w:pStyle w:val="12"/>
            </w:pPr>
            <w:r>
              <w:t>131.29</w:t>
            </w:r>
          </w:p>
        </w:tc>
        <w:tc>
          <w:tcPr>
            <w:tcW w:w="1361" w:type="dxa"/>
            <w:vAlign w:val="center"/>
          </w:tcPr>
          <w:p>
            <w:pPr>
              <w:pStyle w:val="12"/>
            </w:pPr>
            <w:r>
              <w:t>131.29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2060101</w:t>
            </w:r>
          </w:p>
        </w:tc>
        <w:tc>
          <w:tcPr>
            <w:tcW w:w="4535" w:type="dxa"/>
            <w:vAlign w:val="center"/>
          </w:tcPr>
          <w:p>
            <w:pPr>
              <w:pStyle w:val="13"/>
            </w:pPr>
            <w:r>
              <w:t>行政运行</w:t>
            </w:r>
          </w:p>
        </w:tc>
        <w:tc>
          <w:tcPr>
            <w:tcW w:w="1361" w:type="dxa"/>
            <w:vAlign w:val="center"/>
          </w:tcPr>
          <w:p>
            <w:pPr>
              <w:pStyle w:val="12"/>
            </w:pPr>
            <w:r>
              <w:t>131.29</w:t>
            </w:r>
          </w:p>
        </w:tc>
        <w:tc>
          <w:tcPr>
            <w:tcW w:w="1361" w:type="dxa"/>
            <w:vAlign w:val="center"/>
          </w:tcPr>
          <w:p>
            <w:pPr>
              <w:pStyle w:val="12"/>
            </w:pPr>
            <w:r>
              <w:t>131.29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4.75</w:t>
            </w:r>
          </w:p>
        </w:tc>
        <w:tc>
          <w:tcPr>
            <w:tcW w:w="1361" w:type="dxa"/>
            <w:vAlign w:val="center"/>
          </w:tcPr>
          <w:p>
            <w:pPr>
              <w:pStyle w:val="12"/>
            </w:pPr>
            <w:r>
              <w:t>4.75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4.75</w:t>
            </w:r>
          </w:p>
        </w:tc>
        <w:tc>
          <w:tcPr>
            <w:tcW w:w="1361" w:type="dxa"/>
            <w:vAlign w:val="center"/>
          </w:tcPr>
          <w:p>
            <w:pPr>
              <w:pStyle w:val="12"/>
            </w:pPr>
            <w:r>
              <w:t>4.75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4.75</w:t>
            </w:r>
          </w:p>
        </w:tc>
        <w:tc>
          <w:tcPr>
            <w:tcW w:w="1361" w:type="dxa"/>
            <w:vAlign w:val="center"/>
          </w:tcPr>
          <w:p>
            <w:pPr>
              <w:pStyle w:val="12"/>
            </w:pPr>
            <w:r>
              <w:t>4.75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5.45</w:t>
            </w:r>
          </w:p>
        </w:tc>
        <w:tc>
          <w:tcPr>
            <w:tcW w:w="1361" w:type="dxa"/>
            <w:vAlign w:val="center"/>
          </w:tcPr>
          <w:p>
            <w:pPr>
              <w:pStyle w:val="12"/>
            </w:pPr>
            <w:r>
              <w:t>5.45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5.45</w:t>
            </w:r>
          </w:p>
        </w:tc>
        <w:tc>
          <w:tcPr>
            <w:tcW w:w="1361" w:type="dxa"/>
            <w:vAlign w:val="center"/>
          </w:tcPr>
          <w:p>
            <w:pPr>
              <w:pStyle w:val="12"/>
            </w:pPr>
            <w:r>
              <w:t>5.45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2101199</w:t>
            </w:r>
          </w:p>
        </w:tc>
        <w:tc>
          <w:tcPr>
            <w:tcW w:w="4535" w:type="dxa"/>
            <w:vAlign w:val="center"/>
          </w:tcPr>
          <w:p>
            <w:pPr>
              <w:pStyle w:val="13"/>
            </w:pPr>
            <w:r>
              <w:t>其他行政事业单位医疗支出</w:t>
            </w:r>
          </w:p>
        </w:tc>
        <w:tc>
          <w:tcPr>
            <w:tcW w:w="1361" w:type="dxa"/>
            <w:vAlign w:val="center"/>
          </w:tcPr>
          <w:p>
            <w:pPr>
              <w:pStyle w:val="12"/>
            </w:pPr>
            <w:r>
              <w:t>5.45</w:t>
            </w:r>
          </w:p>
        </w:tc>
        <w:tc>
          <w:tcPr>
            <w:tcW w:w="1361" w:type="dxa"/>
            <w:vAlign w:val="center"/>
          </w:tcPr>
          <w:p>
            <w:pPr>
              <w:pStyle w:val="12"/>
            </w:pPr>
            <w:r>
              <w:t>5.45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308001魏县民族宗教事务局本级</w:t>
            </w:r>
          </w:p>
        </w:tc>
        <w:tc>
          <w:tcPr>
            <w:tcW w:w="3402" w:type="dxa"/>
            <w:tcBorders>
              <w:top w:val="single" w:color="FFFFFF" w:sz="6" w:space="0"/>
              <w:left w:val="single" w:color="FFFFFF" w:sz="6" w:space="0"/>
              <w:right w:val="single" w:color="FFFFFF" w:sz="6" w:space="0"/>
            </w:tcBorders>
            <w:vAlign w:val="center"/>
          </w:tcPr>
          <w:p>
            <w:pPr>
              <w:pStyle w:val="9"/>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188.59</w:t>
            </w:r>
          </w:p>
        </w:tc>
        <w:tc>
          <w:tcPr>
            <w:tcW w:w="3402" w:type="dxa"/>
            <w:vAlign w:val="center"/>
          </w:tcPr>
          <w:p>
            <w:pPr>
              <w:pStyle w:val="13"/>
            </w:pPr>
            <w:r>
              <w:t>一、一般公共服务支出</w:t>
            </w:r>
          </w:p>
        </w:tc>
        <w:tc>
          <w:tcPr>
            <w:tcW w:w="1474" w:type="dxa"/>
            <w:vAlign w:val="center"/>
          </w:tcPr>
          <w:p>
            <w:pPr>
              <w:pStyle w:val="12"/>
            </w:pPr>
            <w:r>
              <w:t>47.10</w:t>
            </w:r>
          </w:p>
        </w:tc>
        <w:tc>
          <w:tcPr>
            <w:tcW w:w="1474" w:type="dxa"/>
            <w:vAlign w:val="center"/>
          </w:tcPr>
          <w:p>
            <w:pPr>
              <w:pStyle w:val="12"/>
            </w:pPr>
            <w:r>
              <w:t>47.10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r>
              <w:t>131.29</w:t>
            </w:r>
          </w:p>
        </w:tc>
        <w:tc>
          <w:tcPr>
            <w:tcW w:w="1474" w:type="dxa"/>
            <w:vAlign w:val="center"/>
          </w:tcPr>
          <w:p>
            <w:pPr>
              <w:pStyle w:val="12"/>
            </w:pPr>
            <w:r>
              <w:t>131.29</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4.75</w:t>
            </w:r>
          </w:p>
        </w:tc>
        <w:tc>
          <w:tcPr>
            <w:tcW w:w="1474" w:type="dxa"/>
            <w:vAlign w:val="center"/>
          </w:tcPr>
          <w:p>
            <w:pPr>
              <w:pStyle w:val="12"/>
            </w:pPr>
            <w:r>
              <w:t>4.75</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5.45</w:t>
            </w:r>
          </w:p>
        </w:tc>
        <w:tc>
          <w:tcPr>
            <w:tcW w:w="1474" w:type="dxa"/>
            <w:vAlign w:val="center"/>
          </w:tcPr>
          <w:p>
            <w:pPr>
              <w:pStyle w:val="12"/>
            </w:pPr>
            <w:r>
              <w:t>5.45</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5"/>
            </w:pPr>
            <w:r>
              <w:t>本年收入合计</w:t>
            </w:r>
          </w:p>
        </w:tc>
        <w:tc>
          <w:tcPr>
            <w:tcW w:w="1474" w:type="dxa"/>
            <w:vAlign w:val="center"/>
          </w:tcPr>
          <w:p>
            <w:pPr>
              <w:pStyle w:val="16"/>
            </w:pPr>
            <w:r>
              <w:t>188.59</w:t>
            </w:r>
          </w:p>
        </w:tc>
        <w:tc>
          <w:tcPr>
            <w:tcW w:w="3402" w:type="dxa"/>
            <w:vAlign w:val="center"/>
          </w:tcPr>
          <w:p>
            <w:pPr>
              <w:pStyle w:val="15"/>
            </w:pPr>
            <w:r>
              <w:t>本年支出合计</w:t>
            </w:r>
          </w:p>
        </w:tc>
        <w:tc>
          <w:tcPr>
            <w:tcW w:w="1474" w:type="dxa"/>
            <w:vAlign w:val="center"/>
          </w:tcPr>
          <w:p>
            <w:pPr>
              <w:pStyle w:val="16"/>
            </w:pPr>
            <w:r>
              <w:t>188.59</w:t>
            </w:r>
          </w:p>
        </w:tc>
        <w:tc>
          <w:tcPr>
            <w:tcW w:w="1474" w:type="dxa"/>
            <w:vAlign w:val="center"/>
          </w:tcPr>
          <w:p>
            <w:pPr>
              <w:pStyle w:val="16"/>
            </w:pPr>
            <w:r>
              <w:t>188.59</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5"/>
            </w:pPr>
            <w:r>
              <w:t>收入总计</w:t>
            </w:r>
          </w:p>
        </w:tc>
        <w:tc>
          <w:tcPr>
            <w:tcW w:w="1474" w:type="dxa"/>
            <w:vAlign w:val="center"/>
          </w:tcPr>
          <w:p>
            <w:pPr>
              <w:pStyle w:val="16"/>
            </w:pPr>
            <w:r>
              <w:t>188.59</w:t>
            </w:r>
          </w:p>
        </w:tc>
        <w:tc>
          <w:tcPr>
            <w:tcW w:w="3402" w:type="dxa"/>
            <w:vAlign w:val="center"/>
          </w:tcPr>
          <w:p>
            <w:pPr>
              <w:pStyle w:val="15"/>
            </w:pPr>
            <w:r>
              <w:t>支出总计</w:t>
            </w:r>
          </w:p>
        </w:tc>
        <w:tc>
          <w:tcPr>
            <w:tcW w:w="1474" w:type="dxa"/>
            <w:vAlign w:val="center"/>
          </w:tcPr>
          <w:p>
            <w:pPr>
              <w:pStyle w:val="16"/>
            </w:pPr>
            <w:r>
              <w:t>188.59</w:t>
            </w:r>
          </w:p>
        </w:tc>
        <w:tc>
          <w:tcPr>
            <w:tcW w:w="1474" w:type="dxa"/>
            <w:vAlign w:val="center"/>
          </w:tcPr>
          <w:p>
            <w:pPr>
              <w:pStyle w:val="16"/>
            </w:pPr>
            <w:r>
              <w:t>188.59</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308001魏县民族宗教事务局本级</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188.59</w:t>
            </w:r>
          </w:p>
        </w:tc>
        <w:tc>
          <w:tcPr>
            <w:tcW w:w="2551" w:type="dxa"/>
            <w:vAlign w:val="center"/>
          </w:tcPr>
          <w:p>
            <w:pPr>
              <w:pStyle w:val="16"/>
            </w:pPr>
            <w:r>
              <w:t>141.49</w:t>
            </w:r>
          </w:p>
        </w:tc>
        <w:tc>
          <w:tcPr>
            <w:tcW w:w="2551" w:type="dxa"/>
            <w:vAlign w:val="center"/>
          </w:tcPr>
          <w:p>
            <w:pPr>
              <w:pStyle w:val="16"/>
            </w:pPr>
            <w:r>
              <w:t>47.10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47.10</w:t>
            </w:r>
          </w:p>
        </w:tc>
        <w:tc>
          <w:tcPr>
            <w:tcW w:w="2551" w:type="dxa"/>
            <w:vAlign w:val="center"/>
          </w:tcPr>
          <w:p>
            <w:pPr>
              <w:pStyle w:val="12"/>
            </w:pPr>
          </w:p>
        </w:tc>
        <w:tc>
          <w:tcPr>
            <w:tcW w:w="2551" w:type="dxa"/>
            <w:vAlign w:val="center"/>
          </w:tcPr>
          <w:p>
            <w:pPr>
              <w:pStyle w:val="12"/>
            </w:pPr>
            <w:r>
              <w:t>47.10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20134</w:t>
            </w:r>
          </w:p>
        </w:tc>
        <w:tc>
          <w:tcPr>
            <w:tcW w:w="4535" w:type="dxa"/>
            <w:vAlign w:val="center"/>
          </w:tcPr>
          <w:p>
            <w:pPr>
              <w:pStyle w:val="13"/>
            </w:pPr>
            <w:r>
              <w:t>统战事务</w:t>
            </w:r>
          </w:p>
        </w:tc>
        <w:tc>
          <w:tcPr>
            <w:tcW w:w="2551" w:type="dxa"/>
            <w:vAlign w:val="center"/>
          </w:tcPr>
          <w:p>
            <w:pPr>
              <w:pStyle w:val="12"/>
            </w:pPr>
            <w:r>
              <w:t>47.10</w:t>
            </w:r>
          </w:p>
        </w:tc>
        <w:tc>
          <w:tcPr>
            <w:tcW w:w="2551" w:type="dxa"/>
            <w:vAlign w:val="center"/>
          </w:tcPr>
          <w:p>
            <w:pPr>
              <w:pStyle w:val="12"/>
            </w:pPr>
          </w:p>
        </w:tc>
        <w:tc>
          <w:tcPr>
            <w:tcW w:w="2551" w:type="dxa"/>
            <w:vAlign w:val="center"/>
          </w:tcPr>
          <w:p>
            <w:pPr>
              <w:pStyle w:val="12"/>
            </w:pPr>
            <w:r>
              <w:t>47.10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2013404</w:t>
            </w:r>
          </w:p>
        </w:tc>
        <w:tc>
          <w:tcPr>
            <w:tcW w:w="4535" w:type="dxa"/>
            <w:vAlign w:val="center"/>
          </w:tcPr>
          <w:p>
            <w:pPr>
              <w:pStyle w:val="13"/>
            </w:pPr>
            <w:r>
              <w:t>宗教事务</w:t>
            </w:r>
          </w:p>
        </w:tc>
        <w:tc>
          <w:tcPr>
            <w:tcW w:w="2551" w:type="dxa"/>
            <w:vAlign w:val="center"/>
          </w:tcPr>
          <w:p>
            <w:pPr>
              <w:pStyle w:val="12"/>
            </w:pPr>
            <w:r>
              <w:t>47.10</w:t>
            </w:r>
          </w:p>
        </w:tc>
        <w:tc>
          <w:tcPr>
            <w:tcW w:w="2551" w:type="dxa"/>
            <w:vAlign w:val="center"/>
          </w:tcPr>
          <w:p>
            <w:pPr>
              <w:pStyle w:val="12"/>
            </w:pPr>
          </w:p>
        </w:tc>
        <w:tc>
          <w:tcPr>
            <w:tcW w:w="2551" w:type="dxa"/>
            <w:vAlign w:val="center"/>
          </w:tcPr>
          <w:p>
            <w:pPr>
              <w:pStyle w:val="12"/>
            </w:pPr>
            <w:r>
              <w:t>47.10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206</w:t>
            </w:r>
          </w:p>
        </w:tc>
        <w:tc>
          <w:tcPr>
            <w:tcW w:w="4535" w:type="dxa"/>
            <w:vAlign w:val="center"/>
          </w:tcPr>
          <w:p>
            <w:pPr>
              <w:pStyle w:val="13"/>
            </w:pPr>
            <w:r>
              <w:t>科学技术支出</w:t>
            </w:r>
          </w:p>
        </w:tc>
        <w:tc>
          <w:tcPr>
            <w:tcW w:w="2551" w:type="dxa"/>
            <w:vAlign w:val="center"/>
          </w:tcPr>
          <w:p>
            <w:pPr>
              <w:pStyle w:val="12"/>
            </w:pPr>
            <w:r>
              <w:t>131.29</w:t>
            </w:r>
          </w:p>
        </w:tc>
        <w:tc>
          <w:tcPr>
            <w:tcW w:w="2551" w:type="dxa"/>
            <w:vAlign w:val="center"/>
          </w:tcPr>
          <w:p>
            <w:pPr>
              <w:pStyle w:val="12"/>
            </w:pPr>
            <w:r>
              <w:t>131.29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20601</w:t>
            </w:r>
          </w:p>
        </w:tc>
        <w:tc>
          <w:tcPr>
            <w:tcW w:w="4535" w:type="dxa"/>
            <w:vAlign w:val="center"/>
          </w:tcPr>
          <w:p>
            <w:pPr>
              <w:pStyle w:val="13"/>
            </w:pPr>
            <w:r>
              <w:t>科学技术管理事务</w:t>
            </w:r>
          </w:p>
        </w:tc>
        <w:tc>
          <w:tcPr>
            <w:tcW w:w="2551" w:type="dxa"/>
            <w:vAlign w:val="center"/>
          </w:tcPr>
          <w:p>
            <w:pPr>
              <w:pStyle w:val="12"/>
            </w:pPr>
            <w:r>
              <w:t>131.29</w:t>
            </w:r>
          </w:p>
        </w:tc>
        <w:tc>
          <w:tcPr>
            <w:tcW w:w="2551" w:type="dxa"/>
            <w:vAlign w:val="center"/>
          </w:tcPr>
          <w:p>
            <w:pPr>
              <w:pStyle w:val="12"/>
            </w:pPr>
            <w:r>
              <w:t>131.29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2060101</w:t>
            </w:r>
          </w:p>
        </w:tc>
        <w:tc>
          <w:tcPr>
            <w:tcW w:w="4535" w:type="dxa"/>
            <w:vAlign w:val="center"/>
          </w:tcPr>
          <w:p>
            <w:pPr>
              <w:pStyle w:val="13"/>
            </w:pPr>
            <w:r>
              <w:t>行政运行</w:t>
            </w:r>
          </w:p>
        </w:tc>
        <w:tc>
          <w:tcPr>
            <w:tcW w:w="2551" w:type="dxa"/>
            <w:vAlign w:val="center"/>
          </w:tcPr>
          <w:p>
            <w:pPr>
              <w:pStyle w:val="12"/>
            </w:pPr>
            <w:r>
              <w:t>131.29</w:t>
            </w:r>
          </w:p>
        </w:tc>
        <w:tc>
          <w:tcPr>
            <w:tcW w:w="2551" w:type="dxa"/>
            <w:vAlign w:val="center"/>
          </w:tcPr>
          <w:p>
            <w:pPr>
              <w:pStyle w:val="12"/>
            </w:pPr>
            <w:r>
              <w:t>131.29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4.75</w:t>
            </w:r>
          </w:p>
        </w:tc>
        <w:tc>
          <w:tcPr>
            <w:tcW w:w="2551" w:type="dxa"/>
            <w:vAlign w:val="center"/>
          </w:tcPr>
          <w:p>
            <w:pPr>
              <w:pStyle w:val="12"/>
            </w:pPr>
            <w:r>
              <w:t>4.75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4.75</w:t>
            </w:r>
          </w:p>
        </w:tc>
        <w:tc>
          <w:tcPr>
            <w:tcW w:w="2551" w:type="dxa"/>
            <w:vAlign w:val="center"/>
          </w:tcPr>
          <w:p>
            <w:pPr>
              <w:pStyle w:val="12"/>
            </w:pPr>
            <w:r>
              <w:t>4.75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4.75</w:t>
            </w:r>
          </w:p>
        </w:tc>
        <w:tc>
          <w:tcPr>
            <w:tcW w:w="2551" w:type="dxa"/>
            <w:vAlign w:val="center"/>
          </w:tcPr>
          <w:p>
            <w:pPr>
              <w:pStyle w:val="12"/>
            </w:pPr>
            <w:r>
              <w:t>4.75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5.45</w:t>
            </w:r>
          </w:p>
        </w:tc>
        <w:tc>
          <w:tcPr>
            <w:tcW w:w="2551" w:type="dxa"/>
            <w:vAlign w:val="center"/>
          </w:tcPr>
          <w:p>
            <w:pPr>
              <w:pStyle w:val="12"/>
            </w:pPr>
            <w:r>
              <w:t>5.45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5.45</w:t>
            </w:r>
          </w:p>
        </w:tc>
        <w:tc>
          <w:tcPr>
            <w:tcW w:w="2551" w:type="dxa"/>
            <w:vAlign w:val="center"/>
          </w:tcPr>
          <w:p>
            <w:pPr>
              <w:pStyle w:val="12"/>
            </w:pPr>
            <w:r>
              <w:t>5.45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2101199</w:t>
            </w:r>
          </w:p>
        </w:tc>
        <w:tc>
          <w:tcPr>
            <w:tcW w:w="4535" w:type="dxa"/>
            <w:vAlign w:val="center"/>
          </w:tcPr>
          <w:p>
            <w:pPr>
              <w:pStyle w:val="13"/>
            </w:pPr>
            <w:r>
              <w:t>其他行政事业单位医疗支出</w:t>
            </w:r>
          </w:p>
        </w:tc>
        <w:tc>
          <w:tcPr>
            <w:tcW w:w="2551" w:type="dxa"/>
            <w:vAlign w:val="center"/>
          </w:tcPr>
          <w:p>
            <w:pPr>
              <w:pStyle w:val="12"/>
            </w:pPr>
            <w:r>
              <w:t>5.45</w:t>
            </w:r>
          </w:p>
        </w:tc>
        <w:tc>
          <w:tcPr>
            <w:tcW w:w="2551" w:type="dxa"/>
            <w:vAlign w:val="center"/>
          </w:tcPr>
          <w:p>
            <w:pPr>
              <w:pStyle w:val="12"/>
            </w:pPr>
            <w:r>
              <w:t>5.45</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308001魏县民族宗教事务局本级</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141.49</w:t>
            </w:r>
          </w:p>
        </w:tc>
        <w:tc>
          <w:tcPr>
            <w:tcW w:w="2551" w:type="dxa"/>
            <w:vAlign w:val="center"/>
          </w:tcPr>
          <w:p>
            <w:pPr>
              <w:pStyle w:val="16"/>
            </w:pPr>
            <w:r>
              <w:t>122.69</w:t>
            </w:r>
          </w:p>
        </w:tc>
        <w:tc>
          <w:tcPr>
            <w:tcW w:w="2551" w:type="dxa"/>
            <w:vAlign w:val="center"/>
          </w:tcPr>
          <w:p>
            <w:pPr>
              <w:pStyle w:val="16"/>
            </w:pPr>
            <w:r>
              <w:t>18.80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116.24</w:t>
            </w:r>
          </w:p>
        </w:tc>
        <w:tc>
          <w:tcPr>
            <w:tcW w:w="2551" w:type="dxa"/>
            <w:vAlign w:val="center"/>
          </w:tcPr>
          <w:p>
            <w:pPr>
              <w:pStyle w:val="12"/>
            </w:pPr>
            <w:r>
              <w:t>116.24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73.73</w:t>
            </w:r>
          </w:p>
        </w:tc>
        <w:tc>
          <w:tcPr>
            <w:tcW w:w="2551" w:type="dxa"/>
            <w:vAlign w:val="center"/>
          </w:tcPr>
          <w:p>
            <w:pPr>
              <w:pStyle w:val="12"/>
            </w:pPr>
            <w:r>
              <w:t>73.73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4.31</w:t>
            </w:r>
          </w:p>
        </w:tc>
        <w:tc>
          <w:tcPr>
            <w:tcW w:w="2551" w:type="dxa"/>
            <w:vAlign w:val="center"/>
          </w:tcPr>
          <w:p>
            <w:pPr>
              <w:pStyle w:val="12"/>
            </w:pPr>
            <w:r>
              <w:t>4.31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11.19</w:t>
            </w:r>
          </w:p>
        </w:tc>
        <w:tc>
          <w:tcPr>
            <w:tcW w:w="2551" w:type="dxa"/>
            <w:vAlign w:val="center"/>
          </w:tcPr>
          <w:p>
            <w:pPr>
              <w:pStyle w:val="12"/>
            </w:pPr>
            <w:r>
              <w:t>11.19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5.59</w:t>
            </w:r>
          </w:p>
        </w:tc>
        <w:tc>
          <w:tcPr>
            <w:tcW w:w="2551" w:type="dxa"/>
            <w:vAlign w:val="center"/>
          </w:tcPr>
          <w:p>
            <w:pPr>
              <w:pStyle w:val="12"/>
            </w:pPr>
            <w:r>
              <w:t>5.59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5.45</w:t>
            </w:r>
          </w:p>
        </w:tc>
        <w:tc>
          <w:tcPr>
            <w:tcW w:w="2551" w:type="dxa"/>
            <w:vAlign w:val="center"/>
          </w:tcPr>
          <w:p>
            <w:pPr>
              <w:pStyle w:val="12"/>
            </w:pPr>
            <w:r>
              <w:t>5.45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15.97</w:t>
            </w:r>
          </w:p>
        </w:tc>
        <w:tc>
          <w:tcPr>
            <w:tcW w:w="2551" w:type="dxa"/>
            <w:vAlign w:val="center"/>
          </w:tcPr>
          <w:p>
            <w:pPr>
              <w:pStyle w:val="12"/>
            </w:pPr>
            <w:r>
              <w:t>15.97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18.80</w:t>
            </w:r>
          </w:p>
        </w:tc>
        <w:tc>
          <w:tcPr>
            <w:tcW w:w="2551" w:type="dxa"/>
            <w:vAlign w:val="center"/>
          </w:tcPr>
          <w:p>
            <w:pPr>
              <w:pStyle w:val="12"/>
            </w:pPr>
          </w:p>
        </w:tc>
        <w:tc>
          <w:tcPr>
            <w:tcW w:w="2551" w:type="dxa"/>
            <w:vAlign w:val="center"/>
          </w:tcPr>
          <w:p>
            <w:pPr>
              <w:pStyle w:val="12"/>
            </w:pPr>
            <w:r>
              <w:t>18.80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6.00</w:t>
            </w:r>
          </w:p>
        </w:tc>
        <w:tc>
          <w:tcPr>
            <w:tcW w:w="2551" w:type="dxa"/>
            <w:vAlign w:val="center"/>
          </w:tcPr>
          <w:p>
            <w:pPr>
              <w:pStyle w:val="12"/>
            </w:pPr>
          </w:p>
        </w:tc>
        <w:tc>
          <w:tcPr>
            <w:tcW w:w="2551" w:type="dxa"/>
            <w:vAlign w:val="center"/>
          </w:tcPr>
          <w:p>
            <w:pPr>
              <w:pStyle w:val="12"/>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3.60</w:t>
            </w:r>
          </w:p>
        </w:tc>
        <w:tc>
          <w:tcPr>
            <w:tcW w:w="2551" w:type="dxa"/>
            <w:vAlign w:val="center"/>
          </w:tcPr>
          <w:p>
            <w:pPr>
              <w:pStyle w:val="12"/>
            </w:pPr>
          </w:p>
        </w:tc>
        <w:tc>
          <w:tcPr>
            <w:tcW w:w="2551" w:type="dxa"/>
            <w:vAlign w:val="center"/>
          </w:tcPr>
          <w:p>
            <w:pPr>
              <w:pStyle w:val="12"/>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0.95</w:t>
            </w:r>
          </w:p>
        </w:tc>
        <w:tc>
          <w:tcPr>
            <w:tcW w:w="2551" w:type="dxa"/>
            <w:vAlign w:val="center"/>
          </w:tcPr>
          <w:p>
            <w:pPr>
              <w:pStyle w:val="12"/>
            </w:pPr>
          </w:p>
        </w:tc>
        <w:tc>
          <w:tcPr>
            <w:tcW w:w="2551" w:type="dxa"/>
            <w:vAlign w:val="center"/>
          </w:tcPr>
          <w:p>
            <w:pPr>
              <w:pStyle w:val="12"/>
            </w:pPr>
            <w:r>
              <w:t>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0.45</w:t>
            </w:r>
          </w:p>
        </w:tc>
        <w:tc>
          <w:tcPr>
            <w:tcW w:w="2551" w:type="dxa"/>
            <w:vAlign w:val="center"/>
          </w:tcPr>
          <w:p>
            <w:pPr>
              <w:pStyle w:val="12"/>
            </w:pPr>
          </w:p>
        </w:tc>
        <w:tc>
          <w:tcPr>
            <w:tcW w:w="2551" w:type="dxa"/>
            <w:vAlign w:val="center"/>
          </w:tcPr>
          <w:p>
            <w:pPr>
              <w:pStyle w:val="12"/>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7.80</w:t>
            </w:r>
          </w:p>
        </w:tc>
        <w:tc>
          <w:tcPr>
            <w:tcW w:w="2551" w:type="dxa"/>
            <w:vAlign w:val="center"/>
          </w:tcPr>
          <w:p>
            <w:pPr>
              <w:pStyle w:val="12"/>
            </w:pPr>
          </w:p>
        </w:tc>
        <w:tc>
          <w:tcPr>
            <w:tcW w:w="2551" w:type="dxa"/>
            <w:vAlign w:val="center"/>
          </w:tcPr>
          <w:p>
            <w:pPr>
              <w:pStyle w:val="12"/>
            </w:pPr>
            <w:r>
              <w:t>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6.45</w:t>
            </w:r>
          </w:p>
        </w:tc>
        <w:tc>
          <w:tcPr>
            <w:tcW w:w="2551" w:type="dxa"/>
            <w:vAlign w:val="center"/>
          </w:tcPr>
          <w:p>
            <w:pPr>
              <w:pStyle w:val="12"/>
            </w:pPr>
            <w:r>
              <w:t>6.45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4.75</w:t>
            </w:r>
          </w:p>
        </w:tc>
        <w:tc>
          <w:tcPr>
            <w:tcW w:w="2551" w:type="dxa"/>
            <w:vAlign w:val="center"/>
          </w:tcPr>
          <w:p>
            <w:pPr>
              <w:pStyle w:val="12"/>
            </w:pPr>
            <w:r>
              <w:t>4.75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1.70</w:t>
            </w:r>
          </w:p>
        </w:tc>
        <w:tc>
          <w:tcPr>
            <w:tcW w:w="2551" w:type="dxa"/>
            <w:vAlign w:val="center"/>
          </w:tcPr>
          <w:p>
            <w:pPr>
              <w:pStyle w:val="12"/>
            </w:pPr>
            <w:r>
              <w:t>1.70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308001魏县民族宗教事务局本级</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308001魏县民族宗教事务局本级</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308001魏县民族宗教事务局本级</w:t>
            </w:r>
          </w:p>
        </w:tc>
        <w:tc>
          <w:tcPr>
            <w:tcW w:w="2381" w:type="dxa"/>
            <w:tcBorders>
              <w:top w:val="single" w:color="FFFFFF" w:sz="6" w:space="0"/>
              <w:left w:val="single" w:color="FFFFFF" w:sz="6" w:space="0"/>
              <w:right w:val="single" w:color="FFFFFF" w:sz="6" w:space="0"/>
            </w:tcBorders>
            <w:vAlign w:val="center"/>
          </w:tcPr>
          <w:p>
            <w:pPr>
              <w:pStyle w:val="9"/>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0.45</w:t>
            </w:r>
          </w:p>
        </w:tc>
        <w:tc>
          <w:tcPr>
            <w:tcW w:w="2381" w:type="dxa"/>
            <w:vAlign w:val="center"/>
          </w:tcPr>
          <w:p>
            <w:pPr>
              <w:pStyle w:val="16"/>
            </w:pPr>
            <w:r>
              <w:t>0.45</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0.45</w:t>
            </w:r>
          </w:p>
        </w:tc>
        <w:tc>
          <w:tcPr>
            <w:tcW w:w="2381" w:type="dxa"/>
            <w:vAlign w:val="center"/>
          </w:tcPr>
          <w:p>
            <w:pPr>
              <w:pStyle w:val="12"/>
            </w:pPr>
            <w:r>
              <w:t>0.45</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0.45</w:t>
            </w:r>
          </w:p>
        </w:tc>
        <w:tc>
          <w:tcPr>
            <w:tcW w:w="2381" w:type="dxa"/>
            <w:vAlign w:val="center"/>
          </w:tcPr>
          <w:p>
            <w:pPr>
              <w:pStyle w:val="12"/>
            </w:pPr>
            <w:r>
              <w:t>0.45</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0.45</w:t>
            </w:r>
          </w:p>
        </w:tc>
        <w:tc>
          <w:tcPr>
            <w:tcW w:w="2381" w:type="dxa"/>
            <w:vAlign w:val="center"/>
          </w:tcPr>
          <w:p>
            <w:pPr>
              <w:pStyle w:val="12"/>
            </w:pPr>
            <w:r>
              <w:t>0.45</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魏县民族宗教事务局本级2022年单位预算信息公开情况说明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按照《预算法》、《地方预决算公开操作规程》和《关于进一步推进预算公开工作的实施意见》规定，现将魏县民族宗教事务局本级2022年单位预算公开如下：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6"/>
      </w:pPr>
      <w:r>
        <w:t>我单位在县委的坚强领导下，紧扣县委、县政府确定的目标任务，凝神聚力，开拓创新，</w:t>
      </w:r>
      <w:r>
        <w:rPr>
          <w:rFonts w:hint="eastAsia"/>
          <w:lang w:eastAsia="zh-CN"/>
        </w:rPr>
        <w:t>攻坚克难</w:t>
      </w:r>
      <w:r>
        <w:t>，砥砺奋进，以更加高昂的激情，更加有力的措施，更加务实的作风，全面开创工作新局面。</w:t>
      </w:r>
    </w:p>
    <w:p>
      <w:pPr>
        <w:pStyle w:val="26"/>
      </w:pPr>
      <w:r>
        <w:t xml:space="preserve">1、较好的完成少数民族基本事务管理工作，顺利的完成各项民族法律政策的调研、制定任务。 </w:t>
      </w:r>
    </w:p>
    <w:p>
      <w:pPr>
        <w:pStyle w:val="26"/>
      </w:pPr>
      <w:r>
        <w:t>2、完成宗教基本事务，加大全县宗教活动场所检查力度，及时解决各类宗教问题。</w:t>
      </w:r>
    </w:p>
    <w:p>
      <w:pPr>
        <w:pStyle w:val="26"/>
      </w:pPr>
      <w:r>
        <w:t>3、对地下神甫及其骨干分子进行监控、反渗透，研究天主教神职人员生活补助政策，巩固爱国人员的领导地位。</w:t>
      </w:r>
    </w:p>
    <w:p>
      <w:pPr>
        <w:pStyle w:val="26"/>
      </w:pPr>
      <w:r>
        <w:t>4、扩大培训人员范围，</w:t>
      </w:r>
      <w:r>
        <w:rPr>
          <w:rFonts w:hint="eastAsia"/>
          <w:lang w:eastAsia="zh-CN"/>
        </w:rPr>
        <w:t>增强培训效果</w:t>
      </w:r>
      <w:r>
        <w:t>，确保 人员数量和质量。</w:t>
      </w:r>
    </w:p>
    <w:p>
      <w:pPr>
        <w:pStyle w:val="26"/>
      </w:pPr>
      <w:r>
        <w:t>5、加强宗教界人员各种涉外事务管理。</w:t>
      </w:r>
    </w:p>
    <w:p>
      <w:pPr>
        <w:pStyle w:val="26"/>
      </w:pPr>
      <w:r>
        <w:t>6、开展民族宗教政策和法制宣传教育工作，处理民族宗教方面矛盾及问题。</w:t>
      </w:r>
    </w:p>
    <w:p>
      <w:pPr>
        <w:pStyle w:val="26"/>
      </w:pPr>
      <w:r>
        <w:t xml:space="preserve">7、提高民族宗教法律政策宣传覆盖率,加大宣传教育力度;妥善协助解决突发事件;提高清真食品检查认证，及时解决其他民族宗教问题。 </w:t>
      </w:r>
    </w:p>
    <w:p>
      <w:pPr>
        <w:pStyle w:val="26"/>
      </w:pPr>
      <w:r>
        <w:t>8、认真开展“双创四进”活动，推进宗教在坚持中国化方向上走深走实。</w:t>
      </w:r>
    </w:p>
    <w:p>
      <w:pPr>
        <w:pStyle w:val="26"/>
      </w:pPr>
      <w:r>
        <w:t>9、保证机关正常运转。</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魏县民族宗教事务局本级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27"/>
      </w:pPr>
      <w:r>
        <w:t>按照预算管理有关规定，目前我县部门预算的编制实行综合预算管理，即全部收入和支出都反映在预算中。魏县民族宗教事务局机关及所属事业单位的收支包含在部门预算中。</w:t>
      </w:r>
    </w:p>
    <w:p>
      <w:pPr>
        <w:pStyle w:val="27"/>
      </w:pPr>
      <w:r>
        <w:t>1、收入说明：2022 年收入预算共计18</w:t>
      </w:r>
      <w:r>
        <w:rPr>
          <w:rFonts w:hint="eastAsia"/>
          <w:lang w:val="en-US" w:eastAsia="zh-CN"/>
        </w:rPr>
        <w:t>8</w:t>
      </w:r>
      <w:r>
        <w:t>.</w:t>
      </w:r>
      <w:r>
        <w:rPr>
          <w:rFonts w:hint="eastAsia"/>
          <w:lang w:val="en-US" w:eastAsia="zh-CN"/>
        </w:rPr>
        <w:t>59</w:t>
      </w:r>
      <w:r>
        <w:t>万元，全部为财政拨款收入。</w:t>
      </w:r>
    </w:p>
    <w:p>
      <w:pPr>
        <w:pStyle w:val="27"/>
      </w:pPr>
      <w:r>
        <w:t>2、支出说明：2022 年支出预算共计18</w:t>
      </w:r>
      <w:r>
        <w:rPr>
          <w:rFonts w:hint="eastAsia"/>
          <w:lang w:val="en-US" w:eastAsia="zh-CN"/>
        </w:rPr>
        <w:t>8.59</w:t>
      </w:r>
      <w:r>
        <w:t>万元，其中人员经费支出预算122.</w:t>
      </w:r>
      <w:r>
        <w:rPr>
          <w:rFonts w:hint="eastAsia"/>
          <w:lang w:val="en-US" w:eastAsia="zh-CN"/>
        </w:rPr>
        <w:t>69</w:t>
      </w:r>
      <w:r>
        <w:t>万元，日常公用经费支出预算</w:t>
      </w:r>
      <w:r>
        <w:rPr>
          <w:rFonts w:hint="eastAsia"/>
          <w:lang w:val="en-US" w:eastAsia="zh-CN"/>
        </w:rPr>
        <w:t>18.8</w:t>
      </w:r>
      <w:r>
        <w:t>万元，项目支出47.1万元。</w:t>
      </w:r>
    </w:p>
    <w:p>
      <w:pPr>
        <w:pStyle w:val="19"/>
      </w:pPr>
      <w:r>
        <w:t>3、比上年增减情况：经过对比测算，2022年财政拨款预算比上年增加</w:t>
      </w:r>
      <w:r>
        <w:rPr>
          <w:rFonts w:hint="eastAsia"/>
          <w:lang w:val="en-US" w:eastAsia="zh-CN"/>
        </w:rPr>
        <w:t>11</w:t>
      </w:r>
      <w:r>
        <w:t>万元，增长</w:t>
      </w:r>
      <w:r>
        <w:rPr>
          <w:rFonts w:hint="eastAsia"/>
          <w:lang w:val="en-US" w:eastAsia="zh-CN"/>
        </w:rPr>
        <w:t>6.2</w:t>
      </w:r>
      <w:r>
        <w:t>%。其中：人员经费增加10.2</w:t>
      </w:r>
      <w:r>
        <w:rPr>
          <w:rFonts w:hint="eastAsia"/>
          <w:lang w:val="en-US" w:eastAsia="zh-CN"/>
        </w:rPr>
        <w:t>2</w:t>
      </w:r>
      <w:r>
        <w:t>万元、日常公用经费增加</w:t>
      </w:r>
      <w:r>
        <w:rPr>
          <w:rFonts w:hint="eastAsia"/>
          <w:lang w:val="en-US" w:eastAsia="zh-CN"/>
        </w:rPr>
        <w:t>8.8</w:t>
      </w:r>
      <w:r>
        <w:t>万元、项目经费减少8.02万元。主要原因是：人员经费增加的主要原因是机构合并人员增加及工资正常晋级晋档；日常公用经费增加主要原因是机构改革后调整经费拨款标准，人员比去年增加，项目经费减少的</w:t>
      </w:r>
      <w:r>
        <w:rPr>
          <w:rFonts w:hint="eastAsia"/>
          <w:lang w:eastAsia="zh-CN"/>
        </w:rPr>
        <w:t>原因是</w:t>
      </w:r>
      <w:r>
        <w:t>县财政拨款减少。</w:t>
      </w:r>
    </w:p>
    <w:p>
      <w:pPr>
        <w:spacing w:before="10" w:after="10"/>
        <w:ind w:firstLine="640"/>
        <w:outlineLvl w:val="5"/>
      </w:pPr>
      <w:r>
        <w:rPr>
          <w:rFonts w:ascii="黑体" w:hAnsi="黑体" w:eastAsia="黑体" w:cs="黑体"/>
          <w:color w:val="000000"/>
          <w:sz w:val="32"/>
        </w:rPr>
        <w:t>三、机关运行经费安排情况</w:t>
      </w:r>
    </w:p>
    <w:p>
      <w:pPr>
        <w:pStyle w:val="28"/>
      </w:pPr>
      <w:r>
        <w:t>机关运行经费共计安排</w:t>
      </w:r>
      <w:r>
        <w:rPr>
          <w:rFonts w:hint="eastAsia"/>
          <w:lang w:val="en-US" w:eastAsia="zh-CN"/>
        </w:rPr>
        <w:t>18.8</w:t>
      </w:r>
      <w:r>
        <w:t>万元，主要用于保证正常办公的基本需要和维持单位日常业务运转，包括：办公费、印刷费、邮电费、差旅费、福利费、手续费、公务接待费、工会经费、公务用车运行维护费等。</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9"/>
      </w:pPr>
      <w:r>
        <w:t>2022年，财政拨款“三公”经费预算安排0.45万元，其中：因公出国(境)费0万元，没有变动，与上年持平；公务用车购置及运维费0.45万元(其中：公务用车购置费为0万元，公务用车运行费0.45万元)，无变动，与上年持平；公务接待费0万元，无变动，与上年持平。主要原因是我单位严格按照</w:t>
      </w:r>
      <w:r>
        <w:rPr>
          <w:rFonts w:hint="eastAsia"/>
          <w:lang w:eastAsia="zh-CN"/>
        </w:rPr>
        <w:t>中央八项规定</w:t>
      </w:r>
      <w:r>
        <w:t>，严格控制各项费用，特别是对“三公”经费等一般性支出实行定额管理，由于工作需要和单位工作实际情况，三公经费已压减到最低，故本年预算未再作压减。</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1、2022年双创四进、宗教干部、团体培训工作经费绩效目标表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1.目标内容1持续推进双创四进活动,进入76个宗教场所</w:t>
            </w:r>
          </w:p>
          <w:p>
            <w:pPr>
              <w:pStyle w:val="13"/>
            </w:pPr>
            <w:r>
              <w:t>2.目标内容2对22个乡镇的宗教活动场所开展四进活动</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对宗教干部及团体培训次数</w:t>
            </w:r>
          </w:p>
        </w:tc>
        <w:tc>
          <w:tcPr>
            <w:tcW w:w="2835" w:type="dxa"/>
            <w:vAlign w:val="center"/>
          </w:tcPr>
          <w:p>
            <w:pPr>
              <w:pStyle w:val="13"/>
            </w:pPr>
            <w:r>
              <w:t>对宗教干部及团体培训次数</w:t>
            </w:r>
          </w:p>
        </w:tc>
        <w:tc>
          <w:tcPr>
            <w:tcW w:w="2551" w:type="dxa"/>
            <w:vAlign w:val="center"/>
          </w:tcPr>
          <w:p>
            <w:pPr>
              <w:pStyle w:val="13"/>
            </w:pPr>
            <w:r>
              <w:t>2次</w:t>
            </w:r>
          </w:p>
        </w:tc>
        <w:tc>
          <w:tcPr>
            <w:tcW w:w="2268" w:type="dxa"/>
            <w:vAlign w:val="center"/>
          </w:tcPr>
          <w:p>
            <w:pPr>
              <w:pStyle w:val="13"/>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四进完成率</w:t>
            </w:r>
          </w:p>
        </w:tc>
        <w:tc>
          <w:tcPr>
            <w:tcW w:w="2835" w:type="dxa"/>
            <w:vAlign w:val="center"/>
          </w:tcPr>
          <w:p>
            <w:pPr>
              <w:pStyle w:val="13"/>
            </w:pPr>
            <w:r>
              <w:t>四进完成率</w:t>
            </w:r>
          </w:p>
        </w:tc>
        <w:tc>
          <w:tcPr>
            <w:tcW w:w="2551" w:type="dxa"/>
            <w:vAlign w:val="center"/>
          </w:tcPr>
          <w:p>
            <w:pPr>
              <w:pStyle w:val="13"/>
            </w:pPr>
            <w:r>
              <w:t>≥90%</w:t>
            </w:r>
          </w:p>
        </w:tc>
        <w:tc>
          <w:tcPr>
            <w:tcW w:w="2268" w:type="dxa"/>
            <w:vAlign w:val="center"/>
          </w:tcPr>
          <w:p>
            <w:pPr>
              <w:pStyle w:val="13"/>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四进完成时间</w:t>
            </w:r>
          </w:p>
        </w:tc>
        <w:tc>
          <w:tcPr>
            <w:tcW w:w="2835" w:type="dxa"/>
            <w:vAlign w:val="center"/>
          </w:tcPr>
          <w:p>
            <w:pPr>
              <w:pStyle w:val="13"/>
            </w:pPr>
            <w:r>
              <w:t>四进完成时间</w:t>
            </w:r>
          </w:p>
        </w:tc>
        <w:tc>
          <w:tcPr>
            <w:tcW w:w="2551" w:type="dxa"/>
            <w:vAlign w:val="center"/>
          </w:tcPr>
          <w:p>
            <w:pPr>
              <w:pStyle w:val="13"/>
            </w:pPr>
            <w:r>
              <w:t>按时完成</w:t>
            </w:r>
          </w:p>
        </w:tc>
        <w:tc>
          <w:tcPr>
            <w:tcW w:w="2268" w:type="dxa"/>
            <w:vAlign w:val="center"/>
          </w:tcPr>
          <w:p>
            <w:pPr>
              <w:pStyle w:val="13"/>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2835" w:type="dxa"/>
            <w:vAlign w:val="center"/>
          </w:tcPr>
          <w:p>
            <w:pPr>
              <w:pStyle w:val="13"/>
            </w:pPr>
            <w:r>
              <w:t>资金成本</w:t>
            </w:r>
          </w:p>
        </w:tc>
        <w:tc>
          <w:tcPr>
            <w:tcW w:w="2551" w:type="dxa"/>
            <w:vAlign w:val="center"/>
          </w:tcPr>
          <w:p>
            <w:pPr>
              <w:pStyle w:val="13"/>
            </w:pPr>
            <w:r>
              <w:t>4万元</w:t>
            </w:r>
          </w:p>
        </w:tc>
        <w:tc>
          <w:tcPr>
            <w:tcW w:w="2268" w:type="dxa"/>
            <w:vAlign w:val="center"/>
          </w:tcPr>
          <w:p>
            <w:pPr>
              <w:pStyle w:val="13"/>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提高宗教干部业务水平</w:t>
            </w:r>
          </w:p>
        </w:tc>
        <w:tc>
          <w:tcPr>
            <w:tcW w:w="2835" w:type="dxa"/>
            <w:vAlign w:val="center"/>
          </w:tcPr>
          <w:p>
            <w:pPr>
              <w:pStyle w:val="13"/>
            </w:pPr>
            <w:r>
              <w:t>提高宗教干部业务水平</w:t>
            </w:r>
          </w:p>
        </w:tc>
        <w:tc>
          <w:tcPr>
            <w:tcW w:w="2551" w:type="dxa"/>
            <w:vAlign w:val="center"/>
          </w:tcPr>
          <w:p>
            <w:pPr>
              <w:pStyle w:val="13"/>
            </w:pPr>
            <w:r>
              <w:t>≥90%</w:t>
            </w:r>
          </w:p>
        </w:tc>
        <w:tc>
          <w:tcPr>
            <w:tcW w:w="2268" w:type="dxa"/>
            <w:vAlign w:val="center"/>
          </w:tcPr>
          <w:p>
            <w:pPr>
              <w:pStyle w:val="13"/>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维持宗教界稳定</w:t>
            </w:r>
          </w:p>
        </w:tc>
        <w:tc>
          <w:tcPr>
            <w:tcW w:w="2835" w:type="dxa"/>
            <w:vAlign w:val="center"/>
          </w:tcPr>
          <w:p>
            <w:pPr>
              <w:pStyle w:val="13"/>
            </w:pPr>
            <w:r>
              <w:t>维持宗教界稳定</w:t>
            </w:r>
          </w:p>
        </w:tc>
        <w:tc>
          <w:tcPr>
            <w:tcW w:w="2551" w:type="dxa"/>
            <w:vAlign w:val="center"/>
          </w:tcPr>
          <w:p>
            <w:pPr>
              <w:pStyle w:val="13"/>
            </w:pPr>
            <w:r>
              <w:t>保持宗教界健康发展</w:t>
            </w:r>
          </w:p>
        </w:tc>
        <w:tc>
          <w:tcPr>
            <w:tcW w:w="2268" w:type="dxa"/>
            <w:vAlign w:val="center"/>
          </w:tcPr>
          <w:p>
            <w:pPr>
              <w:pStyle w:val="13"/>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信教群众和场所满意度</w:t>
            </w:r>
          </w:p>
        </w:tc>
        <w:tc>
          <w:tcPr>
            <w:tcW w:w="2835" w:type="dxa"/>
            <w:vAlign w:val="center"/>
          </w:tcPr>
          <w:p>
            <w:pPr>
              <w:pStyle w:val="13"/>
            </w:pPr>
            <w:r>
              <w:t>信教群众和场所满意度</w:t>
            </w:r>
          </w:p>
        </w:tc>
        <w:tc>
          <w:tcPr>
            <w:tcW w:w="2551" w:type="dxa"/>
            <w:vAlign w:val="center"/>
          </w:tcPr>
          <w:p>
            <w:pPr>
              <w:pStyle w:val="13"/>
            </w:pPr>
            <w:r>
              <w:t>≥90%</w:t>
            </w:r>
          </w:p>
        </w:tc>
        <w:tc>
          <w:tcPr>
            <w:tcW w:w="2268" w:type="dxa"/>
            <w:vAlign w:val="center"/>
          </w:tcPr>
          <w:p>
            <w:pPr>
              <w:pStyle w:val="13"/>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2、2022年宗教工作指导员专项经费绩效目标表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1.目标内容1防止境外宗教渗透，安排20名指导员</w:t>
            </w:r>
          </w:p>
          <w:p>
            <w:pPr>
              <w:pStyle w:val="13"/>
            </w:pPr>
            <w:r>
              <w:t>2.目标内容2对宗教工作指导员发放工作经费，每人650元</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发放人数</w:t>
            </w:r>
          </w:p>
        </w:tc>
        <w:tc>
          <w:tcPr>
            <w:tcW w:w="2835" w:type="dxa"/>
            <w:vAlign w:val="center"/>
          </w:tcPr>
          <w:p>
            <w:pPr>
              <w:pStyle w:val="13"/>
            </w:pPr>
            <w:r>
              <w:t xml:space="preserve">保证全部宗教工作指导员发放 </w:t>
            </w:r>
          </w:p>
        </w:tc>
        <w:tc>
          <w:tcPr>
            <w:tcW w:w="2551" w:type="dxa"/>
            <w:vAlign w:val="center"/>
          </w:tcPr>
          <w:p>
            <w:pPr>
              <w:pStyle w:val="13"/>
            </w:pPr>
            <w:r>
              <w:t>≥20人</w:t>
            </w:r>
          </w:p>
        </w:tc>
        <w:tc>
          <w:tcPr>
            <w:tcW w:w="2268"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发放覆盖率</w:t>
            </w:r>
          </w:p>
        </w:tc>
        <w:tc>
          <w:tcPr>
            <w:tcW w:w="2835" w:type="dxa"/>
            <w:vAlign w:val="center"/>
          </w:tcPr>
          <w:p>
            <w:pPr>
              <w:pStyle w:val="13"/>
            </w:pPr>
            <w:r>
              <w:t>全年发放宗教指导员经费人员覆盖率</w:t>
            </w:r>
          </w:p>
        </w:tc>
        <w:tc>
          <w:tcPr>
            <w:tcW w:w="2551" w:type="dxa"/>
            <w:vAlign w:val="center"/>
          </w:tcPr>
          <w:p>
            <w:pPr>
              <w:pStyle w:val="13"/>
            </w:pPr>
            <w:r>
              <w:t>≥90%</w:t>
            </w:r>
          </w:p>
          <w:p>
            <w:pPr>
              <w:pStyle w:val="13"/>
            </w:pPr>
          </w:p>
        </w:tc>
        <w:tc>
          <w:tcPr>
            <w:tcW w:w="2268"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发放完成时间</w:t>
            </w:r>
          </w:p>
        </w:tc>
        <w:tc>
          <w:tcPr>
            <w:tcW w:w="2835" w:type="dxa"/>
            <w:vAlign w:val="center"/>
          </w:tcPr>
          <w:p>
            <w:pPr>
              <w:pStyle w:val="13"/>
            </w:pPr>
            <w:r>
              <w:t>全年按时发放宗教指导员工作经费</w:t>
            </w:r>
          </w:p>
        </w:tc>
        <w:tc>
          <w:tcPr>
            <w:tcW w:w="2551" w:type="dxa"/>
            <w:vAlign w:val="center"/>
          </w:tcPr>
          <w:p>
            <w:pPr>
              <w:pStyle w:val="13"/>
            </w:pPr>
            <w:r>
              <w:t>按时足额发放</w:t>
            </w:r>
          </w:p>
        </w:tc>
        <w:tc>
          <w:tcPr>
            <w:tcW w:w="2268"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发放金额</w:t>
            </w:r>
          </w:p>
        </w:tc>
        <w:tc>
          <w:tcPr>
            <w:tcW w:w="2835" w:type="dxa"/>
            <w:vAlign w:val="center"/>
          </w:tcPr>
          <w:p>
            <w:pPr>
              <w:pStyle w:val="13"/>
            </w:pPr>
            <w:r>
              <w:t>足额发放</w:t>
            </w:r>
          </w:p>
        </w:tc>
        <w:tc>
          <w:tcPr>
            <w:tcW w:w="2551" w:type="dxa"/>
            <w:vAlign w:val="center"/>
          </w:tcPr>
          <w:p>
            <w:pPr>
              <w:pStyle w:val="13"/>
            </w:pPr>
            <w:r>
              <w:t>≥1.3万元</w:t>
            </w:r>
          </w:p>
        </w:tc>
        <w:tc>
          <w:tcPr>
            <w:tcW w:w="2268"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宗教界稳定发展</w:t>
            </w:r>
          </w:p>
        </w:tc>
        <w:tc>
          <w:tcPr>
            <w:tcW w:w="2835" w:type="dxa"/>
            <w:vAlign w:val="center"/>
          </w:tcPr>
          <w:p>
            <w:pPr>
              <w:pStyle w:val="13"/>
            </w:pPr>
            <w:r>
              <w:t>为动态管理宗教提供信息</w:t>
            </w:r>
          </w:p>
        </w:tc>
        <w:tc>
          <w:tcPr>
            <w:tcW w:w="2551" w:type="dxa"/>
            <w:vAlign w:val="center"/>
          </w:tcPr>
          <w:p>
            <w:pPr>
              <w:pStyle w:val="13"/>
            </w:pPr>
            <w:r>
              <w:t>≥90%</w:t>
            </w:r>
          </w:p>
          <w:p>
            <w:pPr>
              <w:pStyle w:val="13"/>
            </w:pPr>
          </w:p>
        </w:tc>
        <w:tc>
          <w:tcPr>
            <w:tcW w:w="2268"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保持宗教界长期稳定</w:t>
            </w:r>
          </w:p>
        </w:tc>
        <w:tc>
          <w:tcPr>
            <w:tcW w:w="2835" w:type="dxa"/>
            <w:vAlign w:val="center"/>
          </w:tcPr>
          <w:p>
            <w:pPr>
              <w:pStyle w:val="13"/>
            </w:pPr>
            <w:r>
              <w:t>保持宗教界长期稳定</w:t>
            </w:r>
          </w:p>
        </w:tc>
        <w:tc>
          <w:tcPr>
            <w:tcW w:w="2551" w:type="dxa"/>
            <w:vAlign w:val="center"/>
          </w:tcPr>
          <w:p>
            <w:pPr>
              <w:pStyle w:val="13"/>
            </w:pPr>
            <w:r>
              <w:t>不发生不稳定因素</w:t>
            </w:r>
          </w:p>
        </w:tc>
        <w:tc>
          <w:tcPr>
            <w:tcW w:w="2268"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信教群众对宗教指导员工作评价</w:t>
            </w:r>
          </w:p>
        </w:tc>
        <w:tc>
          <w:tcPr>
            <w:tcW w:w="2835" w:type="dxa"/>
            <w:vAlign w:val="center"/>
          </w:tcPr>
          <w:p>
            <w:pPr>
              <w:pStyle w:val="13"/>
            </w:pPr>
            <w:r>
              <w:t>信教群众对宗教指导员工作评价</w:t>
            </w:r>
          </w:p>
        </w:tc>
        <w:tc>
          <w:tcPr>
            <w:tcW w:w="2551" w:type="dxa"/>
            <w:vAlign w:val="center"/>
          </w:tcPr>
          <w:p>
            <w:pPr>
              <w:pStyle w:val="13"/>
            </w:pPr>
            <w:r>
              <w:t>≥90%</w:t>
            </w:r>
          </w:p>
        </w:tc>
        <w:tc>
          <w:tcPr>
            <w:tcW w:w="2268" w:type="dxa"/>
            <w:vAlign w:val="center"/>
          </w:tcPr>
          <w:p>
            <w:pPr>
              <w:pStyle w:val="13"/>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3、2022年宗教工作专项经费绩效目标表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1.目标内容1宗教工作业务培训、宗教界人士培训2次</w:t>
            </w:r>
          </w:p>
          <w:p>
            <w:pPr>
              <w:pStyle w:val="13"/>
            </w:pPr>
            <w:r>
              <w:t>2.目标内容2交流考察、走访宗教界人士3次</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举办宗教培训次数</w:t>
            </w:r>
          </w:p>
        </w:tc>
        <w:tc>
          <w:tcPr>
            <w:tcW w:w="2835" w:type="dxa"/>
            <w:vAlign w:val="center"/>
          </w:tcPr>
          <w:p>
            <w:pPr>
              <w:pStyle w:val="13"/>
            </w:pPr>
            <w:r>
              <w:t>举办专业培训场次数量</w:t>
            </w:r>
          </w:p>
        </w:tc>
        <w:tc>
          <w:tcPr>
            <w:tcW w:w="2551" w:type="dxa"/>
            <w:vAlign w:val="center"/>
          </w:tcPr>
          <w:p>
            <w:pPr>
              <w:pStyle w:val="13"/>
            </w:pPr>
            <w:r>
              <w:t>≥2次</w:t>
            </w:r>
          </w:p>
        </w:tc>
        <w:tc>
          <w:tcPr>
            <w:tcW w:w="2268" w:type="dxa"/>
            <w:vAlign w:val="center"/>
          </w:tcPr>
          <w:p>
            <w:pPr>
              <w:pStyle w:val="13"/>
            </w:pPr>
            <w:r>
              <w:t>按照工作需要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邀请宗教界人士</w:t>
            </w:r>
          </w:p>
        </w:tc>
        <w:tc>
          <w:tcPr>
            <w:tcW w:w="2835" w:type="dxa"/>
            <w:vAlign w:val="center"/>
          </w:tcPr>
          <w:p>
            <w:pPr>
              <w:pStyle w:val="13"/>
            </w:pPr>
            <w:r>
              <w:t>邀请宗教界人士</w:t>
            </w:r>
          </w:p>
        </w:tc>
        <w:tc>
          <w:tcPr>
            <w:tcW w:w="2551" w:type="dxa"/>
            <w:vAlign w:val="center"/>
          </w:tcPr>
          <w:p>
            <w:pPr>
              <w:pStyle w:val="13"/>
            </w:pPr>
            <w:r>
              <w:t>≥20人</w:t>
            </w:r>
          </w:p>
        </w:tc>
        <w:tc>
          <w:tcPr>
            <w:tcW w:w="2268" w:type="dxa"/>
            <w:vAlign w:val="center"/>
          </w:tcPr>
          <w:p>
            <w:pPr>
              <w:pStyle w:val="13"/>
            </w:pPr>
            <w:r>
              <w:t>按照工作需要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按时完成培训数量</w:t>
            </w:r>
          </w:p>
        </w:tc>
        <w:tc>
          <w:tcPr>
            <w:tcW w:w="2835" w:type="dxa"/>
            <w:vAlign w:val="center"/>
          </w:tcPr>
          <w:p>
            <w:pPr>
              <w:pStyle w:val="13"/>
            </w:pPr>
            <w:r>
              <w:t>按时完成培训数</w:t>
            </w:r>
          </w:p>
        </w:tc>
        <w:tc>
          <w:tcPr>
            <w:tcW w:w="2551" w:type="dxa"/>
            <w:vAlign w:val="center"/>
          </w:tcPr>
          <w:p>
            <w:pPr>
              <w:pStyle w:val="13"/>
            </w:pPr>
            <w:r>
              <w:t>≥2次</w:t>
            </w:r>
          </w:p>
        </w:tc>
        <w:tc>
          <w:tcPr>
            <w:tcW w:w="2268" w:type="dxa"/>
            <w:vAlign w:val="center"/>
          </w:tcPr>
          <w:p>
            <w:pPr>
              <w:pStyle w:val="13"/>
            </w:pPr>
            <w:r>
              <w:t>按照工作需要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2835" w:type="dxa"/>
            <w:vAlign w:val="center"/>
          </w:tcPr>
          <w:p>
            <w:pPr>
              <w:pStyle w:val="13"/>
            </w:pPr>
            <w:r>
              <w:t>资金成本</w:t>
            </w:r>
          </w:p>
        </w:tc>
        <w:tc>
          <w:tcPr>
            <w:tcW w:w="2551" w:type="dxa"/>
            <w:vAlign w:val="center"/>
          </w:tcPr>
          <w:p>
            <w:pPr>
              <w:pStyle w:val="13"/>
            </w:pPr>
            <w:r>
              <w:t>30万元</w:t>
            </w:r>
          </w:p>
        </w:tc>
        <w:tc>
          <w:tcPr>
            <w:tcW w:w="2268" w:type="dxa"/>
            <w:vAlign w:val="center"/>
          </w:tcPr>
          <w:p>
            <w:pPr>
              <w:pStyle w:val="13"/>
            </w:pPr>
            <w:r>
              <w:t>按照工作需要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提高宗教干部业务水平</w:t>
            </w:r>
          </w:p>
        </w:tc>
        <w:tc>
          <w:tcPr>
            <w:tcW w:w="2835" w:type="dxa"/>
            <w:vAlign w:val="center"/>
          </w:tcPr>
          <w:p>
            <w:pPr>
              <w:pStyle w:val="13"/>
            </w:pPr>
            <w:r>
              <w:t>提高开展业务培训，提高宗教干部业务水平</w:t>
            </w:r>
          </w:p>
        </w:tc>
        <w:tc>
          <w:tcPr>
            <w:tcW w:w="2551" w:type="dxa"/>
            <w:vAlign w:val="center"/>
          </w:tcPr>
          <w:p>
            <w:pPr>
              <w:pStyle w:val="13"/>
            </w:pPr>
            <w:r>
              <w:t>≥90%</w:t>
            </w:r>
          </w:p>
        </w:tc>
        <w:tc>
          <w:tcPr>
            <w:tcW w:w="2268" w:type="dxa"/>
            <w:vAlign w:val="center"/>
          </w:tcPr>
          <w:p>
            <w:pPr>
              <w:pStyle w:val="13"/>
            </w:pPr>
            <w:r>
              <w:t>按照工作需要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保持宗教界业务高水平发展</w:t>
            </w:r>
          </w:p>
        </w:tc>
        <w:tc>
          <w:tcPr>
            <w:tcW w:w="2835" w:type="dxa"/>
            <w:vAlign w:val="center"/>
          </w:tcPr>
          <w:p>
            <w:pPr>
              <w:pStyle w:val="13"/>
            </w:pPr>
            <w:r>
              <w:t>通过开展培训和交流考察，提升宗教业务水平</w:t>
            </w:r>
          </w:p>
        </w:tc>
        <w:tc>
          <w:tcPr>
            <w:tcW w:w="2551" w:type="dxa"/>
            <w:vAlign w:val="center"/>
          </w:tcPr>
          <w:p>
            <w:pPr>
              <w:pStyle w:val="13"/>
            </w:pPr>
            <w:r>
              <w:t>保持宗教界业务高水平发展</w:t>
            </w:r>
          </w:p>
        </w:tc>
        <w:tc>
          <w:tcPr>
            <w:tcW w:w="2268" w:type="dxa"/>
            <w:vAlign w:val="center"/>
          </w:tcPr>
          <w:p>
            <w:pPr>
              <w:pStyle w:val="13"/>
            </w:pPr>
            <w:r>
              <w:t>按照工作需要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宗教干部和宗教界人士满意度</w:t>
            </w:r>
          </w:p>
        </w:tc>
        <w:tc>
          <w:tcPr>
            <w:tcW w:w="2835" w:type="dxa"/>
            <w:vAlign w:val="center"/>
          </w:tcPr>
          <w:p>
            <w:pPr>
              <w:pStyle w:val="13"/>
            </w:pPr>
            <w:r>
              <w:t>宗教干部和宗教界人士对宗教工作满意度</w:t>
            </w:r>
          </w:p>
        </w:tc>
        <w:tc>
          <w:tcPr>
            <w:tcW w:w="2551" w:type="dxa"/>
            <w:vAlign w:val="center"/>
          </w:tcPr>
          <w:p>
            <w:pPr>
              <w:pStyle w:val="13"/>
            </w:pPr>
            <w:r>
              <w:t>≥90%</w:t>
            </w:r>
          </w:p>
        </w:tc>
        <w:tc>
          <w:tcPr>
            <w:tcW w:w="2268" w:type="dxa"/>
            <w:vAlign w:val="center"/>
          </w:tcPr>
          <w:p>
            <w:pPr>
              <w:pStyle w:val="13"/>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4、2022年宗教团体专项经费绩效目标表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 xml:space="preserve">1.目标内容1确保4个宗教团体正常开展工作 </w:t>
            </w:r>
          </w:p>
          <w:p>
            <w:pPr>
              <w:pStyle w:val="13"/>
            </w:pPr>
            <w:r>
              <w:t>2.目标内容2宗教团体,每个团体发放补助经费2.5万元</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发放补助经费团体数</w:t>
            </w:r>
          </w:p>
        </w:tc>
        <w:tc>
          <w:tcPr>
            <w:tcW w:w="2835" w:type="dxa"/>
            <w:vAlign w:val="center"/>
          </w:tcPr>
          <w:p>
            <w:pPr>
              <w:pStyle w:val="13"/>
            </w:pPr>
            <w:r>
              <w:t>对宗教团体发放补助经费</w:t>
            </w:r>
          </w:p>
        </w:tc>
        <w:tc>
          <w:tcPr>
            <w:tcW w:w="2551" w:type="dxa"/>
            <w:vAlign w:val="center"/>
          </w:tcPr>
          <w:p>
            <w:pPr>
              <w:pStyle w:val="13"/>
            </w:pPr>
            <w:r>
              <w:t>≤4个</w:t>
            </w:r>
          </w:p>
        </w:tc>
        <w:tc>
          <w:tcPr>
            <w:tcW w:w="2268" w:type="dxa"/>
            <w:vAlign w:val="center"/>
          </w:tcPr>
          <w:p>
            <w:pPr>
              <w:pStyle w:val="13"/>
            </w:pPr>
            <w:r>
              <w:t>按照工作需要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宗教团体经费发放率</w:t>
            </w:r>
          </w:p>
        </w:tc>
        <w:tc>
          <w:tcPr>
            <w:tcW w:w="2835" w:type="dxa"/>
            <w:vAlign w:val="center"/>
          </w:tcPr>
          <w:p>
            <w:pPr>
              <w:pStyle w:val="13"/>
            </w:pPr>
            <w:r>
              <w:t>发放宗教团体补助经费比例</w:t>
            </w:r>
          </w:p>
        </w:tc>
        <w:tc>
          <w:tcPr>
            <w:tcW w:w="2551" w:type="dxa"/>
            <w:vAlign w:val="center"/>
          </w:tcPr>
          <w:p>
            <w:pPr>
              <w:pStyle w:val="13"/>
            </w:pPr>
            <w:r>
              <w:t>≥90%</w:t>
            </w:r>
          </w:p>
        </w:tc>
        <w:tc>
          <w:tcPr>
            <w:tcW w:w="2268" w:type="dxa"/>
            <w:vAlign w:val="center"/>
          </w:tcPr>
          <w:p>
            <w:pPr>
              <w:pStyle w:val="13"/>
            </w:pPr>
            <w:r>
              <w:t>按照工作需要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发放及时率</w:t>
            </w:r>
          </w:p>
        </w:tc>
        <w:tc>
          <w:tcPr>
            <w:tcW w:w="2835" w:type="dxa"/>
            <w:vAlign w:val="center"/>
          </w:tcPr>
          <w:p>
            <w:pPr>
              <w:pStyle w:val="13"/>
            </w:pPr>
            <w:r>
              <w:t>是否按时发放宗教补助经费</w:t>
            </w:r>
          </w:p>
        </w:tc>
        <w:tc>
          <w:tcPr>
            <w:tcW w:w="2551" w:type="dxa"/>
            <w:vAlign w:val="center"/>
          </w:tcPr>
          <w:p>
            <w:pPr>
              <w:pStyle w:val="13"/>
            </w:pPr>
            <w:r>
              <w:t>按时发放</w:t>
            </w:r>
          </w:p>
        </w:tc>
        <w:tc>
          <w:tcPr>
            <w:tcW w:w="2268" w:type="dxa"/>
            <w:vAlign w:val="center"/>
          </w:tcPr>
          <w:p>
            <w:pPr>
              <w:pStyle w:val="13"/>
            </w:pPr>
            <w:r>
              <w:t>按照工作需要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总成本</w:t>
            </w:r>
          </w:p>
        </w:tc>
        <w:tc>
          <w:tcPr>
            <w:tcW w:w="2835" w:type="dxa"/>
            <w:vAlign w:val="center"/>
          </w:tcPr>
          <w:p>
            <w:pPr>
              <w:pStyle w:val="13"/>
            </w:pPr>
            <w:r>
              <w:t>宗教团体发放补助经费10万元</w:t>
            </w:r>
          </w:p>
        </w:tc>
        <w:tc>
          <w:tcPr>
            <w:tcW w:w="2551" w:type="dxa"/>
            <w:vAlign w:val="center"/>
          </w:tcPr>
          <w:p>
            <w:pPr>
              <w:pStyle w:val="13"/>
            </w:pPr>
            <w:r>
              <w:t>10万元</w:t>
            </w:r>
          </w:p>
        </w:tc>
        <w:tc>
          <w:tcPr>
            <w:tcW w:w="2268" w:type="dxa"/>
            <w:vAlign w:val="center"/>
          </w:tcPr>
          <w:p>
            <w:pPr>
              <w:pStyle w:val="13"/>
            </w:pPr>
            <w:r>
              <w:t>按照工作需要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维持宗教界稳定</w:t>
            </w:r>
          </w:p>
        </w:tc>
        <w:tc>
          <w:tcPr>
            <w:tcW w:w="2835" w:type="dxa"/>
            <w:vAlign w:val="center"/>
          </w:tcPr>
          <w:p>
            <w:pPr>
              <w:pStyle w:val="13"/>
            </w:pPr>
            <w:r>
              <w:t>维持宗教界稳定发展</w:t>
            </w:r>
          </w:p>
        </w:tc>
        <w:tc>
          <w:tcPr>
            <w:tcW w:w="2551" w:type="dxa"/>
            <w:vAlign w:val="center"/>
          </w:tcPr>
          <w:p>
            <w:pPr>
              <w:pStyle w:val="13"/>
            </w:pPr>
            <w:r>
              <w:t>维持宗教界稳定</w:t>
            </w:r>
          </w:p>
        </w:tc>
        <w:tc>
          <w:tcPr>
            <w:tcW w:w="2268" w:type="dxa"/>
            <w:vAlign w:val="center"/>
          </w:tcPr>
          <w:p>
            <w:pPr>
              <w:pStyle w:val="13"/>
            </w:pPr>
            <w:r>
              <w:t>按照工作需要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宗教团体持续良好发展</w:t>
            </w:r>
          </w:p>
        </w:tc>
        <w:tc>
          <w:tcPr>
            <w:tcW w:w="2835" w:type="dxa"/>
            <w:vAlign w:val="center"/>
          </w:tcPr>
          <w:p>
            <w:pPr>
              <w:pStyle w:val="13"/>
            </w:pPr>
            <w:r>
              <w:t>进一步推动宗教团体持续良好发展</w:t>
            </w:r>
          </w:p>
        </w:tc>
        <w:tc>
          <w:tcPr>
            <w:tcW w:w="2551" w:type="dxa"/>
            <w:vAlign w:val="center"/>
          </w:tcPr>
          <w:p>
            <w:pPr>
              <w:pStyle w:val="13"/>
            </w:pPr>
            <w:r>
              <w:t>宗教团体持续良好发展</w:t>
            </w:r>
          </w:p>
        </w:tc>
        <w:tc>
          <w:tcPr>
            <w:tcW w:w="2268" w:type="dxa"/>
            <w:vAlign w:val="center"/>
          </w:tcPr>
          <w:p>
            <w:pPr>
              <w:pStyle w:val="13"/>
            </w:pPr>
            <w:r>
              <w:t>按照工作需要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宗教团体满意度指标</w:t>
            </w:r>
          </w:p>
        </w:tc>
        <w:tc>
          <w:tcPr>
            <w:tcW w:w="2835" w:type="dxa"/>
            <w:vAlign w:val="center"/>
          </w:tcPr>
          <w:p>
            <w:pPr>
              <w:pStyle w:val="13"/>
            </w:pPr>
            <w:r>
              <w:t>宗教团体满意度</w:t>
            </w:r>
          </w:p>
        </w:tc>
        <w:tc>
          <w:tcPr>
            <w:tcW w:w="2551" w:type="dxa"/>
            <w:vAlign w:val="center"/>
          </w:tcPr>
          <w:p>
            <w:pPr>
              <w:pStyle w:val="13"/>
            </w:pPr>
            <w:r>
              <w:t>≥90%</w:t>
            </w:r>
          </w:p>
        </w:tc>
        <w:tc>
          <w:tcPr>
            <w:tcW w:w="2268" w:type="dxa"/>
            <w:vAlign w:val="center"/>
          </w:tcPr>
          <w:p>
            <w:pPr>
              <w:pStyle w:val="13"/>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5、宗教特情员专项经费绩效目标表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 xml:space="preserve">1.目标内容1  防止境外宗教渗透，安排20名特情员  </w:t>
            </w:r>
          </w:p>
          <w:p>
            <w:pPr>
              <w:pStyle w:val="13"/>
            </w:pPr>
            <w:r>
              <w:t>2.目标内容2  对宗教特情人员发放误工补贴，每人发放900元</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发放人数</w:t>
            </w:r>
          </w:p>
        </w:tc>
        <w:tc>
          <w:tcPr>
            <w:tcW w:w="2835" w:type="dxa"/>
            <w:vAlign w:val="center"/>
          </w:tcPr>
          <w:p>
            <w:pPr>
              <w:pStyle w:val="13"/>
            </w:pPr>
            <w:r>
              <w:t>保证全部宗教特情员发放</w:t>
            </w:r>
          </w:p>
        </w:tc>
        <w:tc>
          <w:tcPr>
            <w:tcW w:w="2551" w:type="dxa"/>
            <w:vAlign w:val="center"/>
          </w:tcPr>
          <w:p>
            <w:pPr>
              <w:pStyle w:val="13"/>
            </w:pPr>
            <w:r>
              <w:t>≥20人</w:t>
            </w:r>
          </w:p>
        </w:tc>
        <w:tc>
          <w:tcPr>
            <w:tcW w:w="2268" w:type="dxa"/>
            <w:vAlign w:val="center"/>
          </w:tcPr>
          <w:p>
            <w:pPr>
              <w:pStyle w:val="13"/>
            </w:pPr>
            <w:r>
              <w:t>按照上级文件和领导安排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发放覆盖率</w:t>
            </w:r>
          </w:p>
        </w:tc>
        <w:tc>
          <w:tcPr>
            <w:tcW w:w="2835" w:type="dxa"/>
            <w:vAlign w:val="center"/>
          </w:tcPr>
          <w:p>
            <w:pPr>
              <w:pStyle w:val="13"/>
            </w:pPr>
            <w:r>
              <w:t>全年发放宗教特情信息员经费人员覆盖率</w:t>
            </w:r>
          </w:p>
        </w:tc>
        <w:tc>
          <w:tcPr>
            <w:tcW w:w="2551" w:type="dxa"/>
            <w:vAlign w:val="center"/>
          </w:tcPr>
          <w:p>
            <w:pPr>
              <w:pStyle w:val="13"/>
            </w:pPr>
            <w:r>
              <w:t>≥95%</w:t>
            </w:r>
          </w:p>
        </w:tc>
        <w:tc>
          <w:tcPr>
            <w:tcW w:w="2268" w:type="dxa"/>
            <w:vAlign w:val="center"/>
          </w:tcPr>
          <w:p>
            <w:pPr>
              <w:pStyle w:val="13"/>
            </w:pPr>
            <w:r>
              <w:t>按照上级文件和领导安排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发放完成时间</w:t>
            </w:r>
          </w:p>
        </w:tc>
        <w:tc>
          <w:tcPr>
            <w:tcW w:w="2835" w:type="dxa"/>
            <w:vAlign w:val="center"/>
          </w:tcPr>
          <w:p>
            <w:pPr>
              <w:pStyle w:val="13"/>
            </w:pPr>
            <w:r>
              <w:t>全年按时发放宗教特情信息员经费</w:t>
            </w:r>
          </w:p>
        </w:tc>
        <w:tc>
          <w:tcPr>
            <w:tcW w:w="2551" w:type="dxa"/>
            <w:vAlign w:val="center"/>
          </w:tcPr>
          <w:p>
            <w:pPr>
              <w:pStyle w:val="13"/>
            </w:pPr>
            <w:r>
              <w:t>按时足额发放</w:t>
            </w:r>
          </w:p>
        </w:tc>
        <w:tc>
          <w:tcPr>
            <w:tcW w:w="2268" w:type="dxa"/>
            <w:vAlign w:val="center"/>
          </w:tcPr>
          <w:p>
            <w:pPr>
              <w:pStyle w:val="13"/>
            </w:pPr>
            <w:r>
              <w:t>按照上级文件和领导安排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发放金额</w:t>
            </w:r>
          </w:p>
        </w:tc>
        <w:tc>
          <w:tcPr>
            <w:tcW w:w="2835" w:type="dxa"/>
            <w:vAlign w:val="center"/>
          </w:tcPr>
          <w:p>
            <w:pPr>
              <w:pStyle w:val="13"/>
            </w:pPr>
            <w:r>
              <w:t>足额发放</w:t>
            </w:r>
          </w:p>
        </w:tc>
        <w:tc>
          <w:tcPr>
            <w:tcW w:w="2551" w:type="dxa"/>
            <w:vAlign w:val="center"/>
          </w:tcPr>
          <w:p>
            <w:pPr>
              <w:pStyle w:val="13"/>
            </w:pPr>
            <w:r>
              <w:t>1.8万元</w:t>
            </w:r>
          </w:p>
        </w:tc>
        <w:tc>
          <w:tcPr>
            <w:tcW w:w="2268" w:type="dxa"/>
            <w:vAlign w:val="center"/>
          </w:tcPr>
          <w:p>
            <w:pPr>
              <w:pStyle w:val="13"/>
            </w:pPr>
            <w:r>
              <w:t>按照上级文件和领导安排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宗教界稳定发展</w:t>
            </w:r>
          </w:p>
        </w:tc>
        <w:tc>
          <w:tcPr>
            <w:tcW w:w="2835" w:type="dxa"/>
            <w:vAlign w:val="center"/>
          </w:tcPr>
          <w:p>
            <w:pPr>
              <w:pStyle w:val="13"/>
            </w:pPr>
            <w:r>
              <w:t>为动态管理宗教提供信息</w:t>
            </w:r>
          </w:p>
        </w:tc>
        <w:tc>
          <w:tcPr>
            <w:tcW w:w="2551" w:type="dxa"/>
            <w:vAlign w:val="center"/>
          </w:tcPr>
          <w:p>
            <w:pPr>
              <w:pStyle w:val="13"/>
            </w:pPr>
            <w:r>
              <w:t>≥95%</w:t>
            </w:r>
          </w:p>
        </w:tc>
        <w:tc>
          <w:tcPr>
            <w:tcW w:w="2268" w:type="dxa"/>
            <w:vAlign w:val="center"/>
          </w:tcPr>
          <w:p>
            <w:pPr>
              <w:pStyle w:val="13"/>
            </w:pPr>
            <w:r>
              <w:t>按照上级文件和领导安排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保持宗教界长期稳定</w:t>
            </w:r>
          </w:p>
        </w:tc>
        <w:tc>
          <w:tcPr>
            <w:tcW w:w="2835" w:type="dxa"/>
            <w:vAlign w:val="center"/>
          </w:tcPr>
          <w:p>
            <w:pPr>
              <w:pStyle w:val="13"/>
            </w:pPr>
            <w:r>
              <w:t>保持宗教界长期稳定,不发生不稳定事件</w:t>
            </w:r>
          </w:p>
        </w:tc>
        <w:tc>
          <w:tcPr>
            <w:tcW w:w="2551" w:type="dxa"/>
            <w:vAlign w:val="center"/>
          </w:tcPr>
          <w:p>
            <w:pPr>
              <w:pStyle w:val="13"/>
            </w:pPr>
            <w:r>
              <w:t>≥95%</w:t>
            </w:r>
          </w:p>
        </w:tc>
        <w:tc>
          <w:tcPr>
            <w:tcW w:w="2268" w:type="dxa"/>
            <w:vAlign w:val="center"/>
          </w:tcPr>
          <w:p>
            <w:pPr>
              <w:pStyle w:val="13"/>
            </w:pPr>
            <w:r>
              <w:t>按照上级文件和领导安排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信教群众对特情人员工作评价</w:t>
            </w:r>
          </w:p>
        </w:tc>
        <w:tc>
          <w:tcPr>
            <w:tcW w:w="2835" w:type="dxa"/>
            <w:vAlign w:val="center"/>
          </w:tcPr>
          <w:p>
            <w:pPr>
              <w:pStyle w:val="13"/>
            </w:pPr>
            <w:r>
              <w:t>信教群众对特情人员工作评价</w:t>
            </w:r>
          </w:p>
        </w:tc>
        <w:tc>
          <w:tcPr>
            <w:tcW w:w="2551" w:type="dxa"/>
            <w:vAlign w:val="center"/>
          </w:tcPr>
          <w:p>
            <w:pPr>
              <w:pStyle w:val="13"/>
            </w:pPr>
            <w:r>
              <w:t>≥95%</w:t>
            </w:r>
          </w:p>
        </w:tc>
        <w:tc>
          <w:tcPr>
            <w:tcW w:w="2268" w:type="dxa"/>
            <w:vAlign w:val="center"/>
          </w:tcPr>
          <w:p>
            <w:pPr>
              <w:pStyle w:val="13"/>
            </w:pPr>
            <w:r>
              <w:t>走访调查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2022年，魏县民族宗教事务局本级安排政府采购预算0.00万元。具体内容见下表。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308001魏县民族宗教事务局本级</w:t>
            </w:r>
          </w:p>
        </w:tc>
        <w:tc>
          <w:tcPr>
            <w:tcW w:w="8674" w:type="dxa"/>
            <w:gridSpan w:val="9"/>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7710" w:type="dxa"/>
            <w:gridSpan w:val="8"/>
            <w:vAlign w:val="center"/>
          </w:tcPr>
          <w:p>
            <w:pPr>
              <w:pStyle w:val="11"/>
            </w:pPr>
            <w:r>
              <w:t>政府采购金额（当年部门预算安排资金）</w:t>
            </w:r>
          </w:p>
        </w:tc>
        <w:tc>
          <w:tcPr>
            <w:tcW w:w="964" w:type="dxa"/>
            <w:vMerge w:val="restart"/>
            <w:vAlign w:val="center"/>
          </w:tcPr>
          <w:p>
            <w:pPr>
              <w:pStyle w:val="11"/>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财政拨    款结转</w:t>
            </w:r>
          </w:p>
        </w:tc>
        <w:tc>
          <w:tcPr>
            <w:tcW w:w="964" w:type="dxa"/>
            <w:vAlign w:val="center"/>
          </w:tcPr>
          <w:p>
            <w:pPr>
              <w:pStyle w:val="11"/>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魏县民族宗教事务局本级上年末固定资产金额为</w:t>
      </w:r>
      <w:r>
        <w:rPr>
          <w:rFonts w:hint="eastAsia" w:eastAsia="方正仿宋_GBK"/>
          <w:color w:val="000000"/>
          <w:sz w:val="28"/>
          <w:lang w:val="en-US" w:eastAsia="zh-CN"/>
        </w:rPr>
        <w:t>11.85</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308001魏县民族宗教事务局本级</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rPr>
                <w:rFonts w:hint="default" w:eastAsia="方正书宋_GBK"/>
                <w:lang w:val="en-US" w:eastAsia="zh-CN"/>
              </w:rPr>
            </w:pPr>
            <w:r>
              <w:rPr>
                <w:rFonts w:hint="eastAsia"/>
                <w:lang w:val="en-US" w:eastAsia="zh-CN"/>
              </w:rPr>
              <w:t>固定资产原值总额</w:t>
            </w:r>
          </w:p>
        </w:tc>
        <w:tc>
          <w:tcPr>
            <w:tcW w:w="2835" w:type="dxa"/>
            <w:vAlign w:val="center"/>
          </w:tcPr>
          <w:p>
            <w:pPr>
              <w:pStyle w:val="14"/>
            </w:pPr>
          </w:p>
        </w:tc>
        <w:tc>
          <w:tcPr>
            <w:tcW w:w="2835" w:type="dxa"/>
            <w:vAlign w:val="center"/>
          </w:tcPr>
          <w:p>
            <w:pPr>
              <w:pStyle w:val="12"/>
              <w:rPr>
                <w:rFonts w:hint="default" w:eastAsia="方正书宋_GBK"/>
                <w:lang w:val="en-US" w:eastAsia="zh-CN"/>
              </w:rPr>
            </w:pPr>
            <w:r>
              <w:rPr>
                <w:rFonts w:hint="eastAsia"/>
                <w:lang w:val="en-US" w:eastAsia="zh-CN"/>
              </w:rPr>
              <w:t>11.85</w:t>
            </w:r>
          </w:p>
        </w:tc>
      </w:tr>
    </w:tbl>
    <w:p>
      <w:pPr>
        <w:ind w:firstLine="420"/>
      </w:pPr>
    </w:p>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2000000000000000000"/>
    <w:charset w:val="86"/>
    <w:family w:val="roman"/>
    <w:pitch w:val="default"/>
    <w:sig w:usb0="00000001" w:usb1="08000000" w:usb2="00000000" w:usb3="00000000" w:csb0="00040000" w:csb1="00000000"/>
  </w:font>
  <w:font w:name="方正小标宋_GBK">
    <w:panose1 w:val="02000000000000000000"/>
    <w:charset w:val="86"/>
    <w:family w:val="roman"/>
    <w:pitch w:val="default"/>
    <w:sig w:usb0="00000001" w:usb1="08000000" w:usb2="00000000" w:usb3="00000000" w:csb0="00040000" w:csb1="00000000"/>
  </w:font>
  <w:font w:name="方正书宋_GBK">
    <w:panose1 w:val="02000000000000000000"/>
    <w:charset w:val="86"/>
    <w:family w:val="roman"/>
    <w:pitch w:val="default"/>
    <w:sig w:usb0="00000001" w:usb1="08000000" w:usb2="00000000" w:usb3="00000000" w:csb0="00040000" w:csb1="00000000"/>
  </w:font>
  <w:font w:name="方正楷体_GBK">
    <w:panose1 w:val="02000000000000000000"/>
    <w:charset w:val="86"/>
    <w:family w:val="roman"/>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2MTQ4YzkyZTFlOGQwZDU4NjAzODFkYzU3NTA2N2IifQ=="/>
  </w:docVars>
  <w:rsids>
    <w:rsidRoot w:val="00045505"/>
    <w:rsid w:val="00045505"/>
    <w:rsid w:val="00202D09"/>
    <w:rsid w:val="00D33090"/>
    <w:rsid w:val="06B447BA"/>
    <w:rsid w:val="07FB2F7C"/>
    <w:rsid w:val="1EE42B84"/>
    <w:rsid w:val="308009FD"/>
    <w:rsid w:val="347C3552"/>
    <w:rsid w:val="3A19267F"/>
    <w:rsid w:val="3BF70223"/>
    <w:rsid w:val="61AD412B"/>
    <w:rsid w:val="7DBEAB40"/>
    <w:rsid w:val="7DD80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5"/>
    <w:semiHidden/>
    <w:unhideWhenUsed/>
    <w:qFormat/>
    <w:uiPriority w:val="99"/>
    <w:pPr>
      <w:tabs>
        <w:tab w:val="center" w:pos="4153"/>
        <w:tab w:val="right" w:pos="8306"/>
      </w:tabs>
      <w:snapToGrid w:val="0"/>
    </w:pPr>
    <w:rPr>
      <w:sz w:val="18"/>
      <w:szCs w:val="18"/>
    </w:rPr>
  </w:style>
  <w:style w:type="paragraph" w:styleId="3">
    <w:name w:val="header"/>
    <w:basedOn w:val="1"/>
    <w:link w:val="3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pPr>
      <w:spacing w:before="120"/>
      <w:ind w:firstLine="560"/>
    </w:pPr>
    <w:rPr>
      <w:rFonts w:eastAsia="方正仿宋_GBK"/>
      <w:color w:val="000000"/>
      <w:sz w:val="28"/>
    </w:r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部门职责文件"/>
    <w:basedOn w:val="1"/>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插入文本样式-插入总体目标文件"/>
    <w:basedOn w:val="1"/>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5">
    <w:name w:val="单元格样式23"/>
    <w:basedOn w:val="1"/>
    <w:qFormat/>
    <w:uiPriority w:val="0"/>
    <w:pPr>
      <w:jc w:val="right"/>
    </w:pPr>
    <w:rPr>
      <w:rFonts w:ascii="方正书宋_GBK" w:hAnsi="方正书宋_GBK" w:eastAsia="方正书宋_GBK" w:cs="方正书宋_GBK"/>
    </w:rPr>
  </w:style>
  <w:style w:type="paragraph" w:customStyle="1" w:styleId="26">
    <w:name w:val="插入文本样式-插入单位职责文件"/>
    <w:basedOn w:val="1"/>
    <w:qFormat/>
    <w:uiPriority w:val="0"/>
    <w:pPr>
      <w:spacing w:line="500" w:lineRule="exact"/>
      <w:ind w:firstLine="560"/>
    </w:pPr>
    <w:rPr>
      <w:rFonts w:eastAsia="方正仿宋_GBK"/>
      <w:sz w:val="28"/>
    </w:rPr>
  </w:style>
  <w:style w:type="paragraph" w:customStyle="1" w:styleId="27">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8">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9">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0">
    <w:name w:val="TOC 2"/>
    <w:basedOn w:val="1"/>
    <w:qFormat/>
    <w:uiPriority w:val="0"/>
    <w:pPr>
      <w:ind w:left="240"/>
    </w:pPr>
  </w:style>
  <w:style w:type="paragraph" w:customStyle="1" w:styleId="31">
    <w:name w:val="TOC 3"/>
    <w:basedOn w:val="1"/>
    <w:qFormat/>
    <w:uiPriority w:val="0"/>
    <w:pPr>
      <w:ind w:left="480"/>
    </w:pPr>
  </w:style>
  <w:style w:type="paragraph" w:customStyle="1" w:styleId="32">
    <w:name w:val="TOC 4"/>
    <w:basedOn w:val="1"/>
    <w:qFormat/>
    <w:uiPriority w:val="0"/>
    <w:pPr>
      <w:ind w:left="720"/>
    </w:pPr>
  </w:style>
  <w:style w:type="paragraph" w:customStyle="1" w:styleId="33">
    <w:name w:val="TOC 1"/>
    <w:basedOn w:val="1"/>
    <w:qFormat/>
    <w:uiPriority w:val="0"/>
    <w:pPr>
      <w:spacing w:before="120"/>
      <w:ind w:firstLine="560"/>
    </w:pPr>
    <w:rPr>
      <w:rFonts w:eastAsia="方正仿宋_GBK"/>
      <w:color w:val="000000"/>
      <w:sz w:val="28"/>
    </w:rPr>
  </w:style>
  <w:style w:type="character" w:customStyle="1" w:styleId="34">
    <w:name w:val="页眉 Char"/>
    <w:basedOn w:val="7"/>
    <w:link w:val="3"/>
    <w:semiHidden/>
    <w:qFormat/>
    <w:uiPriority w:val="99"/>
    <w:rPr>
      <w:rFonts w:eastAsia="Times New Roman"/>
      <w:sz w:val="18"/>
      <w:szCs w:val="18"/>
      <w:lang w:eastAsia="uk-UA"/>
    </w:rPr>
  </w:style>
  <w:style w:type="character" w:customStyle="1" w:styleId="35">
    <w:name w:val="页脚 Char"/>
    <w:basedOn w:val="7"/>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shenduxitong</Company>
  <Pages>23</Pages>
  <Words>6494</Words>
  <Characters>7628</Characters>
  <Lines>154</Lines>
  <Paragraphs>43</Paragraphs>
  <TotalTime>5</TotalTime>
  <ScaleCrop>false</ScaleCrop>
  <LinksUpToDate>false</LinksUpToDate>
  <CharactersWithSpaces>7779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2022-03-08T01:03:00Z</dcterms:created>
  <dc:creator>Administrator</dc:creator>
  <cp:lastModifiedBy>wxak</cp:lastModifiedBy>
  <dcterms:modified xsi:type="dcterms:W3CDTF">2025-06-03T09:58:33Z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6E2B807F7464484F8D28C16CFC65B810</vt:lpwstr>
  </property>
</Properties>
</file>