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一、中共魏县县委机构编制委员会办公室本级收支预算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一、中共魏县县委机构编制委员会办公室本级收支预算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346.42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264.78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64.13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17.50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346.42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346.42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346.42</w:t>
            </w:r>
          </w:p>
        </w:tc>
        <w:tc>
          <w:tcPr>
            <w:tcW w:w="4535" w:type="dxa"/>
            <w:vAlign w:val="center"/>
          </w:tcPr>
          <w:p>
            <w:pPr>
              <w:pStyle w:val="单元格样式6"/>
            </w:pPr>
            <w:r>
              <w:t xml:space="preserve">支出总计</w:t>
            </w:r>
          </w:p>
        </w:tc>
        <w:tc>
          <w:tcPr>
            <w:tcW w:w="2126" w:type="dxa"/>
            <w:vAlign w:val="center"/>
          </w:tcPr>
          <w:p>
            <w:pPr>
              <w:pStyle w:val="单元格样式7"/>
            </w:pPr>
            <w:r>
              <w:t xml:space="preserve">346.42</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346.42</w:t>
            </w:r>
          </w:p>
        </w:tc>
        <w:tc>
          <w:tcPr>
            <w:tcW w:w="1134" w:type="dxa"/>
            <w:vAlign w:val="center"/>
          </w:tcPr>
          <w:p>
            <w:pPr>
              <w:pStyle w:val="单元格样式7"/>
            </w:pPr>
            <w:r>
              <w:t xml:space="preserve">346.42</w:t>
            </w:r>
          </w:p>
        </w:tc>
        <w:tc>
          <w:tcPr>
            <w:tcW w:w="1134" w:type="dxa"/>
            <w:vAlign w:val="center"/>
          </w:tcPr>
          <w:p>
            <w:pPr>
              <w:pStyle w:val="单元格样式7"/>
            </w:pPr>
            <w:r>
              <w:t xml:space="preserve">346.42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264.78</w:t>
            </w:r>
          </w:p>
        </w:tc>
        <w:tc>
          <w:tcPr>
            <w:tcW w:w="1134" w:type="dxa"/>
            <w:vAlign w:val="center"/>
          </w:tcPr>
          <w:p>
            <w:pPr>
              <w:pStyle w:val="单元格样式4"/>
            </w:pPr>
            <w:r>
              <w:t xml:space="preserve">264.78</w:t>
            </w:r>
          </w:p>
        </w:tc>
        <w:tc>
          <w:tcPr>
            <w:tcW w:w="1134" w:type="dxa"/>
            <w:vAlign w:val="center"/>
          </w:tcPr>
          <w:p>
            <w:pPr>
              <w:pStyle w:val="单元格样式4"/>
            </w:pPr>
            <w:r>
              <w:t xml:space="preserve">264.78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r>
              <w:t xml:space="preserve">260.13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r>
              <w:t xml:space="preserve">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r>
              <w:t xml:space="preserve">64.13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5.37</w:t>
            </w:r>
          </w:p>
        </w:tc>
        <w:tc>
          <w:tcPr>
            <w:tcW w:w="1134" w:type="dxa"/>
            <w:vAlign w:val="center"/>
          </w:tcPr>
          <w:p>
            <w:pPr>
              <w:pStyle w:val="单元格样式4"/>
            </w:pPr>
            <w:r>
              <w:t xml:space="preserve">5.37</w:t>
            </w:r>
          </w:p>
        </w:tc>
        <w:tc>
          <w:tcPr>
            <w:tcW w:w="1134" w:type="dxa"/>
            <w:vAlign w:val="center"/>
          </w:tcPr>
          <w:p>
            <w:pPr>
              <w:pStyle w:val="单元格样式4"/>
            </w:pPr>
            <w:r>
              <w:t xml:space="preserve">5.37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39.17</w:t>
            </w:r>
          </w:p>
        </w:tc>
        <w:tc>
          <w:tcPr>
            <w:tcW w:w="1134" w:type="dxa"/>
            <w:vAlign w:val="center"/>
          </w:tcPr>
          <w:p>
            <w:pPr>
              <w:pStyle w:val="单元格样式4"/>
            </w:pPr>
            <w:r>
              <w:t xml:space="preserve">39.17</w:t>
            </w:r>
          </w:p>
        </w:tc>
        <w:tc>
          <w:tcPr>
            <w:tcW w:w="1134" w:type="dxa"/>
            <w:vAlign w:val="center"/>
          </w:tcPr>
          <w:p>
            <w:pPr>
              <w:pStyle w:val="单元格样式4"/>
            </w:pPr>
            <w:r>
              <w:t xml:space="preserve">39.17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19.59</w:t>
            </w:r>
          </w:p>
        </w:tc>
        <w:tc>
          <w:tcPr>
            <w:tcW w:w="1134" w:type="dxa"/>
            <w:vAlign w:val="center"/>
          </w:tcPr>
          <w:p>
            <w:pPr>
              <w:pStyle w:val="单元格样式4"/>
            </w:pPr>
            <w:r>
              <w:t xml:space="preserve">19.59</w:t>
            </w:r>
          </w:p>
        </w:tc>
        <w:tc>
          <w:tcPr>
            <w:tcW w:w="1134" w:type="dxa"/>
            <w:vAlign w:val="center"/>
          </w:tcPr>
          <w:p>
            <w:pPr>
              <w:pStyle w:val="单元格样式4"/>
            </w:pPr>
            <w:r>
              <w:t xml:space="preserve">19.59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r>
              <w:t xml:space="preserve">17.50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346.42</w:t>
            </w:r>
          </w:p>
        </w:tc>
        <w:tc>
          <w:tcPr>
            <w:tcW w:w="1361" w:type="dxa"/>
            <w:vAlign w:val="center"/>
          </w:tcPr>
          <w:p>
            <w:pPr>
              <w:pStyle w:val="单元格样式7"/>
            </w:pPr>
            <w:r>
              <w:t xml:space="preserve">341.77</w:t>
            </w:r>
          </w:p>
        </w:tc>
        <w:tc>
          <w:tcPr>
            <w:tcW w:w="1361" w:type="dxa"/>
            <w:vAlign w:val="center"/>
          </w:tcPr>
          <w:p>
            <w:pPr>
              <w:pStyle w:val="单元格样式7"/>
            </w:pPr>
            <w:r>
              <w:t xml:space="preserve">4.65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264.78</w:t>
            </w:r>
          </w:p>
        </w:tc>
        <w:tc>
          <w:tcPr>
            <w:tcW w:w="1361" w:type="dxa"/>
            <w:vAlign w:val="center"/>
          </w:tcPr>
          <w:p>
            <w:pPr>
              <w:pStyle w:val="单元格样式4"/>
            </w:pPr>
            <w:r>
              <w:t xml:space="preserve">260.13</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260.13</w:t>
            </w:r>
          </w:p>
        </w:tc>
        <w:tc>
          <w:tcPr>
            <w:tcW w:w="1361" w:type="dxa"/>
            <w:vAlign w:val="center"/>
          </w:tcPr>
          <w:p>
            <w:pPr>
              <w:pStyle w:val="单元格样式4"/>
            </w:pPr>
            <w:r>
              <w:t xml:space="preserve">260.13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260.13</w:t>
            </w:r>
          </w:p>
        </w:tc>
        <w:tc>
          <w:tcPr>
            <w:tcW w:w="1361" w:type="dxa"/>
            <w:vAlign w:val="center"/>
          </w:tcPr>
          <w:p>
            <w:pPr>
              <w:pStyle w:val="单元格样式4"/>
            </w:pPr>
            <w:r>
              <w:t xml:space="preserve">260.13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r>
              <w:t xml:space="preserve">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64.13</w:t>
            </w:r>
          </w:p>
        </w:tc>
        <w:tc>
          <w:tcPr>
            <w:tcW w:w="1361" w:type="dxa"/>
            <w:vAlign w:val="center"/>
          </w:tcPr>
          <w:p>
            <w:pPr>
              <w:pStyle w:val="单元格样式4"/>
            </w:pPr>
            <w:r>
              <w:t xml:space="preserve">64.13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64.13</w:t>
            </w:r>
          </w:p>
        </w:tc>
        <w:tc>
          <w:tcPr>
            <w:tcW w:w="1361" w:type="dxa"/>
            <w:vAlign w:val="center"/>
          </w:tcPr>
          <w:p>
            <w:pPr>
              <w:pStyle w:val="单元格样式4"/>
            </w:pPr>
            <w:r>
              <w:t xml:space="preserve">64.13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5.37</w:t>
            </w:r>
          </w:p>
        </w:tc>
        <w:tc>
          <w:tcPr>
            <w:tcW w:w="1361" w:type="dxa"/>
            <w:vAlign w:val="center"/>
          </w:tcPr>
          <w:p>
            <w:pPr>
              <w:pStyle w:val="单元格样式4"/>
            </w:pPr>
            <w:r>
              <w:t xml:space="preserve">5.37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39.17</w:t>
            </w:r>
          </w:p>
        </w:tc>
        <w:tc>
          <w:tcPr>
            <w:tcW w:w="1361" w:type="dxa"/>
            <w:vAlign w:val="center"/>
          </w:tcPr>
          <w:p>
            <w:pPr>
              <w:pStyle w:val="单元格样式4"/>
            </w:pPr>
            <w:r>
              <w:t xml:space="preserve">39.17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19.59</w:t>
            </w:r>
          </w:p>
        </w:tc>
        <w:tc>
          <w:tcPr>
            <w:tcW w:w="1361" w:type="dxa"/>
            <w:vAlign w:val="center"/>
          </w:tcPr>
          <w:p>
            <w:pPr>
              <w:pStyle w:val="单元格样式4"/>
            </w:pPr>
            <w:r>
              <w:t xml:space="preserve">19.59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17.50</w:t>
            </w:r>
          </w:p>
        </w:tc>
        <w:tc>
          <w:tcPr>
            <w:tcW w:w="1361" w:type="dxa"/>
            <w:vAlign w:val="center"/>
          </w:tcPr>
          <w:p>
            <w:pPr>
              <w:pStyle w:val="单元格样式4"/>
            </w:pPr>
            <w:r>
              <w:t xml:space="preserve">17.50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17.50</w:t>
            </w:r>
          </w:p>
        </w:tc>
        <w:tc>
          <w:tcPr>
            <w:tcW w:w="1361" w:type="dxa"/>
            <w:vAlign w:val="center"/>
          </w:tcPr>
          <w:p>
            <w:pPr>
              <w:pStyle w:val="单元格样式4"/>
            </w:pPr>
            <w:r>
              <w:t xml:space="preserve">17.50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17.50</w:t>
            </w:r>
          </w:p>
        </w:tc>
        <w:tc>
          <w:tcPr>
            <w:tcW w:w="1361" w:type="dxa"/>
            <w:vAlign w:val="center"/>
          </w:tcPr>
          <w:p>
            <w:pPr>
              <w:pStyle w:val="单元格样式4"/>
            </w:pPr>
            <w:r>
              <w:t xml:space="preserve">17.50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346.42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264.78</w:t>
            </w:r>
          </w:p>
        </w:tc>
        <w:tc>
          <w:tcPr>
            <w:tcW w:w="1474" w:type="dxa"/>
            <w:vAlign w:val="center"/>
          </w:tcPr>
          <w:p>
            <w:pPr>
              <w:pStyle w:val="单元格样式4"/>
            </w:pPr>
            <w:r>
              <w:t xml:space="preserve">264.78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64.13</w:t>
            </w:r>
          </w:p>
        </w:tc>
        <w:tc>
          <w:tcPr>
            <w:tcW w:w="1474" w:type="dxa"/>
            <w:vAlign w:val="center"/>
          </w:tcPr>
          <w:p>
            <w:pPr>
              <w:pStyle w:val="单元格样式4"/>
            </w:pPr>
            <w:r>
              <w:t xml:space="preserve">64.13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17.50</w:t>
            </w:r>
          </w:p>
        </w:tc>
        <w:tc>
          <w:tcPr>
            <w:tcW w:w="1474" w:type="dxa"/>
            <w:vAlign w:val="center"/>
          </w:tcPr>
          <w:p>
            <w:pPr>
              <w:pStyle w:val="单元格样式4"/>
            </w:pPr>
            <w:r>
              <w:t xml:space="preserve">17.50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346.42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346.42</w:t>
            </w:r>
          </w:p>
        </w:tc>
        <w:tc>
          <w:tcPr>
            <w:tcW w:w="1474" w:type="dxa"/>
            <w:vAlign w:val="center"/>
          </w:tcPr>
          <w:p>
            <w:pPr>
              <w:pStyle w:val="单元格样式7"/>
            </w:pPr>
            <w:r>
              <w:t xml:space="preserve">346.42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346.42</w:t>
            </w:r>
          </w:p>
        </w:tc>
        <w:tc>
          <w:tcPr>
            <w:tcW w:w="3402" w:type="dxa"/>
            <w:vAlign w:val="center"/>
          </w:tcPr>
          <w:p>
            <w:pPr>
              <w:pStyle w:val="单元格样式6"/>
            </w:pPr>
            <w:r>
              <w:t xml:space="preserve">支出总计</w:t>
            </w:r>
          </w:p>
        </w:tc>
        <w:tc>
          <w:tcPr>
            <w:tcW w:w="1474" w:type="dxa"/>
            <w:vAlign w:val="center"/>
          </w:tcPr>
          <w:p>
            <w:pPr>
              <w:pStyle w:val="单元格样式7"/>
            </w:pPr>
            <w:r>
              <w:t xml:space="preserve">346.42</w:t>
            </w:r>
          </w:p>
        </w:tc>
        <w:tc>
          <w:tcPr>
            <w:tcW w:w="1474" w:type="dxa"/>
            <w:vAlign w:val="center"/>
          </w:tcPr>
          <w:p>
            <w:pPr>
              <w:pStyle w:val="单元格样式7"/>
            </w:pPr>
            <w:r>
              <w:t xml:space="preserve">346.42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346.42</w:t>
            </w:r>
          </w:p>
        </w:tc>
        <w:tc>
          <w:tcPr>
            <w:tcW w:w="2551" w:type="dxa"/>
            <w:vAlign w:val="center"/>
          </w:tcPr>
          <w:p>
            <w:pPr>
              <w:pStyle w:val="单元格样式7"/>
            </w:pPr>
            <w:r>
              <w:t xml:space="preserve">341.77</w:t>
            </w:r>
          </w:p>
        </w:tc>
        <w:tc>
          <w:tcPr>
            <w:tcW w:w="2551" w:type="dxa"/>
            <w:vAlign w:val="center"/>
          </w:tcPr>
          <w:p>
            <w:pPr>
              <w:pStyle w:val="单元格样式7"/>
            </w:pPr>
            <w:r>
              <w:t xml:space="preserve">4.65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264.78</w:t>
            </w:r>
          </w:p>
        </w:tc>
        <w:tc>
          <w:tcPr>
            <w:tcW w:w="2551" w:type="dxa"/>
            <w:vAlign w:val="center"/>
          </w:tcPr>
          <w:p>
            <w:pPr>
              <w:pStyle w:val="单元格样式4"/>
            </w:pPr>
            <w:r>
              <w:t xml:space="preserve">260.13</w:t>
            </w: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260.13</w:t>
            </w:r>
          </w:p>
        </w:tc>
        <w:tc>
          <w:tcPr>
            <w:tcW w:w="2551" w:type="dxa"/>
            <w:vAlign w:val="center"/>
          </w:tcPr>
          <w:p>
            <w:pPr>
              <w:pStyle w:val="单元格样式4"/>
            </w:pPr>
            <w:r>
              <w:t xml:space="preserve">260.13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260.13</w:t>
            </w:r>
          </w:p>
        </w:tc>
        <w:tc>
          <w:tcPr>
            <w:tcW w:w="2551" w:type="dxa"/>
            <w:vAlign w:val="center"/>
          </w:tcPr>
          <w:p>
            <w:pPr>
              <w:pStyle w:val="单元格样式4"/>
            </w:pPr>
            <w:r>
              <w:t xml:space="preserve">260.13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4.65</w:t>
            </w:r>
          </w:p>
        </w:tc>
        <w:tc>
          <w:tcPr>
            <w:tcW w:w="2551" w:type="dxa"/>
            <w:vAlign w:val="center"/>
          </w:tcPr>
          <w:p>
            <w:pPr>
              <w:pStyle w:val="单元格样式4"/>
            </w:pPr>
          </w:p>
        </w:tc>
        <w:tc>
          <w:tcPr>
            <w:tcW w:w="2551" w:type="dxa"/>
            <w:vAlign w:val="center"/>
          </w:tcPr>
          <w:p>
            <w:pPr>
              <w:pStyle w:val="单元格样式4"/>
            </w:pPr>
            <w:r>
              <w:t xml:space="preserve">4.65</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64.13</w:t>
            </w:r>
          </w:p>
        </w:tc>
        <w:tc>
          <w:tcPr>
            <w:tcW w:w="2551" w:type="dxa"/>
            <w:vAlign w:val="center"/>
          </w:tcPr>
          <w:p>
            <w:pPr>
              <w:pStyle w:val="单元格样式4"/>
            </w:pPr>
            <w:r>
              <w:t xml:space="preserve">64.13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64.13</w:t>
            </w:r>
          </w:p>
        </w:tc>
        <w:tc>
          <w:tcPr>
            <w:tcW w:w="2551" w:type="dxa"/>
            <w:vAlign w:val="center"/>
          </w:tcPr>
          <w:p>
            <w:pPr>
              <w:pStyle w:val="单元格样式4"/>
            </w:pPr>
            <w:r>
              <w:t xml:space="preserve">64.13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5.37</w:t>
            </w:r>
          </w:p>
        </w:tc>
        <w:tc>
          <w:tcPr>
            <w:tcW w:w="2551" w:type="dxa"/>
            <w:vAlign w:val="center"/>
          </w:tcPr>
          <w:p>
            <w:pPr>
              <w:pStyle w:val="单元格样式4"/>
            </w:pPr>
            <w:r>
              <w:t xml:space="preserve">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39.17</w:t>
            </w:r>
          </w:p>
        </w:tc>
        <w:tc>
          <w:tcPr>
            <w:tcW w:w="2551" w:type="dxa"/>
            <w:vAlign w:val="center"/>
          </w:tcPr>
          <w:p>
            <w:pPr>
              <w:pStyle w:val="单元格样式4"/>
            </w:pPr>
            <w:r>
              <w:t xml:space="preserve">39.17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19.59</w:t>
            </w:r>
          </w:p>
        </w:tc>
        <w:tc>
          <w:tcPr>
            <w:tcW w:w="2551" w:type="dxa"/>
            <w:vAlign w:val="center"/>
          </w:tcPr>
          <w:p>
            <w:pPr>
              <w:pStyle w:val="单元格样式4"/>
            </w:pPr>
            <w:r>
              <w:t xml:space="preserve">19.59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341.77</w:t>
            </w:r>
          </w:p>
        </w:tc>
        <w:tc>
          <w:tcPr>
            <w:tcW w:w="2551" w:type="dxa"/>
            <w:vAlign w:val="center"/>
          </w:tcPr>
          <w:p>
            <w:pPr>
              <w:pStyle w:val="单元格样式7"/>
            </w:pPr>
            <w:r>
              <w:t xml:space="preserve">310.89</w:t>
            </w:r>
          </w:p>
        </w:tc>
        <w:tc>
          <w:tcPr>
            <w:tcW w:w="2551" w:type="dxa"/>
            <w:vAlign w:val="center"/>
          </w:tcPr>
          <w:p>
            <w:pPr>
              <w:pStyle w:val="单元格样式7"/>
            </w:pPr>
            <w:r>
              <w:t xml:space="preserve">30.88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305.52</w:t>
            </w:r>
          </w:p>
        </w:tc>
        <w:tc>
          <w:tcPr>
            <w:tcW w:w="2551" w:type="dxa"/>
            <w:vAlign w:val="center"/>
          </w:tcPr>
          <w:p>
            <w:pPr>
              <w:pStyle w:val="单元格样式4"/>
            </w:pPr>
            <w:r>
              <w:t xml:space="preserve">305.52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134.72</w:t>
            </w:r>
          </w:p>
        </w:tc>
        <w:tc>
          <w:tcPr>
            <w:tcW w:w="2551" w:type="dxa"/>
            <w:vAlign w:val="center"/>
          </w:tcPr>
          <w:p>
            <w:pPr>
              <w:pStyle w:val="单元格样式4"/>
            </w:pPr>
            <w:r>
              <w:t xml:space="preserve">134.72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35.36</w:t>
            </w:r>
          </w:p>
        </w:tc>
        <w:tc>
          <w:tcPr>
            <w:tcW w:w="2551" w:type="dxa"/>
            <w:vAlign w:val="center"/>
          </w:tcPr>
          <w:p>
            <w:pPr>
              <w:pStyle w:val="单元格样式4"/>
            </w:pPr>
            <w:r>
              <w:t xml:space="preserve">35.36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22.05</w:t>
            </w:r>
          </w:p>
        </w:tc>
        <w:tc>
          <w:tcPr>
            <w:tcW w:w="2551" w:type="dxa"/>
            <w:vAlign w:val="center"/>
          </w:tcPr>
          <w:p>
            <w:pPr>
              <w:pStyle w:val="单元格样式4"/>
            </w:pPr>
            <w:r>
              <w:t xml:space="preserve">22.05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35.90</w:t>
            </w:r>
          </w:p>
        </w:tc>
        <w:tc>
          <w:tcPr>
            <w:tcW w:w="2551" w:type="dxa"/>
            <w:vAlign w:val="center"/>
          </w:tcPr>
          <w:p>
            <w:pPr>
              <w:pStyle w:val="单元格样式4"/>
            </w:pPr>
            <w:r>
              <w:t xml:space="preserve">35.90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39.17</w:t>
            </w:r>
          </w:p>
        </w:tc>
        <w:tc>
          <w:tcPr>
            <w:tcW w:w="2551" w:type="dxa"/>
            <w:vAlign w:val="center"/>
          </w:tcPr>
          <w:p>
            <w:pPr>
              <w:pStyle w:val="单元格样式4"/>
            </w:pPr>
            <w:r>
              <w:t xml:space="preserve">39.17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19.59</w:t>
            </w:r>
          </w:p>
        </w:tc>
        <w:tc>
          <w:tcPr>
            <w:tcW w:w="2551" w:type="dxa"/>
            <w:vAlign w:val="center"/>
          </w:tcPr>
          <w:p>
            <w:pPr>
              <w:pStyle w:val="单元格样式4"/>
            </w:pPr>
            <w:r>
              <w:t xml:space="preserve">19.59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17.50</w:t>
            </w:r>
          </w:p>
        </w:tc>
        <w:tc>
          <w:tcPr>
            <w:tcW w:w="2551" w:type="dxa"/>
            <w:vAlign w:val="center"/>
          </w:tcPr>
          <w:p>
            <w:pPr>
              <w:pStyle w:val="单元格样式4"/>
            </w:pPr>
            <w:r>
              <w:t xml:space="preserve">17.50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1.22</w:t>
            </w:r>
          </w:p>
        </w:tc>
        <w:tc>
          <w:tcPr>
            <w:tcW w:w="2551" w:type="dxa"/>
            <w:vAlign w:val="center"/>
          </w:tcPr>
          <w:p>
            <w:pPr>
              <w:pStyle w:val="单元格样式4"/>
            </w:pPr>
            <w:r>
              <w:t xml:space="preserve">1.22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30.88</w:t>
            </w:r>
          </w:p>
        </w:tc>
        <w:tc>
          <w:tcPr>
            <w:tcW w:w="2551" w:type="dxa"/>
            <w:vAlign w:val="center"/>
          </w:tcPr>
          <w:p>
            <w:pPr>
              <w:pStyle w:val="单元格样式4"/>
            </w:pPr>
          </w:p>
        </w:tc>
        <w:tc>
          <w:tcPr>
            <w:tcW w:w="2551" w:type="dxa"/>
            <w:vAlign w:val="center"/>
          </w:tcPr>
          <w:p>
            <w:pPr>
              <w:pStyle w:val="单元格样式4"/>
            </w:pPr>
            <w:r>
              <w:t xml:space="preserve">30.88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17.03</w:t>
            </w:r>
          </w:p>
        </w:tc>
        <w:tc>
          <w:tcPr>
            <w:tcW w:w="2551" w:type="dxa"/>
            <w:vAlign w:val="center"/>
          </w:tcPr>
          <w:p>
            <w:pPr>
              <w:pStyle w:val="单元格样式4"/>
            </w:pPr>
          </w:p>
        </w:tc>
        <w:tc>
          <w:tcPr>
            <w:tcW w:w="2551" w:type="dxa"/>
            <w:vAlign w:val="center"/>
          </w:tcPr>
          <w:p>
            <w:pPr>
              <w:pStyle w:val="单元格样式4"/>
            </w:pPr>
            <w:r>
              <w:t xml:space="preserve">17.03</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1.78</w:t>
            </w:r>
          </w:p>
        </w:tc>
        <w:tc>
          <w:tcPr>
            <w:tcW w:w="2551" w:type="dxa"/>
            <w:vAlign w:val="center"/>
          </w:tcPr>
          <w:p>
            <w:pPr>
              <w:pStyle w:val="单元格样式4"/>
            </w:pPr>
          </w:p>
        </w:tc>
        <w:tc>
          <w:tcPr>
            <w:tcW w:w="2551" w:type="dxa"/>
            <w:vAlign w:val="center"/>
          </w:tcPr>
          <w:p>
            <w:pPr>
              <w:pStyle w:val="单元格样式4"/>
            </w:pPr>
            <w:r>
              <w:t xml:space="preserve">1.78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10.08</w:t>
            </w:r>
          </w:p>
        </w:tc>
        <w:tc>
          <w:tcPr>
            <w:tcW w:w="2551" w:type="dxa"/>
            <w:vAlign w:val="center"/>
          </w:tcPr>
          <w:p>
            <w:pPr>
              <w:pStyle w:val="单元格样式4"/>
            </w:pPr>
          </w:p>
        </w:tc>
        <w:tc>
          <w:tcPr>
            <w:tcW w:w="2551" w:type="dxa"/>
            <w:vAlign w:val="center"/>
          </w:tcPr>
          <w:p>
            <w:pPr>
              <w:pStyle w:val="单元格样式4"/>
            </w:pPr>
            <w:r>
              <w:t xml:space="preserve">10.08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5.37</w:t>
            </w:r>
          </w:p>
        </w:tc>
        <w:tc>
          <w:tcPr>
            <w:tcW w:w="2551" w:type="dxa"/>
            <w:vAlign w:val="center"/>
          </w:tcPr>
          <w:p>
            <w:pPr>
              <w:pStyle w:val="单元格样式4"/>
            </w:pPr>
            <w:r>
              <w:t xml:space="preserve">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5.37</w:t>
            </w:r>
          </w:p>
        </w:tc>
        <w:tc>
          <w:tcPr>
            <w:tcW w:w="2551" w:type="dxa"/>
            <w:vAlign w:val="center"/>
          </w:tcPr>
          <w:p>
            <w:pPr>
              <w:pStyle w:val="单元格样式4"/>
            </w:pPr>
            <w:r>
              <w:t xml:space="preserve">5.37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w:t>
            </w:r>
          </w:p>
        </w:tc>
        <w:tc>
          <w:tcPr>
            <w:tcW w:w="2381" w:type="dxa"/>
            <w:vAlign w:val="center"/>
          </w:tcPr>
          <w:p>
            <w:pPr>
              <w:pStyle w:val="单元格样式7"/>
            </w:pPr>
            <w:r>
              <w:t xml:space="preserve">2.00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中共魏县县委机构编制委员会办公室本级2025年单位预算信息公开情况说明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按照《中华人民共和国预算法》、《地方预决算公开操作规程》和《关于进一步推进预算公开工作的实施意见》规定，现将中共魏县县委机构编制委员会办公室本级2025年单位预算公开如下：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根据《中共魏县县委机构编制委员会办公室职能配置、内设机构和人员编制规定》， 中共魏县县委机构编制委员会办公室的主要职责是：</w:t>
      </w:r>
    </w:p>
    <w:p>
      <w:pPr>
        <w:pStyle w:val="插入文本样式-插入单位职责文件"/>
      </w:pPr>
      <w:r>
        <w:t xml:space="preserve">（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民族党派、人民团体机关的机构编制工作；管理和指导全县事业单位机构编制工作。</w:t>
      </w:r>
    </w:p>
    <w:p>
      <w:pPr>
        <w:pStyle w:val="插入文本样式-插入单位职责文件"/>
      </w:pPr>
      <w:r>
        <w:t xml:space="preserve">（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pPr>
        <w:pStyle w:val="插入文本样式-插入单位职责文件"/>
      </w:pPr>
      <w:r>
        <w:t xml:space="preserve">(三)协调县委、县政府各部门的职能配置及其调整。协调县委各部门之间、县政府各部门之间、县委各部门与县政府各部门之间以及县直各部门与乡镇之间的职责分工。研究提出参照公务员法管理事业单位的行政管理职能认定意见。</w:t>
      </w:r>
    </w:p>
    <w:p>
      <w:pPr>
        <w:pStyle w:val="插入文本样式-插入单位职责文件"/>
      </w:pPr>
      <w:r>
        <w:t xml:space="preserve">（四）审核县委、县政府及各部门派出机构的职能配置、机构设置、人员编制和领导职数。审核乡镇机构编制分类。负责上级垂直管理部门或双重管理部门需要承办的机构编制有关事宜。</w:t>
      </w:r>
    </w:p>
    <w:p>
      <w:pPr>
        <w:pStyle w:val="插入文本样式-插入单位职责文件"/>
      </w:pPr>
      <w:r>
        <w:t xml:space="preserve">（五）审核县人大、政协、法院、检察院、各民主党派、人民团体机关的职能配置、机构设置、人员编制和领导职数。</w:t>
      </w:r>
    </w:p>
    <w:p>
      <w:pPr>
        <w:pStyle w:val="插入文本样式-插入单位职责文件"/>
      </w:pPr>
      <w:r>
        <w:t xml:space="preserve">（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p>
    <w:p>
      <w:pPr>
        <w:pStyle w:val="插入文本样式-插入单位职责文件"/>
      </w:pPr>
      <w:r>
        <w:t xml:space="preserve">（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pPr>
        <w:pStyle w:val="插入文本样式-插入单位职责文件"/>
      </w:pPr>
      <w:r>
        <w:t xml:space="preserve">（八）负责对全县行政、事业单位管理体制和机构改革及机构编制执行情况的跟踪评估和监督检查。负责受理违反机构编制法规、纪律的检举、控告和投诉，对违反机构编制法规、纪律问题进行调查处理。</w:t>
      </w:r>
    </w:p>
    <w:p>
      <w:pPr>
        <w:pStyle w:val="插入文本样式-插入单位职责文件"/>
      </w:pPr>
      <w:r>
        <w:t xml:space="preserve">（九）负责全县机构编制信息管理和统计工作。负责全县机关事业单位中文域名注册管理工作。指导各乡镇机构编制信息化建设工作。负责县委、县政府有关机构编制工作和县机构编制委员会各类会务。</w:t>
      </w:r>
    </w:p>
    <w:p>
      <w:pPr>
        <w:pStyle w:val="插入文本样式-插入单位职责文件"/>
      </w:pPr>
      <w:r>
        <w:t xml:space="preserve">（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合考核评价工作。</w:t>
      </w:r>
    </w:p>
    <w:p>
      <w:pPr>
        <w:pStyle w:val="插入文本样式-插入单位职责文件"/>
      </w:pPr>
      <w:r>
        <w:t xml:space="preserve">（十一）完成县委、县政府和县机构编制委员会交办的其它事项。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中共魏县县委机构编制委员会办公室本级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346.42万元，其中：一般公共预算收入346.42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魏县县委机构编制委员会办公室本级年度单位预算中支出预算的总体情况。2025年支出预算346.42万元，其中基本支出341.77万元，包括人员经费310.89万元和日常公用经费30.88万元；项目支出4.65万元，主要为人员薪资、社保支出、日常公用经费和两个项目：中文域名注册登记费4.65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346.42万元，较2024年预算增加11.37万元，其中：基本支出增加16.39万元，主要为人员正常晋级调资、绩效工资调整导致基本支出增加。项目支出减少5.02万元，主要为全县编制工作专项经费5.00万元专项经费取消，中文域名注册登记费减少0.02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2025年，我单位机关运行经费共计安排30.88万元，主要用于日常维修、办公用房水电费、办公用房取暖费、办公用房物业管理费等日常运行支出。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2.00万元，其中因公出国（境）费0.00万元；公务用车购置及运维费2.00万元（其中：公务用车购置费为0.00万元，公务用车运维费2.00万元)；公务接待费0.00万元。与2024年相比增加0.00万元，增减变化的主要原因是主要原因是我单位根据单位业务需要和工作安排，按照省市县相关要求，强化“三公”经费管理，压减相关经费支出已达最低线，未再对相关经费进行压减。</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1、2025年中文域名注册登记费绩效目标表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13043425P00429310005A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2025年中文域名注册登记费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我县党政机关事业单位中文域名注册率100%，并且注册数量达到上级要求。党政机关事业单位政务和公益域名注册管理规范化。</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1.我县党政机关事业单位中文域名注册率100%，并且注册数量达到上级要求。党政机关事业单位政务和公益域名注册管理规范化。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中文域名注册数量</w:t>
            </w:r>
          </w:p>
        </w:tc>
        <w:tc>
          <w:tcPr>
            <w:tcW w:w="5386" w:type="dxa"/>
            <w:vAlign w:val="center"/>
          </w:tcPr>
          <w:p>
            <w:pPr>
              <w:pStyle w:val="单元格样式2"/>
            </w:pPr>
            <w:r>
              <w:t xml:space="preserve">我县党政机关事业单位中文域名注册数量</w:t>
            </w:r>
          </w:p>
        </w:tc>
        <w:tc>
          <w:tcPr>
            <w:tcW w:w="2268" w:type="dxa"/>
            <w:vAlign w:val="center"/>
          </w:tcPr>
          <w:p>
            <w:pPr>
              <w:pStyle w:val="单元格样式2"/>
            </w:pPr>
            <w:r>
              <w:t xml:space="preserve">≥400个</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中文域名注册合格率</w:t>
            </w:r>
          </w:p>
        </w:tc>
        <w:tc>
          <w:tcPr>
            <w:tcW w:w="5386" w:type="dxa"/>
            <w:vAlign w:val="center"/>
          </w:tcPr>
          <w:p>
            <w:pPr>
              <w:pStyle w:val="单元格样式2"/>
            </w:pPr>
            <w:r>
              <w:t xml:space="preserve">我县党政机关事业单位中文域名注册率，达到100%</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中文域名注册及时率</w:t>
            </w:r>
          </w:p>
        </w:tc>
        <w:tc>
          <w:tcPr>
            <w:tcW w:w="5386" w:type="dxa"/>
            <w:vAlign w:val="center"/>
          </w:tcPr>
          <w:p>
            <w:pPr>
              <w:pStyle w:val="单元格样式2"/>
            </w:pPr>
            <w:r>
              <w:t xml:space="preserve">按照中央编办有关文件要求，在12月底前全部注册完毕</w:t>
            </w:r>
          </w:p>
        </w:tc>
        <w:tc>
          <w:tcPr>
            <w:tcW w:w="2268" w:type="dxa"/>
            <w:vAlign w:val="center"/>
          </w:tcPr>
          <w:p>
            <w:pPr>
              <w:pStyle w:val="单元格样式2"/>
            </w:pPr>
            <w:r>
              <w:t xml:space="preserve">≤100%</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中文域名注册登记费总额</w:t>
            </w:r>
          </w:p>
        </w:tc>
        <w:tc>
          <w:tcPr>
            <w:tcW w:w="5386" w:type="dxa"/>
            <w:vAlign w:val="center"/>
          </w:tcPr>
          <w:p>
            <w:pPr>
              <w:pStyle w:val="单元格样式2"/>
            </w:pPr>
            <w:r>
              <w:t xml:space="preserve">按照中央编办有关文件要求，收取政务和公益域名注册费用和相关工作产生的办公费</w:t>
            </w:r>
          </w:p>
        </w:tc>
        <w:tc>
          <w:tcPr>
            <w:tcW w:w="2268" w:type="dxa"/>
            <w:vAlign w:val="center"/>
          </w:tcPr>
          <w:p>
            <w:pPr>
              <w:pStyle w:val="单元格样式2"/>
            </w:pPr>
            <w:r>
              <w:t xml:space="preserve">46500元</w:t>
            </w:r>
          </w:p>
        </w:tc>
        <w:tc>
          <w:tcPr>
            <w:tcW w:w="1276" w:type="dxa"/>
            <w:vAlign w:val="center"/>
          </w:tcPr>
          <w:p>
            <w:pPr>
              <w:pStyle w:val="单元格样式2"/>
            </w:pPr>
            <w:r>
              <w:t xml:space="preserve">魏办字【2012】223号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降低访问难度</w:t>
            </w:r>
          </w:p>
        </w:tc>
        <w:tc>
          <w:tcPr>
            <w:tcW w:w="5386" w:type="dxa"/>
            <w:vAlign w:val="center"/>
          </w:tcPr>
          <w:p>
            <w:pPr>
              <w:pStyle w:val="单元格样式2"/>
            </w:pPr>
            <w:r>
              <w:t xml:space="preserve">降低访问难度</w:t>
            </w:r>
          </w:p>
        </w:tc>
        <w:tc>
          <w:tcPr>
            <w:tcW w:w="2268" w:type="dxa"/>
            <w:vAlign w:val="center"/>
          </w:tcPr>
          <w:p>
            <w:pPr>
              <w:pStyle w:val="单元格样式2"/>
            </w:pPr>
            <w:r>
              <w:t xml:space="preserve">降低</w:t>
            </w:r>
          </w:p>
        </w:tc>
        <w:tc>
          <w:tcPr>
            <w:tcW w:w="1276" w:type="dxa"/>
            <w:vAlign w:val="center"/>
          </w:tcPr>
          <w:p>
            <w:pPr>
              <w:pStyle w:val="单元格样式2"/>
            </w:pPr>
            <w:r>
              <w:t xml:space="preserve">魏办字【2012】223号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提高中文域名推广程度</w:t>
            </w:r>
          </w:p>
        </w:tc>
        <w:tc>
          <w:tcPr>
            <w:tcW w:w="5386" w:type="dxa"/>
            <w:vAlign w:val="center"/>
          </w:tcPr>
          <w:p>
            <w:pPr>
              <w:pStyle w:val="单元格样式2"/>
            </w:pPr>
            <w:r>
              <w:t xml:space="preserve">提高中文域名推广程度</w:t>
            </w:r>
          </w:p>
        </w:tc>
        <w:tc>
          <w:tcPr>
            <w:tcW w:w="2268" w:type="dxa"/>
            <w:vAlign w:val="center"/>
          </w:tcPr>
          <w:p>
            <w:pPr>
              <w:pStyle w:val="单元格样式2"/>
            </w:pPr>
            <w:r>
              <w:t xml:space="preserve">提高</w:t>
            </w:r>
          </w:p>
        </w:tc>
        <w:tc>
          <w:tcPr>
            <w:tcW w:w="1276" w:type="dxa"/>
            <w:vAlign w:val="center"/>
          </w:tcPr>
          <w:p>
            <w:pPr>
              <w:pStyle w:val="单元格样式2"/>
            </w:pPr>
            <w:r>
              <w:t xml:space="preserve">魏办字【2012】223号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申请注册单位满意度</w:t>
            </w:r>
          </w:p>
        </w:tc>
        <w:tc>
          <w:tcPr>
            <w:tcW w:w="5386" w:type="dxa"/>
            <w:vAlign w:val="center"/>
          </w:tcPr>
          <w:p>
            <w:pPr>
              <w:pStyle w:val="单元格样式2"/>
            </w:pPr>
            <w:r>
              <w:t xml:space="preserve">申请注册单位满意度</w:t>
            </w:r>
          </w:p>
        </w:tc>
        <w:tc>
          <w:tcPr>
            <w:tcW w:w="2268" w:type="dxa"/>
            <w:vAlign w:val="center"/>
          </w:tcPr>
          <w:p>
            <w:pPr>
              <w:pStyle w:val="单元格样式2"/>
            </w:pPr>
            <w:r>
              <w:t xml:space="preserve">≥90%</w:t>
            </w:r>
          </w:p>
        </w:tc>
        <w:tc>
          <w:tcPr>
            <w:tcW w:w="1276" w:type="dxa"/>
            <w:vAlign w:val="center"/>
          </w:tcPr>
          <w:p>
            <w:pPr>
              <w:pStyle w:val="单元格样式2"/>
            </w:pPr>
            <w:r>
              <w:t xml:space="preserve">魏办字【2012】223号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中共魏县县委机构编制委员会办公室本级上年末固定资产金额为49.79万元（详见下表）。本年度拟购置固定资产总额为0.00万元，已按要求列入政府采购预算，详见政府采购预算表。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225001中共魏县县委机构编制委员会办公室本级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49.79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15.98</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292</w:t>
            </w:r>
          </w:p>
        </w:tc>
        <w:tc>
          <w:tcPr>
            <w:tcW w:w="2835" w:type="dxa"/>
            <w:vAlign w:val="center"/>
          </w:tcPr>
          <w:p>
            <w:pPr>
              <w:pStyle w:val="单元格样式4"/>
            </w:pPr>
            <w:r>
              <w:t xml:space="preserve">33.81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2025-02-17T11:49:23Z</dcterms:created>
  <dcterms:modified xsi:type="dcterms:W3CDTF">2025-02-17T11:49:23Z</dcterms:modified>
</cp:coreProperties>
</file>