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30</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31</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1719.33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252.18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57.08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18.70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1719.33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1719.33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1719.33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1719.33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1719.33</w:t>
            </w:r>
          </w:p>
        </w:tc>
        <w:tc>
          <w:tcPr>
            <w:tcW w:w="1134" w:type="dxa"/>
            <w:vAlign w:val="center"/>
          </w:tcPr>
          <w:p>
            <w:pPr>
              <w:pStyle w:val="单元格样式7"/>
            </w:pPr>
            <w:r>
              <w:t xml:space="preserve">1719.33</w:t>
            </w:r>
          </w:p>
        </w:tc>
        <w:tc>
          <w:tcPr>
            <w:tcW w:w="1134" w:type="dxa"/>
            <w:vAlign w:val="center"/>
          </w:tcPr>
          <w:p>
            <w:pPr>
              <w:pStyle w:val="单元格样式7"/>
            </w:pPr>
            <w:r>
              <w:t xml:space="preserve">1719.33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2011399</w:t>
            </w:r>
          </w:p>
        </w:tc>
        <w:tc>
          <w:tcPr>
            <w:tcW w:w="1559" w:type="dxa"/>
            <w:vAlign w:val="center"/>
          </w:tcPr>
          <w:p>
            <w:pPr>
              <w:pStyle w:val="单元格样式2"/>
            </w:pPr>
            <w:r>
              <w:t xml:space="preserve">其他商贸事务支出</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r>
              <w:t xml:space="preserve">252.18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r>
              <w:t xml:space="preserve">57.08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3.57</w:t>
            </w:r>
          </w:p>
        </w:tc>
        <w:tc>
          <w:tcPr>
            <w:tcW w:w="1134" w:type="dxa"/>
            <w:vAlign w:val="center"/>
          </w:tcPr>
          <w:p>
            <w:pPr>
              <w:pStyle w:val="单元格样式4"/>
            </w:pPr>
            <w:r>
              <w:t xml:space="preserve">3.57</w:t>
            </w:r>
          </w:p>
        </w:tc>
        <w:tc>
          <w:tcPr>
            <w:tcW w:w="1134" w:type="dxa"/>
            <w:vAlign w:val="center"/>
          </w:tcPr>
          <w:p>
            <w:pPr>
              <w:pStyle w:val="单元格样式4"/>
            </w:pPr>
            <w:r>
              <w:t xml:space="preserve">3.57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35.67</w:t>
            </w:r>
          </w:p>
        </w:tc>
        <w:tc>
          <w:tcPr>
            <w:tcW w:w="1134" w:type="dxa"/>
            <w:vAlign w:val="center"/>
          </w:tcPr>
          <w:p>
            <w:pPr>
              <w:pStyle w:val="单元格样式4"/>
            </w:pPr>
            <w:r>
              <w:t xml:space="preserve">35.67</w:t>
            </w:r>
          </w:p>
        </w:tc>
        <w:tc>
          <w:tcPr>
            <w:tcW w:w="1134" w:type="dxa"/>
            <w:vAlign w:val="center"/>
          </w:tcPr>
          <w:p>
            <w:pPr>
              <w:pStyle w:val="单元格样式4"/>
            </w:pPr>
            <w:r>
              <w:t xml:space="preserve">35.67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r>
              <w:t xml:space="preserve">18.70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2150899</w:t>
            </w:r>
          </w:p>
        </w:tc>
        <w:tc>
          <w:tcPr>
            <w:tcW w:w="1559" w:type="dxa"/>
            <w:vAlign w:val="center"/>
          </w:tcPr>
          <w:p>
            <w:pPr>
              <w:pStyle w:val="单元格样式2"/>
            </w:pPr>
            <w:r>
              <w:t xml:space="preserve">其他支持中小企业发展和管理支出</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r>
              <w:t xml:space="preserve">1391.37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1719.33</w:t>
            </w:r>
          </w:p>
        </w:tc>
        <w:tc>
          <w:tcPr>
            <w:tcW w:w="1361" w:type="dxa"/>
            <w:vAlign w:val="center"/>
          </w:tcPr>
          <w:p>
            <w:pPr>
              <w:pStyle w:val="单元格样式7"/>
            </w:pPr>
            <w:r>
              <w:t xml:space="preserve">327.96</w:t>
            </w:r>
          </w:p>
        </w:tc>
        <w:tc>
          <w:tcPr>
            <w:tcW w:w="1361" w:type="dxa"/>
            <w:vAlign w:val="center"/>
          </w:tcPr>
          <w:p>
            <w:pPr>
              <w:pStyle w:val="单元格样式7"/>
            </w:pPr>
            <w:r>
              <w:t xml:space="preserve">1391.37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2011399</w:t>
            </w:r>
          </w:p>
        </w:tc>
        <w:tc>
          <w:tcPr>
            <w:tcW w:w="4535" w:type="dxa"/>
            <w:vAlign w:val="center"/>
          </w:tcPr>
          <w:p>
            <w:pPr>
              <w:pStyle w:val="单元格样式2"/>
            </w:pPr>
            <w:r>
              <w:t xml:space="preserve">其他商贸事务支出</w:t>
            </w:r>
          </w:p>
        </w:tc>
        <w:tc>
          <w:tcPr>
            <w:tcW w:w="1361" w:type="dxa"/>
            <w:vAlign w:val="center"/>
          </w:tcPr>
          <w:p>
            <w:pPr>
              <w:pStyle w:val="单元格样式4"/>
            </w:pPr>
            <w:r>
              <w:t xml:space="preserve">252.18</w:t>
            </w:r>
          </w:p>
        </w:tc>
        <w:tc>
          <w:tcPr>
            <w:tcW w:w="1361" w:type="dxa"/>
            <w:vAlign w:val="center"/>
          </w:tcPr>
          <w:p>
            <w:pPr>
              <w:pStyle w:val="单元格样式4"/>
            </w:pPr>
            <w:r>
              <w:t xml:space="preserve">252.18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57.08</w:t>
            </w:r>
          </w:p>
        </w:tc>
        <w:tc>
          <w:tcPr>
            <w:tcW w:w="1361" w:type="dxa"/>
            <w:vAlign w:val="center"/>
          </w:tcPr>
          <w:p>
            <w:pPr>
              <w:pStyle w:val="单元格样式4"/>
            </w:pPr>
            <w:r>
              <w:t xml:space="preserve">57.08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57.08</w:t>
            </w:r>
          </w:p>
        </w:tc>
        <w:tc>
          <w:tcPr>
            <w:tcW w:w="1361" w:type="dxa"/>
            <w:vAlign w:val="center"/>
          </w:tcPr>
          <w:p>
            <w:pPr>
              <w:pStyle w:val="单元格样式4"/>
            </w:pPr>
            <w:r>
              <w:t xml:space="preserve">57.08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3.57</w:t>
            </w:r>
          </w:p>
        </w:tc>
        <w:tc>
          <w:tcPr>
            <w:tcW w:w="1361" w:type="dxa"/>
            <w:vAlign w:val="center"/>
          </w:tcPr>
          <w:p>
            <w:pPr>
              <w:pStyle w:val="单元格样式4"/>
            </w:pPr>
            <w:r>
              <w:t xml:space="preserve">3.57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35.67</w:t>
            </w:r>
          </w:p>
        </w:tc>
        <w:tc>
          <w:tcPr>
            <w:tcW w:w="1361" w:type="dxa"/>
            <w:vAlign w:val="center"/>
          </w:tcPr>
          <w:p>
            <w:pPr>
              <w:pStyle w:val="单元格样式4"/>
            </w:pPr>
            <w:r>
              <w:t xml:space="preserve">35.67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17.84</w:t>
            </w:r>
          </w:p>
        </w:tc>
        <w:tc>
          <w:tcPr>
            <w:tcW w:w="1361" w:type="dxa"/>
            <w:vAlign w:val="center"/>
          </w:tcPr>
          <w:p>
            <w:pPr>
              <w:pStyle w:val="单元格样式4"/>
            </w:pPr>
            <w:r>
              <w:t xml:space="preserve">17.84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18.70</w:t>
            </w:r>
          </w:p>
        </w:tc>
        <w:tc>
          <w:tcPr>
            <w:tcW w:w="1361" w:type="dxa"/>
            <w:vAlign w:val="center"/>
          </w:tcPr>
          <w:p>
            <w:pPr>
              <w:pStyle w:val="单元格样式4"/>
            </w:pPr>
            <w:r>
              <w:t xml:space="preserve">18.70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r>
              <w:t xml:space="preserve">1391.37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1719.33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252.18</w:t>
            </w:r>
          </w:p>
        </w:tc>
        <w:tc>
          <w:tcPr>
            <w:tcW w:w="1474" w:type="dxa"/>
            <w:vAlign w:val="center"/>
          </w:tcPr>
          <w:p>
            <w:pPr>
              <w:pStyle w:val="单元格样式4"/>
            </w:pPr>
            <w:r>
              <w:t xml:space="preserve">252.18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57.08</w:t>
            </w:r>
          </w:p>
        </w:tc>
        <w:tc>
          <w:tcPr>
            <w:tcW w:w="1474" w:type="dxa"/>
            <w:vAlign w:val="center"/>
          </w:tcPr>
          <w:p>
            <w:pPr>
              <w:pStyle w:val="单元格样式4"/>
            </w:pPr>
            <w:r>
              <w:t xml:space="preserve">57.08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18.70</w:t>
            </w:r>
          </w:p>
        </w:tc>
        <w:tc>
          <w:tcPr>
            <w:tcW w:w="1474" w:type="dxa"/>
            <w:vAlign w:val="center"/>
          </w:tcPr>
          <w:p>
            <w:pPr>
              <w:pStyle w:val="单元格样式4"/>
            </w:pPr>
            <w:r>
              <w:t xml:space="preserve">18.70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1391.37</w:t>
            </w:r>
          </w:p>
        </w:tc>
        <w:tc>
          <w:tcPr>
            <w:tcW w:w="1474" w:type="dxa"/>
            <w:vAlign w:val="center"/>
          </w:tcPr>
          <w:p>
            <w:pPr>
              <w:pStyle w:val="单元格样式4"/>
            </w:pPr>
            <w:r>
              <w:t xml:space="preserve">1391.37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1719.33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1719.33</w:t>
            </w:r>
          </w:p>
        </w:tc>
        <w:tc>
          <w:tcPr>
            <w:tcW w:w="1474" w:type="dxa"/>
            <w:vAlign w:val="center"/>
          </w:tcPr>
          <w:p>
            <w:pPr>
              <w:pStyle w:val="单元格样式7"/>
            </w:pPr>
            <w:r>
              <w:t xml:space="preserve">1719.33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1719.33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1719.33</w:t>
            </w:r>
          </w:p>
        </w:tc>
        <w:tc>
          <w:tcPr>
            <w:tcW w:w="1474" w:type="dxa"/>
            <w:vAlign w:val="center"/>
          </w:tcPr>
          <w:p>
            <w:pPr>
              <w:pStyle w:val="单元格样式7"/>
            </w:pPr>
            <w:r>
              <w:t xml:space="preserve">1719.33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1719.33</w:t>
            </w:r>
          </w:p>
        </w:tc>
        <w:tc>
          <w:tcPr>
            <w:tcW w:w="2551" w:type="dxa"/>
            <w:vAlign w:val="center"/>
          </w:tcPr>
          <w:p>
            <w:pPr>
              <w:pStyle w:val="单元格样式7"/>
            </w:pPr>
            <w:r>
              <w:t xml:space="preserve">327.96</w:t>
            </w:r>
          </w:p>
        </w:tc>
        <w:tc>
          <w:tcPr>
            <w:tcW w:w="2551" w:type="dxa"/>
            <w:vAlign w:val="center"/>
          </w:tcPr>
          <w:p>
            <w:pPr>
              <w:pStyle w:val="单元格样式7"/>
            </w:pPr>
            <w:r>
              <w:t xml:space="preserve">1391.37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2011399</w:t>
            </w:r>
          </w:p>
        </w:tc>
        <w:tc>
          <w:tcPr>
            <w:tcW w:w="4535" w:type="dxa"/>
            <w:vAlign w:val="center"/>
          </w:tcPr>
          <w:p>
            <w:pPr>
              <w:pStyle w:val="单元格样式2"/>
            </w:pPr>
            <w:r>
              <w:t xml:space="preserve">其他商贸事务支出</w:t>
            </w:r>
          </w:p>
        </w:tc>
        <w:tc>
          <w:tcPr>
            <w:tcW w:w="2551" w:type="dxa"/>
            <w:vAlign w:val="center"/>
          </w:tcPr>
          <w:p>
            <w:pPr>
              <w:pStyle w:val="单元格样式4"/>
            </w:pPr>
            <w:r>
              <w:t xml:space="preserve">252.18</w:t>
            </w:r>
          </w:p>
        </w:tc>
        <w:tc>
          <w:tcPr>
            <w:tcW w:w="2551" w:type="dxa"/>
            <w:vAlign w:val="center"/>
          </w:tcPr>
          <w:p>
            <w:pPr>
              <w:pStyle w:val="单元格样式4"/>
            </w:pPr>
            <w:r>
              <w:t xml:space="preserve">252.18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57.08</w:t>
            </w:r>
          </w:p>
        </w:tc>
        <w:tc>
          <w:tcPr>
            <w:tcW w:w="2551" w:type="dxa"/>
            <w:vAlign w:val="center"/>
          </w:tcPr>
          <w:p>
            <w:pPr>
              <w:pStyle w:val="单元格样式4"/>
            </w:pPr>
            <w:r>
              <w:t xml:space="preserve">57.08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57.08</w:t>
            </w:r>
          </w:p>
        </w:tc>
        <w:tc>
          <w:tcPr>
            <w:tcW w:w="2551" w:type="dxa"/>
            <w:vAlign w:val="center"/>
          </w:tcPr>
          <w:p>
            <w:pPr>
              <w:pStyle w:val="单元格样式4"/>
            </w:pPr>
            <w:r>
              <w:t xml:space="preserve">57.08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3.57</w:t>
            </w:r>
          </w:p>
        </w:tc>
        <w:tc>
          <w:tcPr>
            <w:tcW w:w="2551" w:type="dxa"/>
            <w:vAlign w:val="center"/>
          </w:tcPr>
          <w:p>
            <w:pPr>
              <w:pStyle w:val="单元格样式4"/>
            </w:pPr>
            <w:r>
              <w:t xml:space="preserve">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2150899</w:t>
            </w:r>
          </w:p>
        </w:tc>
        <w:tc>
          <w:tcPr>
            <w:tcW w:w="4535" w:type="dxa"/>
            <w:vAlign w:val="center"/>
          </w:tcPr>
          <w:p>
            <w:pPr>
              <w:pStyle w:val="单元格样式2"/>
            </w:pPr>
            <w:r>
              <w:t xml:space="preserve">其他支持中小企业发展和管理支出</w:t>
            </w:r>
          </w:p>
        </w:tc>
        <w:tc>
          <w:tcPr>
            <w:tcW w:w="2551" w:type="dxa"/>
            <w:vAlign w:val="center"/>
          </w:tcPr>
          <w:p>
            <w:pPr>
              <w:pStyle w:val="单元格样式4"/>
            </w:pPr>
            <w:r>
              <w:t xml:space="preserve">1391.37</w:t>
            </w:r>
          </w:p>
        </w:tc>
        <w:tc>
          <w:tcPr>
            <w:tcW w:w="2551" w:type="dxa"/>
            <w:vAlign w:val="center"/>
          </w:tcPr>
          <w:p>
            <w:pPr>
              <w:pStyle w:val="单元格样式4"/>
            </w:pPr>
          </w:p>
        </w:tc>
        <w:tc>
          <w:tcPr>
            <w:tcW w:w="2551" w:type="dxa"/>
            <w:vAlign w:val="center"/>
          </w:tcPr>
          <w:p>
            <w:pPr>
              <w:pStyle w:val="单元格样式4"/>
            </w:pPr>
            <w:r>
              <w:t xml:space="preserve">1391.37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327.96</w:t>
            </w:r>
          </w:p>
        </w:tc>
        <w:tc>
          <w:tcPr>
            <w:tcW w:w="2551" w:type="dxa"/>
            <w:vAlign w:val="center"/>
          </w:tcPr>
          <w:p>
            <w:pPr>
              <w:pStyle w:val="单元格样式7"/>
            </w:pPr>
            <w:r>
              <w:t xml:space="preserve">315.96</w:t>
            </w:r>
          </w:p>
        </w:tc>
        <w:tc>
          <w:tcPr>
            <w:tcW w:w="2551" w:type="dxa"/>
            <w:vAlign w:val="center"/>
          </w:tcPr>
          <w:p>
            <w:pPr>
              <w:pStyle w:val="单元格样式7"/>
            </w:pPr>
            <w:r>
              <w:t xml:space="preserve">12.00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310.75</w:t>
            </w:r>
          </w:p>
        </w:tc>
        <w:tc>
          <w:tcPr>
            <w:tcW w:w="2551" w:type="dxa"/>
            <w:vAlign w:val="center"/>
          </w:tcPr>
          <w:p>
            <w:pPr>
              <w:pStyle w:val="单元格样式4"/>
            </w:pPr>
            <w:r>
              <w:t xml:space="preserve">310.75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151.80</w:t>
            </w:r>
          </w:p>
        </w:tc>
        <w:tc>
          <w:tcPr>
            <w:tcW w:w="2551" w:type="dxa"/>
            <w:vAlign w:val="center"/>
          </w:tcPr>
          <w:p>
            <w:pPr>
              <w:pStyle w:val="单元格样式4"/>
            </w:pPr>
            <w:r>
              <w:t xml:space="preserve">151.80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23.94</w:t>
            </w:r>
          </w:p>
        </w:tc>
        <w:tc>
          <w:tcPr>
            <w:tcW w:w="2551" w:type="dxa"/>
            <w:vAlign w:val="center"/>
          </w:tcPr>
          <w:p>
            <w:pPr>
              <w:pStyle w:val="单元格样式4"/>
            </w:pPr>
            <w:r>
              <w:t xml:space="preserve">23.94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10.07</w:t>
            </w:r>
          </w:p>
        </w:tc>
        <w:tc>
          <w:tcPr>
            <w:tcW w:w="2551" w:type="dxa"/>
            <w:vAlign w:val="center"/>
          </w:tcPr>
          <w:p>
            <w:pPr>
              <w:pStyle w:val="单元格样式4"/>
            </w:pPr>
            <w:r>
              <w:t xml:space="preserve">10.07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51.63</w:t>
            </w:r>
          </w:p>
        </w:tc>
        <w:tc>
          <w:tcPr>
            <w:tcW w:w="2551" w:type="dxa"/>
            <w:vAlign w:val="center"/>
          </w:tcPr>
          <w:p>
            <w:pPr>
              <w:pStyle w:val="单元格样式4"/>
            </w:pPr>
            <w:r>
              <w:t xml:space="preserve">51.63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35.67</w:t>
            </w:r>
          </w:p>
        </w:tc>
        <w:tc>
          <w:tcPr>
            <w:tcW w:w="2551" w:type="dxa"/>
            <w:vAlign w:val="center"/>
          </w:tcPr>
          <w:p>
            <w:pPr>
              <w:pStyle w:val="单元格样式4"/>
            </w:pPr>
            <w:r>
              <w:t xml:space="preserve">35.67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18.70</w:t>
            </w:r>
          </w:p>
        </w:tc>
        <w:tc>
          <w:tcPr>
            <w:tcW w:w="2551" w:type="dxa"/>
            <w:vAlign w:val="center"/>
          </w:tcPr>
          <w:p>
            <w:pPr>
              <w:pStyle w:val="单元格样式4"/>
            </w:pPr>
            <w:r>
              <w:t xml:space="preserve">18.70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1.11</w:t>
            </w:r>
          </w:p>
        </w:tc>
        <w:tc>
          <w:tcPr>
            <w:tcW w:w="2551" w:type="dxa"/>
            <w:vAlign w:val="center"/>
          </w:tcPr>
          <w:p>
            <w:pPr>
              <w:pStyle w:val="单元格样式4"/>
            </w:pPr>
            <w:r>
              <w:t xml:space="preserve">1.11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5.21</w:t>
            </w:r>
          </w:p>
        </w:tc>
        <w:tc>
          <w:tcPr>
            <w:tcW w:w="2551" w:type="dxa"/>
            <w:vAlign w:val="center"/>
          </w:tcPr>
          <w:p>
            <w:pPr>
              <w:pStyle w:val="单元格样式4"/>
            </w:pPr>
            <w:r>
              <w:t xml:space="preserve">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3.57</w:t>
            </w:r>
          </w:p>
        </w:tc>
        <w:tc>
          <w:tcPr>
            <w:tcW w:w="2551" w:type="dxa"/>
            <w:vAlign w:val="center"/>
          </w:tcPr>
          <w:p>
            <w:pPr>
              <w:pStyle w:val="单元格样式4"/>
            </w:pPr>
            <w:r>
              <w:t xml:space="preserve">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河北魏县经济开发区管理委员会2025年部门预算信息公开情况说明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河北魏县经济开发区管理委员会2025年部门预算信息公开情况说明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按照《中华人民共和国预算法》、《地方预决算公开操作规程》和《关于进一步推进预算公开工作的实施意见》规定，现将河北魏县经济开发区管理委员会2025年部门预算公开如下：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         </w:t>
      </w:r>
    </w:p>
    <w:p>
      <w:pPr>
        <w:pStyle w:val="插入文本样式-插入预算公开部门职责文件"/>
      </w:pPr>
    </w:p>
    <w:p>
      <w:pPr>
        <w:pStyle w:val="插入文本样式-插入预算公开部门职责文件"/>
      </w:pPr>
    </w:p>
    <w:p>
      <w:pPr>
        <w:pStyle w:val="插入文本样式-插入预算公开部门职责文件"/>
      </w:pPr>
      <w:r>
        <w:t xml:space="preserve">1、编制辖区内总体规划和经济社会发展规划；编制辖区内区域性城市发展规划、国土利用规划。</w:t>
      </w:r>
    </w:p>
    <w:p>
      <w:pPr>
        <w:pStyle w:val="插入文本样式-插入预算公开部门职责文件"/>
      </w:pPr>
      <w:r>
        <w:t xml:space="preserve">2、审批或审核固定资产投资项目。</w:t>
      </w:r>
    </w:p>
    <w:p>
      <w:pPr>
        <w:pStyle w:val="插入文本样式-插入预算公开部门职责文件"/>
      </w:pPr>
      <w:r>
        <w:t xml:space="preserve">3、负责辖区内基础设施和公用设施的建设和管理。</w:t>
      </w:r>
    </w:p>
    <w:p>
      <w:pPr>
        <w:pStyle w:val="插入文本样式-插入预算公开部门职责文件"/>
      </w:pPr>
      <w:r>
        <w:t xml:space="preserve">4、负责招商引资、进出口贸易、国内外经济技术合作。</w:t>
      </w:r>
    </w:p>
    <w:p>
      <w:pPr>
        <w:pStyle w:val="插入文本样式-插入预算公开部门职责文件"/>
      </w:pPr>
      <w:r>
        <w:t xml:space="preserve">5、负责辖区内环境和安全生产监管。</w:t>
      </w:r>
    </w:p>
    <w:p>
      <w:pPr>
        <w:pStyle w:val="插入文本样式-插入预算公开部门职责文件"/>
      </w:pPr>
      <w:r>
        <w:t xml:space="preserve">6、加快就业服务体系建设和专业技术人才的引进和培养，规范企业用工。</w:t>
      </w:r>
    </w:p>
    <w:p>
      <w:pPr>
        <w:pStyle w:val="插入文本样式-插入预算公开部门职责文件"/>
      </w:pPr>
      <w:r>
        <w:t xml:space="preserve">7、协调和保障上级有关部门派驻开发区机构的正常工作。</w:t>
      </w:r>
    </w:p>
    <w:p>
      <w:pPr>
        <w:pStyle w:val="插入文本样式-插入预算公开部门职责文件"/>
      </w:pPr>
      <w:r>
        <w:t xml:space="preserve">8、贯彻落实党的路线、方针、政策和上级党委决议、研究和制定辖区内重大经济和社会问题、宣传和精神文明建设工作、社会管理、综合治理工作和维稳工作党的纪律检查工作、辖区内工、青、妇等群团工作。</w:t>
      </w:r>
    </w:p>
    <w:p>
      <w:pPr>
        <w:pStyle w:val="插入文本样式-插入预算公开部门职责文件"/>
      </w:pPr>
      <w:r>
        <w:t xml:space="preserve">9、负责管理和使用辖区建设发展专项资金。</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河北魏县经济开发区管理委员会本级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按照预算管理有关规定，目前部门预算的编制实行综合预算管理，即全部收入和支出都反映在预算中。河北魏县经济开发区管理委员会机关及所属事业单位的收支包含在部门预算中。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1719.33万元，其中：一般公共预算收入1719.33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河北魏县经济开发区管理委员会年度部门预算中支出预算的总体情况。2025年支出预算1719.33万元，其中基本支出327.96万元，包括人员经费315.96万元和日常公用经费12.00万元；项目支出1391.37万元，主要为根据上级政策和开发区职能划分，增加了开发区人事绩效工资发放、开发区基础设施等方面的支出。</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1719.33万元，较2024年预算增加1018.36万元，其中：基本支出减少23.01万元，主要为在职人员的减少。项目支出增加1041.37万元，主要为根据上级政策和开发区职能划分，增加了开发区人事绩效工资发放、开发区基础设施等方面的支出。</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2025年，我部门机关运行经费共计安排12.00万元，主要用于日常维修、办公用房水电费、办公用房取暖费、办公用房物业管理费等日常运行支出。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公务用车和公务接待</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部门职责绩效目标1：</w:t>
      </w:r>
    </w:p>
    <w:p>
      <w:pPr>
        <w:pStyle w:val="插入文本样式-插入总体目标文件"/>
      </w:pPr>
      <w:r>
        <w:t xml:space="preserve">编制规划：编制辖区内总体规划和经济社会发展规划；编制辖区内区域性城市发展规划、国土利用规划。</w:t>
      </w:r>
      <w:r>
        <w:tab/>
      </w:r>
      <w:r>
        <w:t xml:space="preserve">加强开发区内规划管理，协调辖区空间发展布局，促进开发区经济社会全面协调可持续发展。</w:t>
      </w:r>
      <w:r>
        <w:tab/>
      </w:r>
      <w:r>
        <w:tab/>
      </w:r>
    </w:p>
    <w:p>
      <w:pPr>
        <w:pStyle w:val="插入文本样式-插入总体目标文件"/>
      </w:pPr>
      <w:r>
        <w:t xml:space="preserve">部门职责绩效目标2：</w:t>
      </w:r>
    </w:p>
    <w:p>
      <w:pPr>
        <w:pStyle w:val="插入文本样式-插入总体目标文件"/>
      </w:pPr>
      <w:r>
        <w:t xml:space="preserve">审批或审核：审批或审核固定资产投资项目组织对入区固定资产投资项目的审批和审核</w:t>
      </w:r>
      <w:r>
        <w:tab/>
      </w:r>
      <w:r>
        <w:t xml:space="preserve">。</w:t>
      </w:r>
      <w:r>
        <w:tab/>
      </w:r>
      <w:r>
        <w:tab/>
      </w:r>
      <w:r>
        <w:tab/>
      </w:r>
      <w:r>
        <w:tab/>
      </w:r>
    </w:p>
    <w:p>
      <w:pPr>
        <w:pStyle w:val="插入文本样式-插入总体目标文件"/>
      </w:pPr>
      <w:r>
        <w:t xml:space="preserve">部门职责绩效目标3：</w:t>
      </w:r>
    </w:p>
    <w:p>
      <w:pPr>
        <w:pStyle w:val="插入文本样式-插入总体目标文件"/>
      </w:pPr>
      <w:r>
        <w:t xml:space="preserve">基础和公用设施建设管理：负责辖区内基础设施和公用设施的建设和管理；按照规划对区内基础设施和公用设施进行建设并进行管理。</w:t>
      </w:r>
      <w:r>
        <w:tab/>
      </w:r>
      <w:r>
        <w:tab/>
      </w:r>
      <w:r>
        <w:tab/>
      </w:r>
      <w:r>
        <w:tab/>
      </w:r>
      <w:r>
        <w:tab/>
      </w:r>
      <w:r>
        <w:tab/>
      </w:r>
      <w:r>
        <w:tab/>
      </w:r>
    </w:p>
    <w:p>
      <w:pPr>
        <w:pStyle w:val="插入文本样式-插入总体目标文件"/>
      </w:pPr>
      <w:r>
        <w:t xml:space="preserve">部门职责绩效目标4：</w:t>
      </w:r>
    </w:p>
    <w:p>
      <w:pPr>
        <w:pStyle w:val="插入文本样式-插入总体目标文件"/>
      </w:pPr>
      <w:r>
        <w:t xml:space="preserve">招商、贸易、合作：负责招商引资、进出口贸易、国内外经济技术合作</w:t>
      </w:r>
      <w:r>
        <w:tab/>
      </w:r>
      <w:r>
        <w:tab/>
      </w:r>
      <w:r>
        <w:tab/>
      </w:r>
      <w:r>
        <w:tab/>
      </w:r>
      <w:r>
        <w:tab/>
      </w:r>
      <w:r>
        <w:tab/>
      </w:r>
      <w:r>
        <w:tab/>
      </w:r>
    </w:p>
    <w:p>
      <w:pPr>
        <w:pStyle w:val="插入文本样式-插入总体目标文件"/>
      </w:pPr>
      <w:r>
        <w:t xml:space="preserve">部门职责绩效目标5：</w:t>
      </w:r>
    </w:p>
    <w:p>
      <w:pPr>
        <w:pStyle w:val="插入文本样式-插入总体目标文件"/>
      </w:pPr>
      <w:r>
        <w:t xml:space="preserve">辖区环境和安全生产监督管理工作：环境和安全生监管和按照有关要求加强监督管理。</w:t>
      </w:r>
      <w:r>
        <w:tab/>
      </w:r>
      <w:r>
        <w:tab/>
      </w:r>
      <w:r>
        <w:tab/>
      </w:r>
      <w:r>
        <w:tab/>
      </w:r>
      <w:r>
        <w:tab/>
      </w:r>
    </w:p>
    <w:p>
      <w:pPr>
        <w:pStyle w:val="插入文本样式-插入总体目标文件"/>
      </w:pPr>
      <w:r>
        <w:t xml:space="preserve">部门职责绩效目标6：</w:t>
      </w:r>
    </w:p>
    <w:p>
      <w:pPr>
        <w:pStyle w:val="插入文本样式-插入总体目标文件"/>
      </w:pPr>
      <w:r>
        <w:t xml:space="preserve">辖区的人力资源和社会保障工作：加快就业服务体系建设和专业技术人才的引进和培养，规范企业用工。加强人才队伍建设，引进高素质人才，规范劳动关系，保障劳动者权益。</w:t>
      </w:r>
      <w:r>
        <w:tab/>
      </w:r>
    </w:p>
    <w:p>
      <w:pPr>
        <w:pStyle w:val="插入文本样式-插入总体目标文件"/>
      </w:pPr>
      <w:r>
        <w:t xml:space="preserve">部门职责绩效目标7：</w:t>
      </w:r>
    </w:p>
    <w:p>
      <w:pPr>
        <w:pStyle w:val="插入文本样式-插入总体目标文件"/>
      </w:pPr>
      <w:r>
        <w:t xml:space="preserve">辖区内上级有关部门派驻机构的工作：协调和保障上级有关部门派驻开发区机构的正常工作；保证派驻机构办公用房、办公用品等正常运行。</w:t>
      </w:r>
      <w:r>
        <w:tab/>
      </w:r>
      <w:r>
        <w:tab/>
      </w:r>
      <w:r>
        <w:tab/>
      </w:r>
      <w:r>
        <w:tab/>
      </w:r>
      <w:r>
        <w:tab/>
      </w:r>
      <w:r>
        <w:tab/>
      </w:r>
    </w:p>
    <w:p>
      <w:pPr>
        <w:pStyle w:val="插入文本样式-插入总体目标文件"/>
      </w:pPr>
      <w:r>
        <w:t xml:space="preserve">部门职责绩效目标8：</w:t>
      </w:r>
    </w:p>
    <w:p>
      <w:pPr>
        <w:pStyle w:val="插入文本样式-插入总体目标文件"/>
      </w:pPr>
      <w:r>
        <w:t xml:space="preserve">党建工作：贯彻落实党的路线、方针、政策和上级党委决议、研究和制定辖区内重大经济和社会问题、宣传和精神文明建设工作、社会管理、综合治理工作和维稳工作党的纪律检查工作、辖区内工、青、妇等群团工作。</w:t>
      </w:r>
    </w:p>
    <w:p>
      <w:pPr>
        <w:pStyle w:val="插入文本样式-插入总体目标文件"/>
      </w:pPr>
      <w:r>
        <w:t xml:space="preserve">部门职责绩效目标9：</w:t>
      </w:r>
    </w:p>
    <w:p>
      <w:pPr>
        <w:pStyle w:val="插入文本样式-插入总体目标文件"/>
      </w:pPr>
      <w:r>
        <w:t xml:space="preserve">专项资金管理：负责管理和使用辖区建设发展专项资金。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部门职责绩效目标1：</w:t>
      </w:r>
    </w:p>
    <w:p>
      <w:pPr>
        <w:pStyle w:val="插入文本样式-插入职责分类绩效目标文件"/>
      </w:pPr>
      <w:r>
        <w:t xml:space="preserve">编制规划绩效目标：</w:t>
      </w:r>
    </w:p>
    <w:p>
      <w:pPr>
        <w:pStyle w:val="插入文本样式-插入职责分类绩效目标文件"/>
      </w:pPr>
      <w:r>
        <w:t xml:space="preserve">规划制定、实施和监管</w:t>
      </w:r>
      <w:r>
        <w:tab/>
      </w:r>
      <w:r>
        <w:t xml:space="preserve">依法编制开发区总体规划、经济社会发展规划、区域性城市发展规划和国土利用规划等，并向有关部门报批，对依法批准的规划进行监督实施</w:t>
      </w:r>
      <w:r>
        <w:tab/>
      </w:r>
      <w:r>
        <w:t xml:space="preserve">完成规划的编制、报批及对依法批准的规划进行监管实施。负责辖区内建设用地和建设工程的规划管理，审查设计方案，参与区内建设验线、跟踪管理、规划验收。监督检查各种违法占地和违法建设行为。</w:t>
      </w:r>
    </w:p>
    <w:p>
      <w:pPr>
        <w:pStyle w:val="插入文本样式-插入职责分类绩效目标文件"/>
      </w:pPr>
      <w:r>
        <w:t xml:space="preserve">各类规划的完成率、审批率等</w:t>
      </w:r>
      <w:r>
        <w:tab/>
      </w:r>
      <w:r>
        <w:t xml:space="preserve">完成规划的编制、报批及对依法批准的规划进行监管实施的数量。</w:t>
      </w:r>
      <w:r>
        <w:tab/>
      </w:r>
    </w:p>
    <w:p>
      <w:pPr>
        <w:pStyle w:val="插入文本样式-插入职责分类绩效目标文件"/>
      </w:pPr>
      <w:r>
        <w:t xml:space="preserve">部门职责绩效目标2：</w:t>
      </w:r>
    </w:p>
    <w:p>
      <w:pPr>
        <w:pStyle w:val="插入文本样式-插入职责分类绩效目标文件"/>
      </w:pPr>
      <w:r>
        <w:t xml:space="preserve">审批或审核绩效目标：</w:t>
      </w:r>
    </w:p>
    <w:p>
      <w:pPr>
        <w:pStyle w:val="插入文本样式-插入职责分类绩效目标文件"/>
      </w:pPr>
      <w:r>
        <w:t xml:space="preserve">审批和审核区内固定资产投资项目</w:t>
      </w:r>
      <w:r>
        <w:tab/>
      </w:r>
      <w:r>
        <w:t xml:space="preserve">审批入区固定资产投资项目</w:t>
      </w:r>
      <w:r>
        <w:tab/>
      </w:r>
      <w:r>
        <w:t xml:space="preserve">根据国家有关规定和《入区协议书》《入区项目企业管理办法》对入区固定资产投资进行审批，根据投资方提供的有关资料对其固定资产投资进行审核。</w:t>
      </w:r>
    </w:p>
    <w:p>
      <w:pPr>
        <w:pStyle w:val="插入文本样式-插入职责分类绩效目标文件"/>
      </w:pPr>
      <w:r>
        <w:t xml:space="preserve">监管覆盖率和审批入区固定资产投资项目监管企业数量。</w:t>
      </w:r>
      <w:r>
        <w:tab/>
      </w:r>
    </w:p>
    <w:p>
      <w:pPr>
        <w:pStyle w:val="插入文本样式-插入职责分类绩效目标文件"/>
      </w:pPr>
      <w:r>
        <w:t xml:space="preserve">部门职责绩效目标3：</w:t>
      </w:r>
    </w:p>
    <w:p>
      <w:pPr>
        <w:pStyle w:val="插入文本样式-插入职责分类绩效目标文件"/>
      </w:pPr>
      <w:r>
        <w:t xml:space="preserve">基础和公用设施建设管理绩效目标： 1、辖区内基础设施和公用设施建设、基础设施和公用设施建设、</w:t>
      </w:r>
      <w:r>
        <w:tab/>
      </w:r>
      <w:r>
        <w:t xml:space="preserve">组织实施区内基础设施和公用设施建设、保质保量完成建设任务。基础设施和公用设施建设完成数2、辖区内基础设施和公用设施管理</w:t>
      </w:r>
      <w:r>
        <w:tab/>
      </w:r>
      <w:r>
        <w:t xml:space="preserve">基础设施和公用设施管理</w:t>
      </w:r>
      <w:r>
        <w:tab/>
      </w:r>
      <w:r>
        <w:t xml:space="preserve">。设施运行和维护、各种设施完好率、设施运行和维护的完好程度。</w:t>
      </w:r>
      <w:r>
        <w:tab/>
      </w:r>
    </w:p>
    <w:p>
      <w:pPr>
        <w:pStyle w:val="插入文本样式-插入职责分类绩效目标文件"/>
      </w:pPr>
      <w:r>
        <w:t xml:space="preserve">部门职责绩效目标4：</w:t>
      </w:r>
    </w:p>
    <w:p>
      <w:pPr>
        <w:pStyle w:val="插入文本样式-插入职责分类绩效目标文件"/>
      </w:pPr>
      <w:r>
        <w:t xml:space="preserve">招商、贸易、合作绩效目标：</w:t>
      </w:r>
    </w:p>
    <w:p>
      <w:pPr>
        <w:pStyle w:val="插入文本样式-插入职责分类绩效目标文件"/>
      </w:pPr>
      <w:r>
        <w:t xml:space="preserve">组织开展招商引资工作，区内企业进出口贸易和开展国际国内合作，根据开发区产业发展发布招商信息、进行商务考察，接待客商考察组织区内企业进行进出口贸易组织区内项目企业与国内外企业、高校和科研机构进行经济技术合作。</w:t>
      </w:r>
    </w:p>
    <w:p>
      <w:pPr>
        <w:pStyle w:val="插入文本样式-插入职责分类绩效目标文件"/>
      </w:pPr>
      <w:r>
        <w:t xml:space="preserve">部门职责绩效目标5：</w:t>
      </w:r>
    </w:p>
    <w:p>
      <w:pPr>
        <w:pStyle w:val="插入文本样式-插入职责分类绩效目标文件"/>
      </w:pPr>
      <w:r>
        <w:t xml:space="preserve">辖区环境和安全生产监督管理工作，环境和安全生监管</w:t>
      </w:r>
      <w:r>
        <w:tab/>
      </w:r>
      <w:r>
        <w:t xml:space="preserve">按照有关要求加强监督管理绩效目标：</w:t>
      </w:r>
    </w:p>
    <w:p>
      <w:pPr>
        <w:pStyle w:val="插入文本样式-插入职责分类绩效目标文件"/>
      </w:pPr>
      <w:r>
        <w:t xml:space="preserve">1、环境监督管理、环境监管、加强环境监察与督查、企业排放达标率</w:t>
      </w:r>
      <w:r>
        <w:tab/>
      </w:r>
      <w:r>
        <w:t xml:space="preserve">企业排放达标程度。</w:t>
      </w:r>
    </w:p>
    <w:p>
      <w:pPr>
        <w:pStyle w:val="插入文本样式-插入职责分类绩效目标文件"/>
      </w:pPr>
      <w:r>
        <w:t xml:space="preserve">2、安全生产监督管理</w:t>
      </w:r>
      <w:r>
        <w:tab/>
      </w:r>
      <w:r>
        <w:t xml:space="preserve">企业安全生监督管理，按照《安全生产法》加强企业安全生产、督导、检查、整改</w:t>
      </w:r>
      <w:r>
        <w:tab/>
      </w:r>
      <w:r>
        <w:t xml:space="preserve">安全生产达标率和安全生产达标程度。</w:t>
      </w:r>
    </w:p>
    <w:p>
      <w:pPr>
        <w:pStyle w:val="插入文本样式-插入职责分类绩效目标文件"/>
      </w:pPr>
      <w:r>
        <w:t xml:space="preserve">部门职责绩效目标6</w:t>
      </w:r>
    </w:p>
    <w:p>
      <w:pPr>
        <w:pStyle w:val="插入文本样式-插入职责分类绩效目标文件"/>
      </w:pPr>
      <w:r>
        <w:t xml:space="preserve">辖区的人力资源和社会保障工作</w:t>
      </w:r>
      <w:r>
        <w:tab/>
      </w:r>
      <w:r>
        <w:t xml:space="preserve">加快就业服务体系建设和专业技术人才的引进和培养，规范企业用工，加强人才队伍建设，引进高素质人才，规范劳动关系，保障劳动者权益绩效目标：人力资源和社会保障工作</w:t>
      </w:r>
      <w:r>
        <w:tab/>
      </w:r>
      <w:r>
        <w:t xml:space="preserve">围绕企业用工需求，引进专业技术人才。规范劳动关系</w:t>
      </w:r>
      <w:r>
        <w:tab/>
      </w:r>
      <w:r>
        <w:t xml:space="preserve">建立区内企业用工需求数据库，并实时更新，加强用需对接，规范区内企业劳动用工，保障劳动者合法权益</w:t>
      </w:r>
      <w:r>
        <w:tab/>
      </w:r>
      <w:r>
        <w:t xml:space="preserve">引进人才落实率。</w:t>
      </w:r>
    </w:p>
    <w:p>
      <w:pPr>
        <w:pStyle w:val="插入文本样式-插入职责分类绩效目标文件"/>
      </w:pPr>
      <w:r>
        <w:t xml:space="preserve">企业用工合同签订率</w:t>
      </w:r>
      <w:r>
        <w:tab/>
      </w:r>
      <w:r>
        <w:t xml:space="preserve">引进人才数量及企业用工合同签订数量。</w:t>
      </w:r>
    </w:p>
    <w:p>
      <w:pPr>
        <w:pStyle w:val="插入文本样式-插入职责分类绩效目标文件"/>
      </w:pPr>
      <w:r>
        <w:t xml:space="preserve">部门职责绩效目标7：</w:t>
      </w:r>
    </w:p>
    <w:p>
      <w:pPr>
        <w:pStyle w:val="插入文本样式-插入职责分类绩效目标文件"/>
      </w:pPr>
      <w:r>
        <w:t xml:space="preserve">辖区内上级有关部门派驻机构的工作绩效目标：协调和保障上级有关部门派驻开发区机构的正常工作</w:t>
      </w:r>
      <w:r>
        <w:tab/>
      </w:r>
      <w:r>
        <w:t xml:space="preserve">保证派驻机构办公用房、办公用品等正常运行。</w:t>
      </w:r>
    </w:p>
    <w:p>
      <w:pPr>
        <w:pStyle w:val="插入文本样式-插入职责分类绩效目标文件"/>
      </w:pPr>
      <w:r>
        <w:t xml:space="preserve">部门职责绩效目标8</w:t>
      </w:r>
    </w:p>
    <w:p>
      <w:pPr>
        <w:pStyle w:val="插入文本样式-插入职责分类绩效目标文件"/>
      </w:pPr>
      <w:r>
        <w:t xml:space="preserve">党建工作绩效目标：</w:t>
      </w:r>
    </w:p>
    <w:p>
      <w:pPr>
        <w:pStyle w:val="插入文本样式-插入职责分类绩效目标文件"/>
      </w:pPr>
      <w:r>
        <w:t xml:space="preserve">1、组织建设：</w:t>
      </w:r>
      <w:r>
        <w:tab/>
      </w:r>
      <w:r>
        <w:t xml:space="preserve">指导各级党组织加强组织建设，</w:t>
      </w:r>
      <w:r>
        <w:tab/>
      </w:r>
      <w:r>
        <w:t xml:space="preserve">党组织和党员作用发挥突出。党组织评议满意度和党组织评议满意程度。</w:t>
      </w:r>
    </w:p>
    <w:p>
      <w:pPr>
        <w:pStyle w:val="插入文本样式-插入职责分类绩效目标文件"/>
      </w:pPr>
      <w:r>
        <w:t xml:space="preserve">2、思想政治建设 ：</w:t>
      </w:r>
      <w:r>
        <w:tab/>
      </w:r>
      <w:r>
        <w:t xml:space="preserve">指导各级党组织抓好党的思想、作风建设，加强党的纪律检查工作。</w:t>
      </w:r>
      <w:r>
        <w:tab/>
      </w:r>
      <w:r>
        <w:t xml:space="preserve">加强学习和作风建设，利用各载体开展精神文明创建工作。</w:t>
      </w:r>
    </w:p>
    <w:p>
      <w:pPr>
        <w:pStyle w:val="插入文本样式-插入职责分类绩效目标文件"/>
      </w:pPr>
      <w:r>
        <w:t xml:space="preserve">3、工青妇等群团工作：在企业建立健全工、青、妇群团组织并开展工作，群团组织建立健全，工作得到落实，作用发挥明显。公众参与率</w:t>
      </w:r>
      <w:r>
        <w:tab/>
      </w:r>
      <w:r>
        <w:t xml:space="preserve">公众参与数量。</w:t>
      </w:r>
    </w:p>
    <w:p>
      <w:pPr>
        <w:pStyle w:val="插入文本样式-插入职责分类绩效目标文件"/>
      </w:pPr>
      <w:r>
        <w:t xml:space="preserve">4、县委、政府交办的其它事项</w:t>
      </w:r>
    </w:p>
    <w:p>
      <w:pPr>
        <w:pStyle w:val="插入文本样式-插入职责分类绩效目标文件"/>
      </w:pPr>
      <w:r>
        <w:t xml:space="preserve">县委政府交办的其它重要工作和临时性工作。</w:t>
      </w:r>
      <w:r>
        <w:tab/>
      </w:r>
      <w:r>
        <w:t xml:space="preserve">按要求高质量、高标准完成。</w:t>
      </w:r>
      <w:r>
        <w:tab/>
      </w:r>
      <w:r>
        <w:tab/>
      </w:r>
      <w:r>
        <w:tab/>
      </w:r>
      <w:r>
        <w:tab/>
      </w:r>
      <w:r>
        <w:tab/>
      </w:r>
      <w:r>
        <w:tab/>
      </w:r>
    </w:p>
    <w:p>
      <w:pPr>
        <w:pStyle w:val="插入文本样式-插入职责分类绩效目标文件"/>
      </w:pPr>
      <w:r>
        <w:t xml:space="preserve">部门职责绩效目标9</w:t>
      </w:r>
    </w:p>
    <w:p>
      <w:pPr>
        <w:pStyle w:val="插入文本样式-插入职责分类绩效目标文件"/>
      </w:pPr>
      <w:r>
        <w:t xml:space="preserve">专项资金管理</w:t>
      </w:r>
      <w:r>
        <w:tab/>
      </w:r>
      <w:r>
        <w:t xml:space="preserve">负责管理和使用辖区建设发展专项资金绩效目标：建设专项资金使用管理</w:t>
      </w:r>
      <w:r>
        <w:tab/>
      </w:r>
      <w:r>
        <w:t xml:space="preserve">负责管理和使用辖区建设发展专项资金</w:t>
      </w:r>
      <w:r>
        <w:tab/>
      </w:r>
      <w:r>
        <w:t xml:space="preserve">专项资金专款专用，充分发挥作用。</w:t>
      </w:r>
      <w:r>
        <w:tab/>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p>
    <w:p>
      <w:pPr>
        <w:pStyle w:val="插入文本样式-插入实现年度发展规划目标的保障措施文件"/>
      </w:pPr>
      <w:r>
        <w:t xml:space="preserve">指导思想：坚持以习近平新时代中国特色社会主义思想为指导，全面落实习近平总书记对国家级经济技术开发区工作作出的重要指示精神和国家级经开区40周年座谈会精神，深入贯彻国家省市县一系列决策部署，坚持稳中求进、先立后破，找准经济发展的长板、短板、底板，进一步拉高标杆、争先进位，实现开发区跨越发展。</w:t>
      </w:r>
    </w:p>
    <w:p>
      <w:pPr>
        <w:pStyle w:val="插入文本样式-插入实现年度发展规划目标的保障措施文件"/>
      </w:pPr>
      <w:r>
        <w:t xml:space="preserve">目标任务：实施园区晋位升级行动，大力实施产业园区提升工程，全力打造产业园区发展高地，健全完善园区发展体制机制，着力提升经济外向度。创建零碳园区实现起步，创新招商方式，抓实项目建设，夯实发展载体，营造一流营商环境，唱响叫亮园区办事不用跑，筑牢安全生产、环保信访底线，实现园区高质量发展。</w:t>
      </w:r>
    </w:p>
    <w:p>
      <w:pPr>
        <w:pStyle w:val="插入文本样式-插入实现年度发展规划目标的保障措施文件"/>
      </w:pPr>
      <w:r>
        <w:t xml:space="preserve">经济指标：规上企业数量达51家，新增6家，增幅13%；工业总产值70亿元，增幅18.6%；规上企业营收达到65亿元，增幅20% ；税收达到2.736亿元，增幅47.6%，亩均税收增加2万元；项目建设新开工突破15家，增幅20%；在建项目突破20个，增幅25%；竣工投产项目突破15家，增幅20%；固投项目不低于30个，投资突破10亿元，增幅20%。进出口总额达到3.98亿元，增幅12% ；实际利用外资完成市下达任务；高新技术企业产值达到22亿元，占规上企业累计产值25%；战略新兴产业产值6.9亿元，占规上企业累计产值8%。</w:t>
      </w:r>
    </w:p>
    <w:p>
      <w:pPr>
        <w:pStyle w:val="插入文本样式-插入实现年度发展规划目标的保障措施文件"/>
      </w:pPr>
      <w:r>
        <w:t xml:space="preserve">具体措施：开发区谋划实施了“12365”工程，即：1个主题，开发区再次创业年。2个中心，招商引资、项目建设，3项重点，经济运行、清僵治瘫、科技创新。6项行动，晋位升级行动、一县一特强企行动、金融助企行动、电商兴企行动、人才活企行动、基金帮企行动。5项保障，党建引领、基础设施、营商环境、深化改革、安全环保。</w:t>
      </w:r>
    </w:p>
    <w:p>
      <w:pPr>
        <w:pStyle w:val="插入文本样式-插入实现年度发展规划目标的保障措施文件"/>
      </w:pPr>
      <w:r>
        <w:t xml:space="preserve">一个主题，就是开发区再次创业年。我们把2025年确定为“再次创业年”，在一次创业二次创业基础上，进行再次创业，针对开发区的“老大难”、“硬骨头”、短板弱项，发起总攻，坚决解决和兆益祥、民康医废、中普二期、药玻二期、远景二期、断头路、蒸汽管网等以前想解决而未解决的问题，进行再次创业。</w:t>
      </w:r>
    </w:p>
    <w:p>
      <w:pPr>
        <w:pStyle w:val="插入文本样式-插入实现年度发展规划目标的保障措施文件"/>
      </w:pPr>
      <w:r>
        <w:t xml:space="preserve">两个中心，即招商引资、项目建设。</w:t>
      </w:r>
    </w:p>
    <w:p>
      <w:pPr>
        <w:pStyle w:val="插入文本样式-插入实现年度发展规划目标的保障措施文件"/>
      </w:pPr>
      <w:r>
        <w:t xml:space="preserve">（一）招商引资工作。</w:t>
      </w:r>
    </w:p>
    <w:p>
      <w:pPr>
        <w:pStyle w:val="插入文本样式-插入实现年度发展规划目标的保障措施文件"/>
      </w:pPr>
      <w:r>
        <w:t xml:space="preserve">2024年在谈项目11个，已经签约项目4个，落地项目3个。</w:t>
      </w:r>
    </w:p>
    <w:p>
      <w:pPr>
        <w:pStyle w:val="插入文本样式-插入实现年度发展规划目标的保障措施文件"/>
      </w:pPr>
      <w:r>
        <w:t xml:space="preserve">2025年实现在谈项目20个，签约项目6个，落地项目5个，围绕高端装备制造、新能源、新材料、低空经济、机器人、数字工业，开展点对点招商，重点盯住国怀航空、远景二期、中普二期、药玻二期、中信博二期等重点在谈项目，大力推进，力争完成30亿元以上大项目1个，完成亿元以上项目3个，盯住妙晨纸业、鸣淼材料、鸣仁橡胶、宇翔包装、爱尚塑胶、昶乾建材、全润纺织、天昊胶业、恒跃机械等现有企业，围绕企业发展转型和市场拓展，围绕现有企业上下游和新能源、汽车领域、工业装备产业制造等产业链，进行增资扩能，以商招商。</w:t>
      </w:r>
    </w:p>
    <w:p>
      <w:pPr>
        <w:pStyle w:val="插入文本样式-插入实现年度发展规划目标的保障措施文件"/>
      </w:pPr>
      <w:r>
        <w:t xml:space="preserve">一是靠大联强、央企进魏。依托国资委帮扶联系魏县优势，加强与驻京津、上海等招商组联系，依托现有的药玻、恒昇等重点企业，加强上下游、产业链延链、补链、强链，对接央企、国企，争取子公司落户魏县，或与其共同合作，联合现有企业做大做强。二是再次创业、增资扩能。针对现有企业，围绕企业发展转型和市场拓展，定期开展座谈和联谊活动，动员企业家对企业开展积极评估，帮助其积极谋划，绘就具体发展前景蓝本，更新设备、增加生产线，增加智慧工业投入，积极向现代产业企业标准靠拢，积极增资扩能，发展壮大。三是联谊联合、冀商回归。积极联合驻外招商组，每月到京津冀、上海、广州、山西、江浙等乡贤聚集地拜访商洽；以春节、元旦、梨花节等节假日为契机，依托魏县旅游和园区优势，举办在外知名乡贤和魏商回家乡活动，冀商周末魏县行活动，举办园区企业家走进长三角、珠三角、北上广等活动，招引在外成功人士回乡创业。四是基金引领，产业承接。近日，国务院国资委、发改委联合出台政策，推动中央企业创业投资基金高质量发展，支持中央企业发起设立创业投资基金，重点投早、投小、投长期、投硬科技。抓住这个机遇，结合市产投集团，推动设立魏县产投基金，探索“管委会+平台+产业基金”招商模式，推动大项目、好项目落户开发区。五是内外联动，全员招商。出台制定开发区全员招商工作办法，成立全员招商领导小组，建立奖励激励机制，周调度、月评比、季通报。同时，重点开展以商招商，联合企业家招商，盯住长三角珠三角、北上广、四川重庆等重点地区，盯住新能源、新材料、再生资源循环利用、食品加工、特种车辆制造及汽车零部件、和高端紧固件六个产业链，加强补链、延链、强链招商，产业集群招商，“串珠成链”“聚链成势”。六定期摸排，建数据库。通过报表、面对面座谈、电话微信联系、走访等方式，围绕“246”产业布局和企业上下游产业、装备制造等主产业链定期摸排、收集汇总，筛选有效信息。</w:t>
      </w:r>
    </w:p>
    <w:p>
      <w:pPr>
        <w:pStyle w:val="插入文本样式-插入实现年度发展规划目标的保障措施文件"/>
      </w:pPr>
      <w:r>
        <w:t xml:space="preserve">（二）项目建设工作。</w:t>
      </w:r>
    </w:p>
    <w:p>
      <w:pPr>
        <w:pStyle w:val="插入文本样式-插入实现年度发展规划目标的保障措施文件"/>
      </w:pPr>
      <w:r>
        <w:t xml:space="preserve">谋项目就是谋发展，谋项目就是谋未来。根据国家、省、市政策，按照县委、县政府要求，开发区积极谋划大项目、谋实好项目，坚持“三个一百天”机制，推进项目建设，打开发展新空间。2025年，谋划大规模设备更新超长期国债项目10个，总投资18.8亿元，拟争取国债资金2.7亿元，目前已全部完成备案，实现入库。谋划包装开发区基础设施改造提升项目4个，计划总投资7.7亿元。谋划工业技改再贷款项目16个，总投资24.8亿元，其中前7个项目通过上级审核，总投资9.13亿元，贷款需求金额4.94亿元。谋划政府专项债项目2个【经济开发区新型基础设施建设项目】，总投资为1.25亿元。【魏县智能制造产业新质生产力产业园区配套基础设施建设项目】，总投资2.32亿元，该项目的实施可以助力提升魏县开发区基础设施水平，进一步优化园区生产企业营商环境，助推魏县经济建设发展。</w:t>
      </w:r>
    </w:p>
    <w:p>
      <w:pPr>
        <w:pStyle w:val="插入文本样式-插入实现年度发展规划目标的保障措施文件"/>
      </w:pPr>
      <w:r>
        <w:t xml:space="preserve">三项重点工作，即经济运行、清僵治瘫、科技创新。</w:t>
      </w:r>
    </w:p>
    <w:p>
      <w:pPr>
        <w:pStyle w:val="插入文本样式-插入实现年度发展规划目标的保障措施文件"/>
      </w:pPr>
      <w:r>
        <w:t xml:space="preserve">（一）经济运行工作。</w:t>
      </w:r>
    </w:p>
    <w:p>
      <w:pPr>
        <w:pStyle w:val="插入文本样式-插入实现年度发展规划目标的保障措施文件"/>
      </w:pPr>
      <w:r>
        <w:t xml:space="preserve">2024年规上企业入统任务10家，目前符合入统条件企业12家，已完成入统企业6家，分别是兆通型钢、远景能源、和赢电气、祥纬管道、恒达金属、中信博；已达到入统条件的企业6家，分别是安达清洁环卫、银燕电器、永丰二锅头、伊特克斯、玉康发动机、铭一散热器，其中安达清洁环卫、银燕电器入统材料已准备完善，上报市统计局，永丰二锅头、伊特克斯、玉康发动机、铭一散热器等4家企业正在准备入统材料，待2025年1月份入统。截至目前，对上考核规上企业数量达到66家，1-11月份实现营业收入97.01亿元（12月份数据于1月20日出数）。</w:t>
      </w:r>
    </w:p>
    <w:p>
      <w:pPr>
        <w:pStyle w:val="插入文本样式-插入实现年度发展规划目标的保障措施文件"/>
      </w:pPr>
      <w:r>
        <w:t xml:space="preserve">2025年，加大力度梳理园区内企业生产经营情况，将2024年营业收入临近入统标准和2025年新投产且有望达到入统标准的企业作为本年度入规重点培育对象，建立培育库重点跟踪，预计突破100亿元。重点了解其生产经营情况，积极帮助协调解决生产过程中存在的问题。通过对目标企业制定推进计划、对拟培育入统企业下发提示函等措施，助推企业升规入统。2025年拟培育入统规上企业6家，重点培育入统企业15家，分别是北京二锅头、伊特克斯、玉康、铭一、亿合铸、弘越电器、松泽建材、九通仪器、天舒热处理、天众纺织、鹏浩金属、鲜沣汽车、立韩科技、华科利健、恺德金属。</w:t>
      </w:r>
    </w:p>
    <w:p>
      <w:pPr>
        <w:pStyle w:val="插入文本样式-插入实现年度发展规划目标的保障措施文件"/>
      </w:pPr>
      <w:r>
        <w:t xml:space="preserve">（二）清僵治瘫工作。</w:t>
      </w:r>
    </w:p>
    <w:p>
      <w:pPr>
        <w:pStyle w:val="插入文本样式-插入实现年度发展规划目标的保障措施文件"/>
      </w:pPr>
      <w:r>
        <w:t xml:space="preserve">1.低效企业治理。坚持亩均效益论英雄理念，推进低效企业治理，2024年税收在1万元以下的低效企业19家，分别是①邯郸协力五金科技有限公司、②河北中车陆星防松技术有限公司、③邯郸市克斯曼科技开发有限公司、④河北信诚金属制品有限公司、 ⑤诺贝尔制药（邯郸）有限公司、⑥河北堡康新材料有限公司、⑦河北恒迪新能源汽车制造有限公司、⑧河北欧莱德光电材料科技有限公司、⑨河北伊戈尔环境技术有限公司、⑩邯郸亿美建筑材料科技有限公司、⑪魏县广盛德五金制品有限公司、 ⑫河北精诚九通流量仪器科技有限公司、⑬河北华海药业有限公司、⑭华科利健（河北）实业有限公司、⑮河北亿鑫模塑有限公司、⑯河北多电智能科技发展有限公司、⑰河北澳涛智能科技发展有限责任公司、⑱邯郸起禾医疗科技有限责任公司、⑲魏县龙工厂跨境电子商务有限公司。2025年拟清退5家，分别是①邯郸亿美建筑材料科技有限公司、②河北亿鑫模塑有限公司、③河北多电智能科技发展有限公司、 ④河北澳涛智能科技发展有限责任公司、⑤邯郸起禾医疗科技有限责任公司；整改提升14家，分别是①邯郸协力五金科技有限公司、②河北中车陆星防松技术有限公司、③邯郸市克斯曼科技开发有限公司、④河北信诚金属制品有限公司、 ⑤诺贝尔制药（邯郸）有限公司、⑥河北堡康新材料有限公司、⑦河北恒迪新能源汽车制造有限公司、⑧河北欧莱德光电材料科技有限公司、⑨河北伊戈尔环境技术有限公司、⑩魏县广盛德五金制品有限公司、 ⑪河北精诚九通流量仪器科技有限公司、⑫河北华海药业有限公司、⑬华科利健（河北）实业有限公司、⑭魏县龙工厂跨境电子商务有限公司。</w:t>
      </w:r>
    </w:p>
    <w:p>
      <w:pPr>
        <w:pStyle w:val="插入文本样式-插入实现年度发展规划目标的保障措施文件"/>
      </w:pPr>
      <w:r>
        <w:t xml:space="preserve">后期加大盘活力度，对因暂时困难或其他原因，税收暂时为零且有提升空间的企业，帮助企业纾困解难，实现正常税收。加大清退力度，对企业市场前景不看好，产品市场无希望的企业，坚决予以清退，为开发区高质量发展扫清障碍，提高开发区企业质量。</w:t>
      </w:r>
    </w:p>
    <w:p>
      <w:pPr>
        <w:pStyle w:val="插入文本样式-插入实现年度发展规划目标的保障措施文件"/>
      </w:pPr>
      <w:r>
        <w:t xml:space="preserve">2.“五未”土地治理。2024年共盘活土地218亩（2021年以来累计收回2017亩），进一步优化了资源配置，为新上项目提供了宝贵空间。对项目用地共组卷4宗12个地块，总面积741.0645亩，批复741.0645亩，无一新征土地，实现了土地集约高效利用。</w:t>
      </w:r>
    </w:p>
    <w:p>
      <w:pPr>
        <w:pStyle w:val="插入文本样式-插入实现年度发展规划目标的保障措施文件"/>
      </w:pPr>
      <w:r>
        <w:t xml:space="preserve">2025年持续开展供而未用、用而未建、建而未全、全而未投、投而未效为主要内容的“五未土地”治理工作，坚持“1234”供地标准，严格实施《魏县工业用地“标准地+承诺制”改革方案》，力争收回盘活闲置土地200余亩（主要为王派厂区约45亩、德友约50亩、富盈约20亩、中化约30亩、中科莱特约30亩、诺丹约30亩）。</w:t>
      </w:r>
    </w:p>
    <w:p>
      <w:pPr>
        <w:pStyle w:val="插入文本样式-插入实现年度发展规划目标的保障措施文件"/>
      </w:pPr>
      <w:r>
        <w:t xml:space="preserve">（三）科技创新工作。</w:t>
      </w:r>
    </w:p>
    <w:p>
      <w:pPr>
        <w:pStyle w:val="插入文本样式-插入实现年度发展规划目标的保障措施文件"/>
      </w:pPr>
      <w:r>
        <w:t xml:space="preserve">深入实施创新驱动战略，加速科技成果转化，增强技术创新和新产品开发能力，全力推进以企业为主体、市场为导向，园区整体科技创新能力不断提升，其中凯盛君恒有限公司荣获第十二届河北省创新创业大赛决赛一等奖，邯郸市唯一；晶通建筑被认定为市级工业设计中心；宗申戈梅利成功入围《河北省重点领域首台（套）重大技术装备产品公告目录（2024年版）》；品融科技升级B级研发机构；中科利君建立C级研发机构。2024年开发区完成新增认定省级专精特新企业8家，累计 35 家；河北省创新型中小企业9家，累计 44 家；新增集群“领跑者”中小企业2家，分别为晶通建筑和鸣仁橡胶，累计 4 家；新增“单项冠军”企业1家，为沃茵环保，累计 3 家；第一批新增认定高新技术企业3家，分别为腾鑫体育、中普、凯诺制药，累计46家；认定国家科技型中小企业48家。</w:t>
      </w:r>
    </w:p>
    <w:p>
      <w:pPr>
        <w:pStyle w:val="插入文本样式-插入实现年度发展规划目标的保障措施文件"/>
      </w:pPr>
      <w:r>
        <w:t xml:space="preserve">2025年力争完高新技术企业5家、省级孵化器1家、专精特新企业3家、领跑者企业1家、单项冠军企业1家、小巨人企业完成申报1家。</w:t>
      </w:r>
    </w:p>
    <w:p>
      <w:pPr>
        <w:pStyle w:val="插入文本样式-插入实现年度发展规划目标的保障措施文件"/>
      </w:pPr>
      <w:r>
        <w:t xml:space="preserve">六项行动，即晋位升级行动、“一县一特”兴企行动、金融助企行动、电商兴企行动、人才活企行动、基金助企行动。</w:t>
      </w:r>
    </w:p>
    <w:p>
      <w:pPr>
        <w:pStyle w:val="插入文本样式-插入实现年度发展规划目标的保障措施文件"/>
      </w:pPr>
      <w:r>
        <w:t xml:space="preserve">（一）晋位升级行动。目前，省开发区专项考核已取消，我们将密切关注省商务厅新的考核评价办法，未雨绸缪，摸准考核指标体系，研判魏县开发区排位，明确努力方向，锻长板，补短板，强弱项，继续留A，并奋力争先。</w:t>
      </w:r>
    </w:p>
    <w:p>
      <w:pPr>
        <w:pStyle w:val="插入文本样式-插入实现年度发展规划目标的保障措施文件"/>
      </w:pPr>
      <w:r>
        <w:t xml:space="preserve">（二）“一县一特”兴企行动。围绕我县“一县一特”发展思路，聚力打造特种车辆制造及汽车零部件产业作为特色产业集群。一是加大招商引资力度，围绕“一县一特”产业，通过产业链招商、线上招商、全员招商，以商招商、外派招商、聘请企业顾问招商等形式，引进一批特种车辆制造及零部件行业央企二三级子公司、大型企业集团、链主企业。二是加大培育头部企业力度，引导中普精密制造、恒昇机械、宗申戈梅利、德友精工等现有优势企业，开发新产品、拓展新市场，积极争取国家、省、市专项支持政策，全力为企业争取奖补资金，充分利用超长期国债、设备更新和技术改造再贷款政策，抢抓机遇上项目，争取资金支持。同时，把孵化基地打造成电商基地，招引知名电商企业团队入驻开发区，让电商企业与工业品的销售相结合，为工业品流通开辟新路径。三是加大金融赋能力度，联合金融机构，在原有产业集群贷的基础上，开发新的金融产品，申报专用汽车零部件产业集群被省工信厅认定为省级中小企业产业集群贷，竭尽全力结合各金融机构做好金融服务工作，助力县域经济快速发展。</w:t>
      </w:r>
    </w:p>
    <w:p>
      <w:pPr>
        <w:pStyle w:val="插入文本样式-插入实现年度发展规划目标的保障措施文件"/>
      </w:pPr>
      <w:r>
        <w:t xml:space="preserve">（三）金融助企行动。定期摸排企业融资需求，特别是开发区内高新技术企业、专精特新企业，主动对接农业银行、建设银行、邮储银行、河北银行等11家金融机构，做供需双方的“牵线人”，推动资金供需双方更深入的了解和更直接的交流，有效缓解了“企业缺钱贷不到、银行有钱放不出”的难题。今年以来，累计开展各类政银企对接活动20余次，为企业和重点项目提供融资支持。截至目前，帮助39家企业获得贷款4.3亿元。2025年持续深入企业一线，深入摸排企业融资需求，协调组织金融机构深入企业一线开展“一对一”和“多对一”金融服务。</w:t>
      </w:r>
    </w:p>
    <w:p>
      <w:pPr>
        <w:pStyle w:val="插入文本样式-插入实现年度发展规划目标的保障措施文件"/>
      </w:pPr>
      <w:r>
        <w:t xml:space="preserve">（四）电商兴企行动。结合开发区电商产业园，推进工业企业利用电商拓展市场，实施跨境电商带动活动，复制跨境电商综合试验区成熟经验做法，以重庆大龙网、乾帆出海、魏莱公司等企业为依托，引导传统生产型外贸企业，贸易型外贸企业、服务型外贸企业转变观念，拓展线上销售渠道，利用大数据、互联网营销等手段，提升产品国际市场竞争力和品牌影响力，推动开发区产品出口销售增长。</w:t>
      </w:r>
    </w:p>
    <w:p>
      <w:pPr>
        <w:pStyle w:val="插入文本样式-插入实现年度发展规划目标的保障措施文件"/>
      </w:pPr>
      <w:r>
        <w:t xml:space="preserve">（五）人才活企行动。按照高层次人才、十万学子进邯郸和邯郸人才政策3.0等人才政策，加强与高校、科研机构合作，开发区建立人才工作站，组织企业参加人才招聘会、高端人才洽谈会等活动，为企业引进急需的经营管理、技术研发、市场营销等各类人才，落实人才服务保障体系，解决人才住房、子女教育、科研奖励、补贴补助等后顾之忧，确保人才引得进、留得住、用得好。</w:t>
      </w:r>
    </w:p>
    <w:p>
      <w:pPr>
        <w:pStyle w:val="插入文本样式-插入实现年度发展规划目标的保障措施文件"/>
      </w:pPr>
      <w:r>
        <w:t xml:space="preserve">（六）基金帮企行动。一是探索打造“管委会+平台公司+产投基金”招商模式。（管委会为魏县经济开发区管委会；平台为魏县开发投资有限公司；产业基金为国投创益基金）。此招商模式既能助力老企业增资扩能、发展壮大，又能助力招引新项目落地。二是推动设立全县产投基金。起草《魏县关于成立新能源产业基金的报告》，加强与市产投集团和国投创益基金对接联系和洽谈，积极推动成立产投基金。三是由县政府召集金融办、财政、发改、工企中心、开发区、各银行金融机构等，联系第三方金融平台，研究出台“魏县产业基金投资管理办法”，对资金来源、资本引导运作及风险防范、投资方向、运作平台、运作模式、返投要求、容错机制、考核评价、退出机制等进行明确，并成立领导小组，建立健全组织机构。</w:t>
      </w:r>
    </w:p>
    <w:p>
      <w:pPr>
        <w:pStyle w:val="插入文本样式-插入实现年度发展规划目标的保障措施文件"/>
      </w:pPr>
      <w:r>
        <w:t xml:space="preserve">五项保障，即党建引领、基础设施、营商环境、深化改革、安全环保。</w:t>
      </w:r>
    </w:p>
    <w:p>
      <w:pPr>
        <w:pStyle w:val="插入文本样式-插入实现年度发展规划目标的保障措施文件"/>
      </w:pPr>
      <w:r>
        <w:t xml:space="preserve">（一）党建引领。坚持党建引领，加强非公党建建设，扎实开展“三会一课”，开展主题实践和主题党日活动，在去年去焦裕禄纪念馆的基础上，今年7月1日，再赴焦裕禄纪念馆参观学习，持续深入学习焦裕禄精神，用焦裕禄精神指导开发区党建工作，打造开发区非公党建的“四面红旗”。</w:t>
      </w:r>
    </w:p>
    <w:p>
      <w:pPr>
        <w:pStyle w:val="插入文本样式-插入实现年度发展规划目标的保障措施文件"/>
      </w:pPr>
      <w:r>
        <w:t xml:space="preserve">（二）基础设施。一是加强开发区基础设施管理、维护、运行工作，加大协调推进力度，开工建设天泽路西延工程、益民路东延工程、敬业大街南延工程、民康路新建工程，提高开发区道路交通便利性；二是编制绿色开发区建设规划，加大绿化投入，合理布局绿地景观，推进企业厂区绿化美化，加强生态环境保护和治理，完善基础设施配套，打造宜居宜业的园林式开发区，提升园区形象和吸引力。三是探索建设零碳园区。加大招商力度，尤其加大对国电、华能等具有新能源投资意向的公司加强沟通，引进社会资本，对开发区进行整体设计，分部实施推进，优化能源结构，提高能源利用效率。依托开发区路灯、厂房、绿地等安装微风发电及太阳能板发电设施，推进源网储一体化，建设园区微电网，提高电网对清洁能源的调控和消纳能力，实现能源的自给自足和余缺互补；利用工业余热、垃圾发电燃烧蒸汽等，通过能源管理系统对园区的能源消耗进行实时监测和管理，实现能源的优化配置和高效利用。积极谋划确定建设地块、位置，依托开发区开投公司出资收储所需地块，与资本公司进行合作，实现互利共赢。四是持续督促指导开发区企业对厂区、办公楼、车间等外立面修缮，使开发区整体形象再提升。</w:t>
      </w:r>
    </w:p>
    <w:p>
      <w:pPr>
        <w:pStyle w:val="插入文本样式-插入实现年度发展规划目标的保障措施文件"/>
      </w:pPr>
      <w:r>
        <w:t xml:space="preserve">（三）营商环境。严格执行县委、县政府优化营商环境的“黄金十二条”、《关于弘扬企业家精神进一步支持企业家干事创业的二十条措施》等政策措施，积极配合业务执法部门开展主动上门服务，用实际行动践行了向企业作出的“无事不扰、有事必到”的庄严服务承诺。进一步优化审批事项清单，争取实现企业全生命周期审批全面承接，并且协调金融、保险等部门进驻大厅，真正做到开发区企业办事“不出区”，助力“邯郸办事不用跑”。</w:t>
      </w:r>
    </w:p>
    <w:p>
      <w:pPr>
        <w:pStyle w:val="插入文本样式-插入实现年度发展规划目标的保障措施文件"/>
      </w:pPr>
      <w:r>
        <w:t xml:space="preserve">（四）深化改革。1.深化人事体制改革。按照《关于优化完善开发区机构编制、干部人事管理和人员薪酬待遇制度的意见》（冀编办发〔2022〕13号）和《关于做好开发区党工委管委会内设机构人事管理工作的指导意见（试行）》（冀人社字〔2023〕26号）文件精神，结合我县实际，已制定中共魏县县委、魏县人民政府《关于做好经济开发区党工委管委会内设机构人事管理工作实施方案》，深化开发区人事机构管理和薪酬制度改革。河北魏县经济开发区党工委管委会内设机构中业务主办分4个层级，由高到低依次为三级业务主办、四级业务主办、五级业务主办、六级业务主办。三级业务主办不超过基数的3%，核定1个;四级业务主办不超过基数的15%，核定6个;五级、六级业务主办可统筹使用，已完成初聘工作。</w:t>
      </w:r>
    </w:p>
    <w:p>
      <w:pPr>
        <w:pStyle w:val="插入文本样式-插入实现年度发展规划目标的保障措施文件"/>
      </w:pPr>
      <w:r>
        <w:t xml:space="preserve">2.推进薪酬制度改革。参照《邯郸经济技术开发区薪酬制度改革实施办法（实行）》，我县于2024年8月8日魏县第十七届人民政府第42次常务会会议研究通过，《魏县经济开发区薪酬制度改革实施办法（实行）》的通知，各级业务主办薪酬水平根据上年度县直公务员人均工资水平、岗位系数和岗位人数等因素测算。岗位系数体现岗位职务、级别、岗位价值和责任大小，各岗位可设置0.8至1.5的岗位系数。2025年继续深化薪酬制度改革，打造人人向往的开发区。</w:t>
      </w:r>
    </w:p>
    <w:p>
      <w:pPr>
        <w:pStyle w:val="插入文本样式-插入实现年度发展规划目标的保障措施文件"/>
      </w:pPr>
      <w:r>
        <w:t xml:space="preserve">3.探索开发区财政体制改革。进一步健全开发区财政机构，完善独立财政核算制度，合理划分经济开发区与县政府的财政事权和支出责任，明确财政收入划分体制和财政支出责任承担机制，县级财政适当提高对经济开发区的财政支持力度。经济开发区财政局负责开发区内财政收支预算、决算的编制及预算执行管理，负责开发区范围内的国有资产管理和财政监督工作，负责辖区内国家财经法规及会计制度的贯彻落实，并制定管委会内部各项财务制度，加强开发区内企业税收征管。县经开发区在单独设立金库前，统一由县级国库代理开发区国库职能。</w:t>
      </w:r>
    </w:p>
    <w:p>
      <w:pPr>
        <w:pStyle w:val="插入文本样式-插入实现年度发展规划目标的保障措施文件"/>
      </w:pPr>
      <w:r>
        <w:t xml:space="preserve">（五）安全稳定。</w:t>
      </w:r>
    </w:p>
    <w:p>
      <w:pPr>
        <w:pStyle w:val="插入文本样式-插入实现年度发展规划目标的保障措施文件"/>
      </w:pPr>
      <w:r>
        <w:t xml:space="preserve">1.安全生产。健全安全文明生产监管机制，加强安全生产培训与宣传教育，开展安全隐患排查整治专项行动，督促企业落实安全生产主体责任，完善安全管理制度和操作规程，加强文明生产标准化建设，营造安全稳定、文明和谐的生产环境。</w:t>
      </w:r>
    </w:p>
    <w:p>
      <w:pPr>
        <w:pStyle w:val="插入文本样式-插入实现年度发展规划目标的保障措施文件"/>
      </w:pPr>
      <w:r>
        <w:t xml:space="preserve">2.信访稳定。一是法治化建设‌。按照‌信访工作的“五个法治化”和“四个到位”要求，依法推进信访工作法治化建设，提高工作效率和质量， ‌‌解决群众合理诉求，最大限度化解矛盾纠纷，保障信访人的合法权益，维护社会和谐稳定。二是源头治理。健全信访矛盾纠纷快排快处机制，防范因重大事项引发的信访问题。三是积案化解。持续增强化解积案力度，拓宽化解力量和渠道。四是做好信访隐患排查调解。开展信访网格化服务管理，确保信访工作的高效运行和精准管理；推进多方调解，整合多方资源，提高调解效率和效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3.环保工作。2024年联合县环保局多次对园区内企业进行隐患排查，对查处存在隐患问题的6家企业，进行整改到位；聘请有资质的第三方对园区涉水企业及进出口水质取水检测；协调环保设施运维公司多次对开发区空气检测站点进行维护。聘请环境咨询公司，编写完成《魏县经济开发区突发环境应急预案》和《规划环评跟踪检测》。2025年，开发区持续对在建项目严格按照“六个百分之百”标准执行管理，发现问题及时处理及时解决；对散乱污企业整改工作中做到铁腕亮剑、无私无畏，彻底清除污染隐患。持续大力度协调县环保执法队加大监管指导力度，确保开发区污水处理厂、垃圾处理站及各企业环保设施高效运行，保证开发区的良好生态环境质量；积极推广绿色建筑和节能技术，促进可持续发展，保持开发区一片碧空蓝天。</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1、经济开发区财政体制改革补助绩效目标表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经济开发区财政体制改革补助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根据省开发区改革意见，此项费用用于开发区日常办公、人员费用、业务委托、招商活动开展、基础设施维护等费用支出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1.按照开发区职能职责，需开展园区内基础设施的维修维护、人员绩效发放、人才培训、招商引资、第三方业务等公务活动，确保开发区管理水平提升和日常业务运行，促进开发区高质量发展。共需资金350万元。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招商活动开展次数</w:t>
            </w:r>
          </w:p>
        </w:tc>
        <w:tc>
          <w:tcPr>
            <w:tcW w:w="5386" w:type="dxa"/>
            <w:vAlign w:val="center"/>
          </w:tcPr>
          <w:p>
            <w:pPr>
              <w:pStyle w:val="单元格样式2"/>
            </w:pPr>
            <w:r>
              <w:t xml:space="preserve">外出招商活动开展次数</w:t>
            </w:r>
          </w:p>
        </w:tc>
        <w:tc>
          <w:tcPr>
            <w:tcW w:w="2268" w:type="dxa"/>
            <w:vAlign w:val="center"/>
          </w:tcPr>
          <w:p>
            <w:pPr>
              <w:pStyle w:val="单元格样式2"/>
            </w:pPr>
            <w:r>
              <w:t xml:space="preserve">≥12次</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招商活动开展合规率</w:t>
            </w:r>
          </w:p>
        </w:tc>
        <w:tc>
          <w:tcPr>
            <w:tcW w:w="5386" w:type="dxa"/>
            <w:vAlign w:val="center"/>
          </w:tcPr>
          <w:p>
            <w:pPr>
              <w:pStyle w:val="单元格样式2"/>
            </w:pPr>
            <w:r>
              <w:t xml:space="preserve">招商活动开展合规率</w:t>
            </w:r>
          </w:p>
        </w:tc>
        <w:tc>
          <w:tcPr>
            <w:tcW w:w="2268" w:type="dxa"/>
            <w:vAlign w:val="center"/>
          </w:tcPr>
          <w:p>
            <w:pPr>
              <w:pStyle w:val="单元格样式2"/>
            </w:pPr>
            <w:r>
              <w:t xml:space="preserve">100%</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基础设施维护及时率</w:t>
            </w:r>
          </w:p>
        </w:tc>
        <w:tc>
          <w:tcPr>
            <w:tcW w:w="5386" w:type="dxa"/>
            <w:vAlign w:val="center"/>
          </w:tcPr>
          <w:p>
            <w:pPr>
              <w:pStyle w:val="单元格样式2"/>
            </w:pPr>
            <w:r>
              <w:t xml:space="preserve">基础设施维护及时率</w:t>
            </w:r>
          </w:p>
        </w:tc>
        <w:tc>
          <w:tcPr>
            <w:tcW w:w="2268" w:type="dxa"/>
            <w:vAlign w:val="center"/>
          </w:tcPr>
          <w:p>
            <w:pPr>
              <w:pStyle w:val="单元格样式2"/>
            </w:pPr>
            <w:r>
              <w:t xml:space="preserve">≥98%</w:t>
            </w:r>
          </w:p>
        </w:tc>
        <w:tc>
          <w:tcPr>
            <w:tcW w:w="1276" w:type="dxa"/>
            <w:vAlign w:val="center"/>
          </w:tcPr>
          <w:p>
            <w:pPr>
              <w:pStyle w:val="单元格样式2"/>
            </w:pPr>
            <w:r>
              <w:t xml:space="preserve">招商引资工作考核结果</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改革补助成本总额</w:t>
            </w:r>
          </w:p>
        </w:tc>
        <w:tc>
          <w:tcPr>
            <w:tcW w:w="5386" w:type="dxa"/>
            <w:vAlign w:val="center"/>
          </w:tcPr>
          <w:p>
            <w:pPr>
              <w:pStyle w:val="单元格样式2"/>
            </w:pPr>
            <w:r>
              <w:t xml:space="preserve">改革补助成本总额</w:t>
            </w:r>
          </w:p>
        </w:tc>
        <w:tc>
          <w:tcPr>
            <w:tcW w:w="2268" w:type="dxa"/>
            <w:vAlign w:val="center"/>
          </w:tcPr>
          <w:p>
            <w:pPr>
              <w:pStyle w:val="单元格样式2"/>
            </w:pPr>
            <w:r>
              <w:t xml:space="preserve">≤350万</w:t>
            </w:r>
          </w:p>
        </w:tc>
        <w:tc>
          <w:tcPr>
            <w:tcW w:w="1276" w:type="dxa"/>
            <w:vAlign w:val="center"/>
          </w:tcPr>
          <w:p>
            <w:pPr>
              <w:pStyle w:val="单元格样式2"/>
            </w:pPr>
            <w:r>
              <w:t xml:space="preserve">招商引资工作考核结果</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vAlign w:val="center"/>
          </w:tcPr>
          <w:p>
            <w:pPr>
              <w:pStyle w:val="单元格样式2"/>
            </w:pPr>
            <w:r>
              <w:t xml:space="preserve">为招商引资提供便利，为居民增收提供条件。</w:t>
            </w:r>
          </w:p>
        </w:tc>
        <w:tc>
          <w:tcPr>
            <w:tcW w:w="2268" w:type="dxa"/>
            <w:vAlign w:val="center"/>
          </w:tcPr>
          <w:p>
            <w:pPr>
              <w:pStyle w:val="单元格样式2"/>
            </w:pPr>
            <w:r>
              <w:t xml:space="preserve">为招商引资提供便利，为居民增收提供条件。</w:t>
            </w:r>
          </w:p>
        </w:tc>
        <w:tc>
          <w:tcPr>
            <w:tcW w:w="1276" w:type="dxa"/>
            <w:vAlign w:val="center"/>
          </w:tcPr>
          <w:p>
            <w:pPr>
              <w:pStyle w:val="单元格样式2"/>
            </w:pPr>
            <w:r>
              <w:t xml:space="preserve">年度营商环境调查问卷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项目带动就业能力</w:t>
            </w:r>
          </w:p>
        </w:tc>
        <w:tc>
          <w:tcPr>
            <w:tcW w:w="5386" w:type="dxa"/>
            <w:vAlign w:val="center"/>
          </w:tcPr>
          <w:p>
            <w:pPr>
              <w:pStyle w:val="单元格样式2"/>
            </w:pPr>
            <w:r>
              <w:t xml:space="preserve">项目带动就业能力</w:t>
            </w:r>
          </w:p>
        </w:tc>
        <w:tc>
          <w:tcPr>
            <w:tcW w:w="2268" w:type="dxa"/>
            <w:vAlign w:val="center"/>
          </w:tcPr>
          <w:p>
            <w:pPr>
              <w:pStyle w:val="单元格样式2"/>
            </w:pPr>
            <w:r>
              <w:t xml:space="preserve">≥1000人</w:t>
            </w:r>
          </w:p>
        </w:tc>
        <w:tc>
          <w:tcPr>
            <w:tcW w:w="1276" w:type="dxa"/>
            <w:vAlign w:val="center"/>
          </w:tcPr>
          <w:p>
            <w:pPr>
              <w:pStyle w:val="单元格样式2"/>
            </w:pPr>
            <w:r>
              <w:t xml:space="preserve">开发区就职人数统计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持续为招商印制提供便利</w:t>
            </w:r>
          </w:p>
        </w:tc>
        <w:tc>
          <w:tcPr>
            <w:tcW w:w="5386" w:type="dxa"/>
            <w:vAlign w:val="center"/>
          </w:tcPr>
          <w:p>
            <w:pPr>
              <w:pStyle w:val="单元格样式2"/>
            </w:pPr>
            <w:r>
              <w:t xml:space="preserve">持续为招商印制提供便利</w:t>
            </w:r>
          </w:p>
        </w:tc>
        <w:tc>
          <w:tcPr>
            <w:tcW w:w="2268" w:type="dxa"/>
            <w:vAlign w:val="center"/>
          </w:tcPr>
          <w:p>
            <w:pPr>
              <w:pStyle w:val="单元格样式2"/>
            </w:pPr>
            <w:r>
              <w:t xml:space="preserve">持续提供</w:t>
            </w:r>
          </w:p>
        </w:tc>
        <w:tc>
          <w:tcPr>
            <w:tcW w:w="1276" w:type="dxa"/>
            <w:vAlign w:val="center"/>
          </w:tcPr>
          <w:p>
            <w:pPr>
              <w:pStyle w:val="单元格样式2"/>
            </w:pPr>
            <w:r>
              <w:t xml:space="preserve">年度营商环境调查问卷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企业的满意度</w:t>
            </w:r>
          </w:p>
        </w:tc>
        <w:tc>
          <w:tcPr>
            <w:tcW w:w="5386" w:type="dxa"/>
            <w:vAlign w:val="center"/>
          </w:tcPr>
          <w:p>
            <w:pPr>
              <w:pStyle w:val="单元格样式2"/>
            </w:pPr>
            <w:r>
              <w:t xml:space="preserve">企业的满意度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年度营商环境调查问卷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2、经济开发区基础设施养护绩效目标表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经济开发区基础设施养护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用于开发区绿化、道路、亮化等基础设施的支出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1.提升开发区整体环境，为入住企业提供完善的基础设施服务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管理区域面积</w:t>
            </w:r>
          </w:p>
        </w:tc>
        <w:tc>
          <w:tcPr>
            <w:tcW w:w="5386" w:type="dxa"/>
            <w:vAlign w:val="center"/>
          </w:tcPr>
          <w:p>
            <w:pPr>
              <w:pStyle w:val="单元格样式2"/>
            </w:pPr>
            <w:r>
              <w:t xml:space="preserve">管理区域面积</w:t>
            </w:r>
          </w:p>
        </w:tc>
        <w:tc>
          <w:tcPr>
            <w:tcW w:w="2268" w:type="dxa"/>
            <w:vAlign w:val="center"/>
          </w:tcPr>
          <w:p>
            <w:pPr>
              <w:pStyle w:val="单元格样式2"/>
            </w:pPr>
            <w:r>
              <w:t xml:space="preserve">≥22.36平方公里</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基础设施验收通过率</w:t>
            </w:r>
          </w:p>
        </w:tc>
        <w:tc>
          <w:tcPr>
            <w:tcW w:w="5386" w:type="dxa"/>
            <w:vAlign w:val="center"/>
          </w:tcPr>
          <w:p>
            <w:pPr>
              <w:pStyle w:val="单元格样式2"/>
            </w:pPr>
            <w:r>
              <w:t xml:space="preserve">基础设施验收通过率</w:t>
            </w:r>
          </w:p>
        </w:tc>
        <w:tc>
          <w:tcPr>
            <w:tcW w:w="2268" w:type="dxa"/>
            <w:vAlign w:val="center"/>
          </w:tcPr>
          <w:p>
            <w:pPr>
              <w:pStyle w:val="单元格样式2"/>
            </w:pPr>
            <w:r>
              <w:t xml:space="preserve">100%</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基础设施养护时间周期</w:t>
            </w:r>
          </w:p>
        </w:tc>
        <w:tc>
          <w:tcPr>
            <w:tcW w:w="5386" w:type="dxa"/>
            <w:vAlign w:val="center"/>
          </w:tcPr>
          <w:p>
            <w:pPr>
              <w:pStyle w:val="单元格样式2"/>
            </w:pPr>
            <w:r>
              <w:t xml:space="preserve">基础设施养护时间周期</w:t>
            </w:r>
          </w:p>
        </w:tc>
        <w:tc>
          <w:tcPr>
            <w:tcW w:w="2268" w:type="dxa"/>
            <w:vAlign w:val="center"/>
          </w:tcPr>
          <w:p>
            <w:pPr>
              <w:pStyle w:val="单元格样式2"/>
            </w:pPr>
            <w:r>
              <w:t xml:space="preserve">≥1年</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预算支出控制成本额</w:t>
            </w:r>
          </w:p>
        </w:tc>
        <w:tc>
          <w:tcPr>
            <w:tcW w:w="5386" w:type="dxa"/>
            <w:vAlign w:val="center"/>
          </w:tcPr>
          <w:p>
            <w:pPr>
              <w:pStyle w:val="单元格样式2"/>
            </w:pPr>
            <w:r>
              <w:t xml:space="preserve">预算支出控制成本额</w:t>
            </w:r>
          </w:p>
        </w:tc>
        <w:tc>
          <w:tcPr>
            <w:tcW w:w="2268" w:type="dxa"/>
            <w:vAlign w:val="center"/>
          </w:tcPr>
          <w:p>
            <w:pPr>
              <w:pStyle w:val="单元格样式2"/>
            </w:pPr>
            <w:r>
              <w:t xml:space="preserve">≤900万</w:t>
            </w:r>
          </w:p>
        </w:tc>
        <w:tc>
          <w:tcPr>
            <w:tcW w:w="1276" w:type="dxa"/>
            <w:vAlign w:val="center"/>
          </w:tcPr>
          <w:p>
            <w:pPr>
              <w:pStyle w:val="单元格样式2"/>
            </w:pPr>
            <w:r>
              <w:t xml:space="preserve">协议约定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促进生态文明建设，推动绿色开发区的建设</w:t>
            </w:r>
          </w:p>
        </w:tc>
        <w:tc>
          <w:tcPr>
            <w:tcW w:w="5386" w:type="dxa"/>
            <w:vAlign w:val="center"/>
          </w:tcPr>
          <w:p>
            <w:pPr>
              <w:pStyle w:val="单元格样式2"/>
            </w:pPr>
            <w:r>
              <w:t xml:space="preserve">促进生态文明建设，推动绿色开发区的建设</w:t>
            </w:r>
          </w:p>
        </w:tc>
        <w:tc>
          <w:tcPr>
            <w:tcW w:w="2268" w:type="dxa"/>
            <w:vAlign w:val="center"/>
          </w:tcPr>
          <w:p>
            <w:pPr>
              <w:pStyle w:val="单元格样式2"/>
            </w:pPr>
            <w:r>
              <w:t xml:space="preserve">有效促进开发区提档升级</w:t>
            </w:r>
          </w:p>
        </w:tc>
        <w:tc>
          <w:tcPr>
            <w:tcW w:w="1276" w:type="dxa"/>
            <w:vAlign w:val="center"/>
          </w:tcPr>
          <w:p>
            <w:pPr>
              <w:pStyle w:val="单元格样式2"/>
            </w:pPr>
            <w:r>
              <w:t xml:space="preserve">协议约定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通过基础设施的维护升级，为入住企业提供完善的基础设施服务</w:t>
            </w:r>
          </w:p>
        </w:tc>
        <w:tc>
          <w:tcPr>
            <w:tcW w:w="5386" w:type="dxa"/>
            <w:vAlign w:val="center"/>
          </w:tcPr>
          <w:p>
            <w:pPr>
              <w:pStyle w:val="单元格样式2"/>
            </w:pPr>
            <w:r>
              <w:t xml:space="preserve">通过基础设施的维护升级，为入住企业提供完善的基础设施服务</w:t>
            </w:r>
          </w:p>
        </w:tc>
        <w:tc>
          <w:tcPr>
            <w:tcW w:w="2268" w:type="dxa"/>
            <w:vAlign w:val="center"/>
          </w:tcPr>
          <w:p>
            <w:pPr>
              <w:pStyle w:val="单元格样式2"/>
            </w:pPr>
            <w:r>
              <w:t xml:space="preserve">有效提升开发区营商环境，吸引企业投资兴业</w:t>
            </w:r>
          </w:p>
        </w:tc>
        <w:tc>
          <w:tcPr>
            <w:tcW w:w="1276" w:type="dxa"/>
            <w:vAlign w:val="center"/>
          </w:tcPr>
          <w:p>
            <w:pPr>
              <w:pStyle w:val="单元格样式2"/>
            </w:pPr>
            <w:r>
              <w:t xml:space="preserve">协议约定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3、开发区人事薪酬改革绩效工资发放绩效目标表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13043425P00429510002T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开发区人事薪酬改革绩效工资发放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141.37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141.37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用于开发区人员绩效工资发放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1.根据省市要求，积极推进开发区人事薪酬改革到位，在省市对县考核中取得优异成绩。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绩效发放人数</w:t>
            </w:r>
          </w:p>
        </w:tc>
        <w:tc>
          <w:tcPr>
            <w:tcW w:w="5386" w:type="dxa"/>
            <w:vAlign w:val="center"/>
          </w:tcPr>
          <w:p>
            <w:pPr>
              <w:pStyle w:val="单元格样式2"/>
            </w:pPr>
            <w:r>
              <w:t xml:space="preserve">绩效发放人数</w:t>
            </w:r>
          </w:p>
        </w:tc>
        <w:tc>
          <w:tcPr>
            <w:tcW w:w="2268" w:type="dxa"/>
            <w:vAlign w:val="center"/>
          </w:tcPr>
          <w:p>
            <w:pPr>
              <w:pStyle w:val="单元格样式2"/>
            </w:pPr>
            <w:r>
              <w:t xml:space="preserve">≥28人</w:t>
            </w:r>
          </w:p>
        </w:tc>
        <w:tc>
          <w:tcPr>
            <w:tcW w:w="1276" w:type="dxa"/>
            <w:vAlign w:val="center"/>
          </w:tcPr>
          <w:p>
            <w:pPr>
              <w:pStyle w:val="单元格样式2"/>
            </w:pPr>
            <w:r>
              <w:t xml:space="preserve">开发区在职在编数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绩效工资发放合规率</w:t>
            </w:r>
          </w:p>
        </w:tc>
        <w:tc>
          <w:tcPr>
            <w:tcW w:w="5386" w:type="dxa"/>
            <w:vAlign w:val="center"/>
          </w:tcPr>
          <w:p>
            <w:pPr>
              <w:pStyle w:val="单元格样式2"/>
            </w:pPr>
            <w:r>
              <w:t xml:space="preserve">绩效工资发放合规率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绩效工资发放及时率</w:t>
            </w:r>
          </w:p>
        </w:tc>
        <w:tc>
          <w:tcPr>
            <w:tcW w:w="5386" w:type="dxa"/>
            <w:vAlign w:val="center"/>
          </w:tcPr>
          <w:p>
            <w:pPr>
              <w:pStyle w:val="单元格样式2"/>
            </w:pPr>
            <w:r>
              <w:t xml:space="preserve">绩效工资发放及时率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实际发放成本控制</w:t>
            </w:r>
          </w:p>
        </w:tc>
        <w:tc>
          <w:tcPr>
            <w:tcW w:w="5386" w:type="dxa"/>
            <w:vAlign w:val="center"/>
          </w:tcPr>
          <w:p>
            <w:pPr>
              <w:pStyle w:val="单元格样式2"/>
            </w:pPr>
            <w:r>
              <w:t xml:space="preserve">实际发放成本控制</w:t>
            </w:r>
          </w:p>
        </w:tc>
        <w:tc>
          <w:tcPr>
            <w:tcW w:w="2268" w:type="dxa"/>
            <w:vAlign w:val="center"/>
          </w:tcPr>
          <w:p>
            <w:pPr>
              <w:pStyle w:val="单元格样式2"/>
            </w:pPr>
            <w:r>
              <w:t xml:space="preserve">≤141.36万</w:t>
            </w:r>
          </w:p>
        </w:tc>
        <w:tc>
          <w:tcPr>
            <w:tcW w:w="1276" w:type="dxa"/>
            <w:vAlign w:val="center"/>
          </w:tcPr>
          <w:p>
            <w:pPr>
              <w:pStyle w:val="单元格样式2"/>
            </w:pPr>
            <w:r>
              <w:t xml:space="preserve">年度决算表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促进人员积极性</w:t>
            </w:r>
          </w:p>
        </w:tc>
        <w:tc>
          <w:tcPr>
            <w:tcW w:w="5386" w:type="dxa"/>
            <w:vAlign w:val="center"/>
          </w:tcPr>
          <w:p>
            <w:pPr>
              <w:pStyle w:val="单元格样式2"/>
            </w:pPr>
            <w:r>
              <w:t xml:space="preserve">促进人员工作积极性</w:t>
            </w:r>
          </w:p>
        </w:tc>
        <w:tc>
          <w:tcPr>
            <w:tcW w:w="2268" w:type="dxa"/>
            <w:vAlign w:val="center"/>
          </w:tcPr>
          <w:p>
            <w:pPr>
              <w:pStyle w:val="单元格样式2"/>
            </w:pPr>
            <w:r>
              <w:t xml:space="preserve">有效促进</w:t>
            </w:r>
          </w:p>
        </w:tc>
        <w:tc>
          <w:tcPr>
            <w:tcW w:w="1276" w:type="dxa"/>
            <w:vAlign w:val="center"/>
          </w:tcPr>
          <w:p>
            <w:pPr>
              <w:pStyle w:val="单元格样式2"/>
            </w:pPr>
            <w:r>
              <w:t xml:space="preserve">绩效考核办法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显著提高</w:t>
            </w:r>
          </w:p>
        </w:tc>
        <w:tc>
          <w:tcPr>
            <w:tcW w:w="1276" w:type="dxa"/>
            <w:vAlign w:val="center"/>
          </w:tcPr>
          <w:p>
            <w:pPr>
              <w:pStyle w:val="单元格样式2"/>
            </w:pPr>
            <w:r>
              <w:t xml:space="preserve">年度考核</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发放人员满意度</w:t>
            </w:r>
          </w:p>
        </w:tc>
        <w:tc>
          <w:tcPr>
            <w:tcW w:w="5386" w:type="dxa"/>
            <w:vAlign w:val="center"/>
          </w:tcPr>
          <w:p>
            <w:pPr>
              <w:pStyle w:val="单元格样式2"/>
            </w:pPr>
            <w:r>
              <w:t xml:space="preserve">发放人员满意度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年度调查问卷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河北魏县经济开发区管理委员会（含所属单位）上年末固定资产金额为249.30万元（详见下表）。本年度拟购置固定资产总额为0.00万元，已按要求列入政府采购预算，详见政府采购预算表。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976河北魏县经济开发区管理委员会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249.30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799</w:t>
            </w:r>
          </w:p>
        </w:tc>
        <w:tc>
          <w:tcPr>
            <w:tcW w:w="2835" w:type="dxa"/>
            <w:vAlign w:val="center"/>
          </w:tcPr>
          <w:p>
            <w:pPr>
              <w:pStyle w:val="单元格样式4"/>
            </w:pPr>
            <w:r>
              <w:t xml:space="preserve">249.30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2025-02-21T08:34:42Z</dcterms:created>
  <dcterms:modified xsi:type="dcterms:W3CDTF">2025-02-21T08:34:42Z</dcterms:modified>
</cp:coreProperties>
</file>