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1755.23</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1607.76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129.86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17.61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1755.23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1755.23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1755.23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1755.23</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1755.23</w:t>
            </w:r>
          </w:p>
        </w:tc>
        <w:tc>
          <w:tcPr>
            <w:tcW w:w="1134" w:type="dxa"/>
            <w:vAlign w:val="center"/>
          </w:tcPr>
          <w:p>
            <w:pPr>
              <w:pStyle w:val="单元格样式7"/>
            </w:pPr>
            <w:r>
              <w:t xml:space="preserve">1755.23</w:t>
            </w:r>
          </w:p>
        </w:tc>
        <w:tc>
          <w:tcPr>
            <w:tcW w:w="1134" w:type="dxa"/>
            <w:vAlign w:val="center"/>
          </w:tcPr>
          <w:p>
            <w:pPr>
              <w:pStyle w:val="单元格样式7"/>
            </w:pPr>
            <w:r>
              <w:t xml:space="preserve">1755.23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r>
              <w:t xml:space="preserve">1607.76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271.76</w:t>
            </w:r>
          </w:p>
        </w:tc>
        <w:tc>
          <w:tcPr>
            <w:tcW w:w="1134" w:type="dxa"/>
            <w:vAlign w:val="center"/>
          </w:tcPr>
          <w:p>
            <w:pPr>
              <w:pStyle w:val="单元格样式4"/>
            </w:pPr>
            <w:r>
              <w:t xml:space="preserve">271.76</w:t>
            </w:r>
          </w:p>
        </w:tc>
        <w:tc>
          <w:tcPr>
            <w:tcW w:w="1134" w:type="dxa"/>
            <w:vAlign w:val="center"/>
          </w:tcPr>
          <w:p>
            <w:pPr>
              <w:pStyle w:val="单元格样式4"/>
            </w:pPr>
            <w:r>
              <w:t xml:space="preserve">271.76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2013103</w:t>
            </w:r>
          </w:p>
        </w:tc>
        <w:tc>
          <w:tcPr>
            <w:tcW w:w="1559" w:type="dxa"/>
            <w:vAlign w:val="center"/>
          </w:tcPr>
          <w:p>
            <w:pPr>
              <w:pStyle w:val="单元格样式2"/>
            </w:pPr>
            <w:r>
              <w:t xml:space="preserve">机关服务</w:t>
            </w:r>
          </w:p>
        </w:tc>
        <w:tc>
          <w:tcPr>
            <w:tcW w:w="1134" w:type="dxa"/>
            <w:vAlign w:val="center"/>
          </w:tcPr>
          <w:p>
            <w:pPr>
              <w:pStyle w:val="单元格样式4"/>
            </w:pPr>
            <w:r>
              <w:t xml:space="preserve">1336.00</w:t>
            </w:r>
          </w:p>
        </w:tc>
        <w:tc>
          <w:tcPr>
            <w:tcW w:w="1134" w:type="dxa"/>
            <w:vAlign w:val="center"/>
          </w:tcPr>
          <w:p>
            <w:pPr>
              <w:pStyle w:val="单元格样式4"/>
            </w:pPr>
            <w:r>
              <w:t xml:space="preserve">1336.00</w:t>
            </w:r>
          </w:p>
        </w:tc>
        <w:tc>
          <w:tcPr>
            <w:tcW w:w="1134" w:type="dxa"/>
            <w:vAlign w:val="center"/>
          </w:tcPr>
          <w:p>
            <w:pPr>
              <w:pStyle w:val="单元格样式4"/>
            </w:pPr>
            <w:r>
              <w:t xml:space="preserve">1336.00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r>
              <w:t xml:space="preserve">129.86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70.28</w:t>
            </w:r>
          </w:p>
        </w:tc>
        <w:tc>
          <w:tcPr>
            <w:tcW w:w="1134" w:type="dxa"/>
            <w:vAlign w:val="center"/>
          </w:tcPr>
          <w:p>
            <w:pPr>
              <w:pStyle w:val="单元格样式4"/>
            </w:pPr>
            <w:r>
              <w:t xml:space="preserve">70.28</w:t>
            </w:r>
          </w:p>
        </w:tc>
        <w:tc>
          <w:tcPr>
            <w:tcW w:w="1134" w:type="dxa"/>
            <w:vAlign w:val="center"/>
          </w:tcPr>
          <w:p>
            <w:pPr>
              <w:pStyle w:val="单元格样式4"/>
            </w:pPr>
            <w:r>
              <w:t xml:space="preserve">70.28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39.72</w:t>
            </w:r>
          </w:p>
        </w:tc>
        <w:tc>
          <w:tcPr>
            <w:tcW w:w="1134" w:type="dxa"/>
            <w:vAlign w:val="center"/>
          </w:tcPr>
          <w:p>
            <w:pPr>
              <w:pStyle w:val="单元格样式4"/>
            </w:pPr>
            <w:r>
              <w:t xml:space="preserve">39.72</w:t>
            </w:r>
          </w:p>
        </w:tc>
        <w:tc>
          <w:tcPr>
            <w:tcW w:w="1134" w:type="dxa"/>
            <w:vAlign w:val="center"/>
          </w:tcPr>
          <w:p>
            <w:pPr>
              <w:pStyle w:val="单元格样式4"/>
            </w:pPr>
            <w:r>
              <w:t xml:space="preserve">39.72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19.86</w:t>
            </w:r>
          </w:p>
        </w:tc>
        <w:tc>
          <w:tcPr>
            <w:tcW w:w="1134" w:type="dxa"/>
            <w:vAlign w:val="center"/>
          </w:tcPr>
          <w:p>
            <w:pPr>
              <w:pStyle w:val="单元格样式4"/>
            </w:pPr>
            <w:r>
              <w:t xml:space="preserve">19.86</w:t>
            </w:r>
          </w:p>
        </w:tc>
        <w:tc>
          <w:tcPr>
            <w:tcW w:w="1134" w:type="dxa"/>
            <w:vAlign w:val="center"/>
          </w:tcPr>
          <w:p>
            <w:pPr>
              <w:pStyle w:val="单元格样式4"/>
            </w:pPr>
            <w:r>
              <w:t xml:space="preserve">19.86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r>
              <w:t xml:space="preserve">17.61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1755.23</w:t>
            </w:r>
          </w:p>
        </w:tc>
        <w:tc>
          <w:tcPr>
            <w:tcW w:w="1361" w:type="dxa"/>
            <w:vAlign w:val="center"/>
          </w:tcPr>
          <w:p>
            <w:pPr>
              <w:pStyle w:val="单元格样式7"/>
            </w:pPr>
            <w:r>
              <w:t xml:space="preserve">419.23</w:t>
            </w:r>
          </w:p>
        </w:tc>
        <w:tc>
          <w:tcPr>
            <w:tcW w:w="1361" w:type="dxa"/>
            <w:vAlign w:val="center"/>
          </w:tcPr>
          <w:p>
            <w:pPr>
              <w:pStyle w:val="单元格样式7"/>
            </w:pPr>
            <w:r>
              <w:t xml:space="preserve">1336.00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1607.76</w:t>
            </w:r>
          </w:p>
        </w:tc>
        <w:tc>
          <w:tcPr>
            <w:tcW w:w="1361" w:type="dxa"/>
            <w:vAlign w:val="center"/>
          </w:tcPr>
          <w:p>
            <w:pPr>
              <w:pStyle w:val="单元格样式4"/>
            </w:pPr>
            <w:r>
              <w:t xml:space="preserve">271.76</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1607.76</w:t>
            </w:r>
          </w:p>
        </w:tc>
        <w:tc>
          <w:tcPr>
            <w:tcW w:w="1361" w:type="dxa"/>
            <w:vAlign w:val="center"/>
          </w:tcPr>
          <w:p>
            <w:pPr>
              <w:pStyle w:val="单元格样式4"/>
            </w:pPr>
            <w:r>
              <w:t xml:space="preserve">271.76</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271.76</w:t>
            </w:r>
          </w:p>
        </w:tc>
        <w:tc>
          <w:tcPr>
            <w:tcW w:w="1361" w:type="dxa"/>
            <w:vAlign w:val="center"/>
          </w:tcPr>
          <w:p>
            <w:pPr>
              <w:pStyle w:val="单元格样式4"/>
            </w:pPr>
            <w:r>
              <w:t xml:space="preserve">271.76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2013103</w:t>
            </w:r>
          </w:p>
        </w:tc>
        <w:tc>
          <w:tcPr>
            <w:tcW w:w="4535" w:type="dxa"/>
            <w:vAlign w:val="center"/>
          </w:tcPr>
          <w:p>
            <w:pPr>
              <w:pStyle w:val="单元格样式2"/>
            </w:pPr>
            <w:r>
              <w:t xml:space="preserve">机关服务</w:t>
            </w: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r>
              <w:t xml:space="preserve">1336.00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129.86</w:t>
            </w:r>
          </w:p>
        </w:tc>
        <w:tc>
          <w:tcPr>
            <w:tcW w:w="1361" w:type="dxa"/>
            <w:vAlign w:val="center"/>
          </w:tcPr>
          <w:p>
            <w:pPr>
              <w:pStyle w:val="单元格样式4"/>
            </w:pPr>
            <w:r>
              <w:t xml:space="preserve">129.86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129.86</w:t>
            </w:r>
          </w:p>
        </w:tc>
        <w:tc>
          <w:tcPr>
            <w:tcW w:w="1361" w:type="dxa"/>
            <w:vAlign w:val="center"/>
          </w:tcPr>
          <w:p>
            <w:pPr>
              <w:pStyle w:val="单元格样式4"/>
            </w:pPr>
            <w:r>
              <w:t xml:space="preserve">129.86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70.28</w:t>
            </w:r>
          </w:p>
        </w:tc>
        <w:tc>
          <w:tcPr>
            <w:tcW w:w="1361" w:type="dxa"/>
            <w:vAlign w:val="center"/>
          </w:tcPr>
          <w:p>
            <w:pPr>
              <w:pStyle w:val="单元格样式4"/>
            </w:pPr>
            <w:r>
              <w:t xml:space="preserve">70.28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39.72</w:t>
            </w:r>
          </w:p>
        </w:tc>
        <w:tc>
          <w:tcPr>
            <w:tcW w:w="1361" w:type="dxa"/>
            <w:vAlign w:val="center"/>
          </w:tcPr>
          <w:p>
            <w:pPr>
              <w:pStyle w:val="单元格样式4"/>
            </w:pPr>
            <w:r>
              <w:t xml:space="preserve">39.72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19.86</w:t>
            </w:r>
          </w:p>
        </w:tc>
        <w:tc>
          <w:tcPr>
            <w:tcW w:w="1361" w:type="dxa"/>
            <w:vAlign w:val="center"/>
          </w:tcPr>
          <w:p>
            <w:pPr>
              <w:pStyle w:val="单元格样式4"/>
            </w:pPr>
            <w:r>
              <w:t xml:space="preserve">19.86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17.61</w:t>
            </w:r>
          </w:p>
        </w:tc>
        <w:tc>
          <w:tcPr>
            <w:tcW w:w="1361" w:type="dxa"/>
            <w:vAlign w:val="center"/>
          </w:tcPr>
          <w:p>
            <w:pPr>
              <w:pStyle w:val="单元格样式4"/>
            </w:pPr>
            <w:r>
              <w:t xml:space="preserve">17.61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1755.23</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1607.76</w:t>
            </w:r>
          </w:p>
        </w:tc>
        <w:tc>
          <w:tcPr>
            <w:tcW w:w="1474" w:type="dxa"/>
            <w:vAlign w:val="center"/>
          </w:tcPr>
          <w:p>
            <w:pPr>
              <w:pStyle w:val="单元格样式4"/>
            </w:pPr>
            <w:r>
              <w:t xml:space="preserve">1607.76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129.86</w:t>
            </w:r>
          </w:p>
        </w:tc>
        <w:tc>
          <w:tcPr>
            <w:tcW w:w="1474" w:type="dxa"/>
            <w:vAlign w:val="center"/>
          </w:tcPr>
          <w:p>
            <w:pPr>
              <w:pStyle w:val="单元格样式4"/>
            </w:pPr>
            <w:r>
              <w:t xml:space="preserve">129.86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17.61</w:t>
            </w:r>
          </w:p>
        </w:tc>
        <w:tc>
          <w:tcPr>
            <w:tcW w:w="1474" w:type="dxa"/>
            <w:vAlign w:val="center"/>
          </w:tcPr>
          <w:p>
            <w:pPr>
              <w:pStyle w:val="单元格样式4"/>
            </w:pPr>
            <w:r>
              <w:t xml:space="preserve">17.61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1755.23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1755.23</w:t>
            </w:r>
          </w:p>
        </w:tc>
        <w:tc>
          <w:tcPr>
            <w:tcW w:w="1474" w:type="dxa"/>
            <w:vAlign w:val="center"/>
          </w:tcPr>
          <w:p>
            <w:pPr>
              <w:pStyle w:val="单元格样式7"/>
            </w:pPr>
            <w:r>
              <w:t xml:space="preserve">1755.23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1755.23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1755.23</w:t>
            </w:r>
          </w:p>
        </w:tc>
        <w:tc>
          <w:tcPr>
            <w:tcW w:w="1474" w:type="dxa"/>
            <w:vAlign w:val="center"/>
          </w:tcPr>
          <w:p>
            <w:pPr>
              <w:pStyle w:val="单元格样式7"/>
            </w:pPr>
            <w:r>
              <w:t xml:space="preserve">1755.23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1755.23</w:t>
            </w:r>
          </w:p>
        </w:tc>
        <w:tc>
          <w:tcPr>
            <w:tcW w:w="2551" w:type="dxa"/>
            <w:vAlign w:val="center"/>
          </w:tcPr>
          <w:p>
            <w:pPr>
              <w:pStyle w:val="单元格样式7"/>
            </w:pPr>
            <w:r>
              <w:t xml:space="preserve">419.23</w:t>
            </w:r>
          </w:p>
        </w:tc>
        <w:tc>
          <w:tcPr>
            <w:tcW w:w="2551" w:type="dxa"/>
            <w:vAlign w:val="center"/>
          </w:tcPr>
          <w:p>
            <w:pPr>
              <w:pStyle w:val="单元格样式7"/>
            </w:pPr>
            <w:r>
              <w:t xml:space="preserve">1336.00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1607.76</w:t>
            </w:r>
          </w:p>
        </w:tc>
        <w:tc>
          <w:tcPr>
            <w:tcW w:w="2551" w:type="dxa"/>
            <w:vAlign w:val="center"/>
          </w:tcPr>
          <w:p>
            <w:pPr>
              <w:pStyle w:val="单元格样式4"/>
            </w:pPr>
            <w:r>
              <w:t xml:space="preserve">271.76</w:t>
            </w: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1607.76</w:t>
            </w:r>
          </w:p>
        </w:tc>
        <w:tc>
          <w:tcPr>
            <w:tcW w:w="2551" w:type="dxa"/>
            <w:vAlign w:val="center"/>
          </w:tcPr>
          <w:p>
            <w:pPr>
              <w:pStyle w:val="单元格样式4"/>
            </w:pPr>
            <w:r>
              <w:t xml:space="preserve">271.76</w:t>
            </w: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271.76</w:t>
            </w:r>
          </w:p>
        </w:tc>
        <w:tc>
          <w:tcPr>
            <w:tcW w:w="2551" w:type="dxa"/>
            <w:vAlign w:val="center"/>
          </w:tcPr>
          <w:p>
            <w:pPr>
              <w:pStyle w:val="单元格样式4"/>
            </w:pPr>
            <w:r>
              <w:t xml:space="preserve">271.76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2013103</w:t>
            </w:r>
          </w:p>
        </w:tc>
        <w:tc>
          <w:tcPr>
            <w:tcW w:w="4535" w:type="dxa"/>
            <w:vAlign w:val="center"/>
          </w:tcPr>
          <w:p>
            <w:pPr>
              <w:pStyle w:val="单元格样式2"/>
            </w:pPr>
            <w:r>
              <w:t xml:space="preserve">机关服务</w:t>
            </w:r>
          </w:p>
        </w:tc>
        <w:tc>
          <w:tcPr>
            <w:tcW w:w="2551" w:type="dxa"/>
            <w:vAlign w:val="center"/>
          </w:tcPr>
          <w:p>
            <w:pPr>
              <w:pStyle w:val="单元格样式4"/>
            </w:pPr>
            <w:r>
              <w:t xml:space="preserve">1336.00</w:t>
            </w:r>
          </w:p>
        </w:tc>
        <w:tc>
          <w:tcPr>
            <w:tcW w:w="2551" w:type="dxa"/>
            <w:vAlign w:val="center"/>
          </w:tcPr>
          <w:p>
            <w:pPr>
              <w:pStyle w:val="单元格样式4"/>
            </w:pPr>
          </w:p>
        </w:tc>
        <w:tc>
          <w:tcPr>
            <w:tcW w:w="2551" w:type="dxa"/>
            <w:vAlign w:val="center"/>
          </w:tcPr>
          <w:p>
            <w:pPr>
              <w:pStyle w:val="单元格样式4"/>
            </w:pPr>
            <w:r>
              <w:t xml:space="preserve">1336.00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129.86</w:t>
            </w:r>
          </w:p>
        </w:tc>
        <w:tc>
          <w:tcPr>
            <w:tcW w:w="2551" w:type="dxa"/>
            <w:vAlign w:val="center"/>
          </w:tcPr>
          <w:p>
            <w:pPr>
              <w:pStyle w:val="单元格样式4"/>
            </w:pPr>
            <w:r>
              <w:t xml:space="preserve">129.86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129.86</w:t>
            </w:r>
          </w:p>
        </w:tc>
        <w:tc>
          <w:tcPr>
            <w:tcW w:w="2551" w:type="dxa"/>
            <w:vAlign w:val="center"/>
          </w:tcPr>
          <w:p>
            <w:pPr>
              <w:pStyle w:val="单元格样式4"/>
            </w:pPr>
            <w:r>
              <w:t xml:space="preserve">129.86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70.28</w:t>
            </w:r>
          </w:p>
        </w:tc>
        <w:tc>
          <w:tcPr>
            <w:tcW w:w="2551" w:type="dxa"/>
            <w:vAlign w:val="center"/>
          </w:tcPr>
          <w:p>
            <w:pPr>
              <w:pStyle w:val="单元格样式4"/>
            </w:pPr>
            <w:r>
              <w:t xml:space="preserve">70.28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39.72</w:t>
            </w:r>
          </w:p>
        </w:tc>
        <w:tc>
          <w:tcPr>
            <w:tcW w:w="2551" w:type="dxa"/>
            <w:vAlign w:val="center"/>
          </w:tcPr>
          <w:p>
            <w:pPr>
              <w:pStyle w:val="单元格样式4"/>
            </w:pPr>
            <w:r>
              <w:t xml:space="preserve">39.72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19.86</w:t>
            </w:r>
          </w:p>
        </w:tc>
        <w:tc>
          <w:tcPr>
            <w:tcW w:w="2551" w:type="dxa"/>
            <w:vAlign w:val="center"/>
          </w:tcPr>
          <w:p>
            <w:pPr>
              <w:pStyle w:val="单元格样式4"/>
            </w:pPr>
            <w:r>
              <w:t xml:space="preserve">19.86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419.23</w:t>
            </w:r>
          </w:p>
        </w:tc>
        <w:tc>
          <w:tcPr>
            <w:tcW w:w="2551" w:type="dxa"/>
            <w:vAlign w:val="center"/>
          </w:tcPr>
          <w:p>
            <w:pPr>
              <w:pStyle w:val="单元格样式7"/>
            </w:pPr>
            <w:r>
              <w:t xml:space="preserve">385.51</w:t>
            </w:r>
          </w:p>
        </w:tc>
        <w:tc>
          <w:tcPr>
            <w:tcW w:w="2551" w:type="dxa"/>
            <w:vAlign w:val="center"/>
          </w:tcPr>
          <w:p>
            <w:pPr>
              <w:pStyle w:val="单元格样式7"/>
            </w:pPr>
            <w:r>
              <w:t xml:space="preserve">33.72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309.67</w:t>
            </w:r>
          </w:p>
        </w:tc>
        <w:tc>
          <w:tcPr>
            <w:tcW w:w="2551" w:type="dxa"/>
            <w:vAlign w:val="center"/>
          </w:tcPr>
          <w:p>
            <w:pPr>
              <w:pStyle w:val="单元格样式4"/>
            </w:pPr>
            <w:r>
              <w:t xml:space="preserve">309.67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147.83</w:t>
            </w:r>
          </w:p>
        </w:tc>
        <w:tc>
          <w:tcPr>
            <w:tcW w:w="2551" w:type="dxa"/>
            <w:vAlign w:val="center"/>
          </w:tcPr>
          <w:p>
            <w:pPr>
              <w:pStyle w:val="单元格样式4"/>
            </w:pPr>
            <w:r>
              <w:t xml:space="preserve">147.83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31.17</w:t>
            </w:r>
          </w:p>
        </w:tc>
        <w:tc>
          <w:tcPr>
            <w:tcW w:w="2551" w:type="dxa"/>
            <w:vAlign w:val="center"/>
          </w:tcPr>
          <w:p>
            <w:pPr>
              <w:pStyle w:val="单元格样式4"/>
            </w:pPr>
            <w:r>
              <w:t xml:space="preserve">31.17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20.90</w:t>
            </w:r>
          </w:p>
        </w:tc>
        <w:tc>
          <w:tcPr>
            <w:tcW w:w="2551" w:type="dxa"/>
            <w:vAlign w:val="center"/>
          </w:tcPr>
          <w:p>
            <w:pPr>
              <w:pStyle w:val="单元格样式4"/>
            </w:pPr>
            <w:r>
              <w:t xml:space="preserve">20.90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31.34</w:t>
            </w:r>
          </w:p>
        </w:tc>
        <w:tc>
          <w:tcPr>
            <w:tcW w:w="2551" w:type="dxa"/>
            <w:vAlign w:val="center"/>
          </w:tcPr>
          <w:p>
            <w:pPr>
              <w:pStyle w:val="单元格样式4"/>
            </w:pPr>
            <w:r>
              <w:t xml:space="preserve">31.34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39.72</w:t>
            </w:r>
          </w:p>
        </w:tc>
        <w:tc>
          <w:tcPr>
            <w:tcW w:w="2551" w:type="dxa"/>
            <w:vAlign w:val="center"/>
          </w:tcPr>
          <w:p>
            <w:pPr>
              <w:pStyle w:val="单元格样式4"/>
            </w:pPr>
            <w:r>
              <w:t xml:space="preserve">39.72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19.86</w:t>
            </w:r>
          </w:p>
        </w:tc>
        <w:tc>
          <w:tcPr>
            <w:tcW w:w="2551" w:type="dxa"/>
            <w:vAlign w:val="center"/>
          </w:tcPr>
          <w:p>
            <w:pPr>
              <w:pStyle w:val="单元格样式4"/>
            </w:pPr>
            <w:r>
              <w:t xml:space="preserve">19.86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17.61</w:t>
            </w:r>
          </w:p>
        </w:tc>
        <w:tc>
          <w:tcPr>
            <w:tcW w:w="2551" w:type="dxa"/>
            <w:vAlign w:val="center"/>
          </w:tcPr>
          <w:p>
            <w:pPr>
              <w:pStyle w:val="单元格样式4"/>
            </w:pPr>
            <w:r>
              <w:t xml:space="preserve">17.61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1.24</w:t>
            </w:r>
          </w:p>
        </w:tc>
        <w:tc>
          <w:tcPr>
            <w:tcW w:w="2551" w:type="dxa"/>
            <w:vAlign w:val="center"/>
          </w:tcPr>
          <w:p>
            <w:pPr>
              <w:pStyle w:val="单元格样式4"/>
            </w:pPr>
            <w:r>
              <w:t xml:space="preserve">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33.72</w:t>
            </w:r>
          </w:p>
        </w:tc>
        <w:tc>
          <w:tcPr>
            <w:tcW w:w="2551" w:type="dxa"/>
            <w:vAlign w:val="center"/>
          </w:tcPr>
          <w:p>
            <w:pPr>
              <w:pStyle w:val="单元格样式4"/>
            </w:pPr>
          </w:p>
        </w:tc>
        <w:tc>
          <w:tcPr>
            <w:tcW w:w="2551" w:type="dxa"/>
            <w:vAlign w:val="center"/>
          </w:tcPr>
          <w:p>
            <w:pPr>
              <w:pStyle w:val="单元格样式4"/>
            </w:pPr>
            <w:r>
              <w:t xml:space="preserve">33.72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21.10</w:t>
            </w:r>
          </w:p>
        </w:tc>
        <w:tc>
          <w:tcPr>
            <w:tcW w:w="2551" w:type="dxa"/>
            <w:vAlign w:val="center"/>
          </w:tcPr>
          <w:p>
            <w:pPr>
              <w:pStyle w:val="单元格样式4"/>
            </w:pPr>
          </w:p>
        </w:tc>
        <w:tc>
          <w:tcPr>
            <w:tcW w:w="2551" w:type="dxa"/>
            <w:vAlign w:val="center"/>
          </w:tcPr>
          <w:p>
            <w:pPr>
              <w:pStyle w:val="单元格样式4"/>
            </w:pPr>
            <w:r>
              <w:t xml:space="preserve">21.10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12.12</w:t>
            </w:r>
          </w:p>
        </w:tc>
        <w:tc>
          <w:tcPr>
            <w:tcW w:w="2551" w:type="dxa"/>
            <w:vAlign w:val="center"/>
          </w:tcPr>
          <w:p>
            <w:pPr>
              <w:pStyle w:val="单元格样式4"/>
            </w:pPr>
          </w:p>
        </w:tc>
        <w:tc>
          <w:tcPr>
            <w:tcW w:w="2551" w:type="dxa"/>
            <w:vAlign w:val="center"/>
          </w:tcPr>
          <w:p>
            <w:pPr>
              <w:pStyle w:val="单元格样式4"/>
            </w:pPr>
            <w:r>
              <w:t xml:space="preserve">12.12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75.84</w:t>
            </w:r>
          </w:p>
        </w:tc>
        <w:tc>
          <w:tcPr>
            <w:tcW w:w="2551" w:type="dxa"/>
            <w:vAlign w:val="center"/>
          </w:tcPr>
          <w:p>
            <w:pPr>
              <w:pStyle w:val="单元格样式4"/>
            </w:pPr>
            <w:r>
              <w:t xml:space="preserve">75.84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70.28</w:t>
            </w:r>
          </w:p>
        </w:tc>
        <w:tc>
          <w:tcPr>
            <w:tcW w:w="2551" w:type="dxa"/>
            <w:vAlign w:val="center"/>
          </w:tcPr>
          <w:p>
            <w:pPr>
              <w:pStyle w:val="单元格样式4"/>
            </w:pPr>
            <w:r>
              <w:t xml:space="preserve">70.28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5.57</w:t>
            </w:r>
          </w:p>
        </w:tc>
        <w:tc>
          <w:tcPr>
            <w:tcW w:w="2551" w:type="dxa"/>
            <w:vAlign w:val="center"/>
          </w:tcPr>
          <w:p>
            <w:pPr>
              <w:pStyle w:val="单元格样式4"/>
            </w:pPr>
            <w:r>
              <w:t xml:space="preserve">5.57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89.50</w:t>
            </w:r>
          </w:p>
        </w:tc>
        <w:tc>
          <w:tcPr>
            <w:tcW w:w="2381" w:type="dxa"/>
            <w:vAlign w:val="center"/>
          </w:tcPr>
          <w:p>
            <w:pPr>
              <w:pStyle w:val="单元格样式7"/>
            </w:pPr>
            <w:r>
              <w:t xml:space="preserve">89.50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89.50</w:t>
            </w:r>
          </w:p>
        </w:tc>
        <w:tc>
          <w:tcPr>
            <w:tcW w:w="2381" w:type="dxa"/>
            <w:vAlign w:val="center"/>
          </w:tcPr>
          <w:p>
            <w:pPr>
              <w:pStyle w:val="单元格样式4"/>
            </w:pPr>
            <w:r>
              <w:t xml:space="preserve">89.50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89.00</w:t>
            </w:r>
          </w:p>
        </w:tc>
        <w:tc>
          <w:tcPr>
            <w:tcW w:w="2381" w:type="dxa"/>
            <w:vAlign w:val="center"/>
          </w:tcPr>
          <w:p>
            <w:pPr>
              <w:pStyle w:val="单元格样式4"/>
            </w:pPr>
            <w:r>
              <w:t xml:space="preserve">89.00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89.00</w:t>
            </w:r>
          </w:p>
        </w:tc>
        <w:tc>
          <w:tcPr>
            <w:tcW w:w="2381" w:type="dxa"/>
            <w:vAlign w:val="center"/>
          </w:tcPr>
          <w:p>
            <w:pPr>
              <w:pStyle w:val="单元格样式4"/>
            </w:pPr>
            <w:r>
              <w:t xml:space="preserve">89.00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0.50</w:t>
            </w:r>
          </w:p>
        </w:tc>
        <w:tc>
          <w:tcPr>
            <w:tcW w:w="2381" w:type="dxa"/>
            <w:vAlign w:val="center"/>
          </w:tcPr>
          <w:p>
            <w:pPr>
              <w:pStyle w:val="单元格样式4"/>
            </w:pPr>
            <w:r>
              <w:t xml:space="preserve">0.50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魏县县委联络协调中心2025年部门预算信息公开情况说明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魏县县委联络协调中心2025年部门预算信息公开情况说明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按照《中华人民共和国预算法》、《地方预决算公开操作规程》和《关于进一步推进预算公开工作的实施意见》规定，现将魏县县委联络协调中心2025年部门预算公开如下：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1、根据上级及县委、政府的有关方针政策，结合县委、县政府机关的具体情况，研究制定机关事务工作的具体规定合办法组织实施。</w:t>
      </w:r>
    </w:p>
    <w:p>
      <w:pPr>
        <w:pStyle w:val="插入文本样式-插入预算公开部门职责文件"/>
      </w:pPr>
      <w:r>
        <w:t xml:space="preserve">2、负责四家班子及大院内经费管理，负责四家班子国有资产的管理等工作。</w:t>
      </w:r>
    </w:p>
    <w:p>
      <w:pPr>
        <w:pStyle w:val="插入文本样式-插入预算公开部门职责文件"/>
      </w:pPr>
      <w:r>
        <w:t xml:space="preserve">3、负责四家班子房产产权、产籍管理：负责四家班子办公用房、配套设施的分配维修管理。</w:t>
      </w:r>
    </w:p>
    <w:p>
      <w:pPr>
        <w:pStyle w:val="插入文本样式-插入预算公开部门职责文件"/>
      </w:pPr>
      <w:r>
        <w:t xml:space="preserve">4、负责县四家班子车辆管理和驾驶人员的安全教育工作、负责车辆的维修保养油料的供应。</w:t>
      </w:r>
    </w:p>
    <w:p>
      <w:pPr>
        <w:pStyle w:val="插入文本样式-插入预算公开部门职责文件"/>
      </w:pPr>
      <w:r>
        <w:t xml:space="preserve">5、负责做好四家班子上级领导和同级部门来人的食宿安排工作，负责以四家班子名义召开的重要会议的接待服务工作。</w:t>
      </w:r>
    </w:p>
    <w:p>
      <w:pPr>
        <w:pStyle w:val="插入文本样式-插入预算公开部门职责文件"/>
      </w:pPr>
      <w:r>
        <w:t xml:space="preserve">6、负责四家班子内部及局内工勤人员岗位培训工作和工勤人员的技术等级培训、考核和技师聘任工作。</w:t>
      </w:r>
    </w:p>
    <w:p>
      <w:pPr>
        <w:pStyle w:val="插入文本样式-插入预算公开部门职责文件"/>
      </w:pPr>
      <w:r>
        <w:t xml:space="preserve">7、负责机关大院的环境、卫生、水、电、暖供应及维修工作。</w:t>
      </w:r>
    </w:p>
    <w:p>
      <w:pPr>
        <w:pStyle w:val="插入文本样式-插入预算公开部门职责文件"/>
      </w:pPr>
      <w:r>
        <w:t xml:space="preserve">8、负责机关大院安全保卫工作。</w:t>
      </w:r>
    </w:p>
    <w:p>
      <w:pPr>
        <w:pStyle w:val="插入文本样式-插入预算公开部门职责文件"/>
      </w:pPr>
      <w:r>
        <w:t xml:space="preserve">9、负责四家班子各种文字材料打印及各种办公用品的登记发放工作。</w:t>
      </w:r>
    </w:p>
    <w:p>
      <w:pPr>
        <w:pStyle w:val="插入文本样式-插入预算公开部门职责文件"/>
      </w:pPr>
      <w:r>
        <w:t xml:space="preserve">10、承办四家班子领导交办的其他工作。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魏县县委联络协调中心本级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按照预算管理有关规定，目前部门预算的编制实行综合预算管理，即全部收入和支出都反映在预算中。魏县县委联络协调中心机关及所属事业单位的收支包含在部门预算中。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1755.23万元，其中：一般公共预算收入1755.23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县委联络协调中心年度部门预算中支出预算的总体情况。2025年支出预算1755.23万元，其中基本支出419.23万元，包括人员经费385.51万元和日常公用经费33.72万元；项目支出1336.00万元，主要为2025年专项公用经费1336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2025年预算收支安排1755.23万元，较2024年预算减少28.84万元，其中：基本支出减少64.84万元，主要为人员调出工资保险等减少。项目支出增加36.00万元，主要为2025年专项公用经费增加。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2025年，我部门机关运行经费共计安排33.72万元，主要用于日常维修、办公用房水电费、办公用房取暖费、办公用房物业管理费等日常运行支出。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89.50万元，其中因公出国（境）费0.00万元；公务用车购置及运维费89.00万元（其中：公务用车购置费为0.00万元，公务用车运维费89.00万元)；公务接待费0.50万元。与2024年相比减少11.44万元，增减变化的主要原因是按照中央八项规定，杜绝浪费，我单位减少公务接待。</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2025年，我单位将在县委、县政府的正确领导下，深入贯彻中央二十大精神，围绕全县中心工作，立足本职，务实进去，进一步提升机关事务管理服务保障工作。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1、加强财务管理，做好县四家班子及管理局经费、国有资产的管理等工作。</w:t>
      </w:r>
    </w:p>
    <w:p>
      <w:pPr>
        <w:pStyle w:val="插入文本样式-插入职责分类绩效目标文件"/>
      </w:pPr>
      <w:r>
        <w:t xml:space="preserve">2、做好县四家班子办公用房、配套设施的维修维护，保障机关设施正常运转。</w:t>
      </w:r>
    </w:p>
    <w:p>
      <w:pPr>
        <w:pStyle w:val="插入文本样式-插入职责分类绩效目标文件"/>
      </w:pPr>
      <w:r>
        <w:t xml:space="preserve">3、严格贯彻落实《党政机关厉行节约反对浪费条例》和我省实施细则及系列配套制度情况，进一步规范公务接待工作，做好四家班子上级领导和同级部门来人的食宿安排工作，严肃接待纪律，减少经费支出，加强党风廉政建设。</w:t>
      </w:r>
    </w:p>
    <w:p>
      <w:pPr>
        <w:pStyle w:val="插入文本样式-插入职责分类绩效目标文件"/>
      </w:pPr>
      <w:r>
        <w:t xml:space="preserve">4、抓好会务服务，进一步完善服务工作职责，抓住会前认真准备、会中精心服务和会后清理会场三个环节，积极倡导精细化和人性化，上下衔接，左右配合，周密安排。</w:t>
      </w:r>
    </w:p>
    <w:p>
      <w:pPr>
        <w:pStyle w:val="插入文本样式-插入职责分类绩效目标文件"/>
      </w:pPr>
    </w:p>
    <w:p>
      <w:pPr>
        <w:pStyle w:val="插入文本样式-插入职责分类绩效目标文件"/>
      </w:pPr>
      <w:r>
        <w:t xml:space="preserve">5、加强机关大院的环境卫生工作，保障水、电、暖供应及维修工作。</w:t>
      </w:r>
    </w:p>
    <w:p>
      <w:pPr>
        <w:pStyle w:val="插入文本样式-插入职责分类绩效目标文件"/>
      </w:pPr>
      <w:r>
        <w:t xml:space="preserve">6、进一步加强公务用车平台管理工作，严格执行公务用车运行管理，强化平台车辆的维护保养与司机业务日常培训，严格司机值班制度，为四家班子公务出行提供优质、安全的用车保障。</w:t>
      </w:r>
    </w:p>
    <w:p>
      <w:pPr>
        <w:pStyle w:val="插入文本样式-插入职责分类绩效目标文件"/>
      </w:pPr>
      <w:r>
        <w:t xml:space="preserve">7、加强机关安全保卫工作，严格执行电话预约、出入登记、持证通行、夜间巡逻等制度，强化安全管理。</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紧紧围绕县委、县政府的中心工作，深入贯彻落实《机关事务管理局条例》和《河北省机关事务管理办法》，坚持管理科学化、保障法制化、服务社会化的方向，坚持廉洁、服务、节约的原则，进一步完善体质机制，健全制度标准，提高后勤服务质量。</w:t>
      </w:r>
    </w:p>
    <w:p>
      <w:pPr>
        <w:pStyle w:val="插入文本样式-插入实现年度发展规划目标的保障措施文件"/>
      </w:pPr>
      <w:r>
        <w:t xml:space="preserve">一是抓好班子，带好队伍。加强领导干部思想政治建设，改进干部队伍作风，切实强化机关后勤队伍建设，健全各项规章制度，推行绩效考核，实行精细化管理。</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二是做好一系列日常工作。强化制度管理，抓好公务接待、文印工作、会务服务、安全保卫、维护检修等日常工作。继续推进机关办公条件改造提升项目，提前谋划，多方调研，促进机关办公条件不断优化改善。保障机关大院环境卫生，搞好卫生、绿化、美化及修缮工作。稳步推进公车改革工作，强化公务用车平台管理，积极探索和推进机关后勤服务，公务用车及公务接待服务等工作的社会化改革。</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13043425P00428610001M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≥10次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≤1336万元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魏县县委联络协调中心（含所属单位）上年末固定资产金额为5780.19万元（详见下表）。本年度拟购置固定资产总额为10.00万元，已按要求列入政府采购预算，详见政府采购预算表。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430魏县县委联络协调中心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5780.19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19210.43</w:t>
            </w:r>
          </w:p>
        </w:tc>
        <w:tc>
          <w:tcPr>
            <w:tcW w:w="2835" w:type="dxa"/>
            <w:vAlign w:val="center"/>
          </w:tcPr>
          <w:p>
            <w:pPr>
              <w:pStyle w:val="单元格样式4"/>
            </w:pPr>
            <w:r>
              <w:t xml:space="preserve">4245.09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96.60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4680</w:t>
            </w:r>
          </w:p>
        </w:tc>
        <w:tc>
          <w:tcPr>
            <w:tcW w:w="2835" w:type="dxa"/>
            <w:vAlign w:val="center"/>
          </w:tcPr>
          <w:p>
            <w:pPr>
              <w:pStyle w:val="单元格样式4"/>
            </w:pPr>
            <w:r>
              <w:t xml:space="preserve">1438.50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2025-02-18T14:43:40Z</dcterms:created>
  <dcterms:modified xsi:type="dcterms:W3CDTF">2025-02-18T14:43:40Z</dcterms:modified>
</cp:coreProperties>
</file>