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23</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933魏县泊口乡人民政府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998.61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484.09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94.55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24.05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395.91</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998.61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998.61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998.61</w:t>
            </w:r>
          </w:p>
        </w:tc>
        <w:tc>
          <w:tcPr>
            <w:tcW w:w="4535" w:type="dxa"/>
            <w:vAlign w:val="center"/>
          </w:tcPr>
          <w:p>
            <w:pPr>
              <w:pStyle w:val="单元格样式6"/>
            </w:pPr>
            <w:r>
              <w:t xml:space="preserve">支出总计</w:t>
            </w:r>
          </w:p>
        </w:tc>
        <w:tc>
          <w:tcPr>
            <w:tcW w:w="2126" w:type="dxa"/>
            <w:vAlign w:val="center"/>
          </w:tcPr>
          <w:p>
            <w:pPr>
              <w:pStyle w:val="单元格样式7"/>
            </w:pPr>
            <w:r>
              <w:t xml:space="preserve">998.61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933魏县泊口乡人民政府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998.61</w:t>
            </w:r>
          </w:p>
        </w:tc>
        <w:tc>
          <w:tcPr>
            <w:tcW w:w="1134" w:type="dxa"/>
            <w:vAlign w:val="center"/>
          </w:tcPr>
          <w:p>
            <w:pPr>
              <w:pStyle w:val="单元格样式7"/>
            </w:pPr>
            <w:r>
              <w:t xml:space="preserve">998.61</w:t>
            </w:r>
          </w:p>
        </w:tc>
        <w:tc>
          <w:tcPr>
            <w:tcW w:w="1134" w:type="dxa"/>
            <w:vAlign w:val="center"/>
          </w:tcPr>
          <w:p>
            <w:pPr>
              <w:pStyle w:val="单元格样式7"/>
            </w:pPr>
            <w:r>
              <w:t xml:space="preserve">998.61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r>
              <w:t xml:space="preserve">484.09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94.55</w:t>
            </w:r>
          </w:p>
        </w:tc>
        <w:tc>
          <w:tcPr>
            <w:tcW w:w="1134" w:type="dxa"/>
            <w:vAlign w:val="center"/>
          </w:tcPr>
          <w:p>
            <w:pPr>
              <w:pStyle w:val="单元格样式4"/>
            </w:pPr>
            <w:r>
              <w:t xml:space="preserve">94.55</w:t>
            </w:r>
          </w:p>
        </w:tc>
        <w:tc>
          <w:tcPr>
            <w:tcW w:w="1134" w:type="dxa"/>
            <w:vAlign w:val="center"/>
          </w:tcPr>
          <w:p>
            <w:pPr>
              <w:pStyle w:val="单元格样式4"/>
            </w:pPr>
            <w:r>
              <w:t xml:space="preserve">94.55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94.55</w:t>
            </w:r>
          </w:p>
        </w:tc>
        <w:tc>
          <w:tcPr>
            <w:tcW w:w="1134" w:type="dxa"/>
            <w:vAlign w:val="center"/>
          </w:tcPr>
          <w:p>
            <w:pPr>
              <w:pStyle w:val="单元格样式4"/>
            </w:pPr>
            <w:r>
              <w:t xml:space="preserve">94.55</w:t>
            </w:r>
          </w:p>
        </w:tc>
        <w:tc>
          <w:tcPr>
            <w:tcW w:w="1134" w:type="dxa"/>
            <w:vAlign w:val="center"/>
          </w:tcPr>
          <w:p>
            <w:pPr>
              <w:pStyle w:val="单元格样式4"/>
            </w:pPr>
            <w:r>
              <w:t xml:space="preserve">94.55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23.63</w:t>
            </w:r>
          </w:p>
        </w:tc>
        <w:tc>
          <w:tcPr>
            <w:tcW w:w="1134" w:type="dxa"/>
            <w:vAlign w:val="center"/>
          </w:tcPr>
          <w:p>
            <w:pPr>
              <w:pStyle w:val="单元格样式4"/>
            </w:pPr>
            <w:r>
              <w:t xml:space="preserve">23.63</w:t>
            </w:r>
          </w:p>
        </w:tc>
        <w:tc>
          <w:tcPr>
            <w:tcW w:w="1134" w:type="dxa"/>
            <w:vAlign w:val="center"/>
          </w:tcPr>
          <w:p>
            <w:pPr>
              <w:pStyle w:val="单元格样式4"/>
            </w:pPr>
            <w:r>
              <w:t xml:space="preserve">23.63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47.28</w:t>
            </w:r>
          </w:p>
        </w:tc>
        <w:tc>
          <w:tcPr>
            <w:tcW w:w="1134" w:type="dxa"/>
            <w:vAlign w:val="center"/>
          </w:tcPr>
          <w:p>
            <w:pPr>
              <w:pStyle w:val="单元格样式4"/>
            </w:pPr>
            <w:r>
              <w:t xml:space="preserve">47.28</w:t>
            </w:r>
          </w:p>
        </w:tc>
        <w:tc>
          <w:tcPr>
            <w:tcW w:w="1134" w:type="dxa"/>
            <w:vAlign w:val="center"/>
          </w:tcPr>
          <w:p>
            <w:pPr>
              <w:pStyle w:val="单元格样式4"/>
            </w:pPr>
            <w:r>
              <w:t xml:space="preserve">47.28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23.64</w:t>
            </w:r>
          </w:p>
        </w:tc>
        <w:tc>
          <w:tcPr>
            <w:tcW w:w="1134" w:type="dxa"/>
            <w:vAlign w:val="center"/>
          </w:tcPr>
          <w:p>
            <w:pPr>
              <w:pStyle w:val="单元格样式4"/>
            </w:pPr>
            <w:r>
              <w:t xml:space="preserve">23.64</w:t>
            </w:r>
          </w:p>
        </w:tc>
        <w:tc>
          <w:tcPr>
            <w:tcW w:w="1134" w:type="dxa"/>
            <w:vAlign w:val="center"/>
          </w:tcPr>
          <w:p>
            <w:pPr>
              <w:pStyle w:val="单元格样式4"/>
            </w:pPr>
            <w:r>
              <w:t xml:space="preserve">23.64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r>
              <w:t xml:space="preserve">24.05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r>
              <w:t xml:space="preserve">395.91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933魏县泊口乡人民政府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998.61</w:t>
            </w:r>
          </w:p>
        </w:tc>
        <w:tc>
          <w:tcPr>
            <w:tcW w:w="1361" w:type="dxa"/>
            <w:vAlign w:val="center"/>
          </w:tcPr>
          <w:p>
            <w:pPr>
              <w:pStyle w:val="单元格样式7"/>
            </w:pPr>
            <w:r>
              <w:t xml:space="preserve">476.17</w:t>
            </w:r>
          </w:p>
        </w:tc>
        <w:tc>
          <w:tcPr>
            <w:tcW w:w="1361" w:type="dxa"/>
            <w:vAlign w:val="center"/>
          </w:tcPr>
          <w:p>
            <w:pPr>
              <w:pStyle w:val="单元格样式7"/>
            </w:pPr>
            <w:r>
              <w:t xml:space="preserve">522.44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484.09</w:t>
            </w:r>
          </w:p>
        </w:tc>
        <w:tc>
          <w:tcPr>
            <w:tcW w:w="1361" w:type="dxa"/>
            <w:vAlign w:val="center"/>
          </w:tcPr>
          <w:p>
            <w:pPr>
              <w:pStyle w:val="单元格样式4"/>
            </w:pPr>
            <w:r>
              <w:t xml:space="preserve">357.56</w:t>
            </w:r>
          </w:p>
        </w:tc>
        <w:tc>
          <w:tcPr>
            <w:tcW w:w="1361" w:type="dxa"/>
            <w:vAlign w:val="center"/>
          </w:tcPr>
          <w:p>
            <w:pPr>
              <w:pStyle w:val="单元格样式4"/>
            </w:pPr>
            <w:r>
              <w:t xml:space="preserve">126.53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484.09</w:t>
            </w:r>
          </w:p>
        </w:tc>
        <w:tc>
          <w:tcPr>
            <w:tcW w:w="1361" w:type="dxa"/>
            <w:vAlign w:val="center"/>
          </w:tcPr>
          <w:p>
            <w:pPr>
              <w:pStyle w:val="单元格样式4"/>
            </w:pPr>
            <w:r>
              <w:t xml:space="preserve">357.56</w:t>
            </w:r>
          </w:p>
        </w:tc>
        <w:tc>
          <w:tcPr>
            <w:tcW w:w="1361" w:type="dxa"/>
            <w:vAlign w:val="center"/>
          </w:tcPr>
          <w:p>
            <w:pPr>
              <w:pStyle w:val="单元格样式4"/>
            </w:pPr>
            <w:r>
              <w:t xml:space="preserve">126.53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484.09</w:t>
            </w:r>
          </w:p>
        </w:tc>
        <w:tc>
          <w:tcPr>
            <w:tcW w:w="1361" w:type="dxa"/>
            <w:vAlign w:val="center"/>
          </w:tcPr>
          <w:p>
            <w:pPr>
              <w:pStyle w:val="单元格样式4"/>
            </w:pPr>
            <w:r>
              <w:t xml:space="preserve">357.56</w:t>
            </w:r>
          </w:p>
        </w:tc>
        <w:tc>
          <w:tcPr>
            <w:tcW w:w="1361" w:type="dxa"/>
            <w:vAlign w:val="center"/>
          </w:tcPr>
          <w:p>
            <w:pPr>
              <w:pStyle w:val="单元格样式4"/>
            </w:pPr>
            <w:r>
              <w:t xml:space="preserve">126.53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94.55</w:t>
            </w:r>
          </w:p>
        </w:tc>
        <w:tc>
          <w:tcPr>
            <w:tcW w:w="1361" w:type="dxa"/>
            <w:vAlign w:val="center"/>
          </w:tcPr>
          <w:p>
            <w:pPr>
              <w:pStyle w:val="单元格样式4"/>
            </w:pPr>
            <w:r>
              <w:t xml:space="preserve">94.55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94.55</w:t>
            </w:r>
          </w:p>
        </w:tc>
        <w:tc>
          <w:tcPr>
            <w:tcW w:w="1361" w:type="dxa"/>
            <w:vAlign w:val="center"/>
          </w:tcPr>
          <w:p>
            <w:pPr>
              <w:pStyle w:val="单元格样式4"/>
            </w:pPr>
            <w:r>
              <w:t xml:space="preserve">94.55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23.63</w:t>
            </w:r>
          </w:p>
        </w:tc>
        <w:tc>
          <w:tcPr>
            <w:tcW w:w="1361" w:type="dxa"/>
            <w:vAlign w:val="center"/>
          </w:tcPr>
          <w:p>
            <w:pPr>
              <w:pStyle w:val="单元格样式4"/>
            </w:pPr>
            <w:r>
              <w:t xml:space="preserve">23.63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47.28</w:t>
            </w:r>
          </w:p>
        </w:tc>
        <w:tc>
          <w:tcPr>
            <w:tcW w:w="1361" w:type="dxa"/>
            <w:vAlign w:val="center"/>
          </w:tcPr>
          <w:p>
            <w:pPr>
              <w:pStyle w:val="单元格样式4"/>
            </w:pPr>
            <w:r>
              <w:t xml:space="preserve">47.28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23.64</w:t>
            </w:r>
          </w:p>
        </w:tc>
        <w:tc>
          <w:tcPr>
            <w:tcW w:w="1361" w:type="dxa"/>
            <w:vAlign w:val="center"/>
          </w:tcPr>
          <w:p>
            <w:pPr>
              <w:pStyle w:val="单元格样式4"/>
            </w:pPr>
            <w:r>
              <w:t xml:space="preserve">23.64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24.05</w:t>
            </w:r>
          </w:p>
        </w:tc>
        <w:tc>
          <w:tcPr>
            <w:tcW w:w="1361" w:type="dxa"/>
            <w:vAlign w:val="center"/>
          </w:tcPr>
          <w:p>
            <w:pPr>
              <w:pStyle w:val="单元格样式4"/>
            </w:pPr>
            <w:r>
              <w:t xml:space="preserve">24.05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24.05</w:t>
            </w:r>
          </w:p>
        </w:tc>
        <w:tc>
          <w:tcPr>
            <w:tcW w:w="1361" w:type="dxa"/>
            <w:vAlign w:val="center"/>
          </w:tcPr>
          <w:p>
            <w:pPr>
              <w:pStyle w:val="单元格样式4"/>
            </w:pPr>
            <w:r>
              <w:t xml:space="preserve">24.05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24.05</w:t>
            </w:r>
          </w:p>
        </w:tc>
        <w:tc>
          <w:tcPr>
            <w:tcW w:w="1361" w:type="dxa"/>
            <w:vAlign w:val="center"/>
          </w:tcPr>
          <w:p>
            <w:pPr>
              <w:pStyle w:val="单元格样式4"/>
            </w:pPr>
            <w:r>
              <w:t xml:space="preserve">24.05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r>
              <w:t xml:space="preserve">395.91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933魏县泊口乡人民政府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998.61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484.09</w:t>
            </w:r>
          </w:p>
        </w:tc>
        <w:tc>
          <w:tcPr>
            <w:tcW w:w="1474" w:type="dxa"/>
            <w:vAlign w:val="center"/>
          </w:tcPr>
          <w:p>
            <w:pPr>
              <w:pStyle w:val="单元格样式4"/>
            </w:pPr>
            <w:r>
              <w:t xml:space="preserve">484.09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94.55</w:t>
            </w:r>
          </w:p>
        </w:tc>
        <w:tc>
          <w:tcPr>
            <w:tcW w:w="1474" w:type="dxa"/>
            <w:vAlign w:val="center"/>
          </w:tcPr>
          <w:p>
            <w:pPr>
              <w:pStyle w:val="单元格样式4"/>
            </w:pPr>
            <w:r>
              <w:t xml:space="preserve">94.55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24.05</w:t>
            </w:r>
          </w:p>
        </w:tc>
        <w:tc>
          <w:tcPr>
            <w:tcW w:w="1474" w:type="dxa"/>
            <w:vAlign w:val="center"/>
          </w:tcPr>
          <w:p>
            <w:pPr>
              <w:pStyle w:val="单元格样式4"/>
            </w:pPr>
            <w:r>
              <w:t xml:space="preserve">24.05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395.91</w:t>
            </w:r>
          </w:p>
        </w:tc>
        <w:tc>
          <w:tcPr>
            <w:tcW w:w="1474" w:type="dxa"/>
            <w:vAlign w:val="center"/>
          </w:tcPr>
          <w:p>
            <w:pPr>
              <w:pStyle w:val="单元格样式4"/>
            </w:pPr>
            <w:r>
              <w:t xml:space="preserve">395.91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998.61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998.61</w:t>
            </w:r>
          </w:p>
        </w:tc>
        <w:tc>
          <w:tcPr>
            <w:tcW w:w="1474" w:type="dxa"/>
            <w:vAlign w:val="center"/>
          </w:tcPr>
          <w:p>
            <w:pPr>
              <w:pStyle w:val="单元格样式7"/>
            </w:pPr>
            <w:r>
              <w:t xml:space="preserve">998.61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998.61</w:t>
            </w:r>
          </w:p>
        </w:tc>
        <w:tc>
          <w:tcPr>
            <w:tcW w:w="3402" w:type="dxa"/>
            <w:vAlign w:val="center"/>
          </w:tcPr>
          <w:p>
            <w:pPr>
              <w:pStyle w:val="单元格样式6"/>
            </w:pPr>
            <w:r>
              <w:t xml:space="preserve">支出总计</w:t>
            </w:r>
          </w:p>
        </w:tc>
        <w:tc>
          <w:tcPr>
            <w:tcW w:w="1474" w:type="dxa"/>
            <w:vAlign w:val="center"/>
          </w:tcPr>
          <w:p>
            <w:pPr>
              <w:pStyle w:val="单元格样式7"/>
            </w:pPr>
            <w:r>
              <w:t xml:space="preserve">998.61</w:t>
            </w:r>
          </w:p>
        </w:tc>
        <w:tc>
          <w:tcPr>
            <w:tcW w:w="1474" w:type="dxa"/>
            <w:vAlign w:val="center"/>
          </w:tcPr>
          <w:p>
            <w:pPr>
              <w:pStyle w:val="单元格样式7"/>
            </w:pPr>
            <w:r>
              <w:t xml:space="preserve">998.61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933魏县泊口乡人民政府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998.61</w:t>
            </w:r>
          </w:p>
        </w:tc>
        <w:tc>
          <w:tcPr>
            <w:tcW w:w="2551" w:type="dxa"/>
            <w:vAlign w:val="center"/>
          </w:tcPr>
          <w:p>
            <w:pPr>
              <w:pStyle w:val="单元格样式7"/>
            </w:pPr>
            <w:r>
              <w:t xml:space="preserve">476.17</w:t>
            </w:r>
          </w:p>
        </w:tc>
        <w:tc>
          <w:tcPr>
            <w:tcW w:w="2551" w:type="dxa"/>
            <w:vAlign w:val="center"/>
          </w:tcPr>
          <w:p>
            <w:pPr>
              <w:pStyle w:val="单元格样式7"/>
            </w:pPr>
            <w:r>
              <w:t xml:space="preserve">522.44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484.09</w:t>
            </w:r>
          </w:p>
        </w:tc>
        <w:tc>
          <w:tcPr>
            <w:tcW w:w="2551" w:type="dxa"/>
            <w:vAlign w:val="center"/>
          </w:tcPr>
          <w:p>
            <w:pPr>
              <w:pStyle w:val="单元格样式4"/>
            </w:pPr>
            <w:r>
              <w:t xml:space="preserve">357.56</w:t>
            </w:r>
          </w:p>
        </w:tc>
        <w:tc>
          <w:tcPr>
            <w:tcW w:w="2551" w:type="dxa"/>
            <w:vAlign w:val="center"/>
          </w:tcPr>
          <w:p>
            <w:pPr>
              <w:pStyle w:val="单元格样式4"/>
            </w:pPr>
            <w:r>
              <w:t xml:space="preserve">126.53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484.09</w:t>
            </w:r>
          </w:p>
        </w:tc>
        <w:tc>
          <w:tcPr>
            <w:tcW w:w="2551" w:type="dxa"/>
            <w:vAlign w:val="center"/>
          </w:tcPr>
          <w:p>
            <w:pPr>
              <w:pStyle w:val="单元格样式4"/>
            </w:pPr>
            <w:r>
              <w:t xml:space="preserve">357.56</w:t>
            </w:r>
          </w:p>
        </w:tc>
        <w:tc>
          <w:tcPr>
            <w:tcW w:w="2551" w:type="dxa"/>
            <w:vAlign w:val="center"/>
          </w:tcPr>
          <w:p>
            <w:pPr>
              <w:pStyle w:val="单元格样式4"/>
            </w:pPr>
            <w:r>
              <w:t xml:space="preserve">126.53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484.09</w:t>
            </w:r>
          </w:p>
        </w:tc>
        <w:tc>
          <w:tcPr>
            <w:tcW w:w="2551" w:type="dxa"/>
            <w:vAlign w:val="center"/>
          </w:tcPr>
          <w:p>
            <w:pPr>
              <w:pStyle w:val="单元格样式4"/>
            </w:pPr>
            <w:r>
              <w:t xml:space="preserve">357.56</w:t>
            </w:r>
          </w:p>
        </w:tc>
        <w:tc>
          <w:tcPr>
            <w:tcW w:w="2551" w:type="dxa"/>
            <w:vAlign w:val="center"/>
          </w:tcPr>
          <w:p>
            <w:pPr>
              <w:pStyle w:val="单元格样式4"/>
            </w:pPr>
            <w:r>
              <w:t xml:space="preserve">126.53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94.55</w:t>
            </w:r>
          </w:p>
        </w:tc>
        <w:tc>
          <w:tcPr>
            <w:tcW w:w="2551" w:type="dxa"/>
            <w:vAlign w:val="center"/>
          </w:tcPr>
          <w:p>
            <w:pPr>
              <w:pStyle w:val="单元格样式4"/>
            </w:pPr>
            <w:r>
              <w:t xml:space="preserve">94.55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94.55</w:t>
            </w:r>
          </w:p>
        </w:tc>
        <w:tc>
          <w:tcPr>
            <w:tcW w:w="2551" w:type="dxa"/>
            <w:vAlign w:val="center"/>
          </w:tcPr>
          <w:p>
            <w:pPr>
              <w:pStyle w:val="单元格样式4"/>
            </w:pPr>
            <w:r>
              <w:t xml:space="preserve">94.55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23.63</w:t>
            </w:r>
          </w:p>
        </w:tc>
        <w:tc>
          <w:tcPr>
            <w:tcW w:w="2551" w:type="dxa"/>
            <w:vAlign w:val="center"/>
          </w:tcPr>
          <w:p>
            <w:pPr>
              <w:pStyle w:val="单元格样式4"/>
            </w:pPr>
            <w:r>
              <w:t xml:space="preserve">23.63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47.28</w:t>
            </w:r>
          </w:p>
        </w:tc>
        <w:tc>
          <w:tcPr>
            <w:tcW w:w="2551" w:type="dxa"/>
            <w:vAlign w:val="center"/>
          </w:tcPr>
          <w:p>
            <w:pPr>
              <w:pStyle w:val="单元格样式4"/>
            </w:pPr>
            <w:r>
              <w:t xml:space="preserve">47.28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23.64</w:t>
            </w:r>
          </w:p>
        </w:tc>
        <w:tc>
          <w:tcPr>
            <w:tcW w:w="2551" w:type="dxa"/>
            <w:vAlign w:val="center"/>
          </w:tcPr>
          <w:p>
            <w:pPr>
              <w:pStyle w:val="单元格样式4"/>
            </w:pPr>
            <w:r>
              <w:t xml:space="preserve">23.64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24.05</w:t>
            </w:r>
          </w:p>
        </w:tc>
        <w:tc>
          <w:tcPr>
            <w:tcW w:w="2551" w:type="dxa"/>
            <w:vAlign w:val="center"/>
          </w:tcPr>
          <w:p>
            <w:pPr>
              <w:pStyle w:val="单元格样式4"/>
            </w:pPr>
            <w:r>
              <w:t xml:space="preserve">24.05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24.05</w:t>
            </w:r>
          </w:p>
        </w:tc>
        <w:tc>
          <w:tcPr>
            <w:tcW w:w="2551" w:type="dxa"/>
            <w:vAlign w:val="center"/>
          </w:tcPr>
          <w:p>
            <w:pPr>
              <w:pStyle w:val="单元格样式4"/>
            </w:pPr>
            <w:r>
              <w:t xml:space="preserve">24.05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24.05</w:t>
            </w:r>
          </w:p>
        </w:tc>
        <w:tc>
          <w:tcPr>
            <w:tcW w:w="2551" w:type="dxa"/>
            <w:vAlign w:val="center"/>
          </w:tcPr>
          <w:p>
            <w:pPr>
              <w:pStyle w:val="单元格样式4"/>
            </w:pPr>
            <w:r>
              <w:t xml:space="preserve">24.05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395.91</w:t>
            </w:r>
          </w:p>
        </w:tc>
        <w:tc>
          <w:tcPr>
            <w:tcW w:w="2551" w:type="dxa"/>
            <w:vAlign w:val="center"/>
          </w:tcPr>
          <w:p>
            <w:pPr>
              <w:pStyle w:val="单元格样式4"/>
            </w:pPr>
          </w:p>
        </w:tc>
        <w:tc>
          <w:tcPr>
            <w:tcW w:w="2551" w:type="dxa"/>
            <w:vAlign w:val="center"/>
          </w:tcPr>
          <w:p>
            <w:pPr>
              <w:pStyle w:val="单元格样式4"/>
            </w:pPr>
            <w:r>
              <w:t xml:space="preserve">395.91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395.91</w:t>
            </w:r>
          </w:p>
        </w:tc>
        <w:tc>
          <w:tcPr>
            <w:tcW w:w="2551" w:type="dxa"/>
            <w:vAlign w:val="center"/>
          </w:tcPr>
          <w:p>
            <w:pPr>
              <w:pStyle w:val="单元格样式4"/>
            </w:pPr>
          </w:p>
        </w:tc>
        <w:tc>
          <w:tcPr>
            <w:tcW w:w="2551" w:type="dxa"/>
            <w:vAlign w:val="center"/>
          </w:tcPr>
          <w:p>
            <w:pPr>
              <w:pStyle w:val="单元格样式4"/>
            </w:pPr>
            <w:r>
              <w:t xml:space="preserve">395.91</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395.91</w:t>
            </w:r>
          </w:p>
        </w:tc>
        <w:tc>
          <w:tcPr>
            <w:tcW w:w="2551" w:type="dxa"/>
            <w:vAlign w:val="center"/>
          </w:tcPr>
          <w:p>
            <w:pPr>
              <w:pStyle w:val="单元格样式4"/>
            </w:pPr>
          </w:p>
        </w:tc>
        <w:tc>
          <w:tcPr>
            <w:tcW w:w="2551" w:type="dxa"/>
            <w:vAlign w:val="center"/>
          </w:tcPr>
          <w:p>
            <w:pPr>
              <w:pStyle w:val="单元格样式4"/>
            </w:pPr>
            <w:r>
              <w:t xml:space="preserve">395.91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933魏县泊口乡人民政府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476.17</w:t>
            </w:r>
          </w:p>
        </w:tc>
        <w:tc>
          <w:tcPr>
            <w:tcW w:w="2551" w:type="dxa"/>
            <w:vAlign w:val="center"/>
          </w:tcPr>
          <w:p>
            <w:pPr>
              <w:pStyle w:val="单元格样式7"/>
            </w:pPr>
            <w:r>
              <w:t xml:space="preserve">411.63</w:t>
            </w:r>
          </w:p>
        </w:tc>
        <w:tc>
          <w:tcPr>
            <w:tcW w:w="2551" w:type="dxa"/>
            <w:vAlign w:val="center"/>
          </w:tcPr>
          <w:p>
            <w:pPr>
              <w:pStyle w:val="单元格样式7"/>
            </w:pPr>
            <w:r>
              <w:t xml:space="preserve">64.54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382.27</w:t>
            </w:r>
          </w:p>
        </w:tc>
        <w:tc>
          <w:tcPr>
            <w:tcW w:w="2551" w:type="dxa"/>
            <w:vAlign w:val="center"/>
          </w:tcPr>
          <w:p>
            <w:pPr>
              <w:pStyle w:val="单元格样式4"/>
            </w:pPr>
            <w:r>
              <w:t xml:space="preserve">382.27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154.24</w:t>
            </w:r>
          </w:p>
        </w:tc>
        <w:tc>
          <w:tcPr>
            <w:tcW w:w="2551" w:type="dxa"/>
            <w:vAlign w:val="center"/>
          </w:tcPr>
          <w:p>
            <w:pPr>
              <w:pStyle w:val="单元格样式4"/>
            </w:pPr>
            <w:r>
              <w:t xml:space="preserve">154.24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73.49</w:t>
            </w:r>
          </w:p>
        </w:tc>
        <w:tc>
          <w:tcPr>
            <w:tcW w:w="2551" w:type="dxa"/>
            <w:vAlign w:val="center"/>
          </w:tcPr>
          <w:p>
            <w:pPr>
              <w:pStyle w:val="单元格样式4"/>
            </w:pPr>
            <w:r>
              <w:t xml:space="preserve">73.49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35.67</w:t>
            </w:r>
          </w:p>
        </w:tc>
        <w:tc>
          <w:tcPr>
            <w:tcW w:w="2551" w:type="dxa"/>
            <w:vAlign w:val="center"/>
          </w:tcPr>
          <w:p>
            <w:pPr>
              <w:pStyle w:val="单元格样式4"/>
            </w:pPr>
            <w:r>
              <w:t xml:space="preserve">35.67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22.41</w:t>
            </w:r>
          </w:p>
        </w:tc>
        <w:tc>
          <w:tcPr>
            <w:tcW w:w="2551" w:type="dxa"/>
            <w:vAlign w:val="center"/>
          </w:tcPr>
          <w:p>
            <w:pPr>
              <w:pStyle w:val="单元格样式4"/>
            </w:pPr>
            <w:r>
              <w:t xml:space="preserve">22.41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47.28</w:t>
            </w:r>
          </w:p>
        </w:tc>
        <w:tc>
          <w:tcPr>
            <w:tcW w:w="2551" w:type="dxa"/>
            <w:vAlign w:val="center"/>
          </w:tcPr>
          <w:p>
            <w:pPr>
              <w:pStyle w:val="单元格样式4"/>
            </w:pPr>
            <w:r>
              <w:t xml:space="preserve">47.28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23.64</w:t>
            </w:r>
          </w:p>
        </w:tc>
        <w:tc>
          <w:tcPr>
            <w:tcW w:w="2551" w:type="dxa"/>
            <w:vAlign w:val="center"/>
          </w:tcPr>
          <w:p>
            <w:pPr>
              <w:pStyle w:val="单元格样式4"/>
            </w:pPr>
            <w:r>
              <w:t xml:space="preserve">23.64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24.05</w:t>
            </w:r>
          </w:p>
        </w:tc>
        <w:tc>
          <w:tcPr>
            <w:tcW w:w="2551" w:type="dxa"/>
            <w:vAlign w:val="center"/>
          </w:tcPr>
          <w:p>
            <w:pPr>
              <w:pStyle w:val="单元格样式4"/>
            </w:pPr>
            <w:r>
              <w:t xml:space="preserve">24.05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1.48</w:t>
            </w:r>
          </w:p>
        </w:tc>
        <w:tc>
          <w:tcPr>
            <w:tcW w:w="2551" w:type="dxa"/>
            <w:vAlign w:val="center"/>
          </w:tcPr>
          <w:p>
            <w:pPr>
              <w:pStyle w:val="单元格样式4"/>
            </w:pPr>
            <w:r>
              <w:t xml:space="preserve">1.48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64.54</w:t>
            </w:r>
          </w:p>
        </w:tc>
        <w:tc>
          <w:tcPr>
            <w:tcW w:w="2551" w:type="dxa"/>
            <w:vAlign w:val="center"/>
          </w:tcPr>
          <w:p>
            <w:pPr>
              <w:pStyle w:val="单元格样式4"/>
            </w:pPr>
          </w:p>
        </w:tc>
        <w:tc>
          <w:tcPr>
            <w:tcW w:w="2551" w:type="dxa"/>
            <w:vAlign w:val="center"/>
          </w:tcPr>
          <w:p>
            <w:pPr>
              <w:pStyle w:val="单元格样式4"/>
            </w:pPr>
            <w:r>
              <w:t xml:space="preserve">64.54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26.60</w:t>
            </w:r>
          </w:p>
        </w:tc>
        <w:tc>
          <w:tcPr>
            <w:tcW w:w="2551" w:type="dxa"/>
            <w:vAlign w:val="center"/>
          </w:tcPr>
          <w:p>
            <w:pPr>
              <w:pStyle w:val="单元格样式4"/>
            </w:pPr>
          </w:p>
        </w:tc>
        <w:tc>
          <w:tcPr>
            <w:tcW w:w="2551" w:type="dxa"/>
            <w:vAlign w:val="center"/>
          </w:tcPr>
          <w:p>
            <w:pPr>
              <w:pStyle w:val="单元格样式4"/>
            </w:pPr>
            <w:r>
              <w:t xml:space="preserve">26.60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20.94</w:t>
            </w:r>
          </w:p>
        </w:tc>
        <w:tc>
          <w:tcPr>
            <w:tcW w:w="2551" w:type="dxa"/>
            <w:vAlign w:val="center"/>
          </w:tcPr>
          <w:p>
            <w:pPr>
              <w:pStyle w:val="单元格样式4"/>
            </w:pPr>
          </w:p>
        </w:tc>
        <w:tc>
          <w:tcPr>
            <w:tcW w:w="2551" w:type="dxa"/>
            <w:vAlign w:val="center"/>
          </w:tcPr>
          <w:p>
            <w:pPr>
              <w:pStyle w:val="单元格样式4"/>
            </w:pPr>
            <w:r>
              <w:t xml:space="preserve">20.94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17.00</w:t>
            </w:r>
          </w:p>
        </w:tc>
        <w:tc>
          <w:tcPr>
            <w:tcW w:w="2551" w:type="dxa"/>
            <w:vAlign w:val="center"/>
          </w:tcPr>
          <w:p>
            <w:pPr>
              <w:pStyle w:val="单元格样式4"/>
            </w:pPr>
          </w:p>
        </w:tc>
        <w:tc>
          <w:tcPr>
            <w:tcW w:w="2551" w:type="dxa"/>
            <w:vAlign w:val="center"/>
          </w:tcPr>
          <w:p>
            <w:pPr>
              <w:pStyle w:val="单元格样式4"/>
            </w:pPr>
            <w:r>
              <w:t xml:space="preserve">17.00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29.36</w:t>
            </w:r>
          </w:p>
        </w:tc>
        <w:tc>
          <w:tcPr>
            <w:tcW w:w="2551" w:type="dxa"/>
            <w:vAlign w:val="center"/>
          </w:tcPr>
          <w:p>
            <w:pPr>
              <w:pStyle w:val="单元格样式4"/>
            </w:pPr>
            <w:r>
              <w:t xml:space="preserve">29.36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23.63</w:t>
            </w:r>
          </w:p>
        </w:tc>
        <w:tc>
          <w:tcPr>
            <w:tcW w:w="2551" w:type="dxa"/>
            <w:vAlign w:val="center"/>
          </w:tcPr>
          <w:p>
            <w:pPr>
              <w:pStyle w:val="单元格样式4"/>
            </w:pPr>
            <w:r>
              <w:t xml:space="preserve">23.63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5.73</w:t>
            </w:r>
          </w:p>
        </w:tc>
        <w:tc>
          <w:tcPr>
            <w:tcW w:w="2551" w:type="dxa"/>
            <w:vAlign w:val="center"/>
          </w:tcPr>
          <w:p>
            <w:pPr>
              <w:pStyle w:val="单元格样式4"/>
            </w:pPr>
            <w:r>
              <w:t xml:space="preserve">5.73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933魏县泊口乡人民政府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933魏县泊口乡人民政府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933魏县泊口乡人民政府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魏县泊口乡人民政府2025年部门预算信息公开情况说明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魏县泊口乡人民政府2025年部门预算信息公开情况说明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按照《中华人民共和国预算法》、《地方预决算公开操作规程》和《关于进一步推进预算公开工作的实施意见》规定，现将魏县泊口乡人民政府2025年部门预算公开如下：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一、部门职责</w:t>
      </w:r>
    </w:p>
    <w:p>
      <w:pPr>
        <w:pStyle w:val="插入文本样式-插入预算公开部门职责文件"/>
      </w:pPr>
      <w:r>
        <w:t xml:space="preserve">根据《魏县（市、区）泊口镇职能配置、内设机构和人员编制方案》规定，主要职责：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机构设置：</w:t>
      </w:r>
    </w:p>
    <w:p>
      <w:pPr>
        <w:pStyle w:val="插入文本样式-插入预算公开部门职责文件"/>
      </w:pPr>
      <w:r>
        <w:t xml:space="preserve">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魏县泊口乡人民政府本级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按照预算管理有关规定，目前部门预算的编制实行综合预算管理，即全部收入和支出都反映在预算中。魏县泊口乡人民政府机关及所属事业单位的收支包含在部门预算中。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998.61万元，其中：一般公共预算收入998.61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泊口乡人民政府年度部门预算中支出预算的总体情况。2025年支出预算998.61万元，其中基本支出476.17万元，包括人员经费411.63万元和日常公用经费64.54万元；项目支出522.44万元，主要为村干部工资、村办公经费、自收自支人员补助、日常公用经费、服务基层专项经费以及占地补偿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2025年预算收支安排998.61万元，较2024年预算减少4.20万元，其中：基本支出减少23.68万元，主要为部分占地项目支出减少项目支出增加19.48万元，主要为乡财政人员数量增加，遂经费有所增加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2025年，我部门机关运行经费共计安排64.54万元，主要用于日常维修、办公用房水电费、办公用房取暖费、办公用房物业管理费等日常运行支出。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不存在三公经费预算</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1、加强推进党的基层组织建设、纪检监察、党风廉政建设、统一战线、人民武装、精神文明建设、组织人事工作。加强机关事务性管理，开展机关自身能力建设。</w:t>
      </w:r>
    </w:p>
    <w:p>
      <w:pPr>
        <w:pStyle w:val="插入文本样式-插入总体目标文件"/>
      </w:pPr>
      <w:r>
        <w:t xml:space="preserve">2、制定经济发展规划，指导、协调和服务乡村企业及个体企业的发展，促进招商引资和项目建设。</w:t>
      </w:r>
    </w:p>
    <w:p>
      <w:pPr>
        <w:pStyle w:val="插入文本样式-插入总体目标文件"/>
      </w:pPr>
      <w:r>
        <w:t xml:space="preserve">3、科学的制定本地产业发展规划、推进农业结构调整、营造良好的发展环境，增强农村集体经济实力。</w:t>
      </w:r>
    </w:p>
    <w:p>
      <w:pPr>
        <w:pStyle w:val="插入文本样式-插入总体目标文件"/>
      </w:pPr>
      <w:r>
        <w:t xml:space="preserve">4、负责本乡镇公共设施的建设、管理、维护工作，本乡镇乡村道路整修、住宅规划、房屋拆迁等工作。</w:t>
      </w:r>
    </w:p>
    <w:p>
      <w:pPr>
        <w:pStyle w:val="插入文本样式-插入总体目标文件"/>
      </w:pPr>
      <w:r>
        <w:t xml:space="preserve">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1、贯彻落实党在农村的各项方针、政策，圆满完成县委、县政府下达的目标任务。                  </w:t>
      </w:r>
    </w:p>
    <w:p>
      <w:pPr>
        <w:pStyle w:val="插入文本样式-插入职责分类绩效目标文件"/>
      </w:pPr>
      <w:r>
        <w:t xml:space="preserve">2、抓好党的建设。主要包括领导班子建设、党风廉政建设、农村基层组织建设和机构改革控编减员。   </w:t>
      </w:r>
    </w:p>
    <w:p>
      <w:pPr>
        <w:pStyle w:val="插入文本样式-插入职责分类绩效目标文件"/>
      </w:pPr>
      <w:r>
        <w:t xml:space="preserve">3、以经济建设为中心，重点抓好高效农业、第三产业和民营企业，加快小康建设步伐。               </w:t>
      </w:r>
    </w:p>
    <w:p>
      <w:pPr>
        <w:pStyle w:val="插入文本样式-插入职责分类绩效目标文件"/>
      </w:pPr>
      <w:r>
        <w:t xml:space="preserve">4、办好公益事业。重点抓好乡、村学校、医疗卫生、道路交通等。                       </w:t>
      </w:r>
    </w:p>
    <w:p>
      <w:pPr>
        <w:pStyle w:val="插入文本样式-插入职责分类绩效目标文件"/>
      </w:pPr>
      <w:r>
        <w:t xml:space="preserve">5、完成县委、县政府交办的其他工作。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13043425P004424100460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54.24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54.24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泊口镇下辖29个村，每年上级补助村办公经费54.24万元，保障村两委正常运转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1.泊口镇下辖29个村，每年上级补助村办公经费54.24万元，保障村两委正常运转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镇内发放办公经费的村数量</w:t>
            </w:r>
          </w:p>
        </w:tc>
        <w:tc>
          <w:tcPr>
            <w:tcW w:w="2268" w:type="dxa"/>
            <w:vAlign w:val="center"/>
          </w:tcPr>
          <w:p>
            <w:pPr>
              <w:pStyle w:val="单元格样式2"/>
            </w:pPr>
            <w:r>
              <w:t xml:space="preserve">29个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29个村所需要的办公经费总额度</w:t>
            </w:r>
          </w:p>
        </w:tc>
        <w:tc>
          <w:tcPr>
            <w:tcW w:w="2268" w:type="dxa"/>
            <w:vAlign w:val="center"/>
          </w:tcPr>
          <w:p>
            <w:pPr>
              <w:pStyle w:val="单元格样式2"/>
            </w:pPr>
            <w:r>
              <w:t xml:space="preserve">54.24万元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保障各村日常工作正常开展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及时发放村办公经费，保障村干部日常工作</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根据调查问卷结果</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13043425P00442410035G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341.67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341.67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足额及时发放2025年村干部工资341.67万元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1.足额及时发放2025年村干部工资341.67万元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341.67万元</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162人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13043425P004424100268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46.42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46.42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及时拨付46.42万元服务基层专项经费后，使泊口镇环境整治、社会治安、乡村振兴等工作顺利开展，保障下辖29个村的管理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1.泊口镇2025年服务基层经费需求46.42万元，用于泊口镇人员工资、环境整治等工作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46.42万元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29个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80.11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80.11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保障25位自收自支人员工资按时发放，提高职工生活水平，降低信访事件发生，促进工作顺利开展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1.保障25位自收自支人员80.11万元工资按时发放，提高职工生活水平，降低信访事件发生，促进工作顺利开展。</w:t>
            </w:r>
            <w:r>
              <w:rPr/>
              <w:tab/>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25人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80.11万元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933魏县泊口乡人民政府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魏县泊口乡人民政府（含所属单位）上年末固定资产金额为368.43万元（详见下表）。本年度拟购置固定资产总额为0.00万元，已按要求列入政府采购预算，详见政府采购预算表。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933魏县泊口乡人民政府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368.43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5828</w:t>
            </w:r>
          </w:p>
        </w:tc>
        <w:tc>
          <w:tcPr>
            <w:tcW w:w="2835" w:type="dxa"/>
            <w:vAlign w:val="center"/>
          </w:tcPr>
          <w:p>
            <w:pPr>
              <w:pStyle w:val="单元格样式4"/>
            </w:pPr>
            <w:r>
              <w:t xml:space="preserve">354.00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320</w:t>
            </w:r>
          </w:p>
        </w:tc>
        <w:tc>
          <w:tcPr>
            <w:tcW w:w="2835" w:type="dxa"/>
            <w:vAlign w:val="center"/>
          </w:tcPr>
          <w:p>
            <w:pPr>
              <w:pStyle w:val="单元格样式4"/>
            </w:pPr>
            <w:r>
              <w:t xml:space="preserve">19.40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21</w:t>
            </w:r>
          </w:p>
        </w:tc>
        <w:tc>
          <w:tcPr>
            <w:tcW w:w="2835" w:type="dxa"/>
            <w:vAlign w:val="center"/>
          </w:tcPr>
          <w:p>
            <w:pPr>
              <w:pStyle w:val="单元格样式4"/>
            </w:pPr>
            <w:r>
              <w:t xml:space="preserve">14.43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2025-02-17T17:09:30Z</dcterms:created>
  <dcterms:modified xsi:type="dcterms:W3CDTF">2025-02-17T17:09:30Z</dcterms:modified>
</cp:coreProperties>
</file>