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9</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10</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11</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15</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16</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16</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17</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19</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20</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25</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25</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25</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26</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434魏县人民政府办公室</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1254.68</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1055.87</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152.00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46.81</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1254.68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1254.68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1254.68</w:t>
            </w:r>
          </w:p>
        </w:tc>
        <w:tc>
          <w:tcPr>
            <w:tcW w:w="4535" w:type="dxa"/>
            <w:vAlign w:val="center"/>
          </w:tcPr>
          <w:p>
            <w:pPr>
              <w:pStyle w:val="单元格样式6"/>
            </w:pPr>
            <w:r>
              <w:t xml:space="preserve">支出总计</w:t>
            </w:r>
          </w:p>
        </w:tc>
        <w:tc>
          <w:tcPr>
            <w:tcW w:w="2126" w:type="dxa"/>
            <w:vAlign w:val="center"/>
          </w:tcPr>
          <w:p>
            <w:pPr>
              <w:pStyle w:val="单元格样式7"/>
            </w:pPr>
            <w:r>
              <w:t xml:space="preserve">1254.68</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434魏县人民政府办公室</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1254.68</w:t>
            </w:r>
          </w:p>
        </w:tc>
        <w:tc>
          <w:tcPr>
            <w:tcW w:w="1134" w:type="dxa"/>
            <w:vAlign w:val="center"/>
          </w:tcPr>
          <w:p>
            <w:pPr>
              <w:pStyle w:val="单元格样式7"/>
            </w:pPr>
            <w:r>
              <w:t xml:space="preserve">1254.68</w:t>
            </w:r>
          </w:p>
        </w:tc>
        <w:tc>
          <w:tcPr>
            <w:tcW w:w="1134" w:type="dxa"/>
            <w:vAlign w:val="center"/>
          </w:tcPr>
          <w:p>
            <w:pPr>
              <w:pStyle w:val="单元格样式7"/>
            </w:pPr>
            <w:r>
              <w:t xml:space="preserve">1254.68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1055.87</w:t>
            </w:r>
          </w:p>
        </w:tc>
        <w:tc>
          <w:tcPr>
            <w:tcW w:w="1134" w:type="dxa"/>
            <w:vAlign w:val="center"/>
          </w:tcPr>
          <w:p>
            <w:pPr>
              <w:pStyle w:val="单元格样式4"/>
            </w:pPr>
            <w:r>
              <w:t xml:space="preserve">1055.87</w:t>
            </w:r>
          </w:p>
        </w:tc>
        <w:tc>
          <w:tcPr>
            <w:tcW w:w="1134" w:type="dxa"/>
            <w:vAlign w:val="center"/>
          </w:tcPr>
          <w:p>
            <w:pPr>
              <w:pStyle w:val="单元格样式4"/>
            </w:pPr>
            <w:r>
              <w:t xml:space="preserve">1055.87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1055.87</w:t>
            </w:r>
          </w:p>
        </w:tc>
        <w:tc>
          <w:tcPr>
            <w:tcW w:w="1134" w:type="dxa"/>
            <w:vAlign w:val="center"/>
          </w:tcPr>
          <w:p>
            <w:pPr>
              <w:pStyle w:val="单元格样式4"/>
            </w:pPr>
            <w:r>
              <w:t xml:space="preserve">1055.87</w:t>
            </w:r>
          </w:p>
        </w:tc>
        <w:tc>
          <w:tcPr>
            <w:tcW w:w="1134" w:type="dxa"/>
            <w:vAlign w:val="center"/>
          </w:tcPr>
          <w:p>
            <w:pPr>
              <w:pStyle w:val="单元格样式4"/>
            </w:pPr>
            <w:r>
              <w:t xml:space="preserve">1055.87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935.87</w:t>
            </w:r>
          </w:p>
        </w:tc>
        <w:tc>
          <w:tcPr>
            <w:tcW w:w="1134" w:type="dxa"/>
            <w:vAlign w:val="center"/>
          </w:tcPr>
          <w:p>
            <w:pPr>
              <w:pStyle w:val="单元格样式4"/>
            </w:pPr>
            <w:r>
              <w:t xml:space="preserve">935.87</w:t>
            </w:r>
          </w:p>
        </w:tc>
        <w:tc>
          <w:tcPr>
            <w:tcW w:w="1134" w:type="dxa"/>
            <w:vAlign w:val="center"/>
          </w:tcPr>
          <w:p>
            <w:pPr>
              <w:pStyle w:val="单元格样式4"/>
            </w:pPr>
            <w:r>
              <w:t xml:space="preserve">935.87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120.00</w:t>
            </w:r>
          </w:p>
        </w:tc>
        <w:tc>
          <w:tcPr>
            <w:tcW w:w="1134" w:type="dxa"/>
            <w:vAlign w:val="center"/>
          </w:tcPr>
          <w:p>
            <w:pPr>
              <w:pStyle w:val="单元格样式4"/>
            </w:pPr>
            <w:r>
              <w:t xml:space="preserve">120.00</w:t>
            </w:r>
          </w:p>
        </w:tc>
        <w:tc>
          <w:tcPr>
            <w:tcW w:w="1134" w:type="dxa"/>
            <w:vAlign w:val="center"/>
          </w:tcPr>
          <w:p>
            <w:pPr>
              <w:pStyle w:val="单元格样式4"/>
            </w:pPr>
            <w:r>
              <w:t xml:space="preserve">120.00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152.00</w:t>
            </w:r>
          </w:p>
        </w:tc>
        <w:tc>
          <w:tcPr>
            <w:tcW w:w="1134" w:type="dxa"/>
            <w:vAlign w:val="center"/>
          </w:tcPr>
          <w:p>
            <w:pPr>
              <w:pStyle w:val="单元格样式4"/>
            </w:pPr>
            <w:r>
              <w:t xml:space="preserve">152.00</w:t>
            </w:r>
          </w:p>
        </w:tc>
        <w:tc>
          <w:tcPr>
            <w:tcW w:w="1134" w:type="dxa"/>
            <w:vAlign w:val="center"/>
          </w:tcPr>
          <w:p>
            <w:pPr>
              <w:pStyle w:val="单元格样式4"/>
            </w:pPr>
            <w:r>
              <w:t xml:space="preserve">152.00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152.00</w:t>
            </w:r>
          </w:p>
        </w:tc>
        <w:tc>
          <w:tcPr>
            <w:tcW w:w="1134" w:type="dxa"/>
            <w:vAlign w:val="center"/>
          </w:tcPr>
          <w:p>
            <w:pPr>
              <w:pStyle w:val="单元格样式4"/>
            </w:pPr>
            <w:r>
              <w:t xml:space="preserve">152.00</w:t>
            </w:r>
          </w:p>
        </w:tc>
        <w:tc>
          <w:tcPr>
            <w:tcW w:w="1134" w:type="dxa"/>
            <w:vAlign w:val="center"/>
          </w:tcPr>
          <w:p>
            <w:pPr>
              <w:pStyle w:val="单元格样式4"/>
            </w:pPr>
            <w:r>
              <w:t xml:space="preserve">152.00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8.16</w:t>
            </w:r>
          </w:p>
        </w:tc>
        <w:tc>
          <w:tcPr>
            <w:tcW w:w="1134" w:type="dxa"/>
            <w:vAlign w:val="center"/>
          </w:tcPr>
          <w:p>
            <w:pPr>
              <w:pStyle w:val="单元格样式4"/>
            </w:pPr>
            <w:r>
              <w:t xml:space="preserve">8.16</w:t>
            </w:r>
          </w:p>
        </w:tc>
        <w:tc>
          <w:tcPr>
            <w:tcW w:w="1134" w:type="dxa"/>
            <w:vAlign w:val="center"/>
          </w:tcPr>
          <w:p>
            <w:pPr>
              <w:pStyle w:val="单元格样式4"/>
            </w:pPr>
            <w:r>
              <w:t xml:space="preserve">8.16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95.90</w:t>
            </w:r>
          </w:p>
        </w:tc>
        <w:tc>
          <w:tcPr>
            <w:tcW w:w="1134" w:type="dxa"/>
            <w:vAlign w:val="center"/>
          </w:tcPr>
          <w:p>
            <w:pPr>
              <w:pStyle w:val="单元格样式4"/>
            </w:pPr>
            <w:r>
              <w:t xml:space="preserve">95.90</w:t>
            </w:r>
          </w:p>
        </w:tc>
        <w:tc>
          <w:tcPr>
            <w:tcW w:w="1134" w:type="dxa"/>
            <w:vAlign w:val="center"/>
          </w:tcPr>
          <w:p>
            <w:pPr>
              <w:pStyle w:val="单元格样式4"/>
            </w:pPr>
            <w:r>
              <w:t xml:space="preserve">95.90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47.95</w:t>
            </w:r>
          </w:p>
        </w:tc>
        <w:tc>
          <w:tcPr>
            <w:tcW w:w="1134" w:type="dxa"/>
            <w:vAlign w:val="center"/>
          </w:tcPr>
          <w:p>
            <w:pPr>
              <w:pStyle w:val="单元格样式4"/>
            </w:pPr>
            <w:r>
              <w:t xml:space="preserve">47.95</w:t>
            </w:r>
          </w:p>
        </w:tc>
        <w:tc>
          <w:tcPr>
            <w:tcW w:w="1134" w:type="dxa"/>
            <w:vAlign w:val="center"/>
          </w:tcPr>
          <w:p>
            <w:pPr>
              <w:pStyle w:val="单元格样式4"/>
            </w:pPr>
            <w:r>
              <w:t xml:space="preserve">47.95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46.81</w:t>
            </w:r>
          </w:p>
        </w:tc>
        <w:tc>
          <w:tcPr>
            <w:tcW w:w="1134" w:type="dxa"/>
            <w:vAlign w:val="center"/>
          </w:tcPr>
          <w:p>
            <w:pPr>
              <w:pStyle w:val="单元格样式4"/>
            </w:pPr>
            <w:r>
              <w:t xml:space="preserve">46.81</w:t>
            </w:r>
          </w:p>
        </w:tc>
        <w:tc>
          <w:tcPr>
            <w:tcW w:w="1134" w:type="dxa"/>
            <w:vAlign w:val="center"/>
          </w:tcPr>
          <w:p>
            <w:pPr>
              <w:pStyle w:val="单元格样式4"/>
            </w:pPr>
            <w:r>
              <w:t xml:space="preserve">46.81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46.81</w:t>
            </w:r>
          </w:p>
        </w:tc>
        <w:tc>
          <w:tcPr>
            <w:tcW w:w="1134" w:type="dxa"/>
            <w:vAlign w:val="center"/>
          </w:tcPr>
          <w:p>
            <w:pPr>
              <w:pStyle w:val="单元格样式4"/>
            </w:pPr>
            <w:r>
              <w:t xml:space="preserve">46.81</w:t>
            </w:r>
          </w:p>
        </w:tc>
        <w:tc>
          <w:tcPr>
            <w:tcW w:w="1134" w:type="dxa"/>
            <w:vAlign w:val="center"/>
          </w:tcPr>
          <w:p>
            <w:pPr>
              <w:pStyle w:val="单元格样式4"/>
            </w:pPr>
            <w:r>
              <w:t xml:space="preserve">46.81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46.81</w:t>
            </w:r>
          </w:p>
        </w:tc>
        <w:tc>
          <w:tcPr>
            <w:tcW w:w="1134" w:type="dxa"/>
            <w:vAlign w:val="center"/>
          </w:tcPr>
          <w:p>
            <w:pPr>
              <w:pStyle w:val="单元格样式4"/>
            </w:pPr>
            <w:r>
              <w:t xml:space="preserve">46.81</w:t>
            </w:r>
          </w:p>
        </w:tc>
        <w:tc>
          <w:tcPr>
            <w:tcW w:w="1134" w:type="dxa"/>
            <w:vAlign w:val="center"/>
          </w:tcPr>
          <w:p>
            <w:pPr>
              <w:pStyle w:val="单元格样式4"/>
            </w:pPr>
            <w:r>
              <w:t xml:space="preserve">46.81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434魏县人民政府办公室</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1254.68</w:t>
            </w:r>
          </w:p>
        </w:tc>
        <w:tc>
          <w:tcPr>
            <w:tcW w:w="1361" w:type="dxa"/>
            <w:vAlign w:val="center"/>
          </w:tcPr>
          <w:p>
            <w:pPr>
              <w:pStyle w:val="单元格样式7"/>
            </w:pPr>
            <w:r>
              <w:t xml:space="preserve">870.68</w:t>
            </w:r>
          </w:p>
        </w:tc>
        <w:tc>
          <w:tcPr>
            <w:tcW w:w="1361" w:type="dxa"/>
            <w:vAlign w:val="center"/>
          </w:tcPr>
          <w:p>
            <w:pPr>
              <w:pStyle w:val="单元格样式7"/>
            </w:pPr>
            <w:r>
              <w:t xml:space="preserve">384.00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1055.87</w:t>
            </w:r>
          </w:p>
        </w:tc>
        <w:tc>
          <w:tcPr>
            <w:tcW w:w="1361" w:type="dxa"/>
            <w:vAlign w:val="center"/>
          </w:tcPr>
          <w:p>
            <w:pPr>
              <w:pStyle w:val="单元格样式4"/>
            </w:pPr>
            <w:r>
              <w:t xml:space="preserve">671.87</w:t>
            </w:r>
          </w:p>
        </w:tc>
        <w:tc>
          <w:tcPr>
            <w:tcW w:w="1361" w:type="dxa"/>
            <w:vAlign w:val="center"/>
          </w:tcPr>
          <w:p>
            <w:pPr>
              <w:pStyle w:val="单元格样式4"/>
            </w:pPr>
            <w:r>
              <w:t xml:space="preserve">384.00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1055.87</w:t>
            </w:r>
          </w:p>
        </w:tc>
        <w:tc>
          <w:tcPr>
            <w:tcW w:w="1361" w:type="dxa"/>
            <w:vAlign w:val="center"/>
          </w:tcPr>
          <w:p>
            <w:pPr>
              <w:pStyle w:val="单元格样式4"/>
            </w:pPr>
            <w:r>
              <w:t xml:space="preserve">671.87</w:t>
            </w:r>
          </w:p>
        </w:tc>
        <w:tc>
          <w:tcPr>
            <w:tcW w:w="1361" w:type="dxa"/>
            <w:vAlign w:val="center"/>
          </w:tcPr>
          <w:p>
            <w:pPr>
              <w:pStyle w:val="单元格样式4"/>
            </w:pPr>
            <w:r>
              <w:t xml:space="preserve">384.00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935.87</w:t>
            </w:r>
          </w:p>
        </w:tc>
        <w:tc>
          <w:tcPr>
            <w:tcW w:w="1361" w:type="dxa"/>
            <w:vAlign w:val="center"/>
          </w:tcPr>
          <w:p>
            <w:pPr>
              <w:pStyle w:val="单元格样式4"/>
            </w:pPr>
            <w:r>
              <w:t xml:space="preserve">671.87</w:t>
            </w:r>
          </w:p>
        </w:tc>
        <w:tc>
          <w:tcPr>
            <w:tcW w:w="1361" w:type="dxa"/>
            <w:vAlign w:val="center"/>
          </w:tcPr>
          <w:p>
            <w:pPr>
              <w:pStyle w:val="单元格样式4"/>
            </w:pPr>
            <w:r>
              <w:t xml:space="preserve">264.00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120.00</w:t>
            </w:r>
          </w:p>
        </w:tc>
        <w:tc>
          <w:tcPr>
            <w:tcW w:w="1361" w:type="dxa"/>
            <w:vAlign w:val="center"/>
          </w:tcPr>
          <w:p>
            <w:pPr>
              <w:pStyle w:val="单元格样式4"/>
            </w:pPr>
          </w:p>
        </w:tc>
        <w:tc>
          <w:tcPr>
            <w:tcW w:w="1361" w:type="dxa"/>
            <w:vAlign w:val="center"/>
          </w:tcPr>
          <w:p>
            <w:pPr>
              <w:pStyle w:val="单元格样式4"/>
            </w:pPr>
            <w:r>
              <w:t xml:space="preserve">120.00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152.00</w:t>
            </w:r>
          </w:p>
        </w:tc>
        <w:tc>
          <w:tcPr>
            <w:tcW w:w="1361" w:type="dxa"/>
            <w:vAlign w:val="center"/>
          </w:tcPr>
          <w:p>
            <w:pPr>
              <w:pStyle w:val="单元格样式4"/>
            </w:pPr>
            <w:r>
              <w:t xml:space="preserve">152.00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152.00</w:t>
            </w:r>
          </w:p>
        </w:tc>
        <w:tc>
          <w:tcPr>
            <w:tcW w:w="1361" w:type="dxa"/>
            <w:vAlign w:val="center"/>
          </w:tcPr>
          <w:p>
            <w:pPr>
              <w:pStyle w:val="单元格样式4"/>
            </w:pPr>
            <w:r>
              <w:t xml:space="preserve">152.00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8.16</w:t>
            </w:r>
          </w:p>
        </w:tc>
        <w:tc>
          <w:tcPr>
            <w:tcW w:w="1361" w:type="dxa"/>
            <w:vAlign w:val="center"/>
          </w:tcPr>
          <w:p>
            <w:pPr>
              <w:pStyle w:val="单元格样式4"/>
            </w:pPr>
            <w:r>
              <w:t xml:space="preserve">8.16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95.90</w:t>
            </w:r>
          </w:p>
        </w:tc>
        <w:tc>
          <w:tcPr>
            <w:tcW w:w="1361" w:type="dxa"/>
            <w:vAlign w:val="center"/>
          </w:tcPr>
          <w:p>
            <w:pPr>
              <w:pStyle w:val="单元格样式4"/>
            </w:pPr>
            <w:r>
              <w:t xml:space="preserve">95.90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47.95</w:t>
            </w:r>
          </w:p>
        </w:tc>
        <w:tc>
          <w:tcPr>
            <w:tcW w:w="1361" w:type="dxa"/>
            <w:vAlign w:val="center"/>
          </w:tcPr>
          <w:p>
            <w:pPr>
              <w:pStyle w:val="单元格样式4"/>
            </w:pPr>
            <w:r>
              <w:t xml:space="preserve">47.95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46.81</w:t>
            </w:r>
          </w:p>
        </w:tc>
        <w:tc>
          <w:tcPr>
            <w:tcW w:w="1361" w:type="dxa"/>
            <w:vAlign w:val="center"/>
          </w:tcPr>
          <w:p>
            <w:pPr>
              <w:pStyle w:val="单元格样式4"/>
            </w:pPr>
            <w:r>
              <w:t xml:space="preserve">46.81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46.81</w:t>
            </w:r>
          </w:p>
        </w:tc>
        <w:tc>
          <w:tcPr>
            <w:tcW w:w="1361" w:type="dxa"/>
            <w:vAlign w:val="center"/>
          </w:tcPr>
          <w:p>
            <w:pPr>
              <w:pStyle w:val="单元格样式4"/>
            </w:pPr>
            <w:r>
              <w:t xml:space="preserve">46.81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46.81</w:t>
            </w:r>
          </w:p>
        </w:tc>
        <w:tc>
          <w:tcPr>
            <w:tcW w:w="1361" w:type="dxa"/>
            <w:vAlign w:val="center"/>
          </w:tcPr>
          <w:p>
            <w:pPr>
              <w:pStyle w:val="单元格样式4"/>
            </w:pPr>
            <w:r>
              <w:t xml:space="preserve">46.81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434魏县人民政府办公室</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1254.68</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1055.87</w:t>
            </w:r>
          </w:p>
        </w:tc>
        <w:tc>
          <w:tcPr>
            <w:tcW w:w="1474" w:type="dxa"/>
            <w:vAlign w:val="center"/>
          </w:tcPr>
          <w:p>
            <w:pPr>
              <w:pStyle w:val="单元格样式4"/>
            </w:pPr>
            <w:r>
              <w:t xml:space="preserve">1055.87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152.00</w:t>
            </w:r>
          </w:p>
        </w:tc>
        <w:tc>
          <w:tcPr>
            <w:tcW w:w="1474" w:type="dxa"/>
            <w:vAlign w:val="center"/>
          </w:tcPr>
          <w:p>
            <w:pPr>
              <w:pStyle w:val="单元格样式4"/>
            </w:pPr>
            <w:r>
              <w:t xml:space="preserve">152.00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46.81</w:t>
            </w:r>
          </w:p>
        </w:tc>
        <w:tc>
          <w:tcPr>
            <w:tcW w:w="1474" w:type="dxa"/>
            <w:vAlign w:val="center"/>
          </w:tcPr>
          <w:p>
            <w:pPr>
              <w:pStyle w:val="单元格样式4"/>
            </w:pPr>
            <w:r>
              <w:t xml:space="preserve">46.81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1254.68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1254.68</w:t>
            </w:r>
          </w:p>
        </w:tc>
        <w:tc>
          <w:tcPr>
            <w:tcW w:w="1474" w:type="dxa"/>
            <w:vAlign w:val="center"/>
          </w:tcPr>
          <w:p>
            <w:pPr>
              <w:pStyle w:val="单元格样式7"/>
            </w:pPr>
            <w:r>
              <w:t xml:space="preserve">1254.68</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1254.68</w:t>
            </w:r>
          </w:p>
        </w:tc>
        <w:tc>
          <w:tcPr>
            <w:tcW w:w="3402" w:type="dxa"/>
            <w:vAlign w:val="center"/>
          </w:tcPr>
          <w:p>
            <w:pPr>
              <w:pStyle w:val="单元格样式6"/>
            </w:pPr>
            <w:r>
              <w:t xml:space="preserve">支出总计</w:t>
            </w:r>
          </w:p>
        </w:tc>
        <w:tc>
          <w:tcPr>
            <w:tcW w:w="1474" w:type="dxa"/>
            <w:vAlign w:val="center"/>
          </w:tcPr>
          <w:p>
            <w:pPr>
              <w:pStyle w:val="单元格样式7"/>
            </w:pPr>
            <w:r>
              <w:t xml:space="preserve">1254.68</w:t>
            </w:r>
          </w:p>
        </w:tc>
        <w:tc>
          <w:tcPr>
            <w:tcW w:w="1474" w:type="dxa"/>
            <w:vAlign w:val="center"/>
          </w:tcPr>
          <w:p>
            <w:pPr>
              <w:pStyle w:val="单元格样式7"/>
            </w:pPr>
            <w:r>
              <w:t xml:space="preserve">1254.68</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434魏县人民政府办公室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1254.68</w:t>
            </w:r>
          </w:p>
        </w:tc>
        <w:tc>
          <w:tcPr>
            <w:tcW w:w="2551" w:type="dxa"/>
            <w:vAlign w:val="center"/>
          </w:tcPr>
          <w:p>
            <w:pPr>
              <w:pStyle w:val="单元格样式7"/>
            </w:pPr>
            <w:r>
              <w:t xml:space="preserve">870.68</w:t>
            </w:r>
          </w:p>
        </w:tc>
        <w:tc>
          <w:tcPr>
            <w:tcW w:w="2551" w:type="dxa"/>
            <w:vAlign w:val="center"/>
          </w:tcPr>
          <w:p>
            <w:pPr>
              <w:pStyle w:val="单元格样式7"/>
            </w:pPr>
            <w:r>
              <w:t xml:space="preserve">384.00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1055.87</w:t>
            </w:r>
          </w:p>
        </w:tc>
        <w:tc>
          <w:tcPr>
            <w:tcW w:w="2551" w:type="dxa"/>
            <w:vAlign w:val="center"/>
          </w:tcPr>
          <w:p>
            <w:pPr>
              <w:pStyle w:val="单元格样式4"/>
            </w:pPr>
            <w:r>
              <w:t xml:space="preserve">671.87</w:t>
            </w:r>
          </w:p>
        </w:tc>
        <w:tc>
          <w:tcPr>
            <w:tcW w:w="2551" w:type="dxa"/>
            <w:vAlign w:val="center"/>
          </w:tcPr>
          <w:p>
            <w:pPr>
              <w:pStyle w:val="单元格样式4"/>
            </w:pPr>
            <w:r>
              <w:t xml:space="preserve">384.00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1055.87</w:t>
            </w:r>
          </w:p>
        </w:tc>
        <w:tc>
          <w:tcPr>
            <w:tcW w:w="2551" w:type="dxa"/>
            <w:vAlign w:val="center"/>
          </w:tcPr>
          <w:p>
            <w:pPr>
              <w:pStyle w:val="单元格样式4"/>
            </w:pPr>
            <w:r>
              <w:t xml:space="preserve">671.87</w:t>
            </w:r>
          </w:p>
        </w:tc>
        <w:tc>
          <w:tcPr>
            <w:tcW w:w="2551" w:type="dxa"/>
            <w:vAlign w:val="center"/>
          </w:tcPr>
          <w:p>
            <w:pPr>
              <w:pStyle w:val="单元格样式4"/>
            </w:pPr>
            <w:r>
              <w:t xml:space="preserve">384.00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935.87</w:t>
            </w:r>
          </w:p>
        </w:tc>
        <w:tc>
          <w:tcPr>
            <w:tcW w:w="2551" w:type="dxa"/>
            <w:vAlign w:val="center"/>
          </w:tcPr>
          <w:p>
            <w:pPr>
              <w:pStyle w:val="单元格样式4"/>
            </w:pPr>
            <w:r>
              <w:t xml:space="preserve">671.87</w:t>
            </w:r>
          </w:p>
        </w:tc>
        <w:tc>
          <w:tcPr>
            <w:tcW w:w="2551" w:type="dxa"/>
            <w:vAlign w:val="center"/>
          </w:tcPr>
          <w:p>
            <w:pPr>
              <w:pStyle w:val="单元格样式4"/>
            </w:pPr>
            <w:r>
              <w:t xml:space="preserve">264.00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120.00</w:t>
            </w:r>
          </w:p>
        </w:tc>
        <w:tc>
          <w:tcPr>
            <w:tcW w:w="2551" w:type="dxa"/>
            <w:vAlign w:val="center"/>
          </w:tcPr>
          <w:p>
            <w:pPr>
              <w:pStyle w:val="单元格样式4"/>
            </w:pPr>
          </w:p>
        </w:tc>
        <w:tc>
          <w:tcPr>
            <w:tcW w:w="2551" w:type="dxa"/>
            <w:vAlign w:val="center"/>
          </w:tcPr>
          <w:p>
            <w:pPr>
              <w:pStyle w:val="单元格样式4"/>
            </w:pPr>
            <w:r>
              <w:t xml:space="preserve">120.00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152.00</w:t>
            </w:r>
          </w:p>
        </w:tc>
        <w:tc>
          <w:tcPr>
            <w:tcW w:w="2551" w:type="dxa"/>
            <w:vAlign w:val="center"/>
          </w:tcPr>
          <w:p>
            <w:pPr>
              <w:pStyle w:val="单元格样式4"/>
            </w:pPr>
            <w:r>
              <w:t xml:space="preserve">152.00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152.00</w:t>
            </w:r>
          </w:p>
        </w:tc>
        <w:tc>
          <w:tcPr>
            <w:tcW w:w="2551" w:type="dxa"/>
            <w:vAlign w:val="center"/>
          </w:tcPr>
          <w:p>
            <w:pPr>
              <w:pStyle w:val="单元格样式4"/>
            </w:pPr>
            <w:r>
              <w:t xml:space="preserve">152.00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8.16</w:t>
            </w:r>
          </w:p>
        </w:tc>
        <w:tc>
          <w:tcPr>
            <w:tcW w:w="2551" w:type="dxa"/>
            <w:vAlign w:val="center"/>
          </w:tcPr>
          <w:p>
            <w:pPr>
              <w:pStyle w:val="单元格样式4"/>
            </w:pPr>
            <w:r>
              <w:t xml:space="preserve">8.16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95.90</w:t>
            </w:r>
          </w:p>
        </w:tc>
        <w:tc>
          <w:tcPr>
            <w:tcW w:w="2551" w:type="dxa"/>
            <w:vAlign w:val="center"/>
          </w:tcPr>
          <w:p>
            <w:pPr>
              <w:pStyle w:val="单元格样式4"/>
            </w:pPr>
            <w:r>
              <w:t xml:space="preserve">95.90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47.95</w:t>
            </w:r>
          </w:p>
        </w:tc>
        <w:tc>
          <w:tcPr>
            <w:tcW w:w="2551" w:type="dxa"/>
            <w:vAlign w:val="center"/>
          </w:tcPr>
          <w:p>
            <w:pPr>
              <w:pStyle w:val="单元格样式4"/>
            </w:pPr>
            <w:r>
              <w:t xml:space="preserve">47.95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46.81</w:t>
            </w:r>
          </w:p>
        </w:tc>
        <w:tc>
          <w:tcPr>
            <w:tcW w:w="2551" w:type="dxa"/>
            <w:vAlign w:val="center"/>
          </w:tcPr>
          <w:p>
            <w:pPr>
              <w:pStyle w:val="单元格样式4"/>
            </w:pPr>
            <w:r>
              <w:t xml:space="preserve">46.81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46.81</w:t>
            </w:r>
          </w:p>
        </w:tc>
        <w:tc>
          <w:tcPr>
            <w:tcW w:w="2551" w:type="dxa"/>
            <w:vAlign w:val="center"/>
          </w:tcPr>
          <w:p>
            <w:pPr>
              <w:pStyle w:val="单元格样式4"/>
            </w:pPr>
            <w:r>
              <w:t xml:space="preserve">46.81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46.81</w:t>
            </w:r>
          </w:p>
        </w:tc>
        <w:tc>
          <w:tcPr>
            <w:tcW w:w="2551" w:type="dxa"/>
            <w:vAlign w:val="center"/>
          </w:tcPr>
          <w:p>
            <w:pPr>
              <w:pStyle w:val="单元格样式4"/>
            </w:pPr>
            <w:r>
              <w:t xml:space="preserve">46.81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434魏县人民政府办公室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870.68</w:t>
            </w:r>
          </w:p>
        </w:tc>
        <w:tc>
          <w:tcPr>
            <w:tcW w:w="2551" w:type="dxa"/>
            <w:vAlign w:val="center"/>
          </w:tcPr>
          <w:p>
            <w:pPr>
              <w:pStyle w:val="单元格样式7"/>
            </w:pPr>
            <w:r>
              <w:t xml:space="preserve">777.13</w:t>
            </w:r>
          </w:p>
        </w:tc>
        <w:tc>
          <w:tcPr>
            <w:tcW w:w="2551" w:type="dxa"/>
            <w:vAlign w:val="center"/>
          </w:tcPr>
          <w:p>
            <w:pPr>
              <w:pStyle w:val="单元格样式7"/>
            </w:pPr>
            <w:r>
              <w:t xml:space="preserve">93.55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767.17</w:t>
            </w:r>
          </w:p>
        </w:tc>
        <w:tc>
          <w:tcPr>
            <w:tcW w:w="2551" w:type="dxa"/>
            <w:vAlign w:val="center"/>
          </w:tcPr>
          <w:p>
            <w:pPr>
              <w:pStyle w:val="单元格样式4"/>
            </w:pPr>
            <w:r>
              <w:t xml:space="preserve">767.17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348.69</w:t>
            </w:r>
          </w:p>
        </w:tc>
        <w:tc>
          <w:tcPr>
            <w:tcW w:w="2551" w:type="dxa"/>
            <w:vAlign w:val="center"/>
          </w:tcPr>
          <w:p>
            <w:pPr>
              <w:pStyle w:val="单元格样式4"/>
            </w:pPr>
            <w:r>
              <w:t xml:space="preserve">348.69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82.42</w:t>
            </w:r>
          </w:p>
        </w:tc>
        <w:tc>
          <w:tcPr>
            <w:tcW w:w="2551" w:type="dxa"/>
            <w:vAlign w:val="center"/>
          </w:tcPr>
          <w:p>
            <w:pPr>
              <w:pStyle w:val="单元格样式4"/>
            </w:pPr>
            <w:r>
              <w:t xml:space="preserve">82.42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58.71</w:t>
            </w:r>
          </w:p>
        </w:tc>
        <w:tc>
          <w:tcPr>
            <w:tcW w:w="2551" w:type="dxa"/>
            <w:vAlign w:val="center"/>
          </w:tcPr>
          <w:p>
            <w:pPr>
              <w:pStyle w:val="单元格样式4"/>
            </w:pPr>
            <w:r>
              <w:t xml:space="preserve">58.71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83.71</w:t>
            </w:r>
          </w:p>
        </w:tc>
        <w:tc>
          <w:tcPr>
            <w:tcW w:w="2551" w:type="dxa"/>
            <w:vAlign w:val="center"/>
          </w:tcPr>
          <w:p>
            <w:pPr>
              <w:pStyle w:val="单元格样式4"/>
            </w:pPr>
            <w:r>
              <w:t xml:space="preserve">83.71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95.90</w:t>
            </w:r>
          </w:p>
        </w:tc>
        <w:tc>
          <w:tcPr>
            <w:tcW w:w="2551" w:type="dxa"/>
            <w:vAlign w:val="center"/>
          </w:tcPr>
          <w:p>
            <w:pPr>
              <w:pStyle w:val="单元格样式4"/>
            </w:pPr>
            <w:r>
              <w:t xml:space="preserve">95.90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47.95</w:t>
            </w:r>
          </w:p>
        </w:tc>
        <w:tc>
          <w:tcPr>
            <w:tcW w:w="2551" w:type="dxa"/>
            <w:vAlign w:val="center"/>
          </w:tcPr>
          <w:p>
            <w:pPr>
              <w:pStyle w:val="单元格样式4"/>
            </w:pPr>
            <w:r>
              <w:t xml:space="preserve">47.95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46.81</w:t>
            </w:r>
          </w:p>
        </w:tc>
        <w:tc>
          <w:tcPr>
            <w:tcW w:w="2551" w:type="dxa"/>
            <w:vAlign w:val="center"/>
          </w:tcPr>
          <w:p>
            <w:pPr>
              <w:pStyle w:val="单元格样式4"/>
            </w:pPr>
            <w:r>
              <w:t xml:space="preserve">46.81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3.00</w:t>
            </w:r>
          </w:p>
        </w:tc>
        <w:tc>
          <w:tcPr>
            <w:tcW w:w="2551" w:type="dxa"/>
            <w:vAlign w:val="center"/>
          </w:tcPr>
          <w:p>
            <w:pPr>
              <w:pStyle w:val="单元格样式4"/>
            </w:pPr>
            <w:r>
              <w:t xml:space="preserve">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93.55</w:t>
            </w:r>
          </w:p>
        </w:tc>
        <w:tc>
          <w:tcPr>
            <w:tcW w:w="2551" w:type="dxa"/>
            <w:vAlign w:val="center"/>
          </w:tcPr>
          <w:p>
            <w:pPr>
              <w:pStyle w:val="单元格样式4"/>
            </w:pPr>
          </w:p>
        </w:tc>
        <w:tc>
          <w:tcPr>
            <w:tcW w:w="2551" w:type="dxa"/>
            <w:vAlign w:val="center"/>
          </w:tcPr>
          <w:p>
            <w:pPr>
              <w:pStyle w:val="单元格样式4"/>
            </w:pPr>
            <w:r>
              <w:t xml:space="preserve">93.55</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58.40</w:t>
            </w:r>
          </w:p>
        </w:tc>
        <w:tc>
          <w:tcPr>
            <w:tcW w:w="2551" w:type="dxa"/>
            <w:vAlign w:val="center"/>
          </w:tcPr>
          <w:p>
            <w:pPr>
              <w:pStyle w:val="单元格样式4"/>
            </w:pPr>
          </w:p>
        </w:tc>
        <w:tc>
          <w:tcPr>
            <w:tcW w:w="2551" w:type="dxa"/>
            <w:vAlign w:val="center"/>
          </w:tcPr>
          <w:p>
            <w:pPr>
              <w:pStyle w:val="单元格样式4"/>
            </w:pPr>
            <w:r>
              <w:t xml:space="preserve">58.40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35.15</w:t>
            </w:r>
          </w:p>
        </w:tc>
        <w:tc>
          <w:tcPr>
            <w:tcW w:w="2551" w:type="dxa"/>
            <w:vAlign w:val="center"/>
          </w:tcPr>
          <w:p>
            <w:pPr>
              <w:pStyle w:val="单元格样式4"/>
            </w:pPr>
          </w:p>
        </w:tc>
        <w:tc>
          <w:tcPr>
            <w:tcW w:w="2551" w:type="dxa"/>
            <w:vAlign w:val="center"/>
          </w:tcPr>
          <w:p>
            <w:pPr>
              <w:pStyle w:val="单元格样式4"/>
            </w:pPr>
            <w:r>
              <w:t xml:space="preserve">35.15</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9.96</w:t>
            </w:r>
          </w:p>
        </w:tc>
        <w:tc>
          <w:tcPr>
            <w:tcW w:w="2551" w:type="dxa"/>
            <w:vAlign w:val="center"/>
          </w:tcPr>
          <w:p>
            <w:pPr>
              <w:pStyle w:val="单元格样式4"/>
            </w:pPr>
            <w:r>
              <w:t xml:space="preserve">9.96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8.16</w:t>
            </w:r>
          </w:p>
        </w:tc>
        <w:tc>
          <w:tcPr>
            <w:tcW w:w="2551" w:type="dxa"/>
            <w:vAlign w:val="center"/>
          </w:tcPr>
          <w:p>
            <w:pPr>
              <w:pStyle w:val="单元格样式4"/>
            </w:pPr>
            <w:r>
              <w:t xml:space="preserve">8.16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1.80</w:t>
            </w:r>
          </w:p>
        </w:tc>
        <w:tc>
          <w:tcPr>
            <w:tcW w:w="2551" w:type="dxa"/>
            <w:vAlign w:val="center"/>
          </w:tcPr>
          <w:p>
            <w:pPr>
              <w:pStyle w:val="单元格样式4"/>
            </w:pPr>
            <w:r>
              <w:t xml:space="preserve">1.80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434魏县人民政府办公室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434魏县人民政府办公室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434魏县人民政府办公室</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44.00</w:t>
            </w:r>
          </w:p>
        </w:tc>
        <w:tc>
          <w:tcPr>
            <w:tcW w:w="2381" w:type="dxa"/>
            <w:vAlign w:val="center"/>
          </w:tcPr>
          <w:p>
            <w:pPr>
              <w:pStyle w:val="单元格样式7"/>
            </w:pPr>
            <w:r>
              <w:t xml:space="preserve">44.00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44.00</w:t>
            </w:r>
          </w:p>
        </w:tc>
        <w:tc>
          <w:tcPr>
            <w:tcW w:w="2381" w:type="dxa"/>
            <w:vAlign w:val="center"/>
          </w:tcPr>
          <w:p>
            <w:pPr>
              <w:pStyle w:val="单元格样式4"/>
            </w:pPr>
            <w:r>
              <w:t xml:space="preserve">44.00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44.00</w:t>
            </w:r>
          </w:p>
        </w:tc>
        <w:tc>
          <w:tcPr>
            <w:tcW w:w="2381" w:type="dxa"/>
            <w:vAlign w:val="center"/>
          </w:tcPr>
          <w:p>
            <w:pPr>
              <w:pStyle w:val="单元格样式4"/>
            </w:pPr>
            <w:r>
              <w:t xml:space="preserve">44.00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魏县人民政府办公室2025年部门预算信息公开情况说明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魏县人民政府办公室2025年部门预算信息公开情况说明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按照《中华人民共和国预算法》、《地方预决算公开操作规程》和《关于进一步推进预算公开工作的实施意见》规定，现将魏县人民政府办公室2025年部门预算公开如下：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一）协助县政府领导组织起草或审核上报市政府、市政府办公室和致函市政府各部门的公文，以及以县政府、县政府办公室名义发布的公文；负责县政府、县政府办公室日常公文办理，包括国务院、国务院办公厅和国务院各部门，省政府、省政府办公厅和省政府各部门，市政府、市政府办公室和市政府各部门、各乡镇政府、经济技术开发区来文办理。</w:t>
      </w:r>
    </w:p>
    <w:p>
      <w:pPr>
        <w:pStyle w:val="插入文本样式-插入预算公开部门职责文件"/>
      </w:pPr>
      <w:r>
        <w:t xml:space="preserve">（二）负责县政府领导活动的组织和协调工作；负责县政府会议的准备和服务工作，协助县政府领导组织落实会议决定事项。</w:t>
      </w:r>
    </w:p>
    <w:p>
      <w:pPr>
        <w:pStyle w:val="插入文本样式-插入预算公开部门职责文件"/>
      </w:pPr>
      <w:r>
        <w:t xml:space="preserve">（三）研究县政府各部门和各乡镇政府、经济技术开发区请示县政府的事项，提出审核意见，报县政府领导审批。</w:t>
      </w:r>
    </w:p>
    <w:p>
      <w:pPr>
        <w:pStyle w:val="插入文本样式-插入预算公开部门职责文件"/>
      </w:pPr>
      <w:r>
        <w:t xml:space="preserve">（四）根据县政府领导的批示，对县政府各部门间出现的争议问题提出处理意见，报县政府领导决定。</w:t>
      </w:r>
    </w:p>
    <w:p>
      <w:pPr>
        <w:pStyle w:val="插入文本样式-插入预算公开部门职责文件"/>
      </w:pPr>
      <w:r>
        <w:t xml:space="preserve">（五）组织起草县政府领导重要讲话及其他重要文稿。</w:t>
      </w:r>
    </w:p>
    <w:p>
      <w:pPr>
        <w:pStyle w:val="插入文本样式-插入预算公开部门职责文件"/>
      </w:pPr>
      <w:r>
        <w:t xml:space="preserve">（六）督促检查县政府各部门、各乡镇政府、经济技术开发区对国务院、省政府、市政府、县政府决定事项及国务院、省政府、市政府、县政府领导重要批示的执行落实情况并跟踪调研，及时向县政府领导报告。</w:t>
      </w:r>
    </w:p>
    <w:p>
      <w:pPr>
        <w:pStyle w:val="插入文本样式-插入预算公开部门职责文件"/>
      </w:pPr>
      <w:r>
        <w:t xml:space="preserve">（七）组织承办人大代表建议和政协提案工作。</w:t>
      </w:r>
    </w:p>
    <w:p>
      <w:pPr>
        <w:pStyle w:val="插入文本样式-插入预算公开部门职责文件"/>
      </w:pPr>
      <w:r>
        <w:t xml:space="preserve">（八）负责县政府值班工作，及时报告重要情况，传达和督促落实县政府领导工作要求。</w:t>
      </w:r>
    </w:p>
    <w:p>
      <w:pPr>
        <w:pStyle w:val="插入文本样式-插入预算公开部门职责文件"/>
      </w:pPr>
      <w:r>
        <w:t xml:space="preserve">（九）根据县政府工作部署和县政府领导要求，组织专题调研，及时反映情况，提出建议。</w:t>
      </w:r>
    </w:p>
    <w:p>
      <w:pPr>
        <w:pStyle w:val="插入文本样式-插入预算公开部门职责文件"/>
      </w:pPr>
      <w:r>
        <w:t xml:space="preserve">（十）负责推进、指导、协调、监督、考核评估全县政务公开和政府信息公开工作。</w:t>
      </w:r>
    </w:p>
    <w:p>
      <w:pPr>
        <w:pStyle w:val="插入文本样式-插入预算公开部门职责文件"/>
      </w:pPr>
      <w:r>
        <w:t xml:space="preserve">（十一）负责政务信息（包括舆情信息）服务工作。</w:t>
      </w:r>
    </w:p>
    <w:p>
      <w:pPr>
        <w:pStyle w:val="插入文本样式-插入预算公开部门职责文件"/>
      </w:pPr>
      <w:r>
        <w:t xml:space="preserve">（十二）协同有关部门统筹协调县政府新闻宣传、舆情回应等工作。</w:t>
      </w:r>
    </w:p>
    <w:p>
      <w:pPr>
        <w:pStyle w:val="插入文本样式-插入预算公开部门职责文件"/>
      </w:pPr>
      <w:r>
        <w:t xml:space="preserve">（十三）负责全县政府系统电子政务工作。</w:t>
      </w:r>
    </w:p>
    <w:p>
      <w:pPr>
        <w:pStyle w:val="插入文本样式-插入预算公开部门职责文件"/>
      </w:pPr>
      <w:r>
        <w:t xml:space="preserve">（十四）负责县政府办公室所属单位的管理工作。</w:t>
      </w:r>
    </w:p>
    <w:p>
      <w:pPr>
        <w:pStyle w:val="插入文本样式-插入预算公开部门职责文件"/>
      </w:pPr>
      <w:r>
        <w:t xml:space="preserve">（十五）办理县政府智库顾问、专家聘任手续。负责县政府智库顾问、专家的服务、协调、保障等日常工作。组织县政府智库顾问、专家围绕政府中心工作调查研究，参政议政、建言献策。</w:t>
      </w:r>
    </w:p>
    <w:p>
      <w:pPr>
        <w:pStyle w:val="插入文本样式-插入预算公开部门职责文件"/>
      </w:pPr>
      <w:r>
        <w:t xml:space="preserve">（十六）对我县改革开放和经济社会发展中重大问题进行调查研究，提出政策性建议。组织县政府各部门和各乡镇政府围绕县政府确定的重要课题协作攻关。</w:t>
      </w:r>
    </w:p>
    <w:p>
      <w:pPr>
        <w:pStyle w:val="插入文本样式-插入预算公开部门职责文件"/>
      </w:pPr>
      <w:r>
        <w:t xml:space="preserve">（十七）根据工作需要承担县委外事工作委员会办公室相关工作，接受县委外事工作委员会办公室的统筹协调。</w:t>
      </w:r>
    </w:p>
    <w:p>
      <w:pPr>
        <w:pStyle w:val="插入文本样式-插入预算公开部门职责文件"/>
      </w:pPr>
      <w:r>
        <w:t xml:space="preserve">（十八）贯彻执行党和国家对外方针政策、涉港澳方针政策和法律法规。贯彻执行县委、县政府和市外办外事、港澳工作的决策部署，拟订全县性外事、港澳工作规定。</w:t>
      </w:r>
    </w:p>
    <w:p>
      <w:pPr>
        <w:pStyle w:val="插入文本样式-插入预算公开部门职责文件"/>
      </w:pPr>
      <w:r>
        <w:t xml:space="preserve">（十九）贯彻执行和协调推进全县对外交流合作规划和部署，对全县外事工作履行综合归口管理职能。</w:t>
      </w:r>
    </w:p>
    <w:p>
      <w:pPr>
        <w:pStyle w:val="插入文本样式-插入预算公开部门职责文件"/>
      </w:pPr>
      <w:r>
        <w:t xml:space="preserve">（二十）承担我县涉港澳事务综合性工作，指导我县与港澳的交往。</w:t>
      </w:r>
    </w:p>
    <w:p>
      <w:pPr>
        <w:pStyle w:val="插入文本样式-插入预算公开部门职责文件"/>
      </w:pPr>
      <w:r>
        <w:t xml:space="preserve">（二十一）承办县领导对外交往事宜，会同有关部门推动全县各领域对外交往。</w:t>
      </w:r>
    </w:p>
    <w:p>
      <w:pPr>
        <w:pStyle w:val="插入文本样式-插入预算公开部门职责文件"/>
      </w:pPr>
      <w:r>
        <w:t xml:space="preserve">（二十二）负责指导和管理全县因公出国、赴港澳工作。统筹管理我县邀请外国人来华相关事宜。</w:t>
      </w:r>
    </w:p>
    <w:p>
      <w:pPr>
        <w:pStyle w:val="插入文本样式-插入预算公开部门职责文件"/>
      </w:pPr>
      <w:r>
        <w:t xml:space="preserve">（二十三）负责重要外宾邀请、报批工作，组织接待来访的党宾、国宾、政要等重要外宾及外国驻华外交人员。</w:t>
      </w:r>
    </w:p>
    <w:p>
      <w:pPr>
        <w:pStyle w:val="插入文本样式-插入预算公开部门职责文件"/>
      </w:pPr>
      <w:r>
        <w:t xml:space="preserve">（二十四）负责我县境外机构和公民领事保护协调工作，会同或配合有关部门处理我县的涉外事务。</w:t>
      </w:r>
    </w:p>
    <w:p>
      <w:pPr>
        <w:pStyle w:val="插入文本样式-插入预算公开部门职责文件"/>
      </w:pPr>
      <w:r>
        <w:t xml:space="preserve">（二十五）办理来我县采访的外国记者相关事务，会同有关部门办理港澳记者来我县采访的有关事宜，会同有关部门开展对外宣传工作。</w:t>
      </w:r>
    </w:p>
    <w:p>
      <w:pPr>
        <w:pStyle w:val="插入文本样式-插入预算公开部门职责文件"/>
      </w:pPr>
      <w:r>
        <w:t xml:space="preserve">（二十六）统筹协调全县友好城市工作，指导魏县人民对外友好协会的工作。</w:t>
      </w:r>
    </w:p>
    <w:p>
      <w:pPr>
        <w:pStyle w:val="插入文本样式-插入预算公开部门职责文件"/>
      </w:pPr>
      <w:r>
        <w:t xml:space="preserve">（二十七）完成中央外事工作委员会办公室、中央对外联络部、外交部、国务院港澳事务办公室和省委、省政府，市委、市政府，县委、县政府交办的其他任务。</w:t>
      </w:r>
    </w:p>
    <w:p>
      <w:pPr>
        <w:pStyle w:val="插入文本样式-插入预算公开部门职责文件"/>
      </w:pPr>
      <w:r>
        <w:t xml:space="preserve">（二十八）负责地方金融监督管理工作。</w:t>
      </w:r>
    </w:p>
    <w:p>
      <w:pPr>
        <w:pStyle w:val="插入文本样式-插入预算公开部门职责文件"/>
      </w:pPr>
      <w:r>
        <w:t xml:space="preserve">（二十九）完成县政府交办的其他任务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魏县人民政府办公室本级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r>
        <w:trPr>
          <w:trHeight w:val="369"/>
          <w:jc w:val="center"/>
        </w:trPr>
        <w:tc>
          <w:tcPr>
            <w:tcW w:w="5669" w:type="dxa"/>
            <w:vAlign w:val="center"/>
          </w:tcPr>
          <w:p>
            <w:pPr>
              <w:pStyle w:val="单元格样式2"/>
            </w:pPr>
            <w:r>
              <w:t xml:space="preserve">政府金融办</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按照预算管理有关规定，目前部门预算的编制实行综合预算管理，即全部收入和支出都反映在预算中。魏县人民政府办公室机关及所属事业单位的收支包含在部门预算中。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1254.68万元，其中：一般公共预算收入1254.68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人民政府办公室年度部门预算中支出预算的总体情况。2025年支出预算1254.68万元，其中基本支出870.68万元，包括人员经费777.13万元和日常公用经费93.55万元；项目支出384.00万元，主要为2025年政府办专项公用经费264万元、全县电子政务外网光纤线路租用和党政网站建设65万元、等级保护备案测评服务、电子政务外网服务费30万元、全县政府系统移动办公平台租赁费（OA系统）25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2025年预算收支安排1254.68万元，较2024年预算减少54.74万元，其中：基本支出增加9.61万元，主要为人员增加及调资增长。项目支出减少64.35万元，主要为减少不必要的项目支出，减轻财政压力。</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2025年，我部门机关运行经费共计安排93.55万元，主要用于日常维修、办公用房水电费、办公用房取暖费、办公用房物业管理费等日常运行支出。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44.00万元，其中因公出国（境）费0.00万元；公务用车购置及运维费0.00万元（其中：公务用车购置费为0.00万元，公务用车运维费0.00万元)；公务接待费44.00万元。与2024年相比减少6.00万元，增减变化的主要原因是按照中央八项规定，杜绝浪费，我单位减少公务接待。</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政府办作为上传下达、沟通内外、联系左右的枢纽，2024年围绕县委、县政府的中心工作，以精致、细致、极致的工作标准，以讲忠诚、敢担当、能奉献的工作作风，推动县政府相关工作的高效率运转，实现经济社会又好又快发展。</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根据《魏县人民政府办公室职能配置、内设机构和人员编制方案》规定，魏县人民政府办公室的主要职责是: </w:t>
      </w:r>
    </w:p>
    <w:p>
      <w:pPr>
        <w:pStyle w:val="插入文本样式-插入职责分类绩效目标文件"/>
      </w:pPr>
      <w:r>
        <w:t xml:space="preserve">1、负责收集、掌握、整理全县经济社会发展情况和县政府工作情况，超前研究分析全县经济社会发展工作趋势和动向，为领导科学决策和正确指导工作提供有价值的信息、资料。</w:t>
      </w:r>
    </w:p>
    <w:p>
      <w:pPr>
        <w:pStyle w:val="插入文本样式-插入职责分类绩效目标文件"/>
      </w:pPr>
      <w:r>
        <w:t xml:space="preserve">2、负责决策方案的制定、选择，进行调查研究和可行性论证，为领导决策提供必要的事实依据；决策方案确定后，负责组织实施。</w:t>
      </w:r>
    </w:p>
    <w:p>
      <w:pPr>
        <w:pStyle w:val="插入文本样式-插入职责分类绩效目标文件"/>
      </w:pPr>
      <w:r>
        <w:t xml:space="preserve">3、组织有关部门和乡镇围绕县政府安排的重要课题和全县经济社会发展中的重大问题，进行实际调查和理论探讨，提出相应对策，供领导参考。</w:t>
      </w:r>
    </w:p>
    <w:p>
      <w:pPr>
        <w:pStyle w:val="插入文本样式-插入职责分类绩效目标文件"/>
      </w:pPr>
      <w:r>
        <w:t xml:space="preserve">4、检查、了解党的路线、方针、政策和国家法律、法规贯彻执行情况，督促检查县政府各项工作的落实，及时向县领导提出推进工作、解决问题的办法和建议。</w:t>
      </w:r>
    </w:p>
    <w:p>
      <w:pPr>
        <w:pStyle w:val="插入文本样式-插入职责分类绩效目标文件"/>
      </w:pPr>
      <w:r>
        <w:t xml:space="preserve">5、协助县政府领导搞好工作协调，协调处理在权限内能够解决的问题。对县领导交办的事项进行督办和反馈。</w:t>
      </w:r>
    </w:p>
    <w:p>
      <w:pPr>
        <w:pStyle w:val="插入文本样式-插入职责分类绩效目标文件"/>
      </w:pPr>
      <w:r>
        <w:t xml:space="preserve">6、负责县政府及县政府办公室文件的起草、审核、把关、印发；负责来文接收、传阅、登记、立卷、归档。</w:t>
      </w:r>
    </w:p>
    <w:p>
      <w:pPr>
        <w:pStyle w:val="插入文本样式-插入职责分类绩效目标文件"/>
      </w:pPr>
      <w:r>
        <w:t xml:space="preserve">7、负责会议安排、县政府印信管理、后勤服务、行政事务等工作。</w:t>
      </w:r>
    </w:p>
    <w:p>
      <w:pPr>
        <w:pStyle w:val="插入文本样式-插入职责分类绩效目标文件"/>
      </w:pPr>
      <w:r>
        <w:t xml:space="preserve">8、承办县委、县政府交办的其他工作。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1、搞好组织协调，促进工作落实；2、超前调查研究，当好参谋助手；3、督查督办工作；4、做好上级来文来电、后勤服务、会议安排等事务性工作；5、做好信息工作；6、做好公文处理及领导讲话和上级材料起草工作；7、做好人大代表建议、政协提案办理；8、做好依法行政工作；9、做好政务公开工作；10、做好信息网络建设工作。</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1、2025年政府办专项公用经费绩效目标表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13043425P00429010001T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2025年政府办专项公用经费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"保障机关专项事务正常运转。</w:t>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1.保障机关专项事务正常运转。</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办公用品采购批次</w:t>
            </w:r>
          </w:p>
        </w:tc>
        <w:tc>
          <w:tcPr>
            <w:tcW w:w="5386" w:type="dxa"/>
            <w:vAlign w:val="center"/>
          </w:tcPr>
          <w:p>
            <w:pPr>
              <w:pStyle w:val="单元格样式2"/>
            </w:pPr>
            <w:r>
              <w:t xml:space="preserve">办公用品采购批次</w:t>
            </w:r>
          </w:p>
        </w:tc>
        <w:tc>
          <w:tcPr>
            <w:tcW w:w="2268" w:type="dxa"/>
            <w:vAlign w:val="center"/>
          </w:tcPr>
          <w:p>
            <w:pPr>
              <w:pStyle w:val="单元格样式2"/>
            </w:pPr>
            <w:r>
              <w:t xml:space="preserve">≥6次</w:t>
            </w:r>
          </w:p>
        </w:tc>
        <w:tc>
          <w:tcPr>
            <w:tcW w:w="1276" w:type="dxa"/>
            <w:vAlign w:val="center"/>
          </w:tcPr>
          <w:p>
            <w:pPr>
              <w:pStyle w:val="单元格样式2"/>
            </w:pPr>
            <w:r>
              <w:t xml:space="preserve">工作实施方案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经费使用合规率</w:t>
            </w:r>
          </w:p>
        </w:tc>
        <w:tc>
          <w:tcPr>
            <w:tcW w:w="5386" w:type="dxa"/>
            <w:vAlign w:val="center"/>
          </w:tcPr>
          <w:p>
            <w:pPr>
              <w:pStyle w:val="单元格样式2"/>
            </w:pPr>
            <w:r>
              <w:t xml:space="preserve">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年度工作考核指标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经费保障周期</w:t>
            </w:r>
          </w:p>
        </w:tc>
        <w:tc>
          <w:tcPr>
            <w:tcW w:w="5386" w:type="dxa"/>
            <w:vAlign w:val="center"/>
          </w:tcPr>
          <w:p>
            <w:pPr>
              <w:pStyle w:val="单元格样式2"/>
            </w:pPr>
            <w:r>
              <w:t xml:space="preserve">经费保障周期</w:t>
            </w:r>
          </w:p>
        </w:tc>
        <w:tc>
          <w:tcPr>
            <w:tcW w:w="2268" w:type="dxa"/>
            <w:vAlign w:val="center"/>
          </w:tcPr>
          <w:p>
            <w:pPr>
              <w:pStyle w:val="单元格样式2"/>
            </w:pPr>
            <w:r>
              <w:t xml:space="preserve">1年</w:t>
            </w:r>
          </w:p>
        </w:tc>
        <w:tc>
          <w:tcPr>
            <w:tcW w:w="1276" w:type="dxa"/>
            <w:vAlign w:val="center"/>
          </w:tcPr>
          <w:p>
            <w:pPr>
              <w:pStyle w:val="单元格样式2"/>
            </w:pPr>
            <w:r>
              <w:t xml:space="preserve">实际工作开展情况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单位日常办公事务支出总成本</w:t>
            </w:r>
          </w:p>
        </w:tc>
        <w:tc>
          <w:tcPr>
            <w:tcW w:w="5386" w:type="dxa"/>
            <w:vAlign w:val="center"/>
          </w:tcPr>
          <w:p>
            <w:pPr>
              <w:pStyle w:val="单元格样式2"/>
            </w:pPr>
            <w:r>
              <w:t xml:space="preserve">单位日常办公事务支出总成本</w:t>
            </w:r>
          </w:p>
        </w:tc>
        <w:tc>
          <w:tcPr>
            <w:tcW w:w="2268" w:type="dxa"/>
            <w:vAlign w:val="center"/>
          </w:tcPr>
          <w:p>
            <w:pPr>
              <w:pStyle w:val="单元格样式2"/>
            </w:pPr>
            <w:r>
              <w:t xml:space="preserve">≤264万元</w:t>
            </w:r>
          </w:p>
        </w:tc>
        <w:tc>
          <w:tcPr>
            <w:tcW w:w="1276" w:type="dxa"/>
            <w:vAlign w:val="center"/>
          </w:tcPr>
          <w:p>
            <w:pPr>
              <w:pStyle w:val="单元格样式2"/>
            </w:pPr>
            <w:r>
              <w:t xml:space="preserve">实际工作开展情况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提高人员工作效率</w:t>
            </w:r>
          </w:p>
        </w:tc>
        <w:tc>
          <w:tcPr>
            <w:tcW w:w="5386" w:type="dxa"/>
            <w:vAlign w:val="center"/>
          </w:tcPr>
          <w:p>
            <w:pPr>
              <w:pStyle w:val="单元格样式2"/>
            </w:pPr>
            <w:r>
              <w:t xml:space="preserve">提高人员工作效率</w:t>
            </w:r>
          </w:p>
        </w:tc>
        <w:tc>
          <w:tcPr>
            <w:tcW w:w="2268" w:type="dxa"/>
            <w:vAlign w:val="center"/>
          </w:tcPr>
          <w:p>
            <w:pPr>
              <w:pStyle w:val="单元格样式2"/>
            </w:pPr>
            <w:r>
              <w:t xml:space="preserve">提高</w:t>
            </w:r>
          </w:p>
        </w:tc>
        <w:tc>
          <w:tcPr>
            <w:tcW w:w="1276" w:type="dxa"/>
            <w:vAlign w:val="center"/>
          </w:tcPr>
          <w:p>
            <w:pPr>
              <w:pStyle w:val="单元格样式2"/>
            </w:pPr>
            <w:r>
              <w:t xml:space="preserve">年度工作考核指标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保障单位正常运转</w:t>
            </w:r>
          </w:p>
        </w:tc>
        <w:tc>
          <w:tcPr>
            <w:tcW w:w="5386" w:type="dxa"/>
            <w:vAlign w:val="center"/>
          </w:tcPr>
          <w:p>
            <w:pPr>
              <w:pStyle w:val="单元格样式2"/>
            </w:pPr>
            <w:r>
              <w:t xml:space="preserve">保障单位正常运转</w:t>
            </w:r>
          </w:p>
        </w:tc>
        <w:tc>
          <w:tcPr>
            <w:tcW w:w="2268" w:type="dxa"/>
            <w:vAlign w:val="center"/>
          </w:tcPr>
          <w:p>
            <w:pPr>
              <w:pStyle w:val="单元格样式2"/>
            </w:pPr>
            <w:r>
              <w:t xml:space="preserve">保障</w:t>
            </w:r>
          </w:p>
        </w:tc>
        <w:tc>
          <w:tcPr>
            <w:tcW w:w="1276" w:type="dxa"/>
            <w:vAlign w:val="center"/>
          </w:tcPr>
          <w:p>
            <w:pPr>
              <w:pStyle w:val="单元格样式2"/>
            </w:pPr>
            <w:r>
              <w:t xml:space="preserve">年度工作考核指标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工作人员满意度</w:t>
            </w:r>
          </w:p>
        </w:tc>
        <w:tc>
          <w:tcPr>
            <w:tcW w:w="5386" w:type="dxa"/>
            <w:vAlign w:val="center"/>
          </w:tcPr>
          <w:p>
            <w:pPr>
              <w:pStyle w:val="单元格样式2"/>
            </w:pPr>
            <w:r>
              <w:t xml:space="preserve">工作人员满意人数占总人数的比例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2、电子政务外网服务费绩效目标表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13043425P00429310011P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电子政务外网服务费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用于电子政务外网服务费的支出。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1.持续服务1年，保障全县电子政务外网稳定运行，故障率不高于5%</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电子政务中心机房安全稳定运行率</w:t>
            </w:r>
          </w:p>
        </w:tc>
        <w:tc>
          <w:tcPr>
            <w:tcW w:w="5386" w:type="dxa"/>
            <w:vAlign w:val="center"/>
          </w:tcPr>
          <w:p>
            <w:pPr>
              <w:pStyle w:val="单元格样式2"/>
            </w:pPr>
            <w:r>
              <w:t xml:space="preserve">电子政务中心机房安全稳定运行率</w:t>
            </w:r>
          </w:p>
        </w:tc>
        <w:tc>
          <w:tcPr>
            <w:tcW w:w="2268" w:type="dxa"/>
            <w:vAlign w:val="center"/>
          </w:tcPr>
          <w:p>
            <w:pPr>
              <w:pStyle w:val="单元格样式2"/>
            </w:pPr>
            <w:r>
              <w:t xml:space="preserve">≥95%</w:t>
            </w:r>
          </w:p>
        </w:tc>
        <w:tc>
          <w:tcPr>
            <w:tcW w:w="1276" w:type="dxa"/>
            <w:vAlign w:val="center"/>
          </w:tcPr>
          <w:p>
            <w:pPr>
              <w:pStyle w:val="单元格样式2"/>
            </w:pPr>
            <w:r>
              <w:t xml:space="preserve">电子政务外网服务合同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服务期限</w:t>
            </w:r>
          </w:p>
        </w:tc>
        <w:tc>
          <w:tcPr>
            <w:tcW w:w="5386" w:type="dxa"/>
            <w:vAlign w:val="center"/>
          </w:tcPr>
          <w:p>
            <w:pPr>
              <w:pStyle w:val="单元格样式2"/>
            </w:pPr>
            <w:r>
              <w:t xml:space="preserve">服务期限</w:t>
            </w:r>
          </w:p>
        </w:tc>
        <w:tc>
          <w:tcPr>
            <w:tcW w:w="2268" w:type="dxa"/>
            <w:vAlign w:val="center"/>
          </w:tcPr>
          <w:p>
            <w:pPr>
              <w:pStyle w:val="单元格样式2"/>
            </w:pPr>
            <w:r>
              <w:t xml:space="preserve">1年</w:t>
            </w:r>
          </w:p>
        </w:tc>
        <w:tc>
          <w:tcPr>
            <w:tcW w:w="1276" w:type="dxa"/>
            <w:vAlign w:val="center"/>
          </w:tcPr>
          <w:p>
            <w:pPr>
              <w:pStyle w:val="单元格样式2"/>
            </w:pPr>
            <w:r>
              <w:t xml:space="preserve">电子政务外网服务合同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机房运行故障率</w:t>
            </w:r>
          </w:p>
        </w:tc>
        <w:tc>
          <w:tcPr>
            <w:tcW w:w="5386" w:type="dxa"/>
            <w:vAlign w:val="center"/>
          </w:tcPr>
          <w:p>
            <w:pPr>
              <w:pStyle w:val="单元格样式2"/>
            </w:pPr>
            <w:r>
              <w:t xml:space="preserve">机房运行故障率</w:t>
            </w:r>
          </w:p>
        </w:tc>
        <w:tc>
          <w:tcPr>
            <w:tcW w:w="2268" w:type="dxa"/>
            <w:vAlign w:val="center"/>
          </w:tcPr>
          <w:p>
            <w:pPr>
              <w:pStyle w:val="单元格样式2"/>
            </w:pPr>
            <w:r>
              <w:t xml:space="preserve">≤5%</w:t>
            </w:r>
          </w:p>
        </w:tc>
        <w:tc>
          <w:tcPr>
            <w:tcW w:w="1276" w:type="dxa"/>
            <w:vAlign w:val="center"/>
          </w:tcPr>
          <w:p>
            <w:pPr>
              <w:pStyle w:val="单元格样式2"/>
            </w:pPr>
            <w:r>
              <w:t xml:space="preserve">电子政务外网服务合同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≤30万元</w:t>
            </w:r>
          </w:p>
        </w:tc>
        <w:tc>
          <w:tcPr>
            <w:tcW w:w="1276" w:type="dxa"/>
            <w:vAlign w:val="center"/>
          </w:tcPr>
          <w:p>
            <w:pPr>
              <w:pStyle w:val="单元格样式2"/>
            </w:pPr>
            <w:r>
              <w:t xml:space="preserve">魏财预（2024）1号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通过电子政务提升社会公众对政府工作的了解</w:t>
            </w:r>
          </w:p>
        </w:tc>
        <w:tc>
          <w:tcPr>
            <w:tcW w:w="5386" w:type="dxa"/>
            <w:vAlign w:val="center"/>
          </w:tcPr>
          <w:p>
            <w:pPr>
              <w:pStyle w:val="单元格样式2"/>
            </w:pPr>
            <w:r>
              <w:t xml:space="preserve">通过电子政务提升社会公众对政府工作的了解</w:t>
            </w:r>
          </w:p>
        </w:tc>
        <w:tc>
          <w:tcPr>
            <w:tcW w:w="2268" w:type="dxa"/>
            <w:vAlign w:val="center"/>
          </w:tcPr>
          <w:p>
            <w:pPr>
              <w:pStyle w:val="单元格样式2"/>
            </w:pPr>
            <w:r>
              <w:t xml:space="preserve">显著提升</w:t>
            </w:r>
          </w:p>
        </w:tc>
        <w:tc>
          <w:tcPr>
            <w:tcW w:w="1276" w:type="dxa"/>
            <w:vAlign w:val="center"/>
          </w:tcPr>
          <w:p>
            <w:pPr>
              <w:pStyle w:val="单元格样式2"/>
            </w:pPr>
            <w:r>
              <w:t xml:space="preserve">问卷调查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提高电子政务使用效率</w:t>
            </w:r>
          </w:p>
        </w:tc>
        <w:tc>
          <w:tcPr>
            <w:tcW w:w="5386" w:type="dxa"/>
            <w:vAlign w:val="center"/>
          </w:tcPr>
          <w:p>
            <w:pPr>
              <w:pStyle w:val="单元格样式2"/>
            </w:pPr>
            <w:r>
              <w:t xml:space="preserve">提高电子政务使用效率</w:t>
            </w:r>
          </w:p>
        </w:tc>
        <w:tc>
          <w:tcPr>
            <w:tcW w:w="2268" w:type="dxa"/>
            <w:vAlign w:val="center"/>
          </w:tcPr>
          <w:p>
            <w:pPr>
              <w:pStyle w:val="单元格样式2"/>
            </w:pPr>
            <w:r>
              <w:t xml:space="preserve">有效提高</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群众满意数量占总数的比例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3、全县电子政务外网光纤线路租用和党政网站建设、等级保护备案测评服务绩效目标表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13043425P00429310013Y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全县电子政务外网光纤线路租用和党政网站建设、等级保护备案测评服务</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用于全县电子政务外网光纤线路租用和党政网站建设、等级保护备案测评服务的支出。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1.全县561个村接通电子政务网络，配备必要的办公设备，实现政务服务到村。共需资金65万元。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≤65万元</w:t>
            </w:r>
          </w:p>
        </w:tc>
        <w:tc>
          <w:tcPr>
            <w:tcW w:w="1276" w:type="dxa"/>
            <w:vAlign w:val="center"/>
          </w:tcPr>
          <w:p>
            <w:pPr>
              <w:pStyle w:val="单元格样式2"/>
            </w:pPr>
            <w:r>
              <w:t xml:space="preserve">省、市推动互联网+政务服务向基层延伸有关文件</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使用光纤线路的政务服务设备数量</w:t>
            </w:r>
          </w:p>
        </w:tc>
        <w:tc>
          <w:tcPr>
            <w:tcW w:w="5386" w:type="dxa"/>
            <w:vAlign w:val="center"/>
          </w:tcPr>
          <w:p>
            <w:pPr>
              <w:pStyle w:val="单元格样式2"/>
            </w:pPr>
            <w:r>
              <w:t xml:space="preserve">使用光纤线路的政务服务设备数量</w:t>
            </w:r>
          </w:p>
        </w:tc>
        <w:tc>
          <w:tcPr>
            <w:tcW w:w="2268" w:type="dxa"/>
            <w:vAlign w:val="center"/>
          </w:tcPr>
          <w:p>
            <w:pPr>
              <w:pStyle w:val="单元格样式2"/>
            </w:pPr>
            <w:r>
              <w:t xml:space="preserve">≥561套</w:t>
            </w:r>
          </w:p>
        </w:tc>
        <w:tc>
          <w:tcPr>
            <w:tcW w:w="1276" w:type="dxa"/>
            <w:vAlign w:val="center"/>
          </w:tcPr>
          <w:p>
            <w:pPr>
              <w:pStyle w:val="单元格样式2"/>
            </w:pPr>
            <w:r>
              <w:t xml:space="preserve">省、市推动互联网+政务服务向基层延伸有关文件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完成时限</w:t>
            </w:r>
          </w:p>
        </w:tc>
        <w:tc>
          <w:tcPr>
            <w:tcW w:w="5386" w:type="dxa"/>
            <w:vAlign w:val="center"/>
          </w:tcPr>
          <w:p>
            <w:pPr>
              <w:pStyle w:val="单元格样式2"/>
            </w:pPr>
            <w:r>
              <w:t xml:space="preserve">完成时间</w:t>
            </w:r>
          </w:p>
        </w:tc>
        <w:tc>
          <w:tcPr>
            <w:tcW w:w="2268" w:type="dxa"/>
            <w:vAlign w:val="center"/>
          </w:tcPr>
          <w:p>
            <w:pPr>
              <w:pStyle w:val="单元格样式2"/>
            </w:pPr>
            <w:r>
              <w:t xml:space="preserve">2024年底前完成</w:t>
            </w:r>
          </w:p>
        </w:tc>
        <w:tc>
          <w:tcPr>
            <w:tcW w:w="1276" w:type="dxa"/>
            <w:vAlign w:val="center"/>
          </w:tcPr>
          <w:p>
            <w:pPr>
              <w:pStyle w:val="单元格样式2"/>
            </w:pPr>
            <w:r>
              <w:t xml:space="preserve">省、市推动互联网+政务服务向基层延伸有关文件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政务服务村级覆盖率</w:t>
            </w:r>
          </w:p>
        </w:tc>
        <w:tc>
          <w:tcPr>
            <w:tcW w:w="5386" w:type="dxa"/>
            <w:vAlign w:val="center"/>
          </w:tcPr>
          <w:p>
            <w:pPr>
              <w:pStyle w:val="单元格样式2"/>
            </w:pPr>
            <w:r>
              <w:t xml:space="preserve">为全县561个村开通政务服务网</w:t>
            </w:r>
          </w:p>
        </w:tc>
        <w:tc>
          <w:tcPr>
            <w:tcW w:w="2268" w:type="dxa"/>
            <w:vAlign w:val="center"/>
          </w:tcPr>
          <w:p>
            <w:pPr>
              <w:pStyle w:val="单元格样式2"/>
            </w:pPr>
            <w:r>
              <w:t xml:space="preserve">100%</w:t>
            </w:r>
          </w:p>
        </w:tc>
        <w:tc>
          <w:tcPr>
            <w:tcW w:w="1276" w:type="dxa"/>
            <w:vAlign w:val="center"/>
          </w:tcPr>
          <w:p>
            <w:pPr>
              <w:pStyle w:val="单元格样式2"/>
            </w:pPr>
            <w:r>
              <w:t xml:space="preserve">省、市推动互联网+政务服务向基层延伸有关文件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实现政务服务到村</w:t>
            </w:r>
          </w:p>
        </w:tc>
        <w:tc>
          <w:tcPr>
            <w:tcW w:w="5386" w:type="dxa"/>
            <w:vAlign w:val="center"/>
          </w:tcPr>
          <w:p>
            <w:pPr>
              <w:pStyle w:val="单元格样式2"/>
            </w:pPr>
            <w:r>
              <w:t xml:space="preserve">村级具务政务服务功能</w:t>
            </w:r>
          </w:p>
        </w:tc>
        <w:tc>
          <w:tcPr>
            <w:tcW w:w="2268" w:type="dxa"/>
            <w:vAlign w:val="center"/>
          </w:tcPr>
          <w:p>
            <w:pPr>
              <w:pStyle w:val="单元格样式2"/>
            </w:pPr>
            <w:r>
              <w:t xml:space="preserve">村级实现电子政务办公</w:t>
            </w:r>
          </w:p>
        </w:tc>
        <w:tc>
          <w:tcPr>
            <w:tcW w:w="1276" w:type="dxa"/>
            <w:vAlign w:val="center"/>
          </w:tcPr>
          <w:p>
            <w:pPr>
              <w:pStyle w:val="单元格样式2"/>
            </w:pPr>
            <w:r>
              <w:t xml:space="preserve">省、市推动互联网+政务服务向基层延伸有关文件</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提高基层农村电子政务畅通</w:t>
            </w:r>
          </w:p>
        </w:tc>
        <w:tc>
          <w:tcPr>
            <w:tcW w:w="5386" w:type="dxa"/>
            <w:vAlign w:val="center"/>
          </w:tcPr>
          <w:p>
            <w:pPr>
              <w:pStyle w:val="单元格样式2"/>
            </w:pPr>
            <w:r>
              <w:t xml:space="preserve">提高基层农村电子政务畅通</w:t>
            </w:r>
          </w:p>
        </w:tc>
        <w:tc>
          <w:tcPr>
            <w:tcW w:w="2268" w:type="dxa"/>
            <w:vAlign w:val="center"/>
          </w:tcPr>
          <w:p>
            <w:pPr>
              <w:pStyle w:val="单元格样式2"/>
            </w:pPr>
            <w:r>
              <w:t xml:space="preserve">有效提高</w:t>
            </w:r>
          </w:p>
        </w:tc>
        <w:tc>
          <w:tcPr>
            <w:tcW w:w="1276" w:type="dxa"/>
            <w:vAlign w:val="center"/>
          </w:tcPr>
          <w:p>
            <w:pPr>
              <w:pStyle w:val="单元格样式2"/>
            </w:pPr>
            <w:r>
              <w:t xml:space="preserve">省、市推动互联网+政务服务向基层延伸有关文件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村级使用对象满意率</w:t>
            </w:r>
          </w:p>
        </w:tc>
        <w:tc>
          <w:tcPr>
            <w:tcW w:w="5386" w:type="dxa"/>
            <w:vAlign w:val="center"/>
          </w:tcPr>
          <w:p>
            <w:pPr>
              <w:pStyle w:val="单元格样式2"/>
            </w:pPr>
            <w:r>
              <w:t xml:space="preserve">村级使用对象满意率</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4、全县政府系统移动办公平台租赁费（OA系统）绩效目标表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13043425P00429310012B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全县政府系统移动办公平台租赁费（OA系统）</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用于全县政府系统移动办公平台租赁费（OA系统）的支出。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1.全县108个单位接通全中心机房，网络畅通，各项业务稳定运行。共需资金25万元。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移动办公平台租赁期限</w:t>
            </w:r>
          </w:p>
        </w:tc>
        <w:tc>
          <w:tcPr>
            <w:tcW w:w="5386" w:type="dxa"/>
            <w:vAlign w:val="center"/>
          </w:tcPr>
          <w:p>
            <w:pPr>
              <w:pStyle w:val="单元格样式2"/>
            </w:pPr>
            <w:r>
              <w:t xml:space="preserve">移动办公平台租赁期限</w:t>
            </w:r>
          </w:p>
        </w:tc>
        <w:tc>
          <w:tcPr>
            <w:tcW w:w="2268" w:type="dxa"/>
            <w:vAlign w:val="center"/>
          </w:tcPr>
          <w:p>
            <w:pPr>
              <w:pStyle w:val="单元格样式2"/>
            </w:pPr>
            <w:r>
              <w:t xml:space="preserve">1年</w:t>
            </w:r>
          </w:p>
        </w:tc>
        <w:tc>
          <w:tcPr>
            <w:tcW w:w="1276" w:type="dxa"/>
            <w:vAlign w:val="center"/>
          </w:tcPr>
          <w:p>
            <w:pPr>
              <w:pStyle w:val="单元格样式2"/>
            </w:pPr>
            <w:r>
              <w:t xml:space="preserve">预算安排表</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光纤线路数量</w:t>
            </w:r>
          </w:p>
        </w:tc>
        <w:tc>
          <w:tcPr>
            <w:tcW w:w="5386" w:type="dxa"/>
            <w:vAlign w:val="center"/>
          </w:tcPr>
          <w:p>
            <w:pPr>
              <w:pStyle w:val="单元格样式2"/>
            </w:pPr>
            <w:r>
              <w:t xml:space="preserve">光纤线路数量</w:t>
            </w:r>
          </w:p>
        </w:tc>
        <w:tc>
          <w:tcPr>
            <w:tcW w:w="2268" w:type="dxa"/>
            <w:vAlign w:val="center"/>
          </w:tcPr>
          <w:p>
            <w:pPr>
              <w:pStyle w:val="单元格样式2"/>
            </w:pPr>
            <w:r>
              <w:t xml:space="preserve">108条</w:t>
            </w:r>
          </w:p>
        </w:tc>
        <w:tc>
          <w:tcPr>
            <w:tcW w:w="1276" w:type="dxa"/>
            <w:vAlign w:val="center"/>
          </w:tcPr>
          <w:p>
            <w:pPr>
              <w:pStyle w:val="单元格样式2"/>
            </w:pPr>
            <w:r>
              <w:t xml:space="preserve">预算安排表</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移动办公平台租赁成本</w:t>
            </w:r>
          </w:p>
        </w:tc>
        <w:tc>
          <w:tcPr>
            <w:tcW w:w="5386" w:type="dxa"/>
            <w:vAlign w:val="center"/>
          </w:tcPr>
          <w:p>
            <w:pPr>
              <w:pStyle w:val="单元格样式2"/>
            </w:pPr>
            <w:r>
              <w:t xml:space="preserve">移动办公平台租赁成本</w:t>
            </w:r>
          </w:p>
        </w:tc>
        <w:tc>
          <w:tcPr>
            <w:tcW w:w="2268" w:type="dxa"/>
            <w:vAlign w:val="center"/>
          </w:tcPr>
          <w:p>
            <w:pPr>
              <w:pStyle w:val="单元格样式2"/>
            </w:pPr>
            <w:r>
              <w:t xml:space="preserve">≤25万元</w:t>
            </w:r>
          </w:p>
        </w:tc>
        <w:tc>
          <w:tcPr>
            <w:tcW w:w="1276" w:type="dxa"/>
            <w:vAlign w:val="center"/>
          </w:tcPr>
          <w:p>
            <w:pPr>
              <w:pStyle w:val="单元格样式2"/>
            </w:pPr>
            <w:r>
              <w:t xml:space="preserve">预算安排表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租用年度全年线路畅通率</w:t>
            </w:r>
          </w:p>
        </w:tc>
        <w:tc>
          <w:tcPr>
            <w:tcW w:w="5386" w:type="dxa"/>
            <w:vAlign w:val="center"/>
          </w:tcPr>
          <w:p>
            <w:pPr>
              <w:pStyle w:val="单元格样式2"/>
            </w:pPr>
            <w:r>
              <w:t xml:space="preserve">全年线路畅通率</w:t>
            </w:r>
          </w:p>
        </w:tc>
        <w:tc>
          <w:tcPr>
            <w:tcW w:w="2268" w:type="dxa"/>
            <w:vAlign w:val="center"/>
          </w:tcPr>
          <w:p>
            <w:pPr>
              <w:pStyle w:val="单元格样式2"/>
            </w:pPr>
            <w:r>
              <w:t xml:space="preserve">≥90%</w:t>
            </w:r>
          </w:p>
        </w:tc>
        <w:tc>
          <w:tcPr>
            <w:tcW w:w="1276" w:type="dxa"/>
            <w:vAlign w:val="center"/>
          </w:tcPr>
          <w:p>
            <w:pPr>
              <w:pStyle w:val="单元格样式2"/>
            </w:pPr>
            <w:r>
              <w:t xml:space="preserve">预算安排表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网络安全稳定运行</w:t>
            </w:r>
          </w:p>
        </w:tc>
        <w:tc>
          <w:tcPr>
            <w:tcW w:w="5386" w:type="dxa"/>
            <w:vAlign w:val="center"/>
          </w:tcPr>
          <w:p>
            <w:pPr>
              <w:pStyle w:val="单元格样式2"/>
            </w:pPr>
            <w:r>
              <w:t xml:space="preserve">网络安全稳定运行</w:t>
            </w:r>
          </w:p>
        </w:tc>
        <w:tc>
          <w:tcPr>
            <w:tcW w:w="2268" w:type="dxa"/>
            <w:vAlign w:val="center"/>
          </w:tcPr>
          <w:p>
            <w:pPr>
              <w:pStyle w:val="单元格样式2"/>
            </w:pPr>
            <w:r>
              <w:t xml:space="preserve">不出现断网、丢包现象。</w:t>
            </w:r>
          </w:p>
        </w:tc>
        <w:tc>
          <w:tcPr>
            <w:tcW w:w="1276" w:type="dxa"/>
            <w:vAlign w:val="center"/>
          </w:tcPr>
          <w:p>
            <w:pPr>
              <w:pStyle w:val="单元格样式2"/>
            </w:pPr>
            <w:r>
              <w:t xml:space="preserve">预算安排表</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实现网上办公，降低行下成本</w:t>
            </w:r>
          </w:p>
        </w:tc>
        <w:tc>
          <w:tcPr>
            <w:tcW w:w="5386" w:type="dxa"/>
            <w:vAlign w:val="center"/>
          </w:tcPr>
          <w:p>
            <w:pPr>
              <w:pStyle w:val="单元格样式2"/>
            </w:pPr>
            <w:r>
              <w:t xml:space="preserve">实现网上办公，降低行下成本</w:t>
            </w:r>
          </w:p>
        </w:tc>
        <w:tc>
          <w:tcPr>
            <w:tcW w:w="2268" w:type="dxa"/>
            <w:vAlign w:val="center"/>
          </w:tcPr>
          <w:p>
            <w:pPr>
              <w:pStyle w:val="单元格样式2"/>
            </w:pPr>
            <w:r>
              <w:t xml:space="preserve">有效提升各单位办公效率</w:t>
            </w:r>
          </w:p>
        </w:tc>
        <w:tc>
          <w:tcPr>
            <w:tcW w:w="1276" w:type="dxa"/>
            <w:vAlign w:val="center"/>
          </w:tcPr>
          <w:p>
            <w:pPr>
              <w:pStyle w:val="单元格样式2"/>
            </w:pPr>
            <w:r>
              <w:t xml:space="preserve">预算安排表</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服务对象满意率</w:t>
            </w:r>
          </w:p>
        </w:tc>
        <w:tc>
          <w:tcPr>
            <w:tcW w:w="5386" w:type="dxa"/>
            <w:vAlign w:val="center"/>
          </w:tcPr>
          <w:p>
            <w:pPr>
              <w:pStyle w:val="单元格样式2"/>
            </w:pPr>
            <w:r>
              <w:t xml:space="preserve">服务对象满意率</w:t>
            </w:r>
          </w:p>
        </w:tc>
        <w:tc>
          <w:tcPr>
            <w:tcW w:w="2268" w:type="dxa"/>
            <w:vAlign w:val="center"/>
          </w:tcPr>
          <w:p>
            <w:pPr>
              <w:pStyle w:val="单元格样式2"/>
            </w:pPr>
            <w:r>
              <w:t xml:space="preserve">≥90%</w:t>
            </w:r>
          </w:p>
        </w:tc>
        <w:tc>
          <w:tcPr>
            <w:tcW w:w="1276" w:type="dxa"/>
            <w:vAlign w:val="center"/>
          </w:tcPr>
          <w:p>
            <w:pPr>
              <w:pStyle w:val="单元格样式2"/>
            </w:pPr>
            <w:r>
              <w:t xml:space="preserve">调查满意度</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434魏县人民政府办公室</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魏县人民政府办公室（含所属单位）上年末固定资产金额为651.17万元（详见下表）。本年度拟购置固定资产总额为1.00万元，已按要求列入政府采购预算，详见政府采购预算表。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434魏县人民政府办公室</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651.17</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8</w:t>
            </w:r>
          </w:p>
        </w:tc>
        <w:tc>
          <w:tcPr>
            <w:tcW w:w="2835" w:type="dxa"/>
            <w:vAlign w:val="center"/>
          </w:tcPr>
          <w:p>
            <w:pPr>
              <w:pStyle w:val="单元格样式4"/>
            </w:pPr>
            <w:r>
              <w:t xml:space="preserve">191.72</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1100</w:t>
            </w:r>
          </w:p>
        </w:tc>
        <w:tc>
          <w:tcPr>
            <w:tcW w:w="2835" w:type="dxa"/>
            <w:vAlign w:val="center"/>
          </w:tcPr>
          <w:p>
            <w:pPr>
              <w:pStyle w:val="单元格样式4"/>
            </w:pPr>
            <w:r>
              <w:t xml:space="preserve">459.45</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29</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2025-02-18T14:43:53Z</dcterms:created>
  <dcterms:modified xsi:type="dcterms:W3CDTF">2025-02-18T14:43:53Z</dcterms:modified>
</cp:coreProperties>
</file>