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魏县人民政府办公室</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魏县人民政府办公室编制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XXX财政（厅/局）审核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1.2025年政府办专项公用经费绩效目标表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t xml:space="preserve">2.电子政务外网服务费绩效目标表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t xml:space="preserve">3.全县电子政务外网光纤线路租用和党政网站建设、等级保护备案测评服务绩效目标表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t xml:space="preserve">4.全县政府系统移动办公平台租赁费（OA系统）绩效目标表</w:t>
        </w:r>
        <w:r>
          <w:tab/>
        </w:r>
        <w:r>
          <w:fldChar w:fldCharType="begin"/>
        </w:r>
        <w:r>
          <w:instrText xml:space="preserve">PAGEREF _Toc_4_4_0000000007 \h</w:instrText>
        </w:r>
        <w:r>
          <w:fldChar w:fldCharType="separate"/>
        </w:r>
        <w:r>
          <w:t xml:space="preserve">7</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政府办作为上传下达、沟通内外、联系左右的枢纽，2024年围绕县委、县政府的中心工作，以精致、细致、极致的工作标准，以讲忠诚、敢担当、能奉献的工作作风，推动县政府相关工作的高效率运转，实现经济社会又好又快发展。</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根据《魏县人民政府办公室职能配置、内设机构和人员编制方案》规定，魏县人民政府办公室的主要职责是: </w:t>
      </w:r>
    </w:p>
    <w:p>
      <w:pPr>
        <w:pStyle w:val="插入文本样式-插入职责分类绩效目标文件"/>
      </w:pPr>
      <w:r>
        <w:t xml:space="preserve">1、负责收集、掌握、整理全县经济社会发展情况和县政府工作情况，超前研究分析全县经济社会发展工作趋势和动向，为领导科学决策和正确指导工作提供有价值的信息、资料。</w:t>
      </w:r>
    </w:p>
    <w:p>
      <w:pPr>
        <w:pStyle w:val="插入文本样式-插入职责分类绩效目标文件"/>
      </w:pPr>
      <w:r>
        <w:t xml:space="preserve">2、负责决策方案的制定、选择，进行调查研究和可行性论证，为领导决策提供必要的事实依据；决策方案确定后，负责组织实施。</w:t>
      </w:r>
    </w:p>
    <w:p>
      <w:pPr>
        <w:pStyle w:val="插入文本样式-插入职责分类绩效目标文件"/>
      </w:pPr>
      <w:r>
        <w:t xml:space="preserve">3、组织有关部门和乡镇围绕县政府安排的重要课题和全县经济社会发展中的重大问题，进行实际调查和理论探讨，提出相应对策，供领导参考。</w:t>
      </w:r>
    </w:p>
    <w:p>
      <w:pPr>
        <w:pStyle w:val="插入文本样式-插入职责分类绩效目标文件"/>
      </w:pPr>
      <w:r>
        <w:t xml:space="preserve">4、检查、了解党的路线、方针、政策和国家法律、法规贯彻执行情况，督促检查县政府各项工作的落实，及时向县领导提出推进工作、解决问题的办法和建议。</w:t>
      </w:r>
    </w:p>
    <w:p>
      <w:pPr>
        <w:pStyle w:val="插入文本样式-插入职责分类绩效目标文件"/>
      </w:pPr>
      <w:r>
        <w:t xml:space="preserve">5、协助县政府领导搞好工作协调，协调处理在权限内能够解决的问题。对县领导交办的事项进行督办和反馈。</w:t>
      </w:r>
    </w:p>
    <w:p>
      <w:pPr>
        <w:pStyle w:val="插入文本样式-插入职责分类绩效目标文件"/>
      </w:pPr>
      <w:r>
        <w:t xml:space="preserve">6、负责县政府及县政府办公室文件的起草、审核、把关、印发；负责来文接收、传阅、登记、立卷、归档。</w:t>
      </w:r>
    </w:p>
    <w:p>
      <w:pPr>
        <w:pStyle w:val="插入文本样式-插入职责分类绩效目标文件"/>
      </w:pPr>
      <w:r>
        <w:t xml:space="preserve">7、负责会议安排、县政府印信管理、后勤服务、行政事务等工作。</w:t>
      </w:r>
    </w:p>
    <w:p>
      <w:pPr>
        <w:pStyle w:val="插入文本样式-插入职责分类绩效目标文件"/>
      </w:pPr>
      <w:r>
        <w:t xml:space="preserve">8、承办县委、县政府交办的其他工作。</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搞好组织协调，促进工作落实；2、超前调查研究，当好参谋助手；3、督查督办工作；4、做好上级来文来电、后勤服务、会议安排等事务性工作；5、做好信息工作；6、做好公文处理及领导讲话和上级材料起草工作；7、做好人大代表建议、政协提案办理；8、做好依法行政工作；9、做好政务公开工作；10、做好信息网络建设工作。</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1.2025年政府办专项公用经费绩效目标表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434001魏县人民政府办公室本级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13043425P00429010001T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2025年政府办专项公用经费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办公用品采购批次</w:t>
            </w:r>
          </w:p>
        </w:tc>
        <w:tc>
          <w:tcPr>
            <w:tcW w:w="2891" w:type="dxa"/>
            <w:vAlign w:val="center"/>
          </w:tcPr>
          <w:p>
            <w:pPr>
              <w:pStyle w:val="单元格样式2"/>
            </w:pPr>
            <w:r>
              <w:t xml:space="preserve">办公用品采购批次</w:t>
            </w:r>
          </w:p>
        </w:tc>
        <w:tc>
          <w:tcPr>
            <w:tcW w:w="1276" w:type="dxa"/>
            <w:vAlign w:val="center"/>
          </w:tcPr>
          <w:p>
            <w:pPr>
              <w:pStyle w:val="单元格样式2"/>
            </w:pPr>
            <w:r>
              <w:t xml:space="preserve">≥6次</w:t>
            </w:r>
          </w:p>
        </w:tc>
        <w:tc>
          <w:tcPr>
            <w:tcW w:w="1843" w:type="dxa"/>
            <w:vAlign w:val="center"/>
          </w:tcPr>
          <w:p>
            <w:pPr>
              <w:pStyle w:val="单元格样式2"/>
            </w:pPr>
            <w:r>
              <w:t xml:space="preserve">工作实施方案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经费使用合规率</w:t>
            </w:r>
          </w:p>
        </w:tc>
        <w:tc>
          <w:tcPr>
            <w:tcW w:w="2891" w:type="dxa"/>
            <w:vAlign w:val="center"/>
          </w:tcPr>
          <w:p>
            <w:pPr>
              <w:pStyle w:val="单元格样式2"/>
            </w:pPr>
            <w:r>
              <w:t xml:space="preserve">经费使用合规率</w:t>
            </w:r>
          </w:p>
        </w:tc>
        <w:tc>
          <w:tcPr>
            <w:tcW w:w="1276" w:type="dxa"/>
            <w:vAlign w:val="center"/>
          </w:tcPr>
          <w:p>
            <w:pPr>
              <w:pStyle w:val="单元格样式2"/>
            </w:pPr>
            <w:r>
              <w:t xml:space="preserve">100%</w:t>
            </w:r>
          </w:p>
        </w:tc>
        <w:tc>
          <w:tcPr>
            <w:tcW w:w="1843" w:type="dxa"/>
            <w:vAlign w:val="center"/>
          </w:tcPr>
          <w:p>
            <w:pPr>
              <w:pStyle w:val="单元格样式2"/>
            </w:pPr>
            <w:r>
              <w:t xml:space="preserve">年度工作考核指标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经费保障周期</w:t>
            </w:r>
          </w:p>
        </w:tc>
        <w:tc>
          <w:tcPr>
            <w:tcW w:w="2891" w:type="dxa"/>
            <w:vAlign w:val="center"/>
          </w:tcPr>
          <w:p>
            <w:pPr>
              <w:pStyle w:val="单元格样式2"/>
            </w:pPr>
            <w:r>
              <w:t xml:space="preserve">经费保障周期</w:t>
            </w:r>
          </w:p>
        </w:tc>
        <w:tc>
          <w:tcPr>
            <w:tcW w:w="1276" w:type="dxa"/>
            <w:vAlign w:val="center"/>
          </w:tcPr>
          <w:p>
            <w:pPr>
              <w:pStyle w:val="单元格样式2"/>
            </w:pPr>
            <w:r>
              <w:t xml:space="preserve">1年</w:t>
            </w:r>
          </w:p>
        </w:tc>
        <w:tc>
          <w:tcPr>
            <w:tcW w:w="1843" w:type="dxa"/>
            <w:vAlign w:val="center"/>
          </w:tcPr>
          <w:p>
            <w:pPr>
              <w:pStyle w:val="单元格样式2"/>
            </w:pPr>
            <w:r>
              <w:t xml:space="preserve">实际工作开展情况</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单位日常办公事务支出总成本</w:t>
            </w:r>
          </w:p>
        </w:tc>
        <w:tc>
          <w:tcPr>
            <w:tcW w:w="2891" w:type="dxa"/>
            <w:vAlign w:val="center"/>
          </w:tcPr>
          <w:p>
            <w:pPr>
              <w:pStyle w:val="单元格样式2"/>
            </w:pPr>
            <w:r>
              <w:t xml:space="preserve">单位日常办公事务支出总成本</w:t>
            </w:r>
          </w:p>
        </w:tc>
        <w:tc>
          <w:tcPr>
            <w:tcW w:w="1276" w:type="dxa"/>
            <w:vAlign w:val="center"/>
          </w:tcPr>
          <w:p>
            <w:pPr>
              <w:pStyle w:val="单元格样式2"/>
            </w:pPr>
            <w:r>
              <w:t xml:space="preserve">≤264万元</w:t>
            </w:r>
          </w:p>
        </w:tc>
        <w:tc>
          <w:tcPr>
            <w:tcW w:w="1843" w:type="dxa"/>
            <w:vAlign w:val="center"/>
          </w:tcPr>
          <w:p>
            <w:pPr>
              <w:pStyle w:val="单元格样式2"/>
            </w:pPr>
            <w:r>
              <w:t xml:space="preserve">实际工作开展情况</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提高人员工作效率</w:t>
            </w:r>
          </w:p>
        </w:tc>
        <w:tc>
          <w:tcPr>
            <w:tcW w:w="2891" w:type="dxa"/>
            <w:vAlign w:val="center"/>
          </w:tcPr>
          <w:p>
            <w:pPr>
              <w:pStyle w:val="单元格样式2"/>
            </w:pPr>
            <w:r>
              <w:t xml:space="preserve">提高人员工作效率</w:t>
            </w:r>
          </w:p>
        </w:tc>
        <w:tc>
          <w:tcPr>
            <w:tcW w:w="1276" w:type="dxa"/>
            <w:vAlign w:val="center"/>
          </w:tcPr>
          <w:p>
            <w:pPr>
              <w:pStyle w:val="单元格样式2"/>
            </w:pPr>
            <w:r>
              <w:t xml:space="preserve">提高</w:t>
            </w:r>
          </w:p>
        </w:tc>
        <w:tc>
          <w:tcPr>
            <w:tcW w:w="1843" w:type="dxa"/>
            <w:vAlign w:val="center"/>
          </w:tcPr>
          <w:p>
            <w:pPr>
              <w:pStyle w:val="单元格样式2"/>
            </w:pPr>
            <w:r>
              <w:t xml:space="preserve">年度工作考核指标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保障单位正常运转</w:t>
            </w:r>
          </w:p>
        </w:tc>
        <w:tc>
          <w:tcPr>
            <w:tcW w:w="2891" w:type="dxa"/>
            <w:vAlign w:val="center"/>
          </w:tcPr>
          <w:p>
            <w:pPr>
              <w:pStyle w:val="单元格样式2"/>
            </w:pPr>
            <w:r>
              <w:t xml:space="preserve">保障单位正常运转</w:t>
            </w:r>
          </w:p>
        </w:tc>
        <w:tc>
          <w:tcPr>
            <w:tcW w:w="1276" w:type="dxa"/>
            <w:vAlign w:val="center"/>
          </w:tcPr>
          <w:p>
            <w:pPr>
              <w:pStyle w:val="单元格样式2"/>
            </w:pPr>
            <w:r>
              <w:t xml:space="preserve">保障</w:t>
            </w:r>
          </w:p>
        </w:tc>
        <w:tc>
          <w:tcPr>
            <w:tcW w:w="1843" w:type="dxa"/>
            <w:vAlign w:val="center"/>
          </w:tcPr>
          <w:p>
            <w:pPr>
              <w:pStyle w:val="单元格样式2"/>
            </w:pPr>
            <w:r>
              <w:t xml:space="preserve">年度工作考核指标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vAlign w:val="center"/>
          </w:tcPr>
          <w:p>
            <w:pPr>
              <w:pStyle w:val="单元格样式2"/>
            </w:pPr>
            <w:r>
              <w:t xml:space="preserve">工作人员满意人数占总人数的比例</w:t>
            </w:r>
          </w:p>
        </w:tc>
        <w:tc>
          <w:tcPr>
            <w:tcW w:w="1276" w:type="dxa"/>
            <w:vAlign w:val="center"/>
          </w:tcPr>
          <w:p>
            <w:pPr>
              <w:pStyle w:val="单元格样式2"/>
            </w:pPr>
            <w:r>
              <w:t xml:space="preserve">≥95%</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2.电子政务外网服务费绩效目标表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434001魏县人民政府办公室本级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13043425P00429310011P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电子政务外网服务费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用于电子政务外网服务费的支出。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1.持续服务1年，保障全县电子政务外网稳定运行，故障率不高于5%</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电子政务中心机房安全稳定运行率</w:t>
            </w:r>
          </w:p>
        </w:tc>
        <w:tc>
          <w:tcPr>
            <w:tcW w:w="2891" w:type="dxa"/>
            <w:vAlign w:val="center"/>
          </w:tcPr>
          <w:p>
            <w:pPr>
              <w:pStyle w:val="单元格样式2"/>
            </w:pPr>
            <w:r>
              <w:t xml:space="preserve">电子政务中心机房安全稳定运行率</w:t>
            </w:r>
          </w:p>
        </w:tc>
        <w:tc>
          <w:tcPr>
            <w:tcW w:w="1276" w:type="dxa"/>
            <w:vAlign w:val="center"/>
          </w:tcPr>
          <w:p>
            <w:pPr>
              <w:pStyle w:val="单元格样式2"/>
            </w:pPr>
            <w:r>
              <w:t xml:space="preserve">≥95%</w:t>
            </w:r>
          </w:p>
        </w:tc>
        <w:tc>
          <w:tcPr>
            <w:tcW w:w="1843" w:type="dxa"/>
            <w:vAlign w:val="center"/>
          </w:tcPr>
          <w:p>
            <w:pPr>
              <w:pStyle w:val="单元格样式2"/>
            </w:pPr>
            <w:r>
              <w:t xml:space="preserve">电子政务外网服务合同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服务期限</w:t>
            </w:r>
          </w:p>
        </w:tc>
        <w:tc>
          <w:tcPr>
            <w:tcW w:w="2891" w:type="dxa"/>
            <w:vAlign w:val="center"/>
          </w:tcPr>
          <w:p>
            <w:pPr>
              <w:pStyle w:val="单元格样式2"/>
            </w:pPr>
            <w:r>
              <w:t xml:space="preserve">服务期限</w:t>
            </w:r>
          </w:p>
        </w:tc>
        <w:tc>
          <w:tcPr>
            <w:tcW w:w="1276" w:type="dxa"/>
            <w:vAlign w:val="center"/>
          </w:tcPr>
          <w:p>
            <w:pPr>
              <w:pStyle w:val="单元格样式2"/>
            </w:pPr>
            <w:r>
              <w:t xml:space="preserve">1年</w:t>
            </w:r>
          </w:p>
        </w:tc>
        <w:tc>
          <w:tcPr>
            <w:tcW w:w="1843" w:type="dxa"/>
            <w:vAlign w:val="center"/>
          </w:tcPr>
          <w:p>
            <w:pPr>
              <w:pStyle w:val="单元格样式2"/>
            </w:pPr>
            <w:r>
              <w:t xml:space="preserve">电子政务外网服务合同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机房运行故障率</w:t>
            </w:r>
          </w:p>
        </w:tc>
        <w:tc>
          <w:tcPr>
            <w:tcW w:w="2891" w:type="dxa"/>
            <w:vAlign w:val="center"/>
          </w:tcPr>
          <w:p>
            <w:pPr>
              <w:pStyle w:val="单元格样式2"/>
            </w:pPr>
            <w:r>
              <w:t xml:space="preserve">机房运行故障率</w:t>
            </w:r>
          </w:p>
        </w:tc>
        <w:tc>
          <w:tcPr>
            <w:tcW w:w="1276" w:type="dxa"/>
            <w:vAlign w:val="center"/>
          </w:tcPr>
          <w:p>
            <w:pPr>
              <w:pStyle w:val="单元格样式2"/>
            </w:pPr>
            <w:r>
              <w:t xml:space="preserve">≤5%</w:t>
            </w:r>
          </w:p>
        </w:tc>
        <w:tc>
          <w:tcPr>
            <w:tcW w:w="1843" w:type="dxa"/>
            <w:vAlign w:val="center"/>
          </w:tcPr>
          <w:p>
            <w:pPr>
              <w:pStyle w:val="单元格样式2"/>
            </w:pPr>
            <w:r>
              <w:t xml:space="preserve">电子政务外网服务合同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≤30万元</w:t>
            </w:r>
          </w:p>
        </w:tc>
        <w:tc>
          <w:tcPr>
            <w:tcW w:w="1843" w:type="dxa"/>
            <w:vAlign w:val="center"/>
          </w:tcPr>
          <w:p>
            <w:pPr>
              <w:pStyle w:val="单元格样式2"/>
            </w:pPr>
            <w:r>
              <w:t xml:space="preserve">魏财预（2024）1号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通过电子政务提升社会公众对政府工作的了解</w:t>
            </w:r>
          </w:p>
        </w:tc>
        <w:tc>
          <w:tcPr>
            <w:tcW w:w="2891" w:type="dxa"/>
            <w:vAlign w:val="center"/>
          </w:tcPr>
          <w:p>
            <w:pPr>
              <w:pStyle w:val="单元格样式2"/>
            </w:pPr>
            <w:r>
              <w:t xml:space="preserve">通过电子政务提升社会公众对政府工作的了解</w:t>
            </w:r>
          </w:p>
        </w:tc>
        <w:tc>
          <w:tcPr>
            <w:tcW w:w="1276" w:type="dxa"/>
            <w:vAlign w:val="center"/>
          </w:tcPr>
          <w:p>
            <w:pPr>
              <w:pStyle w:val="单元格样式2"/>
            </w:pPr>
            <w:r>
              <w:t xml:space="preserve">显著提升</w:t>
            </w:r>
          </w:p>
        </w:tc>
        <w:tc>
          <w:tcPr>
            <w:tcW w:w="1843" w:type="dxa"/>
            <w:vAlign w:val="center"/>
          </w:tcPr>
          <w:p>
            <w:pPr>
              <w:pStyle w:val="单元格样式2"/>
            </w:pPr>
            <w:r>
              <w:t xml:space="preserve">问卷调查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提高电子政务使用效率</w:t>
            </w:r>
          </w:p>
        </w:tc>
        <w:tc>
          <w:tcPr>
            <w:tcW w:w="2891" w:type="dxa"/>
            <w:vAlign w:val="center"/>
          </w:tcPr>
          <w:p>
            <w:pPr>
              <w:pStyle w:val="单元格样式2"/>
            </w:pPr>
            <w:r>
              <w:t xml:space="preserve">提高电子政务使用效率</w:t>
            </w:r>
          </w:p>
        </w:tc>
        <w:tc>
          <w:tcPr>
            <w:tcW w:w="1276" w:type="dxa"/>
            <w:vAlign w:val="center"/>
          </w:tcPr>
          <w:p>
            <w:pPr>
              <w:pStyle w:val="单元格样式2"/>
            </w:pPr>
            <w:r>
              <w:t xml:space="preserve">有效提高</w:t>
            </w:r>
          </w:p>
        </w:tc>
        <w:tc>
          <w:tcPr>
            <w:tcW w:w="1843" w:type="dxa"/>
            <w:vAlign w:val="center"/>
          </w:tcPr>
          <w:p>
            <w:pPr>
              <w:pStyle w:val="单元格样式2"/>
            </w:pPr>
            <w:r>
              <w:t xml:space="preserve">问卷调查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vAlign w:val="center"/>
          </w:tcPr>
          <w:p>
            <w:pPr>
              <w:pStyle w:val="单元格样式2"/>
            </w:pPr>
            <w:r>
              <w:t xml:space="preserve">群众满意数量占总数的比例</w:t>
            </w:r>
          </w:p>
        </w:tc>
        <w:tc>
          <w:tcPr>
            <w:tcW w:w="1276" w:type="dxa"/>
            <w:vAlign w:val="center"/>
          </w:tcPr>
          <w:p>
            <w:pPr>
              <w:pStyle w:val="单元格样式2"/>
            </w:pPr>
            <w:r>
              <w:t xml:space="preserve">≥95%</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3.全县电子政务外网光纤线路租用和党政网站建设、等级保护备案测评服务绩效目标表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434001魏县人民政府办公室本级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13043425P00429310013Y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全县电子政务外网光纤线路租用和党政网站建设、等级保护备案测评服务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用于全县电子政务外网光纤线路租用和党政网站建设、等级保护备案测评服务的支出。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1.全县561个村接通电子政务网络，配备必要的办公设备，实现政务服务到村。共需资金65万元。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≤65万元</w:t>
            </w:r>
          </w:p>
        </w:tc>
        <w:tc>
          <w:tcPr>
            <w:tcW w:w="1843" w:type="dxa"/>
            <w:vAlign w:val="center"/>
          </w:tcPr>
          <w:p>
            <w:pPr>
              <w:pStyle w:val="单元格样式2"/>
            </w:pPr>
            <w:r>
              <w:t xml:space="preserve">省、市推动互联网+政务服务向基层延伸有关文件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使用光纤线路的政务服务设备数量</w:t>
            </w:r>
          </w:p>
        </w:tc>
        <w:tc>
          <w:tcPr>
            <w:tcW w:w="2891" w:type="dxa"/>
            <w:vAlign w:val="center"/>
          </w:tcPr>
          <w:p>
            <w:pPr>
              <w:pStyle w:val="单元格样式2"/>
            </w:pPr>
            <w:r>
              <w:t xml:space="preserve">使用光纤线路的政务服务设备数量</w:t>
            </w:r>
          </w:p>
        </w:tc>
        <w:tc>
          <w:tcPr>
            <w:tcW w:w="1276" w:type="dxa"/>
            <w:vAlign w:val="center"/>
          </w:tcPr>
          <w:p>
            <w:pPr>
              <w:pStyle w:val="单元格样式2"/>
            </w:pPr>
            <w:r>
              <w:t xml:space="preserve">≥561套</w:t>
            </w:r>
          </w:p>
        </w:tc>
        <w:tc>
          <w:tcPr>
            <w:tcW w:w="1843" w:type="dxa"/>
            <w:vAlign w:val="center"/>
          </w:tcPr>
          <w:p>
            <w:pPr>
              <w:pStyle w:val="单元格样式2"/>
            </w:pPr>
            <w:r>
              <w:t xml:space="preserve">省、市推动互联网+政务服务向基层延伸有关文件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完成时限</w:t>
            </w:r>
          </w:p>
        </w:tc>
        <w:tc>
          <w:tcPr>
            <w:tcW w:w="2891" w:type="dxa"/>
            <w:vAlign w:val="center"/>
          </w:tcPr>
          <w:p>
            <w:pPr>
              <w:pStyle w:val="单元格样式2"/>
            </w:pPr>
            <w:r>
              <w:t xml:space="preserve">完成时间</w:t>
            </w:r>
          </w:p>
        </w:tc>
        <w:tc>
          <w:tcPr>
            <w:tcW w:w="1276" w:type="dxa"/>
            <w:vAlign w:val="center"/>
          </w:tcPr>
          <w:p>
            <w:pPr>
              <w:pStyle w:val="单元格样式2"/>
            </w:pPr>
            <w:r>
              <w:t xml:space="preserve">2024年底前完成</w:t>
            </w:r>
          </w:p>
        </w:tc>
        <w:tc>
          <w:tcPr>
            <w:tcW w:w="1843" w:type="dxa"/>
            <w:vAlign w:val="center"/>
          </w:tcPr>
          <w:p>
            <w:pPr>
              <w:pStyle w:val="单元格样式2"/>
            </w:pPr>
            <w:r>
              <w:t xml:space="preserve">省、市推动互联网+政务服务向基层延伸有关文件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政务服务村级覆盖率</w:t>
            </w:r>
          </w:p>
        </w:tc>
        <w:tc>
          <w:tcPr>
            <w:tcW w:w="2891" w:type="dxa"/>
            <w:vAlign w:val="center"/>
          </w:tcPr>
          <w:p>
            <w:pPr>
              <w:pStyle w:val="单元格样式2"/>
            </w:pPr>
            <w:r>
              <w:t xml:space="preserve">为全县561个村开通政务服务网</w:t>
            </w:r>
          </w:p>
        </w:tc>
        <w:tc>
          <w:tcPr>
            <w:tcW w:w="1276" w:type="dxa"/>
            <w:vAlign w:val="center"/>
          </w:tcPr>
          <w:p>
            <w:pPr>
              <w:pStyle w:val="单元格样式2"/>
            </w:pPr>
            <w:r>
              <w:t xml:space="preserve">100%</w:t>
            </w:r>
          </w:p>
        </w:tc>
        <w:tc>
          <w:tcPr>
            <w:tcW w:w="1843" w:type="dxa"/>
            <w:vAlign w:val="center"/>
          </w:tcPr>
          <w:p>
            <w:pPr>
              <w:pStyle w:val="单元格样式2"/>
            </w:pPr>
            <w:r>
              <w:t xml:space="preserve">省、市推动互联网+政务服务向基层延伸有关文件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实现政务服务到村</w:t>
            </w:r>
          </w:p>
        </w:tc>
        <w:tc>
          <w:tcPr>
            <w:tcW w:w="2891" w:type="dxa"/>
            <w:vAlign w:val="center"/>
          </w:tcPr>
          <w:p>
            <w:pPr>
              <w:pStyle w:val="单元格样式2"/>
            </w:pPr>
            <w:r>
              <w:t xml:space="preserve">村级具务政务服务功能</w:t>
            </w:r>
          </w:p>
        </w:tc>
        <w:tc>
          <w:tcPr>
            <w:tcW w:w="1276" w:type="dxa"/>
            <w:vAlign w:val="center"/>
          </w:tcPr>
          <w:p>
            <w:pPr>
              <w:pStyle w:val="单元格样式2"/>
            </w:pPr>
            <w:r>
              <w:t xml:space="preserve">村级实现电子政务办公</w:t>
            </w:r>
          </w:p>
        </w:tc>
        <w:tc>
          <w:tcPr>
            <w:tcW w:w="1843" w:type="dxa"/>
            <w:vAlign w:val="center"/>
          </w:tcPr>
          <w:p>
            <w:pPr>
              <w:pStyle w:val="单元格样式2"/>
            </w:pPr>
            <w:r>
              <w:t xml:space="preserve">省、市推动互联网+政务服务向基层延伸有关文件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提高基层农村电子政务畅通</w:t>
            </w:r>
          </w:p>
        </w:tc>
        <w:tc>
          <w:tcPr>
            <w:tcW w:w="2891" w:type="dxa"/>
            <w:vAlign w:val="center"/>
          </w:tcPr>
          <w:p>
            <w:pPr>
              <w:pStyle w:val="单元格样式2"/>
            </w:pPr>
            <w:r>
              <w:t xml:space="preserve">提高基层农村电子政务畅通</w:t>
            </w:r>
          </w:p>
        </w:tc>
        <w:tc>
          <w:tcPr>
            <w:tcW w:w="1276" w:type="dxa"/>
            <w:vAlign w:val="center"/>
          </w:tcPr>
          <w:p>
            <w:pPr>
              <w:pStyle w:val="单元格样式2"/>
            </w:pPr>
            <w:r>
              <w:t xml:space="preserve">有效提高</w:t>
            </w:r>
          </w:p>
        </w:tc>
        <w:tc>
          <w:tcPr>
            <w:tcW w:w="1843" w:type="dxa"/>
            <w:vAlign w:val="center"/>
          </w:tcPr>
          <w:p>
            <w:pPr>
              <w:pStyle w:val="单元格样式2"/>
            </w:pPr>
            <w:r>
              <w:t xml:space="preserve">省、市推动互联网+政务服务向基层延伸有关文件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村级使用对象满意率</w:t>
            </w:r>
          </w:p>
        </w:tc>
        <w:tc>
          <w:tcPr>
            <w:tcW w:w="2891" w:type="dxa"/>
            <w:vAlign w:val="center"/>
          </w:tcPr>
          <w:p>
            <w:pPr>
              <w:pStyle w:val="单元格样式2"/>
            </w:pPr>
            <w:r>
              <w:t xml:space="preserve">村级使用对象满意率</w:t>
            </w:r>
          </w:p>
        </w:tc>
        <w:tc>
          <w:tcPr>
            <w:tcW w:w="1276" w:type="dxa"/>
            <w:vAlign w:val="center"/>
          </w:tcPr>
          <w:p>
            <w:pPr>
              <w:pStyle w:val="单元格样式2"/>
            </w:pPr>
            <w:r>
              <w:t xml:space="preserve">≥90%</w:t>
            </w:r>
          </w:p>
        </w:tc>
        <w:tc>
          <w:tcPr>
            <w:tcW w:w="1843" w:type="dxa"/>
            <w:vAlign w:val="center"/>
          </w:tcPr>
          <w:p>
            <w:pPr>
              <w:pStyle w:val="单元格样式2"/>
            </w:pPr>
            <w:r>
              <w:t xml:space="preserve">问卷调查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4.全县政府系统移动办公平台租赁费（OA系统）绩效目标表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434001魏县人民政府办公室本级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13043425P00429310012B</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全县政府系统移动办公平台租赁费（OA系统）</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用于全县政府系统移动办公平台租赁费（OA系统）的支出。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1.全县108个单位接通全中心机房，网络畅通，各项业务稳定运行。共需资金25万元。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时效指标</w:t>
            </w:r>
          </w:p>
        </w:tc>
        <w:tc>
          <w:tcPr>
            <w:tcW w:w="1332" w:type="dxa"/>
            <w:vAlign w:val="center"/>
          </w:tcPr>
          <w:p>
            <w:pPr>
              <w:pStyle w:val="单元格样式2"/>
            </w:pPr>
            <w:r>
              <w:t xml:space="preserve">移动办公平台租赁期限</w:t>
            </w:r>
          </w:p>
        </w:tc>
        <w:tc>
          <w:tcPr>
            <w:tcW w:w="2891" w:type="dxa"/>
            <w:vAlign w:val="center"/>
          </w:tcPr>
          <w:p>
            <w:pPr>
              <w:pStyle w:val="单元格样式2"/>
            </w:pPr>
            <w:r>
              <w:t xml:space="preserve">移动办公平台租赁期限</w:t>
            </w:r>
          </w:p>
        </w:tc>
        <w:tc>
          <w:tcPr>
            <w:tcW w:w="1276" w:type="dxa"/>
            <w:vAlign w:val="center"/>
          </w:tcPr>
          <w:p>
            <w:pPr>
              <w:pStyle w:val="单元格样式2"/>
            </w:pPr>
            <w:r>
              <w:t xml:space="preserve">1年</w:t>
            </w:r>
          </w:p>
        </w:tc>
        <w:tc>
          <w:tcPr>
            <w:tcW w:w="1843" w:type="dxa"/>
            <w:vAlign w:val="center"/>
          </w:tcPr>
          <w:p>
            <w:pPr>
              <w:pStyle w:val="单元格样式2"/>
            </w:pPr>
            <w:r>
              <w:t xml:space="preserve">预算安排表</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光纤线路数量</w:t>
            </w:r>
          </w:p>
        </w:tc>
        <w:tc>
          <w:tcPr>
            <w:tcW w:w="2891" w:type="dxa"/>
            <w:vAlign w:val="center"/>
          </w:tcPr>
          <w:p>
            <w:pPr>
              <w:pStyle w:val="单元格样式2"/>
            </w:pPr>
            <w:r>
              <w:t xml:space="preserve">光纤线路数量</w:t>
            </w:r>
          </w:p>
        </w:tc>
        <w:tc>
          <w:tcPr>
            <w:tcW w:w="1276" w:type="dxa"/>
            <w:vAlign w:val="center"/>
          </w:tcPr>
          <w:p>
            <w:pPr>
              <w:pStyle w:val="单元格样式2"/>
            </w:pPr>
            <w:r>
              <w:t xml:space="preserve">108条</w:t>
            </w:r>
          </w:p>
        </w:tc>
        <w:tc>
          <w:tcPr>
            <w:tcW w:w="1843" w:type="dxa"/>
            <w:vAlign w:val="center"/>
          </w:tcPr>
          <w:p>
            <w:pPr>
              <w:pStyle w:val="单元格样式2"/>
            </w:pPr>
            <w:r>
              <w:t xml:space="preserve">预算安排表</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移动办公平台租赁成本</w:t>
            </w:r>
          </w:p>
        </w:tc>
        <w:tc>
          <w:tcPr>
            <w:tcW w:w="2891" w:type="dxa"/>
            <w:vAlign w:val="center"/>
          </w:tcPr>
          <w:p>
            <w:pPr>
              <w:pStyle w:val="单元格样式2"/>
            </w:pPr>
            <w:r>
              <w:t xml:space="preserve">移动办公平台租赁成本</w:t>
            </w:r>
          </w:p>
        </w:tc>
        <w:tc>
          <w:tcPr>
            <w:tcW w:w="1276" w:type="dxa"/>
            <w:vAlign w:val="center"/>
          </w:tcPr>
          <w:p>
            <w:pPr>
              <w:pStyle w:val="单元格样式2"/>
            </w:pPr>
            <w:r>
              <w:t xml:space="preserve">≤25万元</w:t>
            </w:r>
          </w:p>
        </w:tc>
        <w:tc>
          <w:tcPr>
            <w:tcW w:w="1843" w:type="dxa"/>
            <w:vAlign w:val="center"/>
          </w:tcPr>
          <w:p>
            <w:pPr>
              <w:pStyle w:val="单元格样式2"/>
            </w:pPr>
            <w:r>
              <w:t xml:space="preserve">预算安排表</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租用年度全年线路畅通率</w:t>
            </w:r>
          </w:p>
        </w:tc>
        <w:tc>
          <w:tcPr>
            <w:tcW w:w="2891" w:type="dxa"/>
            <w:vAlign w:val="center"/>
          </w:tcPr>
          <w:p>
            <w:pPr>
              <w:pStyle w:val="单元格样式2"/>
            </w:pPr>
            <w:r>
              <w:t xml:space="preserve">全年线路畅通率</w:t>
            </w:r>
          </w:p>
        </w:tc>
        <w:tc>
          <w:tcPr>
            <w:tcW w:w="1276" w:type="dxa"/>
            <w:vAlign w:val="center"/>
          </w:tcPr>
          <w:p>
            <w:pPr>
              <w:pStyle w:val="单元格样式2"/>
            </w:pPr>
            <w:r>
              <w:t xml:space="preserve">≥90%</w:t>
            </w:r>
          </w:p>
        </w:tc>
        <w:tc>
          <w:tcPr>
            <w:tcW w:w="1843" w:type="dxa"/>
            <w:vAlign w:val="center"/>
          </w:tcPr>
          <w:p>
            <w:pPr>
              <w:pStyle w:val="单元格样式2"/>
            </w:pPr>
            <w:r>
              <w:t xml:space="preserve">预算安排表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网络安全稳定运行</w:t>
            </w:r>
          </w:p>
        </w:tc>
        <w:tc>
          <w:tcPr>
            <w:tcW w:w="2891" w:type="dxa"/>
            <w:vAlign w:val="center"/>
          </w:tcPr>
          <w:p>
            <w:pPr>
              <w:pStyle w:val="单元格样式2"/>
            </w:pPr>
            <w:r>
              <w:t xml:space="preserve">网络安全稳定运行</w:t>
            </w:r>
          </w:p>
        </w:tc>
        <w:tc>
          <w:tcPr>
            <w:tcW w:w="1276" w:type="dxa"/>
            <w:vAlign w:val="center"/>
          </w:tcPr>
          <w:p>
            <w:pPr>
              <w:pStyle w:val="单元格样式2"/>
            </w:pPr>
            <w:r>
              <w:t xml:space="preserve">不出现断网、丢包现象。</w:t>
            </w:r>
          </w:p>
        </w:tc>
        <w:tc>
          <w:tcPr>
            <w:tcW w:w="1843" w:type="dxa"/>
            <w:vAlign w:val="center"/>
          </w:tcPr>
          <w:p>
            <w:pPr>
              <w:pStyle w:val="单元格样式2"/>
            </w:pPr>
            <w:r>
              <w:t xml:space="preserve">预算安排表</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实现网上办公，降低行下成本</w:t>
            </w:r>
          </w:p>
        </w:tc>
        <w:tc>
          <w:tcPr>
            <w:tcW w:w="2891" w:type="dxa"/>
            <w:vAlign w:val="center"/>
          </w:tcPr>
          <w:p>
            <w:pPr>
              <w:pStyle w:val="单元格样式2"/>
            </w:pPr>
            <w:r>
              <w:t xml:space="preserve">实现网上办公，降低行下成本</w:t>
            </w:r>
          </w:p>
        </w:tc>
        <w:tc>
          <w:tcPr>
            <w:tcW w:w="1276" w:type="dxa"/>
            <w:vAlign w:val="center"/>
          </w:tcPr>
          <w:p>
            <w:pPr>
              <w:pStyle w:val="单元格样式2"/>
            </w:pPr>
            <w:r>
              <w:t xml:space="preserve">有效提升各单位办公效率</w:t>
            </w:r>
          </w:p>
        </w:tc>
        <w:tc>
          <w:tcPr>
            <w:tcW w:w="1843" w:type="dxa"/>
            <w:vAlign w:val="center"/>
          </w:tcPr>
          <w:p>
            <w:pPr>
              <w:pStyle w:val="单元格样式2"/>
            </w:pPr>
            <w:r>
              <w:t xml:space="preserve">预算安排表</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服务对象满意率</w:t>
            </w:r>
          </w:p>
        </w:tc>
        <w:tc>
          <w:tcPr>
            <w:tcW w:w="2891" w:type="dxa"/>
            <w:vAlign w:val="center"/>
          </w:tcPr>
          <w:p>
            <w:pPr>
              <w:pStyle w:val="单元格样式2"/>
            </w:pPr>
            <w:r>
              <w:t xml:space="preserve">服务对象满意率</w:t>
            </w:r>
          </w:p>
        </w:tc>
        <w:tc>
          <w:tcPr>
            <w:tcW w:w="1276" w:type="dxa"/>
            <w:vAlign w:val="center"/>
          </w:tcPr>
          <w:p>
            <w:pPr>
              <w:pStyle w:val="单元格样式2"/>
            </w:pPr>
            <w:r>
              <w:t xml:space="preserve">≥90%</w:t>
            </w:r>
          </w:p>
        </w:tc>
        <w:tc>
          <w:tcPr>
            <w:tcW w:w="1843" w:type="dxa"/>
            <w:vAlign w:val="center"/>
          </w:tcPr>
          <w:p>
            <w:pPr>
              <w:pStyle w:val="单元格样式2"/>
            </w:pPr>
            <w:r>
              <w:t xml:space="preserve">调查满意度</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2025-02-18T14:47:01Z</dcterms:created>
  <dcterms:modified xsi:type="dcterms:W3CDTF">2025-02-18T14:47:01Z</dcterms:modified>
</cp:coreProperties>
</file>