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一、中国共产党魏县委员会政法委员会本级收支预算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一、中国共产党魏县委员会政法委员会本级收支预算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326.37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274.56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44.02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7.79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326.37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326.37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326.37</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326.37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326.37</w:t>
            </w:r>
          </w:p>
        </w:tc>
        <w:tc>
          <w:tcPr>
            <w:tcW w:w="1134" w:type="dxa"/>
            <w:vAlign w:val="center"/>
          </w:tcPr>
          <w:p>
            <w:pPr>
              <w:pStyle w:val="单元格样式7"/>
            </w:pPr>
            <w:r>
              <w:t xml:space="preserve">326.37</w:t>
            </w:r>
          </w:p>
        </w:tc>
        <w:tc>
          <w:tcPr>
            <w:tcW w:w="1134" w:type="dxa"/>
            <w:vAlign w:val="center"/>
          </w:tcPr>
          <w:p>
            <w:pPr>
              <w:pStyle w:val="单元格样式7"/>
            </w:pPr>
            <w:r>
              <w:t xml:space="preserve">326.37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r>
              <w:t xml:space="preserve">274.56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44.02</w:t>
            </w:r>
          </w:p>
        </w:tc>
        <w:tc>
          <w:tcPr>
            <w:tcW w:w="1134" w:type="dxa"/>
            <w:vAlign w:val="center"/>
          </w:tcPr>
          <w:p>
            <w:pPr>
              <w:pStyle w:val="单元格样式4"/>
            </w:pPr>
            <w:r>
              <w:t xml:space="preserve">44.02</w:t>
            </w:r>
          </w:p>
        </w:tc>
        <w:tc>
          <w:tcPr>
            <w:tcW w:w="1134" w:type="dxa"/>
            <w:vAlign w:val="center"/>
          </w:tcPr>
          <w:p>
            <w:pPr>
              <w:pStyle w:val="单元格样式4"/>
            </w:pPr>
            <w:r>
              <w:t xml:space="preserve">44.02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44.02</w:t>
            </w:r>
          </w:p>
        </w:tc>
        <w:tc>
          <w:tcPr>
            <w:tcW w:w="1134" w:type="dxa"/>
            <w:vAlign w:val="center"/>
          </w:tcPr>
          <w:p>
            <w:pPr>
              <w:pStyle w:val="单元格样式4"/>
            </w:pPr>
            <w:r>
              <w:t xml:space="preserve">44.02</w:t>
            </w:r>
          </w:p>
        </w:tc>
        <w:tc>
          <w:tcPr>
            <w:tcW w:w="1134" w:type="dxa"/>
            <w:vAlign w:val="center"/>
          </w:tcPr>
          <w:p>
            <w:pPr>
              <w:pStyle w:val="单元格样式4"/>
            </w:pPr>
            <w:r>
              <w:t xml:space="preserve">44.02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13.42</w:t>
            </w:r>
          </w:p>
        </w:tc>
        <w:tc>
          <w:tcPr>
            <w:tcW w:w="1134" w:type="dxa"/>
            <w:vAlign w:val="center"/>
          </w:tcPr>
          <w:p>
            <w:pPr>
              <w:pStyle w:val="单元格样式4"/>
            </w:pPr>
            <w:r>
              <w:t xml:space="preserve">13.42</w:t>
            </w:r>
          </w:p>
        </w:tc>
        <w:tc>
          <w:tcPr>
            <w:tcW w:w="1134" w:type="dxa"/>
            <w:vAlign w:val="center"/>
          </w:tcPr>
          <w:p>
            <w:pPr>
              <w:pStyle w:val="单元格样式4"/>
            </w:pPr>
            <w:r>
              <w:t xml:space="preserve">13.42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20.40</w:t>
            </w:r>
          </w:p>
        </w:tc>
        <w:tc>
          <w:tcPr>
            <w:tcW w:w="1134" w:type="dxa"/>
            <w:vAlign w:val="center"/>
          </w:tcPr>
          <w:p>
            <w:pPr>
              <w:pStyle w:val="单元格样式4"/>
            </w:pPr>
            <w:r>
              <w:t xml:space="preserve">20.40</w:t>
            </w:r>
          </w:p>
        </w:tc>
        <w:tc>
          <w:tcPr>
            <w:tcW w:w="1134" w:type="dxa"/>
            <w:vAlign w:val="center"/>
          </w:tcPr>
          <w:p>
            <w:pPr>
              <w:pStyle w:val="单元格样式4"/>
            </w:pPr>
            <w:r>
              <w:t xml:space="preserve">20.40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10.20</w:t>
            </w:r>
          </w:p>
        </w:tc>
        <w:tc>
          <w:tcPr>
            <w:tcW w:w="1134" w:type="dxa"/>
            <w:vAlign w:val="center"/>
          </w:tcPr>
          <w:p>
            <w:pPr>
              <w:pStyle w:val="单元格样式4"/>
            </w:pPr>
            <w:r>
              <w:t xml:space="preserve">10.20</w:t>
            </w:r>
          </w:p>
        </w:tc>
        <w:tc>
          <w:tcPr>
            <w:tcW w:w="1134" w:type="dxa"/>
            <w:vAlign w:val="center"/>
          </w:tcPr>
          <w:p>
            <w:pPr>
              <w:pStyle w:val="单元格样式4"/>
            </w:pPr>
            <w:r>
              <w:t xml:space="preserve">10.20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r>
              <w:t xml:space="preserve">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326.37</w:t>
            </w:r>
          </w:p>
        </w:tc>
        <w:tc>
          <w:tcPr>
            <w:tcW w:w="1361" w:type="dxa"/>
            <w:vAlign w:val="center"/>
          </w:tcPr>
          <w:p>
            <w:pPr>
              <w:pStyle w:val="单元格样式7"/>
            </w:pPr>
            <w:r>
              <w:t xml:space="preserve">193.71</w:t>
            </w:r>
          </w:p>
        </w:tc>
        <w:tc>
          <w:tcPr>
            <w:tcW w:w="1361" w:type="dxa"/>
            <w:vAlign w:val="center"/>
          </w:tcPr>
          <w:p>
            <w:pPr>
              <w:pStyle w:val="单元格样式7"/>
            </w:pPr>
            <w:r>
              <w:t xml:space="preserve">132.66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274.56</w:t>
            </w:r>
          </w:p>
        </w:tc>
        <w:tc>
          <w:tcPr>
            <w:tcW w:w="1361" w:type="dxa"/>
            <w:vAlign w:val="center"/>
          </w:tcPr>
          <w:p>
            <w:pPr>
              <w:pStyle w:val="单元格样式4"/>
            </w:pPr>
            <w:r>
              <w:t xml:space="preserve">141.90</w:t>
            </w:r>
          </w:p>
        </w:tc>
        <w:tc>
          <w:tcPr>
            <w:tcW w:w="1361" w:type="dxa"/>
            <w:vAlign w:val="center"/>
          </w:tcPr>
          <w:p>
            <w:pPr>
              <w:pStyle w:val="单元格样式4"/>
            </w:pPr>
            <w:r>
              <w:t xml:space="preserve">132.66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274.56</w:t>
            </w:r>
          </w:p>
        </w:tc>
        <w:tc>
          <w:tcPr>
            <w:tcW w:w="1361" w:type="dxa"/>
            <w:vAlign w:val="center"/>
          </w:tcPr>
          <w:p>
            <w:pPr>
              <w:pStyle w:val="单元格样式4"/>
            </w:pPr>
            <w:r>
              <w:t xml:space="preserve">141.90</w:t>
            </w:r>
          </w:p>
        </w:tc>
        <w:tc>
          <w:tcPr>
            <w:tcW w:w="1361" w:type="dxa"/>
            <w:vAlign w:val="center"/>
          </w:tcPr>
          <w:p>
            <w:pPr>
              <w:pStyle w:val="单元格样式4"/>
            </w:pPr>
            <w:r>
              <w:t xml:space="preserve">132.66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274.56</w:t>
            </w:r>
          </w:p>
        </w:tc>
        <w:tc>
          <w:tcPr>
            <w:tcW w:w="1361" w:type="dxa"/>
            <w:vAlign w:val="center"/>
          </w:tcPr>
          <w:p>
            <w:pPr>
              <w:pStyle w:val="单元格样式4"/>
            </w:pPr>
            <w:r>
              <w:t xml:space="preserve">141.90</w:t>
            </w:r>
          </w:p>
        </w:tc>
        <w:tc>
          <w:tcPr>
            <w:tcW w:w="1361" w:type="dxa"/>
            <w:vAlign w:val="center"/>
          </w:tcPr>
          <w:p>
            <w:pPr>
              <w:pStyle w:val="单元格样式4"/>
            </w:pPr>
            <w:r>
              <w:t xml:space="preserve">132.66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44.02</w:t>
            </w:r>
          </w:p>
        </w:tc>
        <w:tc>
          <w:tcPr>
            <w:tcW w:w="1361" w:type="dxa"/>
            <w:vAlign w:val="center"/>
          </w:tcPr>
          <w:p>
            <w:pPr>
              <w:pStyle w:val="单元格样式4"/>
            </w:pPr>
            <w:r>
              <w:t xml:space="preserve">44.02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44.02</w:t>
            </w:r>
          </w:p>
        </w:tc>
        <w:tc>
          <w:tcPr>
            <w:tcW w:w="1361" w:type="dxa"/>
            <w:vAlign w:val="center"/>
          </w:tcPr>
          <w:p>
            <w:pPr>
              <w:pStyle w:val="单元格样式4"/>
            </w:pPr>
            <w:r>
              <w:t xml:space="preserve">44.02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13.42</w:t>
            </w:r>
          </w:p>
        </w:tc>
        <w:tc>
          <w:tcPr>
            <w:tcW w:w="1361" w:type="dxa"/>
            <w:vAlign w:val="center"/>
          </w:tcPr>
          <w:p>
            <w:pPr>
              <w:pStyle w:val="单元格样式4"/>
            </w:pPr>
            <w:r>
              <w:t xml:space="preserve">13.42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20.40</w:t>
            </w:r>
          </w:p>
        </w:tc>
        <w:tc>
          <w:tcPr>
            <w:tcW w:w="1361" w:type="dxa"/>
            <w:vAlign w:val="center"/>
          </w:tcPr>
          <w:p>
            <w:pPr>
              <w:pStyle w:val="单元格样式4"/>
            </w:pPr>
            <w:r>
              <w:t xml:space="preserve">20.40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10.20</w:t>
            </w:r>
          </w:p>
        </w:tc>
        <w:tc>
          <w:tcPr>
            <w:tcW w:w="1361" w:type="dxa"/>
            <w:vAlign w:val="center"/>
          </w:tcPr>
          <w:p>
            <w:pPr>
              <w:pStyle w:val="单元格样式4"/>
            </w:pPr>
            <w:r>
              <w:t xml:space="preserve">10.20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7.79</w:t>
            </w:r>
          </w:p>
        </w:tc>
        <w:tc>
          <w:tcPr>
            <w:tcW w:w="1361" w:type="dxa"/>
            <w:vAlign w:val="center"/>
          </w:tcPr>
          <w:p>
            <w:pPr>
              <w:pStyle w:val="单元格样式4"/>
            </w:pPr>
            <w:r>
              <w:t xml:space="preserve">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7.79</w:t>
            </w:r>
          </w:p>
        </w:tc>
        <w:tc>
          <w:tcPr>
            <w:tcW w:w="1361" w:type="dxa"/>
            <w:vAlign w:val="center"/>
          </w:tcPr>
          <w:p>
            <w:pPr>
              <w:pStyle w:val="单元格样式4"/>
            </w:pPr>
            <w:r>
              <w:t xml:space="preserve">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7.79</w:t>
            </w:r>
          </w:p>
        </w:tc>
        <w:tc>
          <w:tcPr>
            <w:tcW w:w="1361" w:type="dxa"/>
            <w:vAlign w:val="center"/>
          </w:tcPr>
          <w:p>
            <w:pPr>
              <w:pStyle w:val="单元格样式4"/>
            </w:pPr>
            <w:r>
              <w:t xml:space="preserve">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326.37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274.56</w:t>
            </w:r>
          </w:p>
        </w:tc>
        <w:tc>
          <w:tcPr>
            <w:tcW w:w="1474" w:type="dxa"/>
            <w:vAlign w:val="center"/>
          </w:tcPr>
          <w:p>
            <w:pPr>
              <w:pStyle w:val="单元格样式4"/>
            </w:pPr>
            <w:r>
              <w:t xml:space="preserve">274.56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44.02</w:t>
            </w:r>
          </w:p>
        </w:tc>
        <w:tc>
          <w:tcPr>
            <w:tcW w:w="1474" w:type="dxa"/>
            <w:vAlign w:val="center"/>
          </w:tcPr>
          <w:p>
            <w:pPr>
              <w:pStyle w:val="单元格样式4"/>
            </w:pPr>
            <w:r>
              <w:t xml:space="preserve">44.02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7.79</w:t>
            </w:r>
          </w:p>
        </w:tc>
        <w:tc>
          <w:tcPr>
            <w:tcW w:w="1474" w:type="dxa"/>
            <w:vAlign w:val="center"/>
          </w:tcPr>
          <w:p>
            <w:pPr>
              <w:pStyle w:val="单元格样式4"/>
            </w:pPr>
            <w:r>
              <w:t xml:space="preserve">7.79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326.37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326.37</w:t>
            </w:r>
          </w:p>
        </w:tc>
        <w:tc>
          <w:tcPr>
            <w:tcW w:w="1474" w:type="dxa"/>
            <w:vAlign w:val="center"/>
          </w:tcPr>
          <w:p>
            <w:pPr>
              <w:pStyle w:val="单元格样式7"/>
            </w:pPr>
            <w:r>
              <w:t xml:space="preserve">326.37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326.37</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326.37</w:t>
            </w:r>
          </w:p>
        </w:tc>
        <w:tc>
          <w:tcPr>
            <w:tcW w:w="1474" w:type="dxa"/>
            <w:vAlign w:val="center"/>
          </w:tcPr>
          <w:p>
            <w:pPr>
              <w:pStyle w:val="单元格样式7"/>
            </w:pPr>
            <w:r>
              <w:t xml:space="preserve">326.37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326.37</w:t>
            </w:r>
          </w:p>
        </w:tc>
        <w:tc>
          <w:tcPr>
            <w:tcW w:w="2551" w:type="dxa"/>
            <w:vAlign w:val="center"/>
          </w:tcPr>
          <w:p>
            <w:pPr>
              <w:pStyle w:val="单元格样式7"/>
            </w:pPr>
            <w:r>
              <w:t xml:space="preserve">193.71</w:t>
            </w:r>
          </w:p>
        </w:tc>
        <w:tc>
          <w:tcPr>
            <w:tcW w:w="2551" w:type="dxa"/>
            <w:vAlign w:val="center"/>
          </w:tcPr>
          <w:p>
            <w:pPr>
              <w:pStyle w:val="单元格样式7"/>
            </w:pPr>
            <w:r>
              <w:t xml:space="preserve">132.66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274.56</w:t>
            </w:r>
          </w:p>
        </w:tc>
        <w:tc>
          <w:tcPr>
            <w:tcW w:w="2551" w:type="dxa"/>
            <w:vAlign w:val="center"/>
          </w:tcPr>
          <w:p>
            <w:pPr>
              <w:pStyle w:val="单元格样式4"/>
            </w:pPr>
            <w:r>
              <w:t xml:space="preserve">141.90</w:t>
            </w:r>
          </w:p>
        </w:tc>
        <w:tc>
          <w:tcPr>
            <w:tcW w:w="2551" w:type="dxa"/>
            <w:vAlign w:val="center"/>
          </w:tcPr>
          <w:p>
            <w:pPr>
              <w:pStyle w:val="单元格样式4"/>
            </w:pPr>
            <w:r>
              <w:t xml:space="preserve">132.66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274.56</w:t>
            </w:r>
          </w:p>
        </w:tc>
        <w:tc>
          <w:tcPr>
            <w:tcW w:w="2551" w:type="dxa"/>
            <w:vAlign w:val="center"/>
          </w:tcPr>
          <w:p>
            <w:pPr>
              <w:pStyle w:val="单元格样式4"/>
            </w:pPr>
            <w:r>
              <w:t xml:space="preserve">141.90</w:t>
            </w:r>
          </w:p>
        </w:tc>
        <w:tc>
          <w:tcPr>
            <w:tcW w:w="2551" w:type="dxa"/>
            <w:vAlign w:val="center"/>
          </w:tcPr>
          <w:p>
            <w:pPr>
              <w:pStyle w:val="单元格样式4"/>
            </w:pPr>
            <w:r>
              <w:t xml:space="preserve">132.66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274.56</w:t>
            </w:r>
          </w:p>
        </w:tc>
        <w:tc>
          <w:tcPr>
            <w:tcW w:w="2551" w:type="dxa"/>
            <w:vAlign w:val="center"/>
          </w:tcPr>
          <w:p>
            <w:pPr>
              <w:pStyle w:val="单元格样式4"/>
            </w:pPr>
            <w:r>
              <w:t xml:space="preserve">141.90</w:t>
            </w:r>
          </w:p>
        </w:tc>
        <w:tc>
          <w:tcPr>
            <w:tcW w:w="2551" w:type="dxa"/>
            <w:vAlign w:val="center"/>
          </w:tcPr>
          <w:p>
            <w:pPr>
              <w:pStyle w:val="单元格样式4"/>
            </w:pPr>
            <w:r>
              <w:t xml:space="preserve">132.66</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44.02</w:t>
            </w:r>
          </w:p>
        </w:tc>
        <w:tc>
          <w:tcPr>
            <w:tcW w:w="2551" w:type="dxa"/>
            <w:vAlign w:val="center"/>
          </w:tcPr>
          <w:p>
            <w:pPr>
              <w:pStyle w:val="单元格样式4"/>
            </w:pPr>
            <w:r>
              <w:t xml:space="preserve">44.02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44.02</w:t>
            </w:r>
          </w:p>
        </w:tc>
        <w:tc>
          <w:tcPr>
            <w:tcW w:w="2551" w:type="dxa"/>
            <w:vAlign w:val="center"/>
          </w:tcPr>
          <w:p>
            <w:pPr>
              <w:pStyle w:val="单元格样式4"/>
            </w:pPr>
            <w:r>
              <w:t xml:space="preserve">44.02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13.42</w:t>
            </w:r>
          </w:p>
        </w:tc>
        <w:tc>
          <w:tcPr>
            <w:tcW w:w="2551" w:type="dxa"/>
            <w:vAlign w:val="center"/>
          </w:tcPr>
          <w:p>
            <w:pPr>
              <w:pStyle w:val="单元格样式4"/>
            </w:pPr>
            <w:r>
              <w:t xml:space="preserve">13.42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20.40</w:t>
            </w:r>
          </w:p>
        </w:tc>
        <w:tc>
          <w:tcPr>
            <w:tcW w:w="2551" w:type="dxa"/>
            <w:vAlign w:val="center"/>
          </w:tcPr>
          <w:p>
            <w:pPr>
              <w:pStyle w:val="单元格样式4"/>
            </w:pPr>
            <w:r>
              <w:t xml:space="preserve">20.40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10.20</w:t>
            </w:r>
          </w:p>
        </w:tc>
        <w:tc>
          <w:tcPr>
            <w:tcW w:w="2551" w:type="dxa"/>
            <w:vAlign w:val="center"/>
          </w:tcPr>
          <w:p>
            <w:pPr>
              <w:pStyle w:val="单元格样式4"/>
            </w:pPr>
            <w:r>
              <w:t xml:space="preserve">10.20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7.79</w:t>
            </w:r>
          </w:p>
        </w:tc>
        <w:tc>
          <w:tcPr>
            <w:tcW w:w="2551" w:type="dxa"/>
            <w:vAlign w:val="center"/>
          </w:tcPr>
          <w:p>
            <w:pPr>
              <w:pStyle w:val="单元格样式4"/>
            </w:pPr>
            <w:r>
              <w:t xml:space="preserve">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7.79</w:t>
            </w:r>
          </w:p>
        </w:tc>
        <w:tc>
          <w:tcPr>
            <w:tcW w:w="2551" w:type="dxa"/>
            <w:vAlign w:val="center"/>
          </w:tcPr>
          <w:p>
            <w:pPr>
              <w:pStyle w:val="单元格样式4"/>
            </w:pPr>
            <w:r>
              <w:t xml:space="preserve">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7.79</w:t>
            </w:r>
          </w:p>
        </w:tc>
        <w:tc>
          <w:tcPr>
            <w:tcW w:w="2551" w:type="dxa"/>
            <w:vAlign w:val="center"/>
          </w:tcPr>
          <w:p>
            <w:pPr>
              <w:pStyle w:val="单元格样式4"/>
            </w:pPr>
            <w:r>
              <w:t xml:space="preserve">7.79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193.71</w:t>
            </w:r>
          </w:p>
        </w:tc>
        <w:tc>
          <w:tcPr>
            <w:tcW w:w="2551" w:type="dxa"/>
            <w:vAlign w:val="center"/>
          </w:tcPr>
          <w:p>
            <w:pPr>
              <w:pStyle w:val="单元格样式7"/>
            </w:pPr>
            <w:r>
              <w:t xml:space="preserve">177.65</w:t>
            </w:r>
          </w:p>
        </w:tc>
        <w:tc>
          <w:tcPr>
            <w:tcW w:w="2551" w:type="dxa"/>
            <w:vAlign w:val="center"/>
          </w:tcPr>
          <w:p>
            <w:pPr>
              <w:pStyle w:val="单元格样式7"/>
            </w:pPr>
            <w:r>
              <w:t xml:space="preserve">16.06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162.43</w:t>
            </w:r>
          </w:p>
        </w:tc>
        <w:tc>
          <w:tcPr>
            <w:tcW w:w="2551" w:type="dxa"/>
            <w:vAlign w:val="center"/>
          </w:tcPr>
          <w:p>
            <w:pPr>
              <w:pStyle w:val="单元格样式4"/>
            </w:pPr>
            <w:r>
              <w:t xml:space="preserve">162.43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66.52</w:t>
            </w:r>
          </w:p>
        </w:tc>
        <w:tc>
          <w:tcPr>
            <w:tcW w:w="2551" w:type="dxa"/>
            <w:vAlign w:val="center"/>
          </w:tcPr>
          <w:p>
            <w:pPr>
              <w:pStyle w:val="单元格样式4"/>
            </w:pPr>
            <w:r>
              <w:t xml:space="preserve">66.52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35.44</w:t>
            </w:r>
          </w:p>
        </w:tc>
        <w:tc>
          <w:tcPr>
            <w:tcW w:w="2551" w:type="dxa"/>
            <w:vAlign w:val="center"/>
          </w:tcPr>
          <w:p>
            <w:pPr>
              <w:pStyle w:val="单元格样式4"/>
            </w:pPr>
            <w:r>
              <w:t xml:space="preserve">35.44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8.57</w:t>
            </w:r>
          </w:p>
        </w:tc>
        <w:tc>
          <w:tcPr>
            <w:tcW w:w="2551" w:type="dxa"/>
            <w:vAlign w:val="center"/>
          </w:tcPr>
          <w:p>
            <w:pPr>
              <w:pStyle w:val="单元格样式4"/>
            </w:pPr>
            <w:r>
              <w:t xml:space="preserve">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12.87</w:t>
            </w:r>
          </w:p>
        </w:tc>
        <w:tc>
          <w:tcPr>
            <w:tcW w:w="2551" w:type="dxa"/>
            <w:vAlign w:val="center"/>
          </w:tcPr>
          <w:p>
            <w:pPr>
              <w:pStyle w:val="单元格样式4"/>
            </w:pPr>
            <w:r>
              <w:t xml:space="preserve">12.87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20.40</w:t>
            </w:r>
          </w:p>
        </w:tc>
        <w:tc>
          <w:tcPr>
            <w:tcW w:w="2551" w:type="dxa"/>
            <w:vAlign w:val="center"/>
          </w:tcPr>
          <w:p>
            <w:pPr>
              <w:pStyle w:val="单元格样式4"/>
            </w:pPr>
            <w:r>
              <w:t xml:space="preserve">20.40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10.20</w:t>
            </w:r>
          </w:p>
        </w:tc>
        <w:tc>
          <w:tcPr>
            <w:tcW w:w="2551" w:type="dxa"/>
            <w:vAlign w:val="center"/>
          </w:tcPr>
          <w:p>
            <w:pPr>
              <w:pStyle w:val="单元格样式4"/>
            </w:pPr>
            <w:r>
              <w:t xml:space="preserve">10.20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7.79</w:t>
            </w:r>
          </w:p>
        </w:tc>
        <w:tc>
          <w:tcPr>
            <w:tcW w:w="2551" w:type="dxa"/>
            <w:vAlign w:val="center"/>
          </w:tcPr>
          <w:p>
            <w:pPr>
              <w:pStyle w:val="单元格样式4"/>
            </w:pPr>
            <w:r>
              <w:t xml:space="preserve">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0.64</w:t>
            </w:r>
          </w:p>
        </w:tc>
        <w:tc>
          <w:tcPr>
            <w:tcW w:w="2551" w:type="dxa"/>
            <w:vAlign w:val="center"/>
          </w:tcPr>
          <w:p>
            <w:pPr>
              <w:pStyle w:val="单元格样式4"/>
            </w:pPr>
            <w:r>
              <w:t xml:space="preserve">0.64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16.06</w:t>
            </w:r>
          </w:p>
        </w:tc>
        <w:tc>
          <w:tcPr>
            <w:tcW w:w="2551" w:type="dxa"/>
            <w:vAlign w:val="center"/>
          </w:tcPr>
          <w:p>
            <w:pPr>
              <w:pStyle w:val="单元格样式4"/>
            </w:pPr>
          </w:p>
        </w:tc>
        <w:tc>
          <w:tcPr>
            <w:tcW w:w="2551" w:type="dxa"/>
            <w:vAlign w:val="center"/>
          </w:tcPr>
          <w:p>
            <w:pPr>
              <w:pStyle w:val="单元格样式4"/>
            </w:pPr>
            <w:r>
              <w:t xml:space="preserve">16.06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8.80</w:t>
            </w:r>
          </w:p>
        </w:tc>
        <w:tc>
          <w:tcPr>
            <w:tcW w:w="2551" w:type="dxa"/>
            <w:vAlign w:val="center"/>
          </w:tcPr>
          <w:p>
            <w:pPr>
              <w:pStyle w:val="单元格样式4"/>
            </w:pPr>
          </w:p>
        </w:tc>
        <w:tc>
          <w:tcPr>
            <w:tcW w:w="2551" w:type="dxa"/>
            <w:vAlign w:val="center"/>
          </w:tcPr>
          <w:p>
            <w:pPr>
              <w:pStyle w:val="单元格样式4"/>
            </w:pPr>
            <w:r>
              <w:t xml:space="preserve">8.80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7.26</w:t>
            </w:r>
          </w:p>
        </w:tc>
        <w:tc>
          <w:tcPr>
            <w:tcW w:w="2551" w:type="dxa"/>
            <w:vAlign w:val="center"/>
          </w:tcPr>
          <w:p>
            <w:pPr>
              <w:pStyle w:val="单元格样式4"/>
            </w:pPr>
          </w:p>
        </w:tc>
        <w:tc>
          <w:tcPr>
            <w:tcW w:w="2551" w:type="dxa"/>
            <w:vAlign w:val="center"/>
          </w:tcPr>
          <w:p>
            <w:pPr>
              <w:pStyle w:val="单元格样式4"/>
            </w:pPr>
            <w:r>
              <w:t xml:space="preserve">7.26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15.22</w:t>
            </w:r>
          </w:p>
        </w:tc>
        <w:tc>
          <w:tcPr>
            <w:tcW w:w="2551" w:type="dxa"/>
            <w:vAlign w:val="center"/>
          </w:tcPr>
          <w:p>
            <w:pPr>
              <w:pStyle w:val="单元格样式4"/>
            </w:pPr>
            <w:r>
              <w:t xml:space="preserve">15.22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13.42</w:t>
            </w:r>
          </w:p>
        </w:tc>
        <w:tc>
          <w:tcPr>
            <w:tcW w:w="2551" w:type="dxa"/>
            <w:vAlign w:val="center"/>
          </w:tcPr>
          <w:p>
            <w:pPr>
              <w:pStyle w:val="单元格样式4"/>
            </w:pPr>
            <w:r>
              <w:t xml:space="preserve">13.42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1.80</w:t>
            </w:r>
          </w:p>
        </w:tc>
        <w:tc>
          <w:tcPr>
            <w:tcW w:w="2551" w:type="dxa"/>
            <w:vAlign w:val="center"/>
          </w:tcPr>
          <w:p>
            <w:pPr>
              <w:pStyle w:val="单元格样式4"/>
            </w:pPr>
            <w:r>
              <w:t xml:space="preserve">1.80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中国共产党魏县委员会政法委员会本级2025年单位预算信息公开情况说明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按照《中华人民共和国预算法》、《地方预决算公开操作规程》和《关于进一步推进预算公开工作的实施意见》规定，现将中国共产党魏县委员会政法委员会本级2025年单位预算公开如下：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深入贯彻习近平新时代中国特色社会主义思想，坚持党对政法工作的绝对领导，坚决维护习近平总书记在党中央的核心、全党的核心地位，坚决维护党中央权威和集中统一领导，深入贯彻党的路线方针政策和中央、省委、市委、县委的决策部署，统一全县政法单位思想和行动，确保全县政法单位坚定正确的政 治方向。</w:t>
      </w:r>
    </w:p>
    <w:p>
      <w:pPr>
        <w:pStyle w:val="插入文本样式-插入单位职责文件"/>
      </w:pPr>
      <w:r>
        <w:t xml:space="preserve">（二）对全县政法工作研究提出全局性部署，推进平安魏县、法治魏县建设，加强过硬队伍建设，深化智能化建设，坚决维护国家政治安全、确保社会大局稳定、促进社会公平正义、保障人民安居乐业。</w:t>
      </w:r>
    </w:p>
    <w:p>
      <w:pPr>
        <w:pStyle w:val="插入文本样式-插入单位职责文件"/>
      </w:pPr>
      <w:r>
        <w:t xml:space="preserve">（三）了解掌握和分析研判政法工作情况动态，分析社会稳定形势，创新完善多部门参与的综治维稳工作机制，协调推动预防、化解影响稳定的社会矛盾和风险，协调应对和处置重大突发事件。</w:t>
      </w:r>
    </w:p>
    <w:p>
      <w:pPr>
        <w:pStyle w:val="插入文本样式-插入单位职责文件"/>
      </w:pPr>
      <w:r>
        <w:t xml:space="preserve">（四）加强对政法工作的督查，负责社会治安综合治理、维护社会稳定、反邪教有关法律法规政策的实施工作。</w:t>
      </w:r>
    </w:p>
    <w:p>
      <w:pPr>
        <w:pStyle w:val="插入文本样式-插入单位职责文件"/>
      </w:pPr>
      <w:r>
        <w:t xml:space="preserve">（五）组织开展政法领域的调查研究，研究拟订政法工作的重大措施，及时向县委提出建议。</w:t>
      </w:r>
    </w:p>
    <w:p>
      <w:pPr>
        <w:pStyle w:val="插入文本样式-插入单位职责文件"/>
      </w:pPr>
      <w:r>
        <w:t xml:space="preserve">（六）掌握分析政法舆情动态，指导协调政法单位媒体网络宣传工作，指导政法单位做好涉及政法工作的重大宣传工作。</w:t>
      </w:r>
    </w:p>
    <w:p>
      <w:pPr>
        <w:pStyle w:val="插入文本样式-插入单位职责文件"/>
      </w:pPr>
      <w:r>
        <w:t xml:space="preserve">（七） 监督和支持政法单位依法行使职权，指导和协调单位密切配合，研究和协调重大、疑难案件，指导政法单位涉法涉诉信访工作，推进严格执法、公正司法。</w:t>
      </w:r>
    </w:p>
    <w:p>
      <w:pPr>
        <w:pStyle w:val="插入文本样式-插入单位职责文件"/>
      </w:pPr>
      <w:r>
        <w:t xml:space="preserve">（八）组织研究政法改革中带有方向性、倾向性和普遍性的重大问题，深化政法改革，联系县委全面依法治县委员会办公室.</w:t>
      </w:r>
    </w:p>
    <w:p>
      <w:pPr>
        <w:pStyle w:val="插入文本样式-插入单位职责文件"/>
      </w:pPr>
      <w:r>
        <w:t xml:space="preserve">（九）指导推动政法系统党的建设和政法队伍建设，协调和指导全县见义勇为工作。</w:t>
      </w:r>
    </w:p>
    <w:p>
      <w:pPr>
        <w:pStyle w:val="插入文本样式-插入单位职责文件"/>
      </w:pPr>
      <w:r>
        <w:t xml:space="preserve">（十）统筹推动全县政法系统信息化工作，指导政法智能化建设。</w:t>
      </w:r>
    </w:p>
    <w:p>
      <w:pPr>
        <w:pStyle w:val="插入文本样式-插入单位职责文件"/>
      </w:pPr>
      <w:r>
        <w:t xml:space="preserve">（十一） 完成市委政法委员会、县委交办的其他任务。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中国共产党魏县委员会政法委员会本级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326.37万元，其中：一般公共预算收入326.37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魏县委员会政法委员会本级年度单位预算中支出预算的总体情况。2025年支出预算326.37万元，其中基本支出193.71万元，包括人员经费177.65万元和日常公用经费16.06万元；项目支出132.66万元，主要为见义勇为工作协会经费5万元，综治视联网光纤租赁费19.8万元，综合治理经费84万元，政法网设备维保费、光纤传输费23.86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2025年预算收支安排326.37万元，较2024年预算减少147.62万元，其中：基本支出减少56.90万元，主要为人员经费减少46.18万元，日常公用经费减少10.72万元。项目支出减少90.72万元，主要为项目经费减少90.72万元。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2025年，我单位机关运行经费共计安排16.06万元，主要用于日常维修、办公用房水电费、办公用房取暖费、办公用房物业管理费等日常运行支出。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根据单位业务需要，未安排“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1、见义勇为工作协会经费绩效目标表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13043425P00000110057N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见义勇为工作协会经费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用于支付见义勇为工作协会经费，保障协会正常运转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1.通过完成基础性工作，保障协会有组织机构、有办公场所、有办公经费、有工作制度、有宣传阵地。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工作场所面积</w:t>
            </w:r>
          </w:p>
        </w:tc>
        <w:tc>
          <w:tcPr>
            <w:tcW w:w="5386" w:type="dxa"/>
            <w:vAlign w:val="center"/>
          </w:tcPr>
          <w:p>
            <w:pPr>
              <w:pStyle w:val="单元格样式2"/>
            </w:pPr>
            <w:r>
              <w:t xml:space="preserve">工作场所面积</w:t>
            </w:r>
          </w:p>
        </w:tc>
        <w:tc>
          <w:tcPr>
            <w:tcW w:w="2268" w:type="dxa"/>
            <w:vAlign w:val="center"/>
          </w:tcPr>
          <w:p>
            <w:pPr>
              <w:pStyle w:val="单元格样式2"/>
            </w:pPr>
            <w:r>
              <w:t xml:space="preserve">80平方米</w:t>
            </w:r>
          </w:p>
        </w:tc>
        <w:tc>
          <w:tcPr>
            <w:tcW w:w="1276" w:type="dxa"/>
            <w:vAlign w:val="center"/>
          </w:tcPr>
          <w:p>
            <w:pPr>
              <w:pStyle w:val="单元格样式2"/>
            </w:pPr>
            <w:r>
              <w:t xml:space="preserve">政法委关于申请魏县见义勇为工作协会的经费报告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工作场所正常运转率</w:t>
            </w:r>
          </w:p>
        </w:tc>
        <w:tc>
          <w:tcPr>
            <w:tcW w:w="5386" w:type="dxa"/>
            <w:vAlign w:val="center"/>
          </w:tcPr>
          <w:p>
            <w:pPr>
              <w:pStyle w:val="单元格样式2"/>
            </w:pPr>
            <w:r>
              <w:t xml:space="preserve">工作场所正常运转率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办公耗材购买及时率</w:t>
            </w:r>
          </w:p>
        </w:tc>
        <w:tc>
          <w:tcPr>
            <w:tcW w:w="5386" w:type="dxa"/>
            <w:vAlign w:val="center"/>
          </w:tcPr>
          <w:p>
            <w:pPr>
              <w:pStyle w:val="单元格样式2"/>
            </w:pPr>
            <w:r>
              <w:t xml:space="preserve">办公耗材购买及时率</w:t>
            </w: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工作协会经费总额</w:t>
            </w:r>
          </w:p>
        </w:tc>
        <w:tc>
          <w:tcPr>
            <w:tcW w:w="5386" w:type="dxa"/>
            <w:vAlign w:val="center"/>
          </w:tcPr>
          <w:p>
            <w:pPr>
              <w:pStyle w:val="单元格样式2"/>
            </w:pPr>
            <w:r>
              <w:t xml:space="preserve">工作协会经费总额</w:t>
            </w:r>
          </w:p>
        </w:tc>
        <w:tc>
          <w:tcPr>
            <w:tcW w:w="2268" w:type="dxa"/>
            <w:vAlign w:val="center"/>
          </w:tcPr>
          <w:p>
            <w:pPr>
              <w:pStyle w:val="单元格样式2"/>
            </w:pPr>
            <w:r>
              <w:t xml:space="preserve">≤5万元</w:t>
            </w:r>
          </w:p>
        </w:tc>
        <w:tc>
          <w:tcPr>
            <w:tcW w:w="1276" w:type="dxa"/>
            <w:vAlign w:val="center"/>
          </w:tcPr>
          <w:p>
            <w:pPr>
              <w:pStyle w:val="单元格样式2"/>
            </w:pPr>
            <w:r>
              <w:t xml:space="preserve">政法委关于申请魏县见义勇为工作协会的经费报告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促进社会长期安全稳定</w:t>
            </w:r>
          </w:p>
        </w:tc>
        <w:tc>
          <w:tcPr>
            <w:tcW w:w="5386" w:type="dxa"/>
            <w:vAlign w:val="center"/>
          </w:tcPr>
          <w:p>
            <w:pPr>
              <w:pStyle w:val="单元格样式2"/>
            </w:pPr>
            <w:r>
              <w:t xml:space="preserve">促进社会长期安全稳定</w:t>
            </w:r>
          </w:p>
        </w:tc>
        <w:tc>
          <w:tcPr>
            <w:tcW w:w="2268" w:type="dxa"/>
            <w:vAlign w:val="center"/>
          </w:tcPr>
          <w:p>
            <w:pPr>
              <w:pStyle w:val="单元格样式2"/>
            </w:pPr>
            <w:r>
              <w:t xml:space="preserve">有效促进</w:t>
            </w:r>
          </w:p>
        </w:tc>
        <w:tc>
          <w:tcPr>
            <w:tcW w:w="1276" w:type="dxa"/>
            <w:vAlign w:val="center"/>
          </w:tcPr>
          <w:p>
            <w:pPr>
              <w:pStyle w:val="单元格样式2"/>
            </w:pPr>
            <w:r>
              <w:t xml:space="preserve">满意度调查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社会公众对见义勇为工作认可度</w:t>
            </w:r>
          </w:p>
        </w:tc>
        <w:tc>
          <w:tcPr>
            <w:tcW w:w="5386" w:type="dxa"/>
            <w:vAlign w:val="center"/>
          </w:tcPr>
          <w:p>
            <w:pPr>
              <w:pStyle w:val="单元格样式2"/>
            </w:pPr>
            <w:r>
              <w:t xml:space="preserve">社会公众对见义勇为工作认可度</w:t>
            </w:r>
          </w:p>
        </w:tc>
        <w:tc>
          <w:tcPr>
            <w:tcW w:w="2268" w:type="dxa"/>
            <w:vAlign w:val="center"/>
          </w:tcPr>
          <w:p>
            <w:pPr>
              <w:pStyle w:val="单元格样式2"/>
            </w:pPr>
            <w:r>
              <w:t xml:space="preserve">≥95%</w:t>
            </w:r>
          </w:p>
        </w:tc>
        <w:tc>
          <w:tcPr>
            <w:tcW w:w="1276" w:type="dxa"/>
            <w:vAlign w:val="center"/>
          </w:tcPr>
          <w:p>
            <w:pPr>
              <w:pStyle w:val="单元格样式2"/>
            </w:pPr>
            <w:r>
              <w:t xml:space="preserve">满意度调查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社会公众满意度调查</w:t>
            </w:r>
          </w:p>
        </w:tc>
        <w:tc>
          <w:tcPr>
            <w:tcW w:w="2268" w:type="dxa"/>
            <w:vAlign w:val="center"/>
          </w:tcPr>
          <w:p>
            <w:pPr>
              <w:pStyle w:val="单元格样式2"/>
            </w:pPr>
            <w:r>
              <w:t xml:space="preserve">≥95%</w:t>
            </w:r>
          </w:p>
        </w:tc>
        <w:tc>
          <w:tcPr>
            <w:tcW w:w="1276" w:type="dxa"/>
            <w:vAlign w:val="center"/>
          </w:tcPr>
          <w:p>
            <w:pPr>
              <w:pStyle w:val="单元格样式2"/>
            </w:pPr>
            <w:r>
              <w:t xml:space="preserve">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2、政法网设备维保费,光纤传输费绩效目标表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13043425P00430310006L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政法网设备维保费,光纤传输费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用于支付政法网设备维保费，光纤传输费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1.通过完成全县22个乡镇政法网的铺设，实现22个个乡镇政法网正常运行，光纤传输费及时。</w:t>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乡镇覆盖数量</w:t>
            </w:r>
          </w:p>
        </w:tc>
        <w:tc>
          <w:tcPr>
            <w:tcW w:w="5386" w:type="dxa"/>
            <w:vAlign w:val="center"/>
          </w:tcPr>
          <w:p>
            <w:pPr>
              <w:pStyle w:val="单元格样式2"/>
            </w:pPr>
            <w:r>
              <w:t xml:space="preserve">政法网乡镇覆盖数量</w:t>
            </w:r>
          </w:p>
        </w:tc>
        <w:tc>
          <w:tcPr>
            <w:tcW w:w="2268" w:type="dxa"/>
            <w:vAlign w:val="center"/>
          </w:tcPr>
          <w:p>
            <w:pPr>
              <w:pStyle w:val="单元格样式2"/>
            </w:pPr>
            <w:r>
              <w:t xml:space="preserve">22个乡镇</w:t>
            </w:r>
          </w:p>
        </w:tc>
        <w:tc>
          <w:tcPr>
            <w:tcW w:w="1276" w:type="dxa"/>
            <w:vAlign w:val="center"/>
          </w:tcPr>
          <w:p>
            <w:pPr>
              <w:pStyle w:val="单元格样式2"/>
            </w:pPr>
            <w:r>
              <w:t xml:space="preserve">邯政法字[2012]136号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设施运转完好率</w:t>
            </w:r>
          </w:p>
        </w:tc>
        <w:tc>
          <w:tcPr>
            <w:tcW w:w="5386" w:type="dxa"/>
            <w:vAlign w:val="center"/>
          </w:tcPr>
          <w:p>
            <w:pPr>
              <w:pStyle w:val="单元格样式2"/>
            </w:pPr>
            <w:r>
              <w:t xml:space="preserve">设施运转完好率</w:t>
            </w:r>
          </w:p>
        </w:tc>
        <w:tc>
          <w:tcPr>
            <w:tcW w:w="2268" w:type="dxa"/>
            <w:vAlign w:val="center"/>
          </w:tcPr>
          <w:p>
            <w:pPr>
              <w:pStyle w:val="单元格样式2"/>
            </w:pPr>
            <w:r>
              <w:t xml:space="preserve">≥90%</w:t>
            </w:r>
          </w:p>
        </w:tc>
        <w:tc>
          <w:tcPr>
            <w:tcW w:w="1276" w:type="dxa"/>
            <w:vAlign w:val="center"/>
          </w:tcPr>
          <w:p>
            <w:pPr>
              <w:pStyle w:val="单元格样式2"/>
            </w:pPr>
            <w:r>
              <w:t xml:space="preserve">邯政法字[2012]136号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信息上报及时性</w:t>
            </w:r>
          </w:p>
        </w:tc>
        <w:tc>
          <w:tcPr>
            <w:tcW w:w="5386" w:type="dxa"/>
            <w:vAlign w:val="center"/>
          </w:tcPr>
          <w:p>
            <w:pPr>
              <w:pStyle w:val="单元格样式2"/>
            </w:pPr>
            <w:r>
              <w:t xml:space="preserve">信息上报时间</w:t>
            </w:r>
          </w:p>
        </w:tc>
        <w:tc>
          <w:tcPr>
            <w:tcW w:w="2268" w:type="dxa"/>
            <w:vAlign w:val="center"/>
          </w:tcPr>
          <w:p>
            <w:pPr>
              <w:pStyle w:val="单元格样式2"/>
            </w:pPr>
            <w:r>
              <w:t xml:space="preserve">≥95%</w:t>
            </w:r>
          </w:p>
        </w:tc>
        <w:tc>
          <w:tcPr>
            <w:tcW w:w="1276" w:type="dxa"/>
            <w:vAlign w:val="center"/>
          </w:tcPr>
          <w:p>
            <w:pPr>
              <w:pStyle w:val="单元格样式2"/>
            </w:pPr>
            <w:r>
              <w:t xml:space="preserve">邯政法字[2012]136号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设备维保租赁成本</w:t>
            </w:r>
          </w:p>
        </w:tc>
        <w:tc>
          <w:tcPr>
            <w:tcW w:w="5386" w:type="dxa"/>
            <w:vAlign w:val="center"/>
          </w:tcPr>
          <w:p>
            <w:pPr>
              <w:pStyle w:val="单元格样式2"/>
            </w:pPr>
            <w:r>
              <w:t xml:space="preserve">设备维保租赁成本</w:t>
            </w:r>
          </w:p>
        </w:tc>
        <w:tc>
          <w:tcPr>
            <w:tcW w:w="2268" w:type="dxa"/>
            <w:vAlign w:val="center"/>
          </w:tcPr>
          <w:p>
            <w:pPr>
              <w:pStyle w:val="单元格样式2"/>
            </w:pPr>
            <w:r>
              <w:t xml:space="preserve">≤23.86万元</w:t>
            </w:r>
          </w:p>
        </w:tc>
        <w:tc>
          <w:tcPr>
            <w:tcW w:w="1276" w:type="dxa"/>
            <w:vAlign w:val="center"/>
          </w:tcPr>
          <w:p>
            <w:pPr>
              <w:pStyle w:val="单元格样式2"/>
            </w:pPr>
            <w:r>
              <w:t xml:space="preserve">邯政法字[2012]136号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保障政治网络安全</w:t>
            </w:r>
          </w:p>
        </w:tc>
        <w:tc>
          <w:tcPr>
            <w:tcW w:w="5386" w:type="dxa"/>
            <w:vAlign w:val="center"/>
          </w:tcPr>
          <w:p>
            <w:pPr>
              <w:pStyle w:val="单元格样式2"/>
            </w:pPr>
            <w:r>
              <w:t xml:space="preserve">各种应用能正常运行</w:t>
            </w:r>
          </w:p>
        </w:tc>
        <w:tc>
          <w:tcPr>
            <w:tcW w:w="2268" w:type="dxa"/>
            <w:vAlign w:val="center"/>
          </w:tcPr>
          <w:p>
            <w:pPr>
              <w:pStyle w:val="单元格样式2"/>
            </w:pPr>
            <w:r>
              <w:t xml:space="preserve">有效保障</w:t>
            </w:r>
          </w:p>
        </w:tc>
        <w:tc>
          <w:tcPr>
            <w:tcW w:w="1276" w:type="dxa"/>
            <w:vAlign w:val="center"/>
          </w:tcPr>
          <w:p>
            <w:pPr>
              <w:pStyle w:val="单元格样式2"/>
            </w:pPr>
            <w:r>
              <w:t xml:space="preserve">邯政法字[2012]136号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提高信息共享准确性</w:t>
            </w:r>
          </w:p>
        </w:tc>
        <w:tc>
          <w:tcPr>
            <w:tcW w:w="5386" w:type="dxa"/>
            <w:vAlign w:val="center"/>
          </w:tcPr>
          <w:p>
            <w:pPr>
              <w:pStyle w:val="单元格样式2"/>
            </w:pPr>
            <w:r>
              <w:t xml:space="preserve">提高信息共享准确性</w:t>
            </w:r>
          </w:p>
        </w:tc>
        <w:tc>
          <w:tcPr>
            <w:tcW w:w="2268" w:type="dxa"/>
            <w:vAlign w:val="center"/>
          </w:tcPr>
          <w:p>
            <w:pPr>
              <w:pStyle w:val="单元格样式2"/>
            </w:pPr>
            <w:r>
              <w:t xml:space="preserve">有效提高</w:t>
            </w:r>
          </w:p>
        </w:tc>
        <w:tc>
          <w:tcPr>
            <w:tcW w:w="1276" w:type="dxa"/>
            <w:vAlign w:val="center"/>
          </w:tcPr>
          <w:p>
            <w:pPr>
              <w:pStyle w:val="单元格样式2"/>
            </w:pPr>
            <w:r>
              <w:t xml:space="preserve">邯政法字[2012]136号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工作人员满意度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3、综合治理经费绩效目标表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13043425P004303100051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综合治理经费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开展综合治理经费，优化社会秩序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1.开展综合治理，提高社会综合治理能力，优化社会秩序。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综合治理保障人员数量</w:t>
            </w:r>
          </w:p>
        </w:tc>
        <w:tc>
          <w:tcPr>
            <w:tcW w:w="5386" w:type="dxa"/>
            <w:vAlign w:val="center"/>
          </w:tcPr>
          <w:p>
            <w:pPr>
              <w:pStyle w:val="单元格样式2"/>
            </w:pPr>
            <w:r>
              <w:t xml:space="preserve">人员数量</w:t>
            </w:r>
          </w:p>
        </w:tc>
        <w:tc>
          <w:tcPr>
            <w:tcW w:w="2268" w:type="dxa"/>
            <w:vAlign w:val="center"/>
          </w:tcPr>
          <w:p>
            <w:pPr>
              <w:pStyle w:val="单元格样式2"/>
            </w:pPr>
            <w:r>
              <w:t xml:space="preserve">≥105万人</w:t>
            </w:r>
          </w:p>
        </w:tc>
        <w:tc>
          <w:tcPr>
            <w:tcW w:w="1276" w:type="dxa"/>
            <w:vAlign w:val="center"/>
          </w:tcPr>
          <w:p>
            <w:pPr>
              <w:pStyle w:val="单元格样式2"/>
            </w:pPr>
            <w:r>
              <w:t xml:space="preserve">冀综治办【2016】12号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工作落实到位率</w:t>
            </w:r>
          </w:p>
        </w:tc>
        <w:tc>
          <w:tcPr>
            <w:tcW w:w="5386" w:type="dxa"/>
            <w:vAlign w:val="center"/>
          </w:tcPr>
          <w:p>
            <w:pPr>
              <w:pStyle w:val="单元格样式2"/>
            </w:pPr>
            <w:r>
              <w:t xml:space="preserve">工作落实到位率</w:t>
            </w:r>
          </w:p>
        </w:tc>
        <w:tc>
          <w:tcPr>
            <w:tcW w:w="2268" w:type="dxa"/>
            <w:vAlign w:val="center"/>
          </w:tcPr>
          <w:p>
            <w:pPr>
              <w:pStyle w:val="单元格样式2"/>
            </w:pPr>
            <w:r>
              <w:t xml:space="preserve">≥98%</w:t>
            </w:r>
          </w:p>
        </w:tc>
        <w:tc>
          <w:tcPr>
            <w:tcW w:w="1276" w:type="dxa"/>
            <w:vAlign w:val="center"/>
          </w:tcPr>
          <w:p>
            <w:pPr>
              <w:pStyle w:val="单元格样式2"/>
            </w:pPr>
            <w:r>
              <w:t xml:space="preserve">冀综治办【2016】12号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综合治理工作完成时间</w:t>
            </w:r>
          </w:p>
        </w:tc>
        <w:tc>
          <w:tcPr>
            <w:tcW w:w="5386" w:type="dxa"/>
            <w:vAlign w:val="center"/>
          </w:tcPr>
          <w:p>
            <w:pPr>
              <w:pStyle w:val="单元格样式2"/>
            </w:pPr>
            <w:r>
              <w:t xml:space="preserve">综合治理工作完成时间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冀综治办【2016】12号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综合治理经费</w:t>
            </w:r>
          </w:p>
        </w:tc>
        <w:tc>
          <w:tcPr>
            <w:tcW w:w="5386" w:type="dxa"/>
            <w:vAlign w:val="center"/>
          </w:tcPr>
          <w:p>
            <w:pPr>
              <w:pStyle w:val="单元格样式2"/>
            </w:pPr>
            <w:r>
              <w:t xml:space="preserve">资金成本</w:t>
            </w:r>
          </w:p>
        </w:tc>
        <w:tc>
          <w:tcPr>
            <w:tcW w:w="2268" w:type="dxa"/>
            <w:vAlign w:val="center"/>
          </w:tcPr>
          <w:p>
            <w:pPr>
              <w:pStyle w:val="单元格样式2"/>
            </w:pPr>
            <w:r>
              <w:t xml:space="preserve">≤84万元</w:t>
            </w:r>
          </w:p>
        </w:tc>
        <w:tc>
          <w:tcPr>
            <w:tcW w:w="1276" w:type="dxa"/>
            <w:vAlign w:val="center"/>
          </w:tcPr>
          <w:p>
            <w:pPr>
              <w:pStyle w:val="单元格样式2"/>
            </w:pPr>
            <w:r>
              <w:t xml:space="preserve">冀综治办【2016】12号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降低恶性事件发生率</w:t>
            </w:r>
          </w:p>
        </w:tc>
        <w:tc>
          <w:tcPr>
            <w:tcW w:w="5386" w:type="dxa"/>
            <w:vAlign w:val="center"/>
          </w:tcPr>
          <w:p>
            <w:pPr>
              <w:pStyle w:val="单元格样式2"/>
            </w:pPr>
            <w:r>
              <w:t xml:space="preserve">降低恶性事件发生率</w:t>
            </w:r>
          </w:p>
        </w:tc>
        <w:tc>
          <w:tcPr>
            <w:tcW w:w="2268" w:type="dxa"/>
            <w:vAlign w:val="center"/>
          </w:tcPr>
          <w:p>
            <w:pPr>
              <w:pStyle w:val="单元格样式2"/>
            </w:pPr>
            <w:r>
              <w:t xml:space="preserve">有效降低</w:t>
            </w:r>
          </w:p>
        </w:tc>
        <w:tc>
          <w:tcPr>
            <w:tcW w:w="1276" w:type="dxa"/>
            <w:vAlign w:val="center"/>
          </w:tcPr>
          <w:p>
            <w:pPr>
              <w:pStyle w:val="单元格样式2"/>
            </w:pPr>
            <w:r>
              <w:t xml:space="preserve">冀综治办【2016】12号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优化社会秩序</w:t>
            </w:r>
          </w:p>
        </w:tc>
        <w:tc>
          <w:tcPr>
            <w:tcW w:w="5386" w:type="dxa"/>
            <w:vAlign w:val="center"/>
          </w:tcPr>
          <w:p>
            <w:pPr>
              <w:pStyle w:val="单元格样式2"/>
            </w:pPr>
            <w:r>
              <w:t xml:space="preserve">优化社会秩序</w:t>
            </w:r>
          </w:p>
        </w:tc>
        <w:tc>
          <w:tcPr>
            <w:tcW w:w="2268" w:type="dxa"/>
            <w:vAlign w:val="center"/>
          </w:tcPr>
          <w:p>
            <w:pPr>
              <w:pStyle w:val="单元格样式2"/>
            </w:pPr>
            <w:r>
              <w:t xml:space="preserve">显著优化</w:t>
            </w:r>
          </w:p>
        </w:tc>
        <w:tc>
          <w:tcPr>
            <w:tcW w:w="1276" w:type="dxa"/>
            <w:vAlign w:val="center"/>
          </w:tcPr>
          <w:p>
            <w:pPr>
              <w:pStyle w:val="单元格样式2"/>
            </w:pPr>
            <w:r>
              <w:t xml:space="preserve">冀综治办【2016】12号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≥95%</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4、综治视联网光纤租赁费绩效目标表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13043425P004303100078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综治视联网光纤租赁费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用于支付综治视联网光纤租赁费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1.实现全线22个乡镇街道办综治视联网平台平稳运行。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视联网覆盖乡镇数量</w:t>
            </w:r>
          </w:p>
        </w:tc>
        <w:tc>
          <w:tcPr>
            <w:tcW w:w="5386" w:type="dxa"/>
            <w:vAlign w:val="center"/>
          </w:tcPr>
          <w:p>
            <w:pPr>
              <w:pStyle w:val="单元格样式2"/>
            </w:pPr>
            <w:r>
              <w:t xml:space="preserve">视联网覆盖乡镇数量</w:t>
            </w:r>
          </w:p>
        </w:tc>
        <w:tc>
          <w:tcPr>
            <w:tcW w:w="2268" w:type="dxa"/>
            <w:vAlign w:val="center"/>
          </w:tcPr>
          <w:p>
            <w:pPr>
              <w:pStyle w:val="单元格样式2"/>
            </w:pPr>
            <w:r>
              <w:t xml:space="preserve">22个乡镇</w:t>
            </w:r>
          </w:p>
        </w:tc>
        <w:tc>
          <w:tcPr>
            <w:tcW w:w="1276" w:type="dxa"/>
            <w:vAlign w:val="center"/>
          </w:tcPr>
          <w:p>
            <w:pPr>
              <w:pStyle w:val="单元格样式2"/>
            </w:pPr>
            <w:r>
              <w:t xml:space="preserve">邯综治办【2016】24号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设施运转完好率</w:t>
            </w:r>
          </w:p>
        </w:tc>
        <w:tc>
          <w:tcPr>
            <w:tcW w:w="5386" w:type="dxa"/>
            <w:vAlign w:val="center"/>
          </w:tcPr>
          <w:p>
            <w:pPr>
              <w:pStyle w:val="单元格样式2"/>
            </w:pPr>
            <w:r>
              <w:t xml:space="preserve">设施运转完好率</w:t>
            </w:r>
          </w:p>
        </w:tc>
        <w:tc>
          <w:tcPr>
            <w:tcW w:w="2268" w:type="dxa"/>
            <w:vAlign w:val="center"/>
          </w:tcPr>
          <w:p>
            <w:pPr>
              <w:pStyle w:val="单元格样式2"/>
            </w:pPr>
            <w:r>
              <w:t xml:space="preserve">≥90%</w:t>
            </w:r>
          </w:p>
        </w:tc>
        <w:tc>
          <w:tcPr>
            <w:tcW w:w="1276" w:type="dxa"/>
            <w:vAlign w:val="center"/>
          </w:tcPr>
          <w:p>
            <w:pPr>
              <w:pStyle w:val="单元格样式2"/>
            </w:pPr>
            <w:r>
              <w:t xml:space="preserve">邯综治办【2016】24号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信息上报及时率</w:t>
            </w:r>
          </w:p>
        </w:tc>
        <w:tc>
          <w:tcPr>
            <w:tcW w:w="5386" w:type="dxa"/>
            <w:vAlign w:val="center"/>
          </w:tcPr>
          <w:p>
            <w:pPr>
              <w:pStyle w:val="单元格样式2"/>
            </w:pPr>
            <w:r>
              <w:t xml:space="preserve">信息上报及时率</w:t>
            </w:r>
          </w:p>
        </w:tc>
        <w:tc>
          <w:tcPr>
            <w:tcW w:w="2268" w:type="dxa"/>
            <w:vAlign w:val="center"/>
          </w:tcPr>
          <w:p>
            <w:pPr>
              <w:pStyle w:val="单元格样式2"/>
            </w:pPr>
            <w:r>
              <w:t xml:space="preserve">≥95%</w:t>
            </w:r>
          </w:p>
        </w:tc>
        <w:tc>
          <w:tcPr>
            <w:tcW w:w="1276" w:type="dxa"/>
            <w:vAlign w:val="center"/>
          </w:tcPr>
          <w:p>
            <w:pPr>
              <w:pStyle w:val="单元格样式2"/>
            </w:pPr>
            <w:r>
              <w:t xml:space="preserve">邯综治办【2016】24号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光纤租赁成本</w:t>
            </w:r>
          </w:p>
        </w:tc>
        <w:tc>
          <w:tcPr>
            <w:tcW w:w="5386" w:type="dxa"/>
            <w:vAlign w:val="center"/>
          </w:tcPr>
          <w:p>
            <w:pPr>
              <w:pStyle w:val="单元格样式2"/>
            </w:pPr>
            <w:r>
              <w:t xml:space="preserve">视联网光纤租赁成本</w:t>
            </w:r>
          </w:p>
        </w:tc>
        <w:tc>
          <w:tcPr>
            <w:tcW w:w="2268" w:type="dxa"/>
            <w:vAlign w:val="center"/>
          </w:tcPr>
          <w:p>
            <w:pPr>
              <w:pStyle w:val="单元格样式2"/>
            </w:pPr>
            <w:r>
              <w:t xml:space="preserve">≤19.8万元</w:t>
            </w:r>
          </w:p>
        </w:tc>
        <w:tc>
          <w:tcPr>
            <w:tcW w:w="1276" w:type="dxa"/>
            <w:vAlign w:val="center"/>
          </w:tcPr>
          <w:p>
            <w:pPr>
              <w:pStyle w:val="单元格样式2"/>
            </w:pPr>
            <w:r>
              <w:t xml:space="preserve">邯综治办【2016】24号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强化治安防控</w:t>
            </w:r>
          </w:p>
        </w:tc>
        <w:tc>
          <w:tcPr>
            <w:tcW w:w="5386" w:type="dxa"/>
            <w:vAlign w:val="center"/>
          </w:tcPr>
          <w:p>
            <w:pPr>
              <w:pStyle w:val="单元格样式2"/>
            </w:pPr>
            <w:r>
              <w:t xml:space="preserve">强化治安防控</w:t>
            </w:r>
          </w:p>
        </w:tc>
        <w:tc>
          <w:tcPr>
            <w:tcW w:w="2268" w:type="dxa"/>
            <w:vAlign w:val="center"/>
          </w:tcPr>
          <w:p>
            <w:pPr>
              <w:pStyle w:val="单元格样式2"/>
            </w:pPr>
            <w:r>
              <w:t xml:space="preserve">显著强化</w:t>
            </w:r>
          </w:p>
        </w:tc>
        <w:tc>
          <w:tcPr>
            <w:tcW w:w="1276" w:type="dxa"/>
            <w:vAlign w:val="center"/>
          </w:tcPr>
          <w:p>
            <w:pPr>
              <w:pStyle w:val="单元格样式2"/>
            </w:pPr>
            <w:r>
              <w:t xml:space="preserve">邯综治办【2016】24号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提升周边群众安全感</w:t>
            </w:r>
          </w:p>
        </w:tc>
        <w:tc>
          <w:tcPr>
            <w:tcW w:w="5386" w:type="dxa"/>
            <w:vAlign w:val="center"/>
          </w:tcPr>
          <w:p>
            <w:pPr>
              <w:pStyle w:val="单元格样式2"/>
            </w:pPr>
            <w:r>
              <w:t xml:space="preserve">提升周边群众安全感</w:t>
            </w:r>
          </w:p>
        </w:tc>
        <w:tc>
          <w:tcPr>
            <w:tcW w:w="2268" w:type="dxa"/>
            <w:vAlign w:val="center"/>
          </w:tcPr>
          <w:p>
            <w:pPr>
              <w:pStyle w:val="单元格样式2"/>
            </w:pPr>
            <w:r>
              <w:t xml:space="preserve">显著提升</w:t>
            </w:r>
          </w:p>
        </w:tc>
        <w:tc>
          <w:tcPr>
            <w:tcW w:w="1276" w:type="dxa"/>
            <w:vAlign w:val="center"/>
          </w:tcPr>
          <w:p>
            <w:pPr>
              <w:pStyle w:val="单元格样式2"/>
            </w:pPr>
            <w:r>
              <w:t xml:space="preserve">邯综治办【2016】24号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≥98%</w:t>
            </w:r>
          </w:p>
        </w:tc>
        <w:tc>
          <w:tcPr>
            <w:tcW w:w="1276" w:type="dxa"/>
            <w:vAlign w:val="center"/>
          </w:tcPr>
          <w:p>
            <w:pPr>
              <w:pStyle w:val="单元格样式2"/>
            </w:pPr>
            <w:r>
              <w:t xml:space="preserve">使用对象满意度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中国共产党魏县委员会政法委员会本级上年末固定资产金额为17.98万元（详见下表）。本年度拟购置固定资产总额为0.00万元，已按要求列入政府采购预算，详见政府采购预算表。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216001中国共产党魏县委员会政法委员会本级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17.98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61</w:t>
            </w:r>
          </w:p>
        </w:tc>
        <w:tc>
          <w:tcPr>
            <w:tcW w:w="2835" w:type="dxa"/>
            <w:vAlign w:val="center"/>
          </w:tcPr>
          <w:p>
            <w:pPr>
              <w:pStyle w:val="单元格样式4"/>
            </w:pPr>
            <w:r>
              <w:t xml:space="preserve">17.98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2025-02-25T13:11:11Z</dcterms:created>
  <dcterms:modified xsi:type="dcterms:W3CDTF">2025-02-25T13:11:11Z</dcterms:modified>
</cp:coreProperties>
</file>