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魏县信访局</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2025年部门预算绩效文本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（草案）</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魏县信访局编制</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r>
        <w:rPr>
          <w:rFonts w:ascii="方正楷体_GBK" w:eastAsia="方正楷体_GBK" w:hAnsi="方正楷体_GBK" w:cs="方正楷体_GBK"/>
          <w:b/>
          <w:color w:val="000000"/>
          <w:sz w:val="32"/>
        </w:rPr>
        <w:t xml:space="preserve">XXX财政（厅/局）审核</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t xml:space="preserve">三、工作保障措施</w:t>
        </w:r>
        <w:r>
          <w:tab/>
        </w:r>
        <w:r>
          <w:fldChar w:fldCharType="begin"/>
        </w:r>
        <w:r>
          <w:instrText xml:space="preserve">PAGEREF _Toc_2_2_0000000003 \h</w:instrText>
        </w:r>
        <w:r>
          <w:fldChar w:fldCharType="separate"/>
        </w:r>
        <w:r>
          <w:t xml:space="preserve">1</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t xml:space="preserve">1.电子政务外网光纤租赁费绩效目标表</w:t>
        </w:r>
        <w:r>
          <w:tab/>
        </w:r>
        <w:r>
          <w:fldChar w:fldCharType="begin"/>
        </w:r>
        <w:r>
          <w:instrText xml:space="preserve">PAGEREF _Toc_4_4_0000000004 \h</w:instrText>
        </w:r>
        <w:r>
          <w:fldChar w:fldCharType="separate"/>
        </w:r>
        <w:r>
          <w:t xml:space="preserve">4</w:t>
        </w:r>
        <w:r>
          <w:fldChar w:fldCharType="end"/>
        </w:r>
      </w:hyperlink>
    </w:p>
    <w:p>
      <w:pPr>
        <w:pStyle w:val="TOC1"/>
        <w:tabs>
          <w:tab w:val="right" w:leader="dot" w:pos="9282"/>
        </w:tabs>
      </w:pPr>
      <w:hyperlink w:anchor="_Toc_4_4_0000000005" w:history="1">
        <w:r>
          <w:t xml:space="preserve">2.国家、省、市“两会”、北戴河暑期值班经费绩效目标表</w:t>
        </w:r>
        <w:r>
          <w:tab/>
        </w:r>
        <w:r>
          <w:fldChar w:fldCharType="begin"/>
        </w:r>
        <w:r>
          <w:instrText xml:space="preserve">PAGEREF _Toc_4_4_0000000005 \h</w:instrText>
        </w:r>
        <w:r>
          <w:fldChar w:fldCharType="separate"/>
        </w:r>
        <w:r>
          <w:t xml:space="preserve">5</w:t>
        </w:r>
        <w:r>
          <w:fldChar w:fldCharType="end"/>
        </w:r>
      </w:hyperlink>
    </w:p>
    <w:p>
      <w:pPr>
        <w:pStyle w:val="TOC1"/>
        <w:tabs>
          <w:tab w:val="right" w:leader="dot" w:pos="9282"/>
        </w:tabs>
      </w:pPr>
      <w:hyperlink w:anchor="_Toc_4_4_0000000006" w:history="1">
        <w:r>
          <w:t xml:space="preserve">3.信访工作经费绩效目标表</w:t>
        </w:r>
        <w:r>
          <w:tab/>
        </w:r>
        <w:r>
          <w:fldChar w:fldCharType="begin"/>
        </w:r>
        <w:r>
          <w:instrText xml:space="preserve">PAGEREF _Toc_4_4_0000000006 \h</w:instrText>
        </w:r>
        <w:r>
          <w:fldChar w:fldCharType="separate"/>
        </w:r>
        <w:r>
          <w:t xml:space="preserve">6</w:t>
        </w:r>
        <w:r>
          <w:fldChar w:fldCharType="end"/>
        </w:r>
      </w:hyperlink>
    </w:p>
    <w:p>
      <w:pPr>
        <w:pStyle w:val="TOC1"/>
        <w:tabs>
          <w:tab w:val="right" w:leader="dot" w:pos="9282"/>
        </w:tabs>
      </w:pPr>
      <w:hyperlink w:anchor="_Toc_4_4_0000000007" w:history="1">
        <w:r>
          <w:t xml:space="preserve">4.解决疑难信访问题配套资金绩效目标表</w:t>
        </w:r>
        <w:r>
          <w:tab/>
        </w:r>
        <w:r>
          <w:fldChar w:fldCharType="begin"/>
        </w:r>
        <w:r>
          <w:instrText xml:space="preserve">PAGEREF _Toc_4_4_0000000007 \h</w:instrText>
        </w:r>
        <w:r>
          <w:fldChar w:fldCharType="separate"/>
        </w:r>
        <w:r>
          <w:t xml:space="preserve">7</w:t>
        </w:r>
        <w:r>
          <w:fldChar w:fldCharType="end"/>
        </w:r>
      </w:hyperlink>
    </w:p>
    <w:p>
      <w:pPr>
        <w:pStyle w:val="TOC1"/>
        <w:tabs>
          <w:tab w:val="right" w:leader="dot" w:pos="9282"/>
        </w:tabs>
      </w:pPr>
      <w:hyperlink w:anchor="_Toc_4_4_0000000008" w:history="1">
        <w:r>
          <w:t xml:space="preserve">5.驻京、省信访群众服务联络处工作经费绩效目标表</w:t>
        </w:r>
        <w:r>
          <w:tab/>
        </w:r>
        <w:r>
          <w:fldChar w:fldCharType="begin"/>
        </w:r>
        <w:r>
          <w:instrText xml:space="preserve">PAGEREF _Toc_4_4_0000000008 \h</w:instrText>
        </w:r>
        <w:r>
          <w:fldChar w:fldCharType="separate"/>
        </w:r>
        <w:r>
          <w:t xml:space="preserve">8</w:t>
        </w:r>
        <w:r>
          <w:fldChar w:fldCharType="end"/>
        </w:r>
      </w:hyperlink>
    </w:p>
    <w:p>
      <w:pPr/>
      <w:r>
        <w:fldChar w:fldCharType="end"/>
      </w:r>
    </w:p>
    <w:p>
      <w:pPr>
        <w:sectPr>
          <w:footerReference w:type="even" r:id="rId1"/>
          <w:footerReference w:type="default" r:id="rId2"/>
          <w:type w:val="nextPage"/>
          <w:pgSz w:w="11900" w:h="16840" w:orient="portrait"/>
          <w:pgMar w:top="1984" w:right="1304" w:bottom="1134" w:left="1304" w:header="720" w:footer="720" w:gutter="0"/>
          <w:pgBorders/>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我单位在县委的坚强领导下，深入贯彻中央二十大精神，紧扣县委、县政府确定的目标任务，凝神聚力，开拓创新，攻艰克难，砥砺奋进，以更加高昂的激情，更加有力的措施，更加务实的作风，全面开创信访工作新局面，为建设经济强、百姓富、环境美、发展质量高的邯郸副中心城市提供和谐稳定的社会环境。</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1）接待、登记、受理信访事项、组织开展矛盾纠纷排查调处、协调处理重要事项、安排县领导公开接访、研究分析信访情况，对县级领导签批的信访事项及时交办、督办、督导等工作，使领导签批的意见得到实处，群众反映的问题得到解决，已经解决的问题进行整理、建立档案。</w:t>
      </w:r>
    </w:p>
    <w:p>
      <w:pPr>
        <w:pStyle w:val="插入文本样式-插入职责分类绩效目标文件"/>
      </w:pPr>
      <w:r>
        <w:t xml:space="preserve">（2）确保中央、省、市、县要结果信访案件按期办结，及时反馈结果。</w:t>
      </w:r>
    </w:p>
    <w:p>
      <w:pPr>
        <w:pStyle w:val="插入文本样式-插入职责分类绩效目标文件"/>
      </w:pPr>
      <w:r>
        <w:t xml:space="preserve">（3）文件起草、会议安排，对信访工作的宣传报道，人民群众建议征集，对本级政府部门和下级的工作指导，机关日常管理。</w:t>
      </w:r>
    </w:p>
    <w:p>
      <w:pPr>
        <w:pStyle w:val="插入文本样式-插入职责分类绩效目标文件"/>
      </w:pPr>
      <w:r>
        <w:t xml:space="preserve">（4）登记、受理信访事项，调处解决群众反映的信访事项，向来访群众宣传有关法律、法规和政策。</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一是加强宣传教育工作，进一步规范信访工作秩序。不断加大对《信访条例》等法律法规和信访政策的宣传力度，向每一名来访群众发放明白纸，进一步提高群众对有关法律规定和信访政策及信访程序的知晓程度，引导群众理性上访，合法合理反映诉求，减少盲目上访和越级上访，利用县级电视台和单位电子屏幕等形式对违法上访情况定期报道，起到教育作用。</w:t>
      </w:r>
    </w:p>
    <w:p>
      <w:pPr>
        <w:pStyle w:val="插入文本样式-插入实现年度发展规划目标的保障措施文件"/>
      </w:pPr>
      <w:r>
        <w:t xml:space="preserve">二是注重源头治理防范，将信访问题化解在“萌芽”状态。做到关口前移，进一步加大排查化解力度。落实县级领导接访制度，实行县级领导首接责任制和案件首办责任制。</w:t>
      </w:r>
    </w:p>
    <w:p>
      <w:pPr>
        <w:pStyle w:val="插入文本样式-插入实现年度发展规划目标的保障措施文件"/>
      </w:pPr>
      <w:r>
        <w:t xml:space="preserve">三是强化稳控工作措施，做好敏感时期的信访稳定工作。按照“非敏感期以化解问题为主，敏感期以稳控为主”的工作原则，全力做好重大敏感时期和重要时间节点的信访稳控化解工作，制定敏感时期和非敏感时期责任追究制度。</w:t>
      </w:r>
    </w:p>
    <w:p>
      <w:pPr>
        <w:pStyle w:val="插入文本样式-插入实现年度发展规划目标的保障措施文件"/>
      </w:pPr>
      <w:r>
        <w:t xml:space="preserve">四、聚焦疑难信访问题，彻底化解一批积案难案。1.成立重点领域专项工作组深入到一线，深入群众，到基层现场下力度解决一批疑难积案。2.充分发挥群众工作中心入驻部门的作用，现场解决群众来访案件，解答群众的诉求问题。</w:t>
      </w:r>
    </w:p>
    <w:p>
      <w:pPr>
        <w:pStyle w:val="插入文本样式-插入实现年度发展规划目标的保障措施文件"/>
      </w:pPr>
      <w:r>
        <w:t xml:space="preserve">五是坚持严格依法治访，严厉打击非法上访行为。积极配合公、检、法等部门做好对违法信访行为的依法处置工作，对违法上访、扰乱信访秩序的行为进行严厉打击，发生一起，处置一起，确保正常的信访工作秩序。</w:t>
      </w:r>
    </w:p>
    <w:p>
      <w:pPr>
        <w:spacing w:before="0" w:after="0" w:line="240"/>
        <w:ind w:firstLine="0"/>
        <w:jc w:val="center"/>
        <w:outlineLvl w:val="9"/>
        <w:sectPr>
          <w:type w:val="nextPage"/>
          <w:pgSz w:w="11900" w:h="16840" w:orient="portrait"/>
          <w:pgMar w:top="1984" w:right="1304" w:bottom="1134" w:left="1304" w:header="720" w:footer="720" w:gutter="0"/>
          <w:pgBorders/>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pgBorders/>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1.电子政务外网光纤租赁费绩效目标表</w:t>
      </w:r>
      <w:bookmarkEnd w:id="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202001魏县信访局本级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13043425P000001100396</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电子政务外网光纤租赁费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34.00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34.00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通过网上信访系统对信访案件100%进行受理、登记、交办，提高信访案件的办理进度，有效促进社会稳定。</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1.通过网上信访系统对信访案件100%进行受理、登记、交办，提高信访案件的办理进度，有效促进社会稳定。</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乡镇、县直单位覆盖率</w:t>
            </w:r>
          </w:p>
        </w:tc>
        <w:tc>
          <w:tcPr>
            <w:tcW w:w="2891" w:type="dxa"/>
            <w:vAlign w:val="center"/>
          </w:tcPr>
          <w:p>
            <w:pPr>
              <w:pStyle w:val="单元格样式2"/>
            </w:pPr>
            <w:r>
              <w:t xml:space="preserve">涉及信访案件单位覆盖率</w:t>
            </w:r>
          </w:p>
        </w:tc>
        <w:tc>
          <w:tcPr>
            <w:tcW w:w="1276" w:type="dxa"/>
            <w:vAlign w:val="center"/>
          </w:tcPr>
          <w:p>
            <w:pPr>
              <w:pStyle w:val="单元格样式2"/>
            </w:pPr>
            <w:r>
              <w:t xml:space="preserve">100%</w:t>
            </w:r>
          </w:p>
        </w:tc>
        <w:tc>
          <w:tcPr>
            <w:tcW w:w="1843" w:type="dxa"/>
            <w:vAlign w:val="center"/>
          </w:tcPr>
          <w:p>
            <w:pPr>
              <w:pStyle w:val="单元格样式2"/>
            </w:pPr>
            <w:r>
              <w:t xml:space="preserve">《中共河北省委信访局关于做好接入河北网上信访信息系统准备工作的通知》冀明信字108号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正常运行率</w:t>
            </w:r>
          </w:p>
        </w:tc>
        <w:tc>
          <w:tcPr>
            <w:tcW w:w="2891" w:type="dxa"/>
            <w:vAlign w:val="center"/>
          </w:tcPr>
          <w:p>
            <w:pPr>
              <w:pStyle w:val="单元格样式2"/>
            </w:pPr>
            <w:r>
              <w:t xml:space="preserve">保障电子政务外网系统的正常运行</w:t>
            </w:r>
          </w:p>
        </w:tc>
        <w:tc>
          <w:tcPr>
            <w:tcW w:w="1276" w:type="dxa"/>
            <w:vAlign w:val="center"/>
          </w:tcPr>
          <w:p>
            <w:pPr>
              <w:pStyle w:val="单元格样式2"/>
            </w:pPr>
            <w:r>
              <w:t xml:space="preserve">100%</w:t>
            </w:r>
          </w:p>
        </w:tc>
        <w:tc>
          <w:tcPr>
            <w:tcW w:w="1843" w:type="dxa"/>
            <w:vAlign w:val="center"/>
          </w:tcPr>
          <w:p>
            <w:pPr>
              <w:pStyle w:val="单元格样式2"/>
            </w:pPr>
            <w:r>
              <w:t xml:space="preserve">《中共河北省委信访局关于做好接入河北网上信访信息系统准备工作的通知》冀明信字108号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光纤网络维护时间</w:t>
            </w:r>
          </w:p>
        </w:tc>
        <w:tc>
          <w:tcPr>
            <w:tcW w:w="2891" w:type="dxa"/>
            <w:vAlign w:val="center"/>
          </w:tcPr>
          <w:p>
            <w:pPr>
              <w:pStyle w:val="单元格样式2"/>
            </w:pPr>
            <w:r>
              <w:t xml:space="preserve">光纤网络维护响应时间</w:t>
            </w:r>
          </w:p>
        </w:tc>
        <w:tc>
          <w:tcPr>
            <w:tcW w:w="1276" w:type="dxa"/>
            <w:vAlign w:val="center"/>
          </w:tcPr>
          <w:p>
            <w:pPr>
              <w:pStyle w:val="单元格样式2"/>
            </w:pPr>
            <w:r>
              <w:t xml:space="preserve">100%</w:t>
            </w:r>
          </w:p>
        </w:tc>
        <w:tc>
          <w:tcPr>
            <w:tcW w:w="1843" w:type="dxa"/>
            <w:vAlign w:val="center"/>
          </w:tcPr>
          <w:p>
            <w:pPr>
              <w:pStyle w:val="单元格样式2"/>
            </w:pPr>
            <w:r>
              <w:t xml:space="preserve">《中共河北省委信访局关于做好接入河北网上信访信息系统准备工作的通知》冀明信字108号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34万元</w:t>
            </w:r>
          </w:p>
        </w:tc>
        <w:tc>
          <w:tcPr>
            <w:tcW w:w="1843" w:type="dxa"/>
            <w:vAlign w:val="center"/>
          </w:tcPr>
          <w:p>
            <w:pPr>
              <w:pStyle w:val="单元格样式2"/>
            </w:pPr>
            <w:r>
              <w:t xml:space="preserve">《中共河北省委信访局关于做好接入河北网上信访信息系统准备工作的通知》冀明信字108号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信访平稳可控</w:t>
            </w:r>
          </w:p>
        </w:tc>
        <w:tc>
          <w:tcPr>
            <w:tcW w:w="2891" w:type="dxa"/>
            <w:vAlign w:val="center"/>
          </w:tcPr>
          <w:p>
            <w:pPr>
              <w:pStyle w:val="单元格样式2"/>
            </w:pPr>
            <w:r>
              <w:t xml:space="preserve">维护会议期间信访稳定</w:t>
            </w:r>
          </w:p>
        </w:tc>
        <w:tc>
          <w:tcPr>
            <w:tcW w:w="1276" w:type="dxa"/>
            <w:vAlign w:val="center"/>
          </w:tcPr>
          <w:p>
            <w:pPr>
              <w:pStyle w:val="单元格样式2"/>
            </w:pPr>
            <w:r>
              <w:t xml:space="preserve">信访平稳可控</w:t>
            </w:r>
          </w:p>
        </w:tc>
        <w:tc>
          <w:tcPr>
            <w:tcW w:w="1843" w:type="dxa"/>
            <w:vAlign w:val="center"/>
          </w:tcPr>
          <w:p>
            <w:pPr>
              <w:pStyle w:val="单元格样式2"/>
            </w:pPr>
            <w:r>
              <w:t xml:space="preserve">魏县信访局年度工作计划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社会稳定</w:t>
            </w:r>
          </w:p>
        </w:tc>
        <w:tc>
          <w:tcPr>
            <w:tcW w:w="2891" w:type="dxa"/>
            <w:vAlign w:val="center"/>
          </w:tcPr>
          <w:p>
            <w:pPr>
              <w:pStyle w:val="单元格样式2"/>
            </w:pPr>
            <w:r>
              <w:t xml:space="preserve">持续提升社会稳定水平</w:t>
            </w:r>
          </w:p>
        </w:tc>
        <w:tc>
          <w:tcPr>
            <w:tcW w:w="1276" w:type="dxa"/>
            <w:vAlign w:val="center"/>
          </w:tcPr>
          <w:p>
            <w:pPr>
              <w:pStyle w:val="单元格样式2"/>
            </w:pPr>
            <w:r>
              <w:t xml:space="preserve">持续提升社会稳定水平</w:t>
            </w:r>
          </w:p>
        </w:tc>
        <w:tc>
          <w:tcPr>
            <w:tcW w:w="1843" w:type="dxa"/>
            <w:vAlign w:val="center"/>
          </w:tcPr>
          <w:p>
            <w:pPr>
              <w:pStyle w:val="单元格样式2"/>
            </w:pPr>
            <w:r>
              <w:t xml:space="preserve">魏县信访局年度工作计划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使用人员满意度</w:t>
            </w:r>
          </w:p>
        </w:tc>
        <w:tc>
          <w:tcPr>
            <w:tcW w:w="2891" w:type="dxa"/>
            <w:vAlign w:val="center"/>
          </w:tcPr>
          <w:p>
            <w:pPr>
              <w:pStyle w:val="单元格样式2"/>
            </w:pPr>
            <w:r>
              <w:t xml:space="preserve">网上信访系统使用人员满意度</w:t>
            </w:r>
          </w:p>
        </w:tc>
        <w:tc>
          <w:tcPr>
            <w:tcW w:w="1276" w:type="dxa"/>
            <w:vAlign w:val="center"/>
          </w:tcPr>
          <w:p>
            <w:pPr>
              <w:pStyle w:val="单元格样式2"/>
            </w:pPr>
            <w:r>
              <w:t xml:space="preserve">≥95%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2.国家、省、市“两会”、北戴河暑期值班经费绩效目标表</w:t>
      </w:r>
      <w:bookmarkEnd w:id="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202001魏县信访局本级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13043425P00000110050D</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国家、省、市“两会”、北戴河暑期值班经费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通过开展值班工作及时处理进京、赴省、到市上访群众，确保两会间等敏感期我县社会稳定。</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1.通过开展值班工作及时处理进京、赴省、到市上访群众，确保两会间等敏感期我县社会稳定。</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派驻人员值班次数</w:t>
            </w:r>
          </w:p>
        </w:tc>
        <w:tc>
          <w:tcPr>
            <w:tcW w:w="2891" w:type="dxa"/>
            <w:vAlign w:val="center"/>
          </w:tcPr>
          <w:p>
            <w:pPr>
              <w:pStyle w:val="单元格样式2"/>
            </w:pPr>
            <w:r>
              <w:t xml:space="preserve">国家、省、市“两会”等召开次数</w:t>
            </w:r>
          </w:p>
        </w:tc>
        <w:tc>
          <w:tcPr>
            <w:tcW w:w="1276" w:type="dxa"/>
            <w:vAlign w:val="center"/>
          </w:tcPr>
          <w:p>
            <w:pPr>
              <w:pStyle w:val="单元格样式2"/>
            </w:pPr>
            <w:r>
              <w:t xml:space="preserve">4次</w:t>
            </w:r>
          </w:p>
        </w:tc>
        <w:tc>
          <w:tcPr>
            <w:tcW w:w="1843" w:type="dxa"/>
            <w:vAlign w:val="center"/>
          </w:tcPr>
          <w:p>
            <w:pPr>
              <w:pStyle w:val="单元格样式2"/>
            </w:pPr>
            <w:r>
              <w:t xml:space="preserve">魏县信访局年度工作计划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维稳任务完成率</w:t>
            </w:r>
          </w:p>
        </w:tc>
        <w:tc>
          <w:tcPr>
            <w:tcW w:w="2891" w:type="dxa"/>
            <w:vAlign w:val="center"/>
          </w:tcPr>
          <w:p>
            <w:pPr>
              <w:pStyle w:val="单元格样式2"/>
            </w:pPr>
            <w:r>
              <w:t xml:space="preserve">圆满完成会议维稳任务</w:t>
            </w:r>
          </w:p>
        </w:tc>
        <w:tc>
          <w:tcPr>
            <w:tcW w:w="1276" w:type="dxa"/>
            <w:vAlign w:val="center"/>
          </w:tcPr>
          <w:p>
            <w:pPr>
              <w:pStyle w:val="单元格样式2"/>
            </w:pPr>
            <w:r>
              <w:t xml:space="preserve">100%</w:t>
            </w:r>
          </w:p>
        </w:tc>
        <w:tc>
          <w:tcPr>
            <w:tcW w:w="1843" w:type="dxa"/>
            <w:vAlign w:val="center"/>
          </w:tcPr>
          <w:p>
            <w:pPr>
              <w:pStyle w:val="单元格样式2"/>
            </w:pPr>
            <w:r>
              <w:t xml:space="preserve">魏县信访局年度工作计划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任务完成及时率</w:t>
            </w:r>
          </w:p>
        </w:tc>
        <w:tc>
          <w:tcPr>
            <w:tcW w:w="2891" w:type="dxa"/>
            <w:vAlign w:val="center"/>
          </w:tcPr>
          <w:p>
            <w:pPr>
              <w:pStyle w:val="单元格样式2"/>
            </w:pPr>
            <w:r>
              <w:t xml:space="preserve">任务完成及时率</w:t>
            </w:r>
          </w:p>
        </w:tc>
        <w:tc>
          <w:tcPr>
            <w:tcW w:w="1276" w:type="dxa"/>
            <w:vAlign w:val="center"/>
          </w:tcPr>
          <w:p>
            <w:pPr>
              <w:pStyle w:val="单元格样式2"/>
            </w:pPr>
            <w:r>
              <w:t xml:space="preserve">100%</w:t>
            </w:r>
          </w:p>
        </w:tc>
        <w:tc>
          <w:tcPr>
            <w:tcW w:w="1843" w:type="dxa"/>
            <w:vAlign w:val="center"/>
          </w:tcPr>
          <w:p>
            <w:pPr>
              <w:pStyle w:val="单元格样式2"/>
            </w:pPr>
            <w:r>
              <w:t xml:space="preserve">魏县信访局年度工作计划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值班经费</w:t>
            </w:r>
          </w:p>
        </w:tc>
        <w:tc>
          <w:tcPr>
            <w:tcW w:w="2891" w:type="dxa"/>
            <w:vAlign w:val="center"/>
          </w:tcPr>
          <w:p>
            <w:pPr>
              <w:pStyle w:val="单元格样式2"/>
            </w:pPr>
            <w:r>
              <w:t xml:space="preserve">会议期间值班费用</w:t>
            </w:r>
          </w:p>
        </w:tc>
        <w:tc>
          <w:tcPr>
            <w:tcW w:w="1276" w:type="dxa"/>
            <w:vAlign w:val="center"/>
          </w:tcPr>
          <w:p>
            <w:pPr>
              <w:pStyle w:val="单元格样式2"/>
            </w:pPr>
            <w:r>
              <w:t xml:space="preserve">10万元</w:t>
            </w:r>
          </w:p>
        </w:tc>
        <w:tc>
          <w:tcPr>
            <w:tcW w:w="1843" w:type="dxa"/>
            <w:vAlign w:val="center"/>
          </w:tcPr>
          <w:p>
            <w:pPr>
              <w:pStyle w:val="单元格样式2"/>
            </w:pPr>
            <w:r>
              <w:t xml:space="preserve">魏县信访局年度工作计划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信访平稳可控</w:t>
            </w:r>
          </w:p>
        </w:tc>
        <w:tc>
          <w:tcPr>
            <w:tcW w:w="2891" w:type="dxa"/>
            <w:vAlign w:val="center"/>
          </w:tcPr>
          <w:p>
            <w:pPr>
              <w:pStyle w:val="单元格样式2"/>
            </w:pPr>
            <w:r>
              <w:t xml:space="preserve">维护会议期间信访稳定</w:t>
            </w:r>
          </w:p>
        </w:tc>
        <w:tc>
          <w:tcPr>
            <w:tcW w:w="1276" w:type="dxa"/>
            <w:vAlign w:val="center"/>
          </w:tcPr>
          <w:p>
            <w:pPr>
              <w:pStyle w:val="单元格样式2"/>
            </w:pPr>
            <w:r>
              <w:t xml:space="preserve">维护会议期间信访稳定</w:t>
            </w:r>
          </w:p>
        </w:tc>
        <w:tc>
          <w:tcPr>
            <w:tcW w:w="1843" w:type="dxa"/>
            <w:vAlign w:val="center"/>
          </w:tcPr>
          <w:p>
            <w:pPr>
              <w:pStyle w:val="单元格样式2"/>
            </w:pPr>
            <w:r>
              <w:t xml:space="preserve">魏县信访局年度工作计划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社会稳定</w:t>
            </w:r>
          </w:p>
        </w:tc>
        <w:tc>
          <w:tcPr>
            <w:tcW w:w="2891" w:type="dxa"/>
            <w:vAlign w:val="center"/>
          </w:tcPr>
          <w:p>
            <w:pPr>
              <w:pStyle w:val="单元格样式2"/>
            </w:pPr>
            <w:r>
              <w:t xml:space="preserve">持续提升社会稳定水平</w:t>
            </w:r>
          </w:p>
        </w:tc>
        <w:tc>
          <w:tcPr>
            <w:tcW w:w="1276" w:type="dxa"/>
            <w:vAlign w:val="center"/>
          </w:tcPr>
          <w:p>
            <w:pPr>
              <w:pStyle w:val="单元格样式2"/>
            </w:pPr>
            <w:r>
              <w:t xml:space="preserve">持续提升社会稳定水平</w:t>
            </w:r>
          </w:p>
        </w:tc>
        <w:tc>
          <w:tcPr>
            <w:tcW w:w="1843" w:type="dxa"/>
            <w:vAlign w:val="center"/>
          </w:tcPr>
          <w:p>
            <w:pPr>
              <w:pStyle w:val="单元格样式2"/>
            </w:pPr>
            <w:r>
              <w:t xml:space="preserve">魏县信访局年度工作计划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信访群众满意度</w:t>
            </w:r>
          </w:p>
        </w:tc>
        <w:tc>
          <w:tcPr>
            <w:tcW w:w="2891" w:type="dxa"/>
            <w:vAlign w:val="center"/>
          </w:tcPr>
          <w:p>
            <w:pPr>
              <w:pStyle w:val="单元格样式2"/>
            </w:pPr>
            <w:r>
              <w:t xml:space="preserve">信访群众满意度</w:t>
            </w:r>
          </w:p>
        </w:tc>
        <w:tc>
          <w:tcPr>
            <w:tcW w:w="1276" w:type="dxa"/>
            <w:vAlign w:val="center"/>
          </w:tcPr>
          <w:p>
            <w:pPr>
              <w:pStyle w:val="单元格样式2"/>
            </w:pPr>
            <w:r>
              <w:t xml:space="preserve">≥95%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3.信访工作经费绩效目标表</w:t>
      </w:r>
      <w:bookmarkEnd w:id="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202001魏县信访局本级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13043425P000001100415</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信访工作经费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通过信访接待、值班，日常各项工作开展，维护我县社会稳定。</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1.通过信访接待、值班，日常各项工作开展，维护我县社会稳定。</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开展信访维稳保障工作天数</w:t>
            </w:r>
          </w:p>
        </w:tc>
        <w:tc>
          <w:tcPr>
            <w:tcW w:w="2891" w:type="dxa"/>
            <w:vAlign w:val="center"/>
          </w:tcPr>
          <w:p>
            <w:pPr>
              <w:pStyle w:val="单元格样式2"/>
            </w:pPr>
            <w:r>
              <w:t xml:space="preserve">开展信访维稳保障工作天数</w:t>
            </w:r>
          </w:p>
        </w:tc>
        <w:tc>
          <w:tcPr>
            <w:tcW w:w="1276" w:type="dxa"/>
            <w:vAlign w:val="center"/>
          </w:tcPr>
          <w:p>
            <w:pPr>
              <w:pStyle w:val="单元格样式2"/>
            </w:pPr>
            <w:r>
              <w:t xml:space="preserve">365天</w:t>
            </w:r>
          </w:p>
        </w:tc>
        <w:tc>
          <w:tcPr>
            <w:tcW w:w="1843" w:type="dxa"/>
            <w:vAlign w:val="center"/>
          </w:tcPr>
          <w:p>
            <w:pPr>
              <w:pStyle w:val="单元格样式2"/>
            </w:pPr>
            <w:r>
              <w:t xml:space="preserve">《中共邯郸市委信访局关于落实信访部门经费标准的通知》邯市信【2016】第1号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信访事项化解率(%)</w:t>
            </w:r>
          </w:p>
        </w:tc>
        <w:tc>
          <w:tcPr>
            <w:tcW w:w="2891" w:type="dxa"/>
            <w:vAlign w:val="center"/>
          </w:tcPr>
          <w:p>
            <w:pPr>
              <w:pStyle w:val="单元格样式2"/>
            </w:pPr>
            <w:r>
              <w:t xml:space="preserve">信访事项化解率(%)</w:t>
            </w:r>
          </w:p>
        </w:tc>
        <w:tc>
          <w:tcPr>
            <w:tcW w:w="1276" w:type="dxa"/>
            <w:vAlign w:val="center"/>
          </w:tcPr>
          <w:p>
            <w:pPr>
              <w:pStyle w:val="单元格样式2"/>
            </w:pPr>
            <w:r>
              <w:t xml:space="preserve">100%</w:t>
            </w:r>
          </w:p>
        </w:tc>
        <w:tc>
          <w:tcPr>
            <w:tcW w:w="1843" w:type="dxa"/>
            <w:vAlign w:val="center"/>
          </w:tcPr>
          <w:p>
            <w:pPr>
              <w:pStyle w:val="单元格样式2"/>
            </w:pPr>
            <w:r>
              <w:t xml:space="preserve">《中共邯郸市委信访局关于落实信访部门经费标准的通知》邯市信【2016】第1号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信访事项受理及时率</w:t>
            </w:r>
          </w:p>
        </w:tc>
        <w:tc>
          <w:tcPr>
            <w:tcW w:w="2891" w:type="dxa"/>
            <w:vAlign w:val="center"/>
          </w:tcPr>
          <w:p>
            <w:pPr>
              <w:pStyle w:val="单元格样式2"/>
            </w:pPr>
            <w:r>
              <w:t xml:space="preserve">信访事项受理及时率</w:t>
            </w:r>
          </w:p>
        </w:tc>
        <w:tc>
          <w:tcPr>
            <w:tcW w:w="1276" w:type="dxa"/>
            <w:vAlign w:val="center"/>
          </w:tcPr>
          <w:p>
            <w:pPr>
              <w:pStyle w:val="单元格样式2"/>
            </w:pPr>
            <w:r>
              <w:t xml:space="preserve">100%</w:t>
            </w:r>
          </w:p>
        </w:tc>
        <w:tc>
          <w:tcPr>
            <w:tcW w:w="1843" w:type="dxa"/>
            <w:vAlign w:val="center"/>
          </w:tcPr>
          <w:p>
            <w:pPr>
              <w:pStyle w:val="单元格样式2"/>
            </w:pPr>
            <w:r>
              <w:t xml:space="preserve">《中共邯郸市委信访局关于落实信访部门经费标准的通知》邯市信【2016】第1号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60万元</w:t>
            </w:r>
          </w:p>
        </w:tc>
        <w:tc>
          <w:tcPr>
            <w:tcW w:w="1843" w:type="dxa"/>
            <w:vAlign w:val="center"/>
          </w:tcPr>
          <w:p>
            <w:pPr>
              <w:pStyle w:val="单元格样式2"/>
            </w:pPr>
            <w:r>
              <w:t xml:space="preserve">《中共邯郸市委信访局关于落实信访部门经费标准的通知》邯市信【2016】第1号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信访平稳可控</w:t>
            </w:r>
          </w:p>
        </w:tc>
        <w:tc>
          <w:tcPr>
            <w:tcW w:w="2891" w:type="dxa"/>
            <w:vAlign w:val="center"/>
          </w:tcPr>
          <w:p>
            <w:pPr>
              <w:pStyle w:val="单元格样式2"/>
            </w:pPr>
            <w:r>
              <w:t xml:space="preserve">保持全县信访形势总体平稳可控</w:t>
            </w:r>
          </w:p>
        </w:tc>
        <w:tc>
          <w:tcPr>
            <w:tcW w:w="1276" w:type="dxa"/>
            <w:vAlign w:val="center"/>
          </w:tcPr>
          <w:p>
            <w:pPr>
              <w:pStyle w:val="单元格样式2"/>
            </w:pPr>
            <w:r>
              <w:t xml:space="preserve">保持全县信访形势总体平稳可控</w:t>
            </w:r>
          </w:p>
        </w:tc>
        <w:tc>
          <w:tcPr>
            <w:tcW w:w="1843" w:type="dxa"/>
            <w:vAlign w:val="center"/>
          </w:tcPr>
          <w:p>
            <w:pPr>
              <w:pStyle w:val="单元格样式2"/>
            </w:pPr>
            <w:r>
              <w:t xml:space="preserve">魏县信访局年度工作计划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社会稳定</w:t>
            </w:r>
          </w:p>
        </w:tc>
        <w:tc>
          <w:tcPr>
            <w:tcW w:w="2891" w:type="dxa"/>
            <w:vAlign w:val="center"/>
          </w:tcPr>
          <w:p>
            <w:pPr>
              <w:pStyle w:val="单元格样式2"/>
            </w:pPr>
            <w:r>
              <w:t xml:space="preserve">持续提升社会稳定水平</w:t>
            </w:r>
          </w:p>
        </w:tc>
        <w:tc>
          <w:tcPr>
            <w:tcW w:w="1276" w:type="dxa"/>
            <w:vAlign w:val="center"/>
          </w:tcPr>
          <w:p>
            <w:pPr>
              <w:pStyle w:val="单元格样式2"/>
            </w:pPr>
            <w:r>
              <w:t xml:space="preserve">持续提升社会稳定水平</w:t>
            </w:r>
          </w:p>
        </w:tc>
        <w:tc>
          <w:tcPr>
            <w:tcW w:w="1843" w:type="dxa"/>
            <w:vAlign w:val="center"/>
          </w:tcPr>
          <w:p>
            <w:pPr>
              <w:pStyle w:val="单元格样式2"/>
            </w:pPr>
            <w:r>
              <w:t xml:space="preserve">魏县信访局年度工作计划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信访群众满意度</w:t>
            </w:r>
          </w:p>
        </w:tc>
        <w:tc>
          <w:tcPr>
            <w:tcW w:w="2891" w:type="dxa"/>
            <w:vAlign w:val="center"/>
          </w:tcPr>
          <w:p>
            <w:pPr>
              <w:pStyle w:val="单元格样式2"/>
            </w:pPr>
            <w:r>
              <w:t xml:space="preserve">信访群众满意度</w:t>
            </w:r>
          </w:p>
        </w:tc>
        <w:tc>
          <w:tcPr>
            <w:tcW w:w="1276" w:type="dxa"/>
            <w:vAlign w:val="center"/>
          </w:tcPr>
          <w:p>
            <w:pPr>
              <w:pStyle w:val="单元格样式2"/>
            </w:pPr>
            <w:r>
              <w:t xml:space="preserve">≥95%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4.解决疑难信访问题配套资金绩效目标表</w:t>
      </w:r>
      <w:bookmarkEnd w:id="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202001魏县信访局本级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13043425P004292100016</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解决疑难信访问题配套资金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通过对疑难信访案件进行资金救助，促进社会和谐稳定，营造良好社会环境。</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1.通过对疑难信访案件进行资金救助，促进社会和谐稳定，营造良好社会环境。</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案件数量</w:t>
            </w:r>
          </w:p>
        </w:tc>
        <w:tc>
          <w:tcPr>
            <w:tcW w:w="2891" w:type="dxa"/>
            <w:vAlign w:val="center"/>
          </w:tcPr>
          <w:p>
            <w:pPr>
              <w:pStyle w:val="单元格样式2"/>
            </w:pPr>
            <w:r>
              <w:t xml:space="preserve">使用配套资金解决案件的个数</w:t>
            </w:r>
          </w:p>
        </w:tc>
        <w:tc>
          <w:tcPr>
            <w:tcW w:w="1276" w:type="dxa"/>
            <w:vAlign w:val="center"/>
          </w:tcPr>
          <w:p>
            <w:pPr>
              <w:pStyle w:val="单元格样式2"/>
            </w:pPr>
            <w:r>
              <w:t xml:space="preserve">40个</w:t>
            </w:r>
          </w:p>
        </w:tc>
        <w:tc>
          <w:tcPr>
            <w:tcW w:w="1843" w:type="dxa"/>
            <w:vAlign w:val="center"/>
          </w:tcPr>
          <w:p>
            <w:pPr>
              <w:pStyle w:val="单元格样式2"/>
            </w:pPr>
            <w:r>
              <w:t xml:space="preserve">《关于进一步建立和完善解决特殊疑难信访问题救助基金管理制度的意见》（魏联字〔2021〕4号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信访事项化解率(%)</w:t>
            </w:r>
          </w:p>
        </w:tc>
        <w:tc>
          <w:tcPr>
            <w:tcW w:w="2891" w:type="dxa"/>
            <w:vAlign w:val="center"/>
          </w:tcPr>
          <w:p>
            <w:pPr>
              <w:pStyle w:val="单元格样式2"/>
            </w:pPr>
            <w:r>
              <w:t xml:space="preserve">使用配套资金解决案件的化解率</w:t>
            </w:r>
          </w:p>
        </w:tc>
        <w:tc>
          <w:tcPr>
            <w:tcW w:w="1276" w:type="dxa"/>
            <w:vAlign w:val="center"/>
          </w:tcPr>
          <w:p>
            <w:pPr>
              <w:pStyle w:val="单元格样式2"/>
            </w:pPr>
            <w:r>
              <w:t xml:space="preserve">100%</w:t>
            </w:r>
          </w:p>
        </w:tc>
        <w:tc>
          <w:tcPr>
            <w:tcW w:w="1843" w:type="dxa"/>
            <w:vAlign w:val="center"/>
          </w:tcPr>
          <w:p>
            <w:pPr>
              <w:pStyle w:val="单元格样式2"/>
            </w:pPr>
            <w:r>
              <w:t xml:space="preserve">《关于进一步建立和完善解决特殊疑难信访问题救助基金管理制度的意见》（魏联字〔2021〕4号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救助资金发放及时率</w:t>
            </w:r>
          </w:p>
        </w:tc>
        <w:tc>
          <w:tcPr>
            <w:tcW w:w="2891" w:type="dxa"/>
            <w:vAlign w:val="center"/>
          </w:tcPr>
          <w:p>
            <w:pPr>
              <w:pStyle w:val="单元格样式2"/>
            </w:pPr>
            <w:r>
              <w:t xml:space="preserve">解决疑难信访问题资金</w:t>
            </w:r>
          </w:p>
        </w:tc>
        <w:tc>
          <w:tcPr>
            <w:tcW w:w="1276" w:type="dxa"/>
            <w:vAlign w:val="center"/>
          </w:tcPr>
          <w:p>
            <w:pPr>
              <w:pStyle w:val="单元格样式2"/>
            </w:pPr>
            <w:r>
              <w:t xml:space="preserve">100%</w:t>
            </w:r>
          </w:p>
        </w:tc>
        <w:tc>
          <w:tcPr>
            <w:tcW w:w="1843" w:type="dxa"/>
            <w:vAlign w:val="center"/>
          </w:tcPr>
          <w:p>
            <w:pPr>
              <w:pStyle w:val="单元格样式2"/>
            </w:pPr>
            <w:r>
              <w:t xml:space="preserve">《关于进一步建立和完善解决特殊疑难信访问题救助基金管理制度的意见》（魏联字〔2021〕4号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信访救助资金</w:t>
            </w:r>
          </w:p>
        </w:tc>
        <w:tc>
          <w:tcPr>
            <w:tcW w:w="2891" w:type="dxa"/>
            <w:vAlign w:val="center"/>
          </w:tcPr>
          <w:p>
            <w:pPr>
              <w:pStyle w:val="单元格样式2"/>
            </w:pPr>
            <w:r>
              <w:t xml:space="preserve">及时发放救助金</w:t>
            </w:r>
          </w:p>
        </w:tc>
        <w:tc>
          <w:tcPr>
            <w:tcW w:w="1276" w:type="dxa"/>
            <w:vAlign w:val="center"/>
          </w:tcPr>
          <w:p>
            <w:pPr>
              <w:pStyle w:val="单元格样式2"/>
            </w:pPr>
            <w:r>
              <w:t xml:space="preserve">200万元</w:t>
            </w:r>
          </w:p>
        </w:tc>
        <w:tc>
          <w:tcPr>
            <w:tcW w:w="1843" w:type="dxa"/>
            <w:vAlign w:val="center"/>
          </w:tcPr>
          <w:p>
            <w:pPr>
              <w:pStyle w:val="单元格样式2"/>
            </w:pPr>
            <w:r>
              <w:t xml:space="preserve">《关于进一步建立和完善解决特殊疑难信访问题救助基金管理制度的意见》（魏联字〔2021〕4号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信访平稳可控</w:t>
            </w:r>
          </w:p>
        </w:tc>
        <w:tc>
          <w:tcPr>
            <w:tcW w:w="2891" w:type="dxa"/>
            <w:vAlign w:val="center"/>
          </w:tcPr>
          <w:p>
            <w:pPr>
              <w:pStyle w:val="单元格样式2"/>
            </w:pPr>
            <w:r>
              <w:t xml:space="preserve">全县信访形势总体平稳可控</w:t>
            </w:r>
          </w:p>
        </w:tc>
        <w:tc>
          <w:tcPr>
            <w:tcW w:w="1276" w:type="dxa"/>
            <w:vAlign w:val="center"/>
          </w:tcPr>
          <w:p>
            <w:pPr>
              <w:pStyle w:val="单元格样式2"/>
            </w:pPr>
            <w:r>
              <w:t xml:space="preserve">保持全县信访形势总体平稳可控</w:t>
            </w:r>
          </w:p>
        </w:tc>
        <w:tc>
          <w:tcPr>
            <w:tcW w:w="1843" w:type="dxa"/>
            <w:vAlign w:val="center"/>
          </w:tcPr>
          <w:p>
            <w:pPr>
              <w:pStyle w:val="单元格样式2"/>
            </w:pPr>
            <w:r>
              <w:t xml:space="preserve">魏县信访局年度工作计划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社会稳定</w:t>
            </w:r>
          </w:p>
        </w:tc>
        <w:tc>
          <w:tcPr>
            <w:tcW w:w="2891" w:type="dxa"/>
            <w:vAlign w:val="center"/>
          </w:tcPr>
          <w:p>
            <w:pPr>
              <w:pStyle w:val="单元格样式2"/>
            </w:pPr>
            <w:r>
              <w:t xml:space="preserve">持续提升我县社会稳定水平</w:t>
            </w:r>
          </w:p>
        </w:tc>
        <w:tc>
          <w:tcPr>
            <w:tcW w:w="1276" w:type="dxa"/>
            <w:vAlign w:val="center"/>
          </w:tcPr>
          <w:p>
            <w:pPr>
              <w:pStyle w:val="单元格样式2"/>
            </w:pPr>
            <w:r>
              <w:t xml:space="preserve">持续提升社会稳定水平</w:t>
            </w:r>
          </w:p>
        </w:tc>
        <w:tc>
          <w:tcPr>
            <w:tcW w:w="1843" w:type="dxa"/>
            <w:vAlign w:val="center"/>
          </w:tcPr>
          <w:p>
            <w:pPr>
              <w:pStyle w:val="单元格样式2"/>
            </w:pPr>
            <w:r>
              <w:t xml:space="preserve">魏县信访局年度工作计划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救助对象的满意度</w:t>
            </w:r>
          </w:p>
        </w:tc>
        <w:tc>
          <w:tcPr>
            <w:tcW w:w="2891" w:type="dxa"/>
            <w:vAlign w:val="center"/>
          </w:tcPr>
          <w:p>
            <w:pPr>
              <w:pStyle w:val="单元格样式2"/>
            </w:pPr>
            <w:r>
              <w:t xml:space="preserve">救助对象的满意度</w:t>
            </w:r>
          </w:p>
        </w:tc>
        <w:tc>
          <w:tcPr>
            <w:tcW w:w="1276" w:type="dxa"/>
            <w:vAlign w:val="center"/>
          </w:tcPr>
          <w:p>
            <w:pPr>
              <w:pStyle w:val="单元格样式2"/>
            </w:pPr>
            <w:r>
              <w:t xml:space="preserve">≥95%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5.驻京、省信访群众服务联络处工作经费绩效目标表</w:t>
      </w:r>
      <w:bookmarkEnd w:id="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202001魏县信访局本级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13043425P00429210002R</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驻京、省信访群众服务联络处工作经费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120.00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120.00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通过及时处理进京、赴省上访群众，力争做到全年进京赴省访零登记，维护我县社会稳定。</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1.通过及时处理进京、赴省上访群众，力争做到全年进京赴省访零登记，维护我县社会稳定。</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开展信访维稳保障工作天数</w:t>
            </w:r>
          </w:p>
        </w:tc>
        <w:tc>
          <w:tcPr>
            <w:tcW w:w="2891" w:type="dxa"/>
            <w:vAlign w:val="center"/>
          </w:tcPr>
          <w:p>
            <w:pPr>
              <w:pStyle w:val="单元格样式2"/>
            </w:pPr>
            <w:r>
              <w:t xml:space="preserve">开展信访维稳保障工作天数</w:t>
            </w:r>
          </w:p>
        </w:tc>
        <w:tc>
          <w:tcPr>
            <w:tcW w:w="1276" w:type="dxa"/>
            <w:vAlign w:val="center"/>
          </w:tcPr>
          <w:p>
            <w:pPr>
              <w:pStyle w:val="单元格样式2"/>
            </w:pPr>
            <w:r>
              <w:t xml:space="preserve">365天</w:t>
            </w:r>
          </w:p>
        </w:tc>
        <w:tc>
          <w:tcPr>
            <w:tcW w:w="1843" w:type="dxa"/>
            <w:vAlign w:val="center"/>
          </w:tcPr>
          <w:p>
            <w:pPr>
              <w:pStyle w:val="单元格样式2"/>
            </w:pPr>
            <w:r>
              <w:t xml:space="preserve">魏县信访局年度工作计划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信访事项化解率(%)</w:t>
            </w:r>
          </w:p>
        </w:tc>
        <w:tc>
          <w:tcPr>
            <w:tcW w:w="2891" w:type="dxa"/>
            <w:vAlign w:val="center"/>
          </w:tcPr>
          <w:p>
            <w:pPr>
              <w:pStyle w:val="单元格样式2"/>
            </w:pPr>
            <w:r>
              <w:t xml:space="preserve">信访事项化解率(%)</w:t>
            </w:r>
          </w:p>
        </w:tc>
        <w:tc>
          <w:tcPr>
            <w:tcW w:w="1276" w:type="dxa"/>
            <w:vAlign w:val="center"/>
          </w:tcPr>
          <w:p>
            <w:pPr>
              <w:pStyle w:val="单元格样式2"/>
            </w:pPr>
            <w:r>
              <w:t xml:space="preserve">100%</w:t>
            </w:r>
          </w:p>
        </w:tc>
        <w:tc>
          <w:tcPr>
            <w:tcW w:w="1843" w:type="dxa"/>
            <w:vAlign w:val="center"/>
          </w:tcPr>
          <w:p>
            <w:pPr>
              <w:pStyle w:val="单元格样式2"/>
            </w:pPr>
            <w:r>
              <w:t xml:space="preserve">魏县信访局年度工作计划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信访事项受理及时率</w:t>
            </w:r>
          </w:p>
        </w:tc>
        <w:tc>
          <w:tcPr>
            <w:tcW w:w="2891" w:type="dxa"/>
            <w:vAlign w:val="center"/>
          </w:tcPr>
          <w:p>
            <w:pPr>
              <w:pStyle w:val="单元格样式2"/>
            </w:pPr>
            <w:r>
              <w:t xml:space="preserve">信访事项受理及时率</w:t>
            </w:r>
          </w:p>
        </w:tc>
        <w:tc>
          <w:tcPr>
            <w:tcW w:w="1276" w:type="dxa"/>
            <w:vAlign w:val="center"/>
          </w:tcPr>
          <w:p>
            <w:pPr>
              <w:pStyle w:val="单元格样式2"/>
            </w:pPr>
            <w:r>
              <w:t xml:space="preserve">100%</w:t>
            </w:r>
          </w:p>
        </w:tc>
        <w:tc>
          <w:tcPr>
            <w:tcW w:w="1843" w:type="dxa"/>
            <w:vAlign w:val="center"/>
          </w:tcPr>
          <w:p>
            <w:pPr>
              <w:pStyle w:val="单元格样式2"/>
            </w:pPr>
            <w:r>
              <w:t xml:space="preserve">魏县信访局年度工作计划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120万元</w:t>
            </w:r>
          </w:p>
        </w:tc>
        <w:tc>
          <w:tcPr>
            <w:tcW w:w="1843" w:type="dxa"/>
            <w:vAlign w:val="center"/>
          </w:tcPr>
          <w:p>
            <w:pPr>
              <w:pStyle w:val="单元格样式2"/>
            </w:pPr>
            <w:r>
              <w:t xml:space="preserve">魏县信访局年度工作计划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信访平稳可控</w:t>
            </w:r>
          </w:p>
        </w:tc>
        <w:tc>
          <w:tcPr>
            <w:tcW w:w="2891" w:type="dxa"/>
            <w:vAlign w:val="center"/>
          </w:tcPr>
          <w:p>
            <w:pPr>
              <w:pStyle w:val="单元格样式2"/>
            </w:pPr>
            <w:r>
              <w:t xml:space="preserve">保持全县信访形势总体平稳可控</w:t>
            </w:r>
          </w:p>
        </w:tc>
        <w:tc>
          <w:tcPr>
            <w:tcW w:w="1276" w:type="dxa"/>
            <w:vAlign w:val="center"/>
          </w:tcPr>
          <w:p>
            <w:pPr>
              <w:pStyle w:val="单元格样式2"/>
            </w:pPr>
            <w:r>
              <w:t xml:space="preserve">保持全县信访形势总体平稳可控</w:t>
            </w:r>
          </w:p>
        </w:tc>
        <w:tc>
          <w:tcPr>
            <w:tcW w:w="1843" w:type="dxa"/>
            <w:vAlign w:val="center"/>
          </w:tcPr>
          <w:p>
            <w:pPr>
              <w:pStyle w:val="单元格样式2"/>
            </w:pPr>
            <w:r>
              <w:t xml:space="preserve">魏县信访局年度工作计划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社会稳定</w:t>
            </w:r>
          </w:p>
        </w:tc>
        <w:tc>
          <w:tcPr>
            <w:tcW w:w="2891" w:type="dxa"/>
            <w:vAlign w:val="center"/>
          </w:tcPr>
          <w:p>
            <w:pPr>
              <w:pStyle w:val="单元格样式2"/>
            </w:pPr>
            <w:r>
              <w:t xml:space="preserve">持续提升社会稳定水平</w:t>
            </w:r>
          </w:p>
        </w:tc>
        <w:tc>
          <w:tcPr>
            <w:tcW w:w="1276" w:type="dxa"/>
            <w:vAlign w:val="center"/>
          </w:tcPr>
          <w:p>
            <w:pPr>
              <w:pStyle w:val="单元格样式2"/>
            </w:pPr>
            <w:r>
              <w:t xml:space="preserve">持续提升社会稳定水平</w:t>
            </w:r>
          </w:p>
        </w:tc>
        <w:tc>
          <w:tcPr>
            <w:tcW w:w="1843" w:type="dxa"/>
            <w:vAlign w:val="center"/>
          </w:tcPr>
          <w:p>
            <w:pPr>
              <w:pStyle w:val="单元格样式2"/>
            </w:pPr>
            <w:r>
              <w:t xml:space="preserve">魏县信访局年度工作计划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信访群众满意度</w:t>
            </w:r>
          </w:p>
        </w:tc>
        <w:tc>
          <w:tcPr>
            <w:tcW w:w="2891" w:type="dxa"/>
            <w:vAlign w:val="center"/>
          </w:tcPr>
          <w:p>
            <w:pPr>
              <w:pStyle w:val="单元格样式2"/>
            </w:pPr>
            <w:r>
              <w:t xml:space="preserve">信访群众满意度</w:t>
            </w:r>
          </w:p>
        </w:tc>
        <w:tc>
          <w:tcPr>
            <w:tcW w:w="1276" w:type="dxa"/>
            <w:vAlign w:val="center"/>
          </w:tcPr>
          <w:p>
            <w:pPr>
              <w:pStyle w:val="单元格样式2"/>
            </w:pPr>
            <w:r>
              <w:t xml:space="preserve">≥95%</w:t>
            </w:r>
          </w:p>
        </w:tc>
        <w:tc>
          <w:tcPr>
            <w:tcW w:w="1843" w:type="dxa"/>
            <w:vAlign w:val="center"/>
          </w:tcPr>
          <w:p>
            <w:pPr>
              <w:pStyle w:val="单元格样式2"/>
            </w:pPr>
            <w:r>
              <w:t xml:space="preserve">调查问卷</w:t>
            </w:r>
          </w:p>
        </w:tc>
      </w:tr>
    </w:tbl>
    <w:p>
      <w:pPr/>
    </w:p>
    <w:sectPr>
      <w:type w:val="nextPage"/>
      <w:pgSz w:w="11900" w:h="16840" w:orient="portrait"/>
      <w:pgMar w:top="1984" w:right="1304" w:bottom="1134" w:left="1304"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12</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2025-02-13T19:35:08Z</dcterms:created>
  <dcterms:modified xsi:type="dcterms:W3CDTF">2025-02-13T19:35:08Z</dcterms:modified>
</cp:coreProperties>
</file>