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17</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18</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26</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26</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26</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27</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202魏县信访局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761.81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749.09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12.72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761.81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761.81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761.81</w:t>
            </w:r>
          </w:p>
        </w:tc>
        <w:tc>
          <w:tcPr>
            <w:tcW w:w="4535" w:type="dxa"/>
            <w:vAlign w:val="center"/>
          </w:tcPr>
          <w:p>
            <w:pPr>
              <w:pStyle w:val="单元格样式6"/>
            </w:pPr>
            <w:r>
              <w:t xml:space="preserve">支出总计</w:t>
            </w:r>
          </w:p>
        </w:tc>
        <w:tc>
          <w:tcPr>
            <w:tcW w:w="2126" w:type="dxa"/>
            <w:vAlign w:val="center"/>
          </w:tcPr>
          <w:p>
            <w:pPr>
              <w:pStyle w:val="单元格样式7"/>
            </w:pPr>
            <w:r>
              <w:t xml:space="preserve">761.81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202魏县信访局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761.81</w:t>
            </w:r>
          </w:p>
        </w:tc>
        <w:tc>
          <w:tcPr>
            <w:tcW w:w="1134" w:type="dxa"/>
            <w:vAlign w:val="center"/>
          </w:tcPr>
          <w:p>
            <w:pPr>
              <w:pStyle w:val="单元格样式7"/>
            </w:pPr>
            <w:r>
              <w:t xml:space="preserve">761.81</w:t>
            </w:r>
          </w:p>
        </w:tc>
        <w:tc>
          <w:tcPr>
            <w:tcW w:w="1134" w:type="dxa"/>
            <w:vAlign w:val="center"/>
          </w:tcPr>
          <w:p>
            <w:pPr>
              <w:pStyle w:val="单元格样式7"/>
            </w:pPr>
            <w:r>
              <w:t xml:space="preserve">761.81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749.09</w:t>
            </w:r>
          </w:p>
        </w:tc>
        <w:tc>
          <w:tcPr>
            <w:tcW w:w="1134" w:type="dxa"/>
            <w:vAlign w:val="center"/>
          </w:tcPr>
          <w:p>
            <w:pPr>
              <w:pStyle w:val="单元格样式4"/>
            </w:pPr>
            <w:r>
              <w:t xml:space="preserve">749.09</w:t>
            </w:r>
          </w:p>
        </w:tc>
        <w:tc>
          <w:tcPr>
            <w:tcW w:w="1134" w:type="dxa"/>
            <w:vAlign w:val="center"/>
          </w:tcPr>
          <w:p>
            <w:pPr>
              <w:pStyle w:val="单元格样式4"/>
            </w:pPr>
            <w:r>
              <w:t xml:space="preserve">749.09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250.36</w:t>
            </w:r>
          </w:p>
        </w:tc>
        <w:tc>
          <w:tcPr>
            <w:tcW w:w="1134" w:type="dxa"/>
            <w:vAlign w:val="center"/>
          </w:tcPr>
          <w:p>
            <w:pPr>
              <w:pStyle w:val="单元格样式4"/>
            </w:pPr>
            <w:r>
              <w:t xml:space="preserve">250.36</w:t>
            </w:r>
          </w:p>
        </w:tc>
        <w:tc>
          <w:tcPr>
            <w:tcW w:w="1134" w:type="dxa"/>
            <w:vAlign w:val="center"/>
          </w:tcPr>
          <w:p>
            <w:pPr>
              <w:pStyle w:val="单元格样式4"/>
            </w:pPr>
            <w:r>
              <w:t xml:space="preserve">250.36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250.36</w:t>
            </w:r>
          </w:p>
        </w:tc>
        <w:tc>
          <w:tcPr>
            <w:tcW w:w="1134" w:type="dxa"/>
            <w:vAlign w:val="center"/>
          </w:tcPr>
          <w:p>
            <w:pPr>
              <w:pStyle w:val="单元格样式4"/>
            </w:pPr>
            <w:r>
              <w:t xml:space="preserve">250.36</w:t>
            </w:r>
          </w:p>
        </w:tc>
        <w:tc>
          <w:tcPr>
            <w:tcW w:w="1134" w:type="dxa"/>
            <w:vAlign w:val="center"/>
          </w:tcPr>
          <w:p>
            <w:pPr>
              <w:pStyle w:val="单元格样式4"/>
            </w:pPr>
            <w:r>
              <w:t xml:space="preserve">250.36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20131</w:t>
            </w:r>
          </w:p>
        </w:tc>
        <w:tc>
          <w:tcPr>
            <w:tcW w:w="1559" w:type="dxa"/>
            <w:vAlign w:val="center"/>
          </w:tcPr>
          <w:p>
            <w:pPr>
              <w:pStyle w:val="单元格样式2"/>
            </w:pPr>
            <w:r>
              <w:t xml:space="preserve">党委办公厅（室）及相关机构事务</w:t>
            </w:r>
          </w:p>
        </w:tc>
        <w:tc>
          <w:tcPr>
            <w:tcW w:w="1134" w:type="dxa"/>
            <w:vAlign w:val="center"/>
          </w:tcPr>
          <w:p>
            <w:pPr>
              <w:pStyle w:val="单元格样式4"/>
            </w:pPr>
            <w:r>
              <w:t xml:space="preserve">29.66</w:t>
            </w:r>
          </w:p>
        </w:tc>
        <w:tc>
          <w:tcPr>
            <w:tcW w:w="1134" w:type="dxa"/>
            <w:vAlign w:val="center"/>
          </w:tcPr>
          <w:p>
            <w:pPr>
              <w:pStyle w:val="单元格样式4"/>
            </w:pPr>
            <w:r>
              <w:t xml:space="preserve">29.66</w:t>
            </w:r>
          </w:p>
        </w:tc>
        <w:tc>
          <w:tcPr>
            <w:tcW w:w="1134" w:type="dxa"/>
            <w:vAlign w:val="center"/>
          </w:tcPr>
          <w:p>
            <w:pPr>
              <w:pStyle w:val="单元格样式4"/>
            </w:pPr>
            <w:r>
              <w:t xml:space="preserve">29.66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29.66</w:t>
            </w:r>
          </w:p>
        </w:tc>
        <w:tc>
          <w:tcPr>
            <w:tcW w:w="1134" w:type="dxa"/>
            <w:vAlign w:val="center"/>
          </w:tcPr>
          <w:p>
            <w:pPr>
              <w:pStyle w:val="单元格样式4"/>
            </w:pPr>
            <w:r>
              <w:t xml:space="preserve">29.66</w:t>
            </w:r>
          </w:p>
        </w:tc>
        <w:tc>
          <w:tcPr>
            <w:tcW w:w="1134" w:type="dxa"/>
            <w:vAlign w:val="center"/>
          </w:tcPr>
          <w:p>
            <w:pPr>
              <w:pStyle w:val="单元格样式4"/>
            </w:pPr>
            <w:r>
              <w:t xml:space="preserve">29.66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20140</w:t>
            </w:r>
          </w:p>
        </w:tc>
        <w:tc>
          <w:tcPr>
            <w:tcW w:w="1559" w:type="dxa"/>
            <w:vAlign w:val="center"/>
          </w:tcPr>
          <w:p>
            <w:pPr>
              <w:pStyle w:val="单元格样式2"/>
            </w:pPr>
            <w:r>
              <w:t xml:space="preserve">信访事务</w:t>
            </w:r>
          </w:p>
        </w:tc>
        <w:tc>
          <w:tcPr>
            <w:tcW w:w="1134" w:type="dxa"/>
            <w:vAlign w:val="center"/>
          </w:tcPr>
          <w:p>
            <w:pPr>
              <w:pStyle w:val="单元格样式4"/>
            </w:pPr>
            <w:r>
              <w:t xml:space="preserve">469.07</w:t>
            </w:r>
          </w:p>
        </w:tc>
        <w:tc>
          <w:tcPr>
            <w:tcW w:w="1134" w:type="dxa"/>
            <w:vAlign w:val="center"/>
          </w:tcPr>
          <w:p>
            <w:pPr>
              <w:pStyle w:val="单元格样式4"/>
            </w:pPr>
            <w:r>
              <w:t xml:space="preserve">469.07</w:t>
            </w:r>
          </w:p>
        </w:tc>
        <w:tc>
          <w:tcPr>
            <w:tcW w:w="1134" w:type="dxa"/>
            <w:vAlign w:val="center"/>
          </w:tcPr>
          <w:p>
            <w:pPr>
              <w:pStyle w:val="单元格样式4"/>
            </w:pPr>
            <w:r>
              <w:t xml:space="preserve">469.07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2014001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45.07</w:t>
            </w:r>
          </w:p>
        </w:tc>
        <w:tc>
          <w:tcPr>
            <w:tcW w:w="1134" w:type="dxa"/>
            <w:vAlign w:val="center"/>
          </w:tcPr>
          <w:p>
            <w:pPr>
              <w:pStyle w:val="单元格样式4"/>
            </w:pPr>
            <w:r>
              <w:t xml:space="preserve">45.07</w:t>
            </w:r>
          </w:p>
        </w:tc>
        <w:tc>
          <w:tcPr>
            <w:tcW w:w="1134" w:type="dxa"/>
            <w:vAlign w:val="center"/>
          </w:tcPr>
          <w:p>
            <w:pPr>
              <w:pStyle w:val="单元格样式4"/>
            </w:pPr>
            <w:r>
              <w:t xml:space="preserve">45.07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2014002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34.00</w:t>
            </w:r>
          </w:p>
        </w:tc>
        <w:tc>
          <w:tcPr>
            <w:tcW w:w="1134" w:type="dxa"/>
            <w:vAlign w:val="center"/>
          </w:tcPr>
          <w:p>
            <w:pPr>
              <w:pStyle w:val="单元格样式4"/>
            </w:pPr>
            <w:r>
              <w:t xml:space="preserve">34.00</w:t>
            </w:r>
          </w:p>
        </w:tc>
        <w:tc>
          <w:tcPr>
            <w:tcW w:w="1134" w:type="dxa"/>
            <w:vAlign w:val="center"/>
          </w:tcPr>
          <w:p>
            <w:pPr>
              <w:pStyle w:val="单元格样式4"/>
            </w:pPr>
            <w:r>
              <w:t xml:space="preserve">34.00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2014004</w:t>
            </w:r>
          </w:p>
        </w:tc>
        <w:tc>
          <w:tcPr>
            <w:tcW w:w="1559" w:type="dxa"/>
            <w:vAlign w:val="center"/>
          </w:tcPr>
          <w:p>
            <w:pPr>
              <w:pStyle w:val="单元格样式2"/>
            </w:pPr>
            <w:r>
              <w:t xml:space="preserve">信访业务</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2014099</w:t>
            </w:r>
          </w:p>
        </w:tc>
        <w:tc>
          <w:tcPr>
            <w:tcW w:w="1559" w:type="dxa"/>
            <w:vAlign w:val="center"/>
          </w:tcPr>
          <w:p>
            <w:pPr>
              <w:pStyle w:val="单元格样式2"/>
            </w:pPr>
            <w:r>
              <w:t xml:space="preserve">其他信访事务支出</w:t>
            </w:r>
          </w:p>
        </w:tc>
        <w:tc>
          <w:tcPr>
            <w:tcW w:w="1134" w:type="dxa"/>
            <w:vAlign w:val="center"/>
          </w:tcPr>
          <w:p>
            <w:pPr>
              <w:pStyle w:val="单元格样式4"/>
            </w:pPr>
            <w:r>
              <w:t xml:space="preserve">330.00</w:t>
            </w:r>
          </w:p>
        </w:tc>
        <w:tc>
          <w:tcPr>
            <w:tcW w:w="1134" w:type="dxa"/>
            <w:vAlign w:val="center"/>
          </w:tcPr>
          <w:p>
            <w:pPr>
              <w:pStyle w:val="单元格样式4"/>
            </w:pPr>
            <w:r>
              <w:t xml:space="preserve">330.00</w:t>
            </w:r>
          </w:p>
        </w:tc>
        <w:tc>
          <w:tcPr>
            <w:tcW w:w="1134" w:type="dxa"/>
            <w:vAlign w:val="center"/>
          </w:tcPr>
          <w:p>
            <w:pPr>
              <w:pStyle w:val="单元格样式4"/>
            </w:pPr>
            <w:r>
              <w:t xml:space="preserve">330.00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12.72</w:t>
            </w:r>
          </w:p>
        </w:tc>
        <w:tc>
          <w:tcPr>
            <w:tcW w:w="1134" w:type="dxa"/>
            <w:vAlign w:val="center"/>
          </w:tcPr>
          <w:p>
            <w:pPr>
              <w:pStyle w:val="单元格样式4"/>
            </w:pPr>
            <w:r>
              <w:t xml:space="preserve">12.72</w:t>
            </w:r>
          </w:p>
        </w:tc>
        <w:tc>
          <w:tcPr>
            <w:tcW w:w="1134" w:type="dxa"/>
            <w:vAlign w:val="center"/>
          </w:tcPr>
          <w:p>
            <w:pPr>
              <w:pStyle w:val="单元格样式4"/>
            </w:pPr>
            <w:r>
              <w:t xml:space="preserve">12.72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12.72</w:t>
            </w:r>
          </w:p>
        </w:tc>
        <w:tc>
          <w:tcPr>
            <w:tcW w:w="1134" w:type="dxa"/>
            <w:vAlign w:val="center"/>
          </w:tcPr>
          <w:p>
            <w:pPr>
              <w:pStyle w:val="单元格样式4"/>
            </w:pPr>
            <w:r>
              <w:t xml:space="preserve">12.72</w:t>
            </w:r>
          </w:p>
        </w:tc>
        <w:tc>
          <w:tcPr>
            <w:tcW w:w="1134" w:type="dxa"/>
            <w:vAlign w:val="center"/>
          </w:tcPr>
          <w:p>
            <w:pPr>
              <w:pStyle w:val="单元格样式4"/>
            </w:pPr>
            <w:r>
              <w:t xml:space="preserve">12.72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12.72</w:t>
            </w:r>
          </w:p>
        </w:tc>
        <w:tc>
          <w:tcPr>
            <w:tcW w:w="1134" w:type="dxa"/>
            <w:vAlign w:val="center"/>
          </w:tcPr>
          <w:p>
            <w:pPr>
              <w:pStyle w:val="单元格样式4"/>
            </w:pPr>
            <w:r>
              <w:t xml:space="preserve">12.72</w:t>
            </w:r>
          </w:p>
        </w:tc>
        <w:tc>
          <w:tcPr>
            <w:tcW w:w="1134" w:type="dxa"/>
            <w:vAlign w:val="center"/>
          </w:tcPr>
          <w:p>
            <w:pPr>
              <w:pStyle w:val="单元格样式4"/>
            </w:pPr>
            <w:r>
              <w:t xml:space="preserve">12.72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202魏县信访局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761.81</w:t>
            </w:r>
          </w:p>
        </w:tc>
        <w:tc>
          <w:tcPr>
            <w:tcW w:w="1361" w:type="dxa"/>
            <w:vAlign w:val="center"/>
          </w:tcPr>
          <w:p>
            <w:pPr>
              <w:pStyle w:val="单元格样式7"/>
            </w:pPr>
            <w:r>
              <w:t xml:space="preserve">337.81</w:t>
            </w:r>
          </w:p>
        </w:tc>
        <w:tc>
          <w:tcPr>
            <w:tcW w:w="1361" w:type="dxa"/>
            <w:vAlign w:val="center"/>
          </w:tcPr>
          <w:p>
            <w:pPr>
              <w:pStyle w:val="单元格样式7"/>
            </w:pPr>
            <w:r>
              <w:t xml:space="preserve">424.00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749.09</w:t>
            </w:r>
          </w:p>
        </w:tc>
        <w:tc>
          <w:tcPr>
            <w:tcW w:w="1361" w:type="dxa"/>
            <w:vAlign w:val="center"/>
          </w:tcPr>
          <w:p>
            <w:pPr>
              <w:pStyle w:val="单元格样式4"/>
            </w:pPr>
            <w:r>
              <w:t xml:space="preserve">325.09</w:t>
            </w:r>
          </w:p>
        </w:tc>
        <w:tc>
          <w:tcPr>
            <w:tcW w:w="1361" w:type="dxa"/>
            <w:vAlign w:val="center"/>
          </w:tcPr>
          <w:p>
            <w:pPr>
              <w:pStyle w:val="单元格样式4"/>
            </w:pPr>
            <w:r>
              <w:t xml:space="preserve">424.00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250.36</w:t>
            </w:r>
          </w:p>
        </w:tc>
        <w:tc>
          <w:tcPr>
            <w:tcW w:w="1361" w:type="dxa"/>
            <w:vAlign w:val="center"/>
          </w:tcPr>
          <w:p>
            <w:pPr>
              <w:pStyle w:val="单元格样式4"/>
            </w:pPr>
            <w:r>
              <w:t xml:space="preserve">250.36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250.36</w:t>
            </w:r>
          </w:p>
        </w:tc>
        <w:tc>
          <w:tcPr>
            <w:tcW w:w="1361" w:type="dxa"/>
            <w:vAlign w:val="center"/>
          </w:tcPr>
          <w:p>
            <w:pPr>
              <w:pStyle w:val="单元格样式4"/>
            </w:pPr>
            <w:r>
              <w:t xml:space="preserve">250.36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1361" w:type="dxa"/>
            <w:vAlign w:val="center"/>
          </w:tcPr>
          <w:p>
            <w:pPr>
              <w:pStyle w:val="单元格样式4"/>
            </w:pPr>
            <w:r>
              <w:t xml:space="preserve">29.66</w:t>
            </w:r>
          </w:p>
        </w:tc>
        <w:tc>
          <w:tcPr>
            <w:tcW w:w="1361" w:type="dxa"/>
            <w:vAlign w:val="center"/>
          </w:tcPr>
          <w:p>
            <w:pPr>
              <w:pStyle w:val="单元格样式4"/>
            </w:pPr>
            <w:r>
              <w:t xml:space="preserve">29.66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29.66</w:t>
            </w:r>
          </w:p>
        </w:tc>
        <w:tc>
          <w:tcPr>
            <w:tcW w:w="1361" w:type="dxa"/>
            <w:vAlign w:val="center"/>
          </w:tcPr>
          <w:p>
            <w:pPr>
              <w:pStyle w:val="单元格样式4"/>
            </w:pPr>
            <w:r>
              <w:t xml:space="preserve">29.66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20140</w:t>
            </w:r>
          </w:p>
        </w:tc>
        <w:tc>
          <w:tcPr>
            <w:tcW w:w="4535" w:type="dxa"/>
            <w:vAlign w:val="center"/>
          </w:tcPr>
          <w:p>
            <w:pPr>
              <w:pStyle w:val="单元格样式2"/>
            </w:pPr>
            <w:r>
              <w:t xml:space="preserve">信访事务</w:t>
            </w:r>
          </w:p>
        </w:tc>
        <w:tc>
          <w:tcPr>
            <w:tcW w:w="1361" w:type="dxa"/>
            <w:vAlign w:val="center"/>
          </w:tcPr>
          <w:p>
            <w:pPr>
              <w:pStyle w:val="单元格样式4"/>
            </w:pPr>
            <w:r>
              <w:t xml:space="preserve">469.07</w:t>
            </w:r>
          </w:p>
        </w:tc>
        <w:tc>
          <w:tcPr>
            <w:tcW w:w="1361" w:type="dxa"/>
            <w:vAlign w:val="center"/>
          </w:tcPr>
          <w:p>
            <w:pPr>
              <w:pStyle w:val="单元格样式4"/>
            </w:pPr>
            <w:r>
              <w:t xml:space="preserve">45.07</w:t>
            </w:r>
          </w:p>
        </w:tc>
        <w:tc>
          <w:tcPr>
            <w:tcW w:w="1361" w:type="dxa"/>
            <w:vAlign w:val="center"/>
          </w:tcPr>
          <w:p>
            <w:pPr>
              <w:pStyle w:val="单元格样式4"/>
            </w:pPr>
            <w:r>
              <w:t xml:space="preserve">424.00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2014001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45.07</w:t>
            </w:r>
          </w:p>
        </w:tc>
        <w:tc>
          <w:tcPr>
            <w:tcW w:w="1361" w:type="dxa"/>
            <w:vAlign w:val="center"/>
          </w:tcPr>
          <w:p>
            <w:pPr>
              <w:pStyle w:val="单元格样式4"/>
            </w:pPr>
            <w:r>
              <w:t xml:space="preserve">45.07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2014002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34.00</w:t>
            </w:r>
          </w:p>
        </w:tc>
        <w:tc>
          <w:tcPr>
            <w:tcW w:w="1361" w:type="dxa"/>
            <w:vAlign w:val="center"/>
          </w:tcPr>
          <w:p>
            <w:pPr>
              <w:pStyle w:val="单元格样式4"/>
            </w:pPr>
          </w:p>
        </w:tc>
        <w:tc>
          <w:tcPr>
            <w:tcW w:w="1361" w:type="dxa"/>
            <w:vAlign w:val="center"/>
          </w:tcPr>
          <w:p>
            <w:pPr>
              <w:pStyle w:val="单元格样式4"/>
            </w:pPr>
            <w:r>
              <w:t xml:space="preserve">34.00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2014099</w:t>
            </w:r>
          </w:p>
        </w:tc>
        <w:tc>
          <w:tcPr>
            <w:tcW w:w="4535" w:type="dxa"/>
            <w:vAlign w:val="center"/>
          </w:tcPr>
          <w:p>
            <w:pPr>
              <w:pStyle w:val="单元格样式2"/>
            </w:pPr>
            <w:r>
              <w:t xml:space="preserve">其他信访事务支出</w:t>
            </w:r>
          </w:p>
        </w:tc>
        <w:tc>
          <w:tcPr>
            <w:tcW w:w="1361" w:type="dxa"/>
            <w:vAlign w:val="center"/>
          </w:tcPr>
          <w:p>
            <w:pPr>
              <w:pStyle w:val="单元格样式4"/>
            </w:pPr>
            <w:r>
              <w:t xml:space="preserve">330.00</w:t>
            </w:r>
          </w:p>
        </w:tc>
        <w:tc>
          <w:tcPr>
            <w:tcW w:w="1361" w:type="dxa"/>
            <w:vAlign w:val="center"/>
          </w:tcPr>
          <w:p>
            <w:pPr>
              <w:pStyle w:val="单元格样式4"/>
            </w:pPr>
          </w:p>
        </w:tc>
        <w:tc>
          <w:tcPr>
            <w:tcW w:w="1361" w:type="dxa"/>
            <w:vAlign w:val="center"/>
          </w:tcPr>
          <w:p>
            <w:pPr>
              <w:pStyle w:val="单元格样式4"/>
            </w:pPr>
            <w:r>
              <w:t xml:space="preserve">330.00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12.72</w:t>
            </w:r>
          </w:p>
        </w:tc>
        <w:tc>
          <w:tcPr>
            <w:tcW w:w="1361" w:type="dxa"/>
            <w:vAlign w:val="center"/>
          </w:tcPr>
          <w:p>
            <w:pPr>
              <w:pStyle w:val="单元格样式4"/>
            </w:pPr>
            <w:r>
              <w:t xml:space="preserve">12.72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12.72</w:t>
            </w:r>
          </w:p>
        </w:tc>
        <w:tc>
          <w:tcPr>
            <w:tcW w:w="1361" w:type="dxa"/>
            <w:vAlign w:val="center"/>
          </w:tcPr>
          <w:p>
            <w:pPr>
              <w:pStyle w:val="单元格样式4"/>
            </w:pPr>
            <w:r>
              <w:t xml:space="preserve">12.72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12.72</w:t>
            </w:r>
          </w:p>
        </w:tc>
        <w:tc>
          <w:tcPr>
            <w:tcW w:w="1361" w:type="dxa"/>
            <w:vAlign w:val="center"/>
          </w:tcPr>
          <w:p>
            <w:pPr>
              <w:pStyle w:val="单元格样式4"/>
            </w:pPr>
            <w:r>
              <w:t xml:space="preserve">12.72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202魏县信访局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761.81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749.09</w:t>
            </w:r>
          </w:p>
        </w:tc>
        <w:tc>
          <w:tcPr>
            <w:tcW w:w="1474" w:type="dxa"/>
            <w:vAlign w:val="center"/>
          </w:tcPr>
          <w:p>
            <w:pPr>
              <w:pStyle w:val="单元格样式4"/>
            </w:pPr>
            <w:r>
              <w:t xml:space="preserve">749.09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12.72</w:t>
            </w:r>
          </w:p>
        </w:tc>
        <w:tc>
          <w:tcPr>
            <w:tcW w:w="1474" w:type="dxa"/>
            <w:vAlign w:val="center"/>
          </w:tcPr>
          <w:p>
            <w:pPr>
              <w:pStyle w:val="单元格样式4"/>
            </w:pPr>
            <w:r>
              <w:t xml:space="preserve">12.72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761.81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761.81</w:t>
            </w:r>
          </w:p>
        </w:tc>
        <w:tc>
          <w:tcPr>
            <w:tcW w:w="1474" w:type="dxa"/>
            <w:vAlign w:val="center"/>
          </w:tcPr>
          <w:p>
            <w:pPr>
              <w:pStyle w:val="单元格样式7"/>
            </w:pPr>
            <w:r>
              <w:t xml:space="preserve">761.81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761.81</w:t>
            </w:r>
          </w:p>
        </w:tc>
        <w:tc>
          <w:tcPr>
            <w:tcW w:w="3402" w:type="dxa"/>
            <w:vAlign w:val="center"/>
          </w:tcPr>
          <w:p>
            <w:pPr>
              <w:pStyle w:val="单元格样式6"/>
            </w:pPr>
            <w:r>
              <w:t xml:space="preserve">支出总计</w:t>
            </w:r>
          </w:p>
        </w:tc>
        <w:tc>
          <w:tcPr>
            <w:tcW w:w="1474" w:type="dxa"/>
            <w:vAlign w:val="center"/>
          </w:tcPr>
          <w:p>
            <w:pPr>
              <w:pStyle w:val="单元格样式7"/>
            </w:pPr>
            <w:r>
              <w:t xml:space="preserve">761.81</w:t>
            </w:r>
          </w:p>
        </w:tc>
        <w:tc>
          <w:tcPr>
            <w:tcW w:w="1474" w:type="dxa"/>
            <w:vAlign w:val="center"/>
          </w:tcPr>
          <w:p>
            <w:pPr>
              <w:pStyle w:val="单元格样式7"/>
            </w:pPr>
            <w:r>
              <w:t xml:space="preserve">761.81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202魏县信访局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761.81</w:t>
            </w:r>
          </w:p>
        </w:tc>
        <w:tc>
          <w:tcPr>
            <w:tcW w:w="2551" w:type="dxa"/>
            <w:vAlign w:val="center"/>
          </w:tcPr>
          <w:p>
            <w:pPr>
              <w:pStyle w:val="单元格样式7"/>
            </w:pPr>
            <w:r>
              <w:t xml:space="preserve">337.81</w:t>
            </w:r>
          </w:p>
        </w:tc>
        <w:tc>
          <w:tcPr>
            <w:tcW w:w="2551" w:type="dxa"/>
            <w:vAlign w:val="center"/>
          </w:tcPr>
          <w:p>
            <w:pPr>
              <w:pStyle w:val="单元格样式7"/>
            </w:pPr>
            <w:r>
              <w:t xml:space="preserve">424.00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749.09</w:t>
            </w:r>
          </w:p>
        </w:tc>
        <w:tc>
          <w:tcPr>
            <w:tcW w:w="2551" w:type="dxa"/>
            <w:vAlign w:val="center"/>
          </w:tcPr>
          <w:p>
            <w:pPr>
              <w:pStyle w:val="单元格样式4"/>
            </w:pPr>
            <w:r>
              <w:t xml:space="preserve">325.09</w:t>
            </w:r>
          </w:p>
        </w:tc>
        <w:tc>
          <w:tcPr>
            <w:tcW w:w="2551" w:type="dxa"/>
            <w:vAlign w:val="center"/>
          </w:tcPr>
          <w:p>
            <w:pPr>
              <w:pStyle w:val="单元格样式4"/>
            </w:pPr>
            <w:r>
              <w:t xml:space="preserve">424.00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250.36</w:t>
            </w:r>
          </w:p>
        </w:tc>
        <w:tc>
          <w:tcPr>
            <w:tcW w:w="2551" w:type="dxa"/>
            <w:vAlign w:val="center"/>
          </w:tcPr>
          <w:p>
            <w:pPr>
              <w:pStyle w:val="单元格样式4"/>
            </w:pPr>
            <w:r>
              <w:t xml:space="preserve">250.36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250.36</w:t>
            </w:r>
          </w:p>
        </w:tc>
        <w:tc>
          <w:tcPr>
            <w:tcW w:w="2551" w:type="dxa"/>
            <w:vAlign w:val="center"/>
          </w:tcPr>
          <w:p>
            <w:pPr>
              <w:pStyle w:val="单元格样式4"/>
            </w:pPr>
            <w:r>
              <w:t xml:space="preserve">250.36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2551" w:type="dxa"/>
            <w:vAlign w:val="center"/>
          </w:tcPr>
          <w:p>
            <w:pPr>
              <w:pStyle w:val="单元格样式4"/>
            </w:pPr>
            <w:r>
              <w:t xml:space="preserve">29.66</w:t>
            </w:r>
          </w:p>
        </w:tc>
        <w:tc>
          <w:tcPr>
            <w:tcW w:w="2551" w:type="dxa"/>
            <w:vAlign w:val="center"/>
          </w:tcPr>
          <w:p>
            <w:pPr>
              <w:pStyle w:val="单元格样式4"/>
            </w:pPr>
            <w:r>
              <w:t xml:space="preserve">29.66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29.66</w:t>
            </w:r>
          </w:p>
        </w:tc>
        <w:tc>
          <w:tcPr>
            <w:tcW w:w="2551" w:type="dxa"/>
            <w:vAlign w:val="center"/>
          </w:tcPr>
          <w:p>
            <w:pPr>
              <w:pStyle w:val="单元格样式4"/>
            </w:pPr>
            <w:r>
              <w:t xml:space="preserve">29.66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20140</w:t>
            </w:r>
          </w:p>
        </w:tc>
        <w:tc>
          <w:tcPr>
            <w:tcW w:w="4535" w:type="dxa"/>
            <w:vAlign w:val="center"/>
          </w:tcPr>
          <w:p>
            <w:pPr>
              <w:pStyle w:val="单元格样式2"/>
            </w:pPr>
            <w:r>
              <w:t xml:space="preserve">信访事务</w:t>
            </w:r>
          </w:p>
        </w:tc>
        <w:tc>
          <w:tcPr>
            <w:tcW w:w="2551" w:type="dxa"/>
            <w:vAlign w:val="center"/>
          </w:tcPr>
          <w:p>
            <w:pPr>
              <w:pStyle w:val="单元格样式4"/>
            </w:pPr>
            <w:r>
              <w:t xml:space="preserve">469.07</w:t>
            </w:r>
          </w:p>
        </w:tc>
        <w:tc>
          <w:tcPr>
            <w:tcW w:w="2551" w:type="dxa"/>
            <w:vAlign w:val="center"/>
          </w:tcPr>
          <w:p>
            <w:pPr>
              <w:pStyle w:val="单元格样式4"/>
            </w:pPr>
            <w:r>
              <w:t xml:space="preserve">45.07</w:t>
            </w:r>
          </w:p>
        </w:tc>
        <w:tc>
          <w:tcPr>
            <w:tcW w:w="2551" w:type="dxa"/>
            <w:vAlign w:val="center"/>
          </w:tcPr>
          <w:p>
            <w:pPr>
              <w:pStyle w:val="单元格样式4"/>
            </w:pPr>
            <w:r>
              <w:t xml:space="preserve">424.00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2014001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45.07</w:t>
            </w:r>
          </w:p>
        </w:tc>
        <w:tc>
          <w:tcPr>
            <w:tcW w:w="2551" w:type="dxa"/>
            <w:vAlign w:val="center"/>
          </w:tcPr>
          <w:p>
            <w:pPr>
              <w:pStyle w:val="单元格样式4"/>
            </w:pPr>
            <w:r>
              <w:t xml:space="preserve">45.07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2014002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34.00</w:t>
            </w:r>
          </w:p>
        </w:tc>
        <w:tc>
          <w:tcPr>
            <w:tcW w:w="2551" w:type="dxa"/>
            <w:vAlign w:val="center"/>
          </w:tcPr>
          <w:p>
            <w:pPr>
              <w:pStyle w:val="单元格样式4"/>
            </w:pPr>
          </w:p>
        </w:tc>
        <w:tc>
          <w:tcPr>
            <w:tcW w:w="2551" w:type="dxa"/>
            <w:vAlign w:val="center"/>
          </w:tcPr>
          <w:p>
            <w:pPr>
              <w:pStyle w:val="单元格样式4"/>
            </w:pPr>
            <w:r>
              <w:t xml:space="preserve">34.00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2551" w:type="dxa"/>
            <w:vAlign w:val="center"/>
          </w:tcPr>
          <w:p>
            <w:pPr>
              <w:pStyle w:val="单元格样式4"/>
            </w:pPr>
            <w:r>
              <w:t xml:space="preserve">60.00</w:t>
            </w:r>
          </w:p>
        </w:tc>
        <w:tc>
          <w:tcPr>
            <w:tcW w:w="2551" w:type="dxa"/>
            <w:vAlign w:val="center"/>
          </w:tcPr>
          <w:p>
            <w:pPr>
              <w:pStyle w:val="单元格样式4"/>
            </w:pPr>
          </w:p>
        </w:tc>
        <w:tc>
          <w:tcPr>
            <w:tcW w:w="2551" w:type="dxa"/>
            <w:vAlign w:val="center"/>
          </w:tcPr>
          <w:p>
            <w:pPr>
              <w:pStyle w:val="单元格样式4"/>
            </w:pPr>
            <w:r>
              <w:t xml:space="preserve">60.00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2014099</w:t>
            </w:r>
          </w:p>
        </w:tc>
        <w:tc>
          <w:tcPr>
            <w:tcW w:w="4535" w:type="dxa"/>
            <w:vAlign w:val="center"/>
          </w:tcPr>
          <w:p>
            <w:pPr>
              <w:pStyle w:val="单元格样式2"/>
            </w:pPr>
            <w:r>
              <w:t xml:space="preserve">其他信访事务支出</w:t>
            </w:r>
          </w:p>
        </w:tc>
        <w:tc>
          <w:tcPr>
            <w:tcW w:w="2551" w:type="dxa"/>
            <w:vAlign w:val="center"/>
          </w:tcPr>
          <w:p>
            <w:pPr>
              <w:pStyle w:val="单元格样式4"/>
            </w:pPr>
            <w:r>
              <w:t xml:space="preserve">330.00</w:t>
            </w:r>
          </w:p>
        </w:tc>
        <w:tc>
          <w:tcPr>
            <w:tcW w:w="2551" w:type="dxa"/>
            <w:vAlign w:val="center"/>
          </w:tcPr>
          <w:p>
            <w:pPr>
              <w:pStyle w:val="单元格样式4"/>
            </w:pPr>
          </w:p>
        </w:tc>
        <w:tc>
          <w:tcPr>
            <w:tcW w:w="2551" w:type="dxa"/>
            <w:vAlign w:val="center"/>
          </w:tcPr>
          <w:p>
            <w:pPr>
              <w:pStyle w:val="单元格样式4"/>
            </w:pPr>
            <w:r>
              <w:t xml:space="preserve">330.00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12.72</w:t>
            </w:r>
          </w:p>
        </w:tc>
        <w:tc>
          <w:tcPr>
            <w:tcW w:w="2551" w:type="dxa"/>
            <w:vAlign w:val="center"/>
          </w:tcPr>
          <w:p>
            <w:pPr>
              <w:pStyle w:val="单元格样式4"/>
            </w:pPr>
            <w:r>
              <w:t xml:space="preserve">12.72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12.72</w:t>
            </w:r>
          </w:p>
        </w:tc>
        <w:tc>
          <w:tcPr>
            <w:tcW w:w="2551" w:type="dxa"/>
            <w:vAlign w:val="center"/>
          </w:tcPr>
          <w:p>
            <w:pPr>
              <w:pStyle w:val="单元格样式4"/>
            </w:pPr>
            <w:r>
              <w:t xml:space="preserve">12.72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12.72</w:t>
            </w:r>
          </w:p>
        </w:tc>
        <w:tc>
          <w:tcPr>
            <w:tcW w:w="2551" w:type="dxa"/>
            <w:vAlign w:val="center"/>
          </w:tcPr>
          <w:p>
            <w:pPr>
              <w:pStyle w:val="单元格样式4"/>
            </w:pPr>
            <w:r>
              <w:t xml:space="preserve">12.72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202魏县信访局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337.81</w:t>
            </w:r>
          </w:p>
        </w:tc>
        <w:tc>
          <w:tcPr>
            <w:tcW w:w="2551" w:type="dxa"/>
            <w:vAlign w:val="center"/>
          </w:tcPr>
          <w:p>
            <w:pPr>
              <w:pStyle w:val="单元格样式7"/>
            </w:pPr>
            <w:r>
              <w:t xml:space="preserve">308.15</w:t>
            </w:r>
          </w:p>
        </w:tc>
        <w:tc>
          <w:tcPr>
            <w:tcW w:w="2551" w:type="dxa"/>
            <w:vAlign w:val="center"/>
          </w:tcPr>
          <w:p>
            <w:pPr>
              <w:pStyle w:val="单元格样式7"/>
            </w:pPr>
            <w:r>
              <w:t xml:space="preserve">29.66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295.43</w:t>
            </w:r>
          </w:p>
        </w:tc>
        <w:tc>
          <w:tcPr>
            <w:tcW w:w="2551" w:type="dxa"/>
            <w:vAlign w:val="center"/>
          </w:tcPr>
          <w:p>
            <w:pPr>
              <w:pStyle w:val="单元格样式4"/>
            </w:pPr>
            <w:r>
              <w:t xml:space="preserve">295.43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139.54</w:t>
            </w:r>
          </w:p>
        </w:tc>
        <w:tc>
          <w:tcPr>
            <w:tcW w:w="2551" w:type="dxa"/>
            <w:vAlign w:val="center"/>
          </w:tcPr>
          <w:p>
            <w:pPr>
              <w:pStyle w:val="单元格样式4"/>
            </w:pPr>
            <w:r>
              <w:t xml:space="preserve">139.54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33.05</w:t>
            </w:r>
          </w:p>
        </w:tc>
        <w:tc>
          <w:tcPr>
            <w:tcW w:w="2551" w:type="dxa"/>
            <w:vAlign w:val="center"/>
          </w:tcPr>
          <w:p>
            <w:pPr>
              <w:pStyle w:val="单元格样式4"/>
            </w:pPr>
            <w:r>
              <w:t xml:space="preserve">33.05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21.31</w:t>
            </w:r>
          </w:p>
        </w:tc>
        <w:tc>
          <w:tcPr>
            <w:tcW w:w="2551" w:type="dxa"/>
            <w:vAlign w:val="center"/>
          </w:tcPr>
          <w:p>
            <w:pPr>
              <w:pStyle w:val="单元格样式4"/>
            </w:pPr>
            <w:r>
              <w:t xml:space="preserve">21.31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28.93</w:t>
            </w:r>
          </w:p>
        </w:tc>
        <w:tc>
          <w:tcPr>
            <w:tcW w:w="2551" w:type="dxa"/>
            <w:vAlign w:val="center"/>
          </w:tcPr>
          <w:p>
            <w:pPr>
              <w:pStyle w:val="单元格样式4"/>
            </w:pPr>
            <w:r>
              <w:t xml:space="preserve">28.93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37.00</w:t>
            </w:r>
          </w:p>
        </w:tc>
        <w:tc>
          <w:tcPr>
            <w:tcW w:w="2551" w:type="dxa"/>
            <w:vAlign w:val="center"/>
          </w:tcPr>
          <w:p>
            <w:pPr>
              <w:pStyle w:val="单元格样式4"/>
            </w:pPr>
            <w:r>
              <w:t xml:space="preserve">37.00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18.50</w:t>
            </w:r>
          </w:p>
        </w:tc>
        <w:tc>
          <w:tcPr>
            <w:tcW w:w="2551" w:type="dxa"/>
            <w:vAlign w:val="center"/>
          </w:tcPr>
          <w:p>
            <w:pPr>
              <w:pStyle w:val="单元格样式4"/>
            </w:pPr>
            <w:r>
              <w:t xml:space="preserve">18.50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15.95</w:t>
            </w:r>
          </w:p>
        </w:tc>
        <w:tc>
          <w:tcPr>
            <w:tcW w:w="2551" w:type="dxa"/>
            <w:vAlign w:val="center"/>
          </w:tcPr>
          <w:p>
            <w:pPr>
              <w:pStyle w:val="单元格样式4"/>
            </w:pPr>
            <w:r>
              <w:t xml:space="preserve">15.95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1.16</w:t>
            </w:r>
          </w:p>
        </w:tc>
        <w:tc>
          <w:tcPr>
            <w:tcW w:w="2551" w:type="dxa"/>
            <w:vAlign w:val="center"/>
          </w:tcPr>
          <w:p>
            <w:pPr>
              <w:pStyle w:val="单元格样式4"/>
            </w:pPr>
            <w:r>
              <w:t xml:space="preserve">1.16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29.66</w:t>
            </w:r>
          </w:p>
        </w:tc>
        <w:tc>
          <w:tcPr>
            <w:tcW w:w="2551" w:type="dxa"/>
            <w:vAlign w:val="center"/>
          </w:tcPr>
          <w:p>
            <w:pPr>
              <w:pStyle w:val="单元格样式4"/>
            </w:pPr>
          </w:p>
        </w:tc>
        <w:tc>
          <w:tcPr>
            <w:tcW w:w="2551" w:type="dxa"/>
            <w:vAlign w:val="center"/>
          </w:tcPr>
          <w:p>
            <w:pPr>
              <w:pStyle w:val="单元格样式4"/>
            </w:pPr>
            <w:r>
              <w:t xml:space="preserve">29.66</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9.66</w:t>
            </w:r>
          </w:p>
        </w:tc>
        <w:tc>
          <w:tcPr>
            <w:tcW w:w="2551" w:type="dxa"/>
            <w:vAlign w:val="center"/>
          </w:tcPr>
          <w:p>
            <w:pPr>
              <w:pStyle w:val="单元格样式4"/>
            </w:pPr>
          </w:p>
        </w:tc>
        <w:tc>
          <w:tcPr>
            <w:tcW w:w="2551" w:type="dxa"/>
            <w:vAlign w:val="center"/>
          </w:tcPr>
          <w:p>
            <w:pPr>
              <w:pStyle w:val="单元格样式4"/>
            </w:pPr>
            <w:r>
              <w:t xml:space="preserve">9.66</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12.72</w:t>
            </w:r>
          </w:p>
        </w:tc>
        <w:tc>
          <w:tcPr>
            <w:tcW w:w="2551" w:type="dxa"/>
            <w:vAlign w:val="center"/>
          </w:tcPr>
          <w:p>
            <w:pPr>
              <w:pStyle w:val="单元格样式4"/>
            </w:pPr>
            <w:r>
              <w:t xml:space="preserve">12.72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12.72</w:t>
            </w:r>
          </w:p>
        </w:tc>
        <w:tc>
          <w:tcPr>
            <w:tcW w:w="2551" w:type="dxa"/>
            <w:vAlign w:val="center"/>
          </w:tcPr>
          <w:p>
            <w:pPr>
              <w:pStyle w:val="单元格样式4"/>
            </w:pPr>
            <w:r>
              <w:t xml:space="preserve">12.72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202魏县信访局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202魏县信访局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202魏县信访局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5.00</w:t>
            </w:r>
          </w:p>
        </w:tc>
        <w:tc>
          <w:tcPr>
            <w:tcW w:w="2381" w:type="dxa"/>
            <w:vAlign w:val="center"/>
          </w:tcPr>
          <w:p>
            <w:pPr>
              <w:pStyle w:val="单元格样式7"/>
            </w:pPr>
            <w:r>
              <w:t xml:space="preserve">5.00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魏县信访局2025年部门预算信息公开情况说明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魏县信访局2025年部门预算信息公开情况说明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按照《中华人民共和国预算法》、《地方预决算公开操作规程》和《关于进一步推进预算公开工作的实施意见》规定，现将魏县信访局2025年部门预算公开如下：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(1)研究提出全县信访工作思路，拟定信访工作制度，维护全县社会稳定。（2）办理人民群众来信，接待群众来访，受理群众网上投诉，查办信访案件，负责人民群众建议征集工作。（3）调查研究和综合分析全县信访形势及信访工作状况，总结推广信访工作经验，提出改进和加强信访工作的意见和建议。（4）参与组织、协调、指导全县社会治安综合治理和维护社会政治稳定工作，协助保障国家、省、市和县重大政治活动顺利进行，参与处理影响社会政治稳定的突发性、群体性事件。</w:t>
      </w:r>
    </w:p>
    <w:p>
      <w:pPr>
        <w:pStyle w:val="插入文本样式-插入预算公开部门职责文件"/>
      </w:pPr>
      <w:r>
        <w:t xml:space="preserve">（5）督促检查和指导各乡镇党委、政府和县直部门的信访工作,指导全县信访工作的业务建设。对各乡镇党委、政府和县直有关部门信访工作年度责任目标进行考核，对全县社会治安综合治理和维护社会政治稳定年度责任目标中有关信访工作进行考核。（6）协助国家、省和市信访局处理魏县群众进京、赴省到市上访工作，综合协调处理跨地区、跨部门、跨行业的重要信访问题，协助公安机关维护县委、县政府机关正常工作秩序。（7）负责县级领导和县直部门领导公开接访和包联案件的组织协调工作。 （8）承担县信访工作联席会议的日常工作，督促落实联席会议决定的事项。（9）完成县委、县政府以及国家、省和市信访局交办的其他任务。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魏县信访局本级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按照预算管理有关规定，目前部门预算的编制实行综合预算管理，即全部收入和支出都反映在预算中。魏县信访局机关及所属事业单位的收支包含在部门预算中。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761.81万元，其中：一般公共预算收入761.81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信访局年度部门预算中支出预算的总体情况。2025年支出预算761.81万元，其中基本支出337.81万元，包括人员经费308.15万元和日常公用经费29.66万元；项目支出424.00万元，主要为驻京省值班群众服务联络经费和解决疑难信访问题资金。</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2025年预算收支安排761.81万元，较2024年预算减少14.14万元，其中：基本支出减少3.14万元，主要为人员调出，人员经费减少。项目支出减少11.00万元，主要为驻京省值班群众服务联络经费进行了调减。</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2025年，我部门机关运行经费共计安排29.66万元，主要用于日常维修、办公用房水电费、办公用房取暖费、办公用房物业管理费等日常运行支出。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5.00万元，其中因公出国（境）费0.00万元；公务用车购置及运维费5.00万元（其中：公务用车购置费为0.00万元，公务用车运维费5.00万元)；公务接待费0.00万元。与2024年相比减少1.30万元，增减变化的主要原因是按照财政过紧日子的要求，对公务用车运维费进行了压减。</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我单位在县委的坚强领导下，深入贯彻中央二十大精神，紧扣县委、县政府确定的目标任务，凝神聚力，开拓创新，攻艰克难，砥砺奋进，以更加高昂的激情，更加有力的措施，更加务实的作风，全面开创信访工作新局面，为建设经济强、百姓富、环境美、发展质量高的邯郸副中心城市提供和谐稳定的社会环境。</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接待、登记、受理信访事项、组织开展矛盾纠纷排查调处、协调处理重要事项、安排县领导公开接访、研究分析信访情况，对县级领导签批的信访事项及时交办、督办、督导等工作，使领导签批的意见得到实处，群众反映的问题得到解决，已经解决的问题进行整理、建立档案。</w:t>
      </w:r>
    </w:p>
    <w:p>
      <w:pPr>
        <w:pStyle w:val="插入文本样式-插入职责分类绩效目标文件"/>
      </w:pPr>
      <w:r>
        <w:t xml:space="preserve">（2）确保中央、省、市、县要结果信访案件按期办结，及时反馈结果。</w:t>
      </w:r>
    </w:p>
    <w:p>
      <w:pPr>
        <w:pStyle w:val="插入文本样式-插入职责分类绩效目标文件"/>
      </w:pPr>
      <w:r>
        <w:t xml:space="preserve">（3）文件起草、会议安排，对信访工作的宣传报道，人民群众建议征集，对本级政府部门和下级的工作指导，机关日常管理。</w:t>
      </w:r>
    </w:p>
    <w:p>
      <w:pPr>
        <w:pStyle w:val="插入文本样式-插入职责分类绩效目标文件"/>
      </w:pPr>
      <w:r>
        <w:t xml:space="preserve">（4）登记、受理信访事项，调处解决群众反映的信访事项，向来访群众宣传有关法律、法规和政策。</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是加强宣传教育工作，进一步规范信访工作秩序。不断加大对《信访条例》等法律法规和信访政策的宣传力度，向每一名来访群众发放明白纸，进一步提高群众对有关法律规定和信访政策及信访程序的知晓程度，引导群众理性上访，合法合理反映诉求，减少盲目上访和越级上访，利用县级电视台和单位电子屏幕等形式对违法上访情况定期报道，起到教育作用。</w:t>
      </w:r>
    </w:p>
    <w:p>
      <w:pPr>
        <w:pStyle w:val="插入文本样式-插入实现年度发展规划目标的保障措施文件"/>
      </w:pPr>
      <w:r>
        <w:t xml:space="preserve">二是注重源头治理防范，将信访问题化解在“萌芽”状态。做到关口前移，进一步加大排查化解力度。落实县级领导接访制度，实行县级领导首接责任制和案件首办责任制。</w:t>
      </w:r>
    </w:p>
    <w:p>
      <w:pPr>
        <w:pStyle w:val="插入文本样式-插入实现年度发展规划目标的保障措施文件"/>
      </w:pPr>
      <w:r>
        <w:t xml:space="preserve">三是强化稳控工作措施，做好敏感时期的信访稳定工作。按照“非敏感期以化解问题为主，敏感期以稳控为主”的工作原则，全力做好重大敏感时期和重要时间节点的信访稳控化解工作，制定敏感时期和非敏感时期责任追究制度。</w:t>
      </w:r>
    </w:p>
    <w:p>
      <w:pPr>
        <w:pStyle w:val="插入文本样式-插入实现年度发展规划目标的保障措施文件"/>
      </w:pPr>
      <w:r>
        <w:t xml:space="preserve">四、聚焦疑难信访问题，彻底化解一批积案难案。1.成立重点领域专项工作组深入到一线，深入群众，到基层现场下力度解决一批疑难积案。2.充分发挥群众工作中心入驻部门的作用，现场解决群众来访案件，解答群众的诉求问题。</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五是坚持严格依法治访，严厉打击非法上访行为。积极配合公、检、法等部门做好对违法信访行为的依法处置工作，对违法上访、扰乱信访秩序的行为进行严厉打击，发生一起，处置一起，确保正常的信访工作秩序。</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1、电子政务外网光纤租赁费绩效目标表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13043425P000001100396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电子政务外网光纤租赁费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通过网上信访系统对信访案件100%进行受理、登记、交办，提高信访案件的办理进度，有效促进社会稳定。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1.通过网上信访系统对信访案件100%进行受理、登记、交办，提高信访案件的办理进度，有效促进社会稳定。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乡镇、县直单位覆盖率</w:t>
            </w:r>
          </w:p>
        </w:tc>
        <w:tc>
          <w:tcPr>
            <w:tcW w:w="5386" w:type="dxa"/>
            <w:vAlign w:val="center"/>
          </w:tcPr>
          <w:p>
            <w:pPr>
              <w:pStyle w:val="单元格样式2"/>
            </w:pPr>
            <w:r>
              <w:t xml:space="preserve">涉及信访案件单位覆盖率</w:t>
            </w:r>
          </w:p>
        </w:tc>
        <w:tc>
          <w:tcPr>
            <w:tcW w:w="2268" w:type="dxa"/>
            <w:vAlign w:val="center"/>
          </w:tcPr>
          <w:p>
            <w:pPr>
              <w:pStyle w:val="单元格样式2"/>
            </w:pPr>
            <w:r>
              <w:t xml:space="preserve">100%</w:t>
            </w:r>
          </w:p>
        </w:tc>
        <w:tc>
          <w:tcPr>
            <w:tcW w:w="1276" w:type="dxa"/>
            <w:vAlign w:val="center"/>
          </w:tcPr>
          <w:p>
            <w:pPr>
              <w:pStyle w:val="单元格样式2"/>
            </w:pPr>
            <w:r>
              <w:t xml:space="preserve">《中共河北省委信访局关于做好接入河北网上信访信息系统准备工作的通知》冀明信字108号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正常运行率</w:t>
            </w:r>
          </w:p>
        </w:tc>
        <w:tc>
          <w:tcPr>
            <w:tcW w:w="5386" w:type="dxa"/>
            <w:vAlign w:val="center"/>
          </w:tcPr>
          <w:p>
            <w:pPr>
              <w:pStyle w:val="单元格样式2"/>
            </w:pPr>
            <w:r>
              <w:t xml:space="preserve">保障电子政务外网系统的正常运行</w:t>
            </w:r>
          </w:p>
        </w:tc>
        <w:tc>
          <w:tcPr>
            <w:tcW w:w="2268" w:type="dxa"/>
            <w:vAlign w:val="center"/>
          </w:tcPr>
          <w:p>
            <w:pPr>
              <w:pStyle w:val="单元格样式2"/>
            </w:pPr>
            <w:r>
              <w:t xml:space="preserve">100%</w:t>
            </w:r>
          </w:p>
        </w:tc>
        <w:tc>
          <w:tcPr>
            <w:tcW w:w="1276" w:type="dxa"/>
            <w:vAlign w:val="center"/>
          </w:tcPr>
          <w:p>
            <w:pPr>
              <w:pStyle w:val="单元格样式2"/>
            </w:pPr>
            <w:r>
              <w:t xml:space="preserve">《中共河北省委信访局关于做好接入河北网上信访信息系统准备工作的通知》冀明信字108号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光纤网络维护时间</w:t>
            </w:r>
          </w:p>
        </w:tc>
        <w:tc>
          <w:tcPr>
            <w:tcW w:w="5386" w:type="dxa"/>
            <w:vAlign w:val="center"/>
          </w:tcPr>
          <w:p>
            <w:pPr>
              <w:pStyle w:val="单元格样式2"/>
            </w:pPr>
            <w:r>
              <w:t xml:space="preserve">光纤网络维护响应时间</w:t>
            </w:r>
          </w:p>
        </w:tc>
        <w:tc>
          <w:tcPr>
            <w:tcW w:w="2268" w:type="dxa"/>
            <w:vAlign w:val="center"/>
          </w:tcPr>
          <w:p>
            <w:pPr>
              <w:pStyle w:val="单元格样式2"/>
            </w:pPr>
            <w:r>
              <w:t xml:space="preserve">100%</w:t>
            </w:r>
          </w:p>
        </w:tc>
        <w:tc>
          <w:tcPr>
            <w:tcW w:w="1276" w:type="dxa"/>
            <w:vAlign w:val="center"/>
          </w:tcPr>
          <w:p>
            <w:pPr>
              <w:pStyle w:val="单元格样式2"/>
            </w:pPr>
            <w:r>
              <w:t xml:space="preserve">《中共河北省委信访局关于做好接入河北网上信访信息系统准备工作的通知》冀明信字108号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34万元</w:t>
            </w:r>
          </w:p>
        </w:tc>
        <w:tc>
          <w:tcPr>
            <w:tcW w:w="1276" w:type="dxa"/>
            <w:vAlign w:val="center"/>
          </w:tcPr>
          <w:p>
            <w:pPr>
              <w:pStyle w:val="单元格样式2"/>
            </w:pPr>
            <w:r>
              <w:t xml:space="preserve">《中共河北省委信访局关于做好接入河北网上信访信息系统准备工作的通知》冀明信字108号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信访平稳可控</w:t>
            </w:r>
          </w:p>
        </w:tc>
        <w:tc>
          <w:tcPr>
            <w:tcW w:w="5386" w:type="dxa"/>
            <w:vAlign w:val="center"/>
          </w:tcPr>
          <w:p>
            <w:pPr>
              <w:pStyle w:val="单元格样式2"/>
            </w:pPr>
            <w:r>
              <w:t xml:space="preserve">维护会议期间信访稳定</w:t>
            </w:r>
          </w:p>
        </w:tc>
        <w:tc>
          <w:tcPr>
            <w:tcW w:w="2268" w:type="dxa"/>
            <w:vAlign w:val="center"/>
          </w:tcPr>
          <w:p>
            <w:pPr>
              <w:pStyle w:val="单元格样式2"/>
            </w:pPr>
            <w:r>
              <w:t xml:space="preserve">信访平稳可控</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w:t>
            </w:r>
          </w:p>
        </w:tc>
        <w:tc>
          <w:tcPr>
            <w:tcW w:w="5386" w:type="dxa"/>
            <w:vAlign w:val="center"/>
          </w:tcPr>
          <w:p>
            <w:pPr>
              <w:pStyle w:val="单元格样式2"/>
            </w:pPr>
            <w:r>
              <w:t xml:space="preserve">持续提升社会稳定水平</w:t>
            </w:r>
          </w:p>
        </w:tc>
        <w:tc>
          <w:tcPr>
            <w:tcW w:w="2268" w:type="dxa"/>
            <w:vAlign w:val="center"/>
          </w:tcPr>
          <w:p>
            <w:pPr>
              <w:pStyle w:val="单元格样式2"/>
            </w:pPr>
            <w:r>
              <w:t xml:space="preserve">持续提升社会稳定水平</w:t>
            </w:r>
          </w:p>
        </w:tc>
        <w:tc>
          <w:tcPr>
            <w:tcW w:w="1276" w:type="dxa"/>
            <w:vAlign w:val="center"/>
          </w:tcPr>
          <w:p>
            <w:pPr>
              <w:pStyle w:val="单元格样式2"/>
            </w:pPr>
            <w:r>
              <w:t xml:space="preserve">魏县信访局年度工作计划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使用人员满意度</w:t>
            </w:r>
          </w:p>
        </w:tc>
        <w:tc>
          <w:tcPr>
            <w:tcW w:w="5386" w:type="dxa"/>
            <w:vAlign w:val="center"/>
          </w:tcPr>
          <w:p>
            <w:pPr>
              <w:pStyle w:val="单元格样式2"/>
            </w:pPr>
            <w:r>
              <w:t xml:space="preserve">网上信访系统使用人员满意度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2、国家、省、市“两会”、北戴河暑期值班经费绩效目标表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13043425P00000110050D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国家、省、市“两会”、北戴河暑期值班经费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通过开展值班工作及时处理进京、赴省、到市上访群众，确保两会间等敏感期我县社会稳定。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1.通过开展值班工作及时处理进京、赴省、到市上访群众，确保两会间等敏感期我县社会稳定。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派驻人员值班次数</w:t>
            </w:r>
          </w:p>
        </w:tc>
        <w:tc>
          <w:tcPr>
            <w:tcW w:w="5386" w:type="dxa"/>
            <w:vAlign w:val="center"/>
          </w:tcPr>
          <w:p>
            <w:pPr>
              <w:pStyle w:val="单元格样式2"/>
            </w:pPr>
            <w:r>
              <w:t xml:space="preserve">国家、省、市“两会”等召开次数</w:t>
            </w:r>
          </w:p>
        </w:tc>
        <w:tc>
          <w:tcPr>
            <w:tcW w:w="2268" w:type="dxa"/>
            <w:vAlign w:val="center"/>
          </w:tcPr>
          <w:p>
            <w:pPr>
              <w:pStyle w:val="单元格样式2"/>
            </w:pPr>
            <w:r>
              <w:t xml:space="preserve">4次</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维稳任务完成率</w:t>
            </w:r>
          </w:p>
        </w:tc>
        <w:tc>
          <w:tcPr>
            <w:tcW w:w="5386" w:type="dxa"/>
            <w:vAlign w:val="center"/>
          </w:tcPr>
          <w:p>
            <w:pPr>
              <w:pStyle w:val="单元格样式2"/>
            </w:pPr>
            <w:r>
              <w:t xml:space="preserve">圆满完成会议维稳任务</w:t>
            </w:r>
          </w:p>
        </w:tc>
        <w:tc>
          <w:tcPr>
            <w:tcW w:w="2268" w:type="dxa"/>
            <w:vAlign w:val="center"/>
          </w:tcPr>
          <w:p>
            <w:pPr>
              <w:pStyle w:val="单元格样式2"/>
            </w:pPr>
            <w:r>
              <w:t xml:space="preserve">100%</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5386" w:type="dxa"/>
            <w:vAlign w:val="center"/>
          </w:tcPr>
          <w:p>
            <w:pPr>
              <w:pStyle w:val="单元格样式2"/>
            </w:pPr>
            <w:r>
              <w:t xml:space="preserve">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值班经费</w:t>
            </w:r>
          </w:p>
        </w:tc>
        <w:tc>
          <w:tcPr>
            <w:tcW w:w="5386" w:type="dxa"/>
            <w:vAlign w:val="center"/>
          </w:tcPr>
          <w:p>
            <w:pPr>
              <w:pStyle w:val="单元格样式2"/>
            </w:pPr>
            <w:r>
              <w:t xml:space="preserve">会议期间值班费用</w:t>
            </w:r>
          </w:p>
        </w:tc>
        <w:tc>
          <w:tcPr>
            <w:tcW w:w="2268" w:type="dxa"/>
            <w:vAlign w:val="center"/>
          </w:tcPr>
          <w:p>
            <w:pPr>
              <w:pStyle w:val="单元格样式2"/>
            </w:pPr>
            <w:r>
              <w:t xml:space="preserve">10万元</w:t>
            </w:r>
          </w:p>
        </w:tc>
        <w:tc>
          <w:tcPr>
            <w:tcW w:w="1276" w:type="dxa"/>
            <w:vAlign w:val="center"/>
          </w:tcPr>
          <w:p>
            <w:pPr>
              <w:pStyle w:val="单元格样式2"/>
            </w:pPr>
            <w:r>
              <w:t xml:space="preserve">魏县信访局年度工作计划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信访平稳可控</w:t>
            </w:r>
          </w:p>
        </w:tc>
        <w:tc>
          <w:tcPr>
            <w:tcW w:w="5386" w:type="dxa"/>
            <w:vAlign w:val="center"/>
          </w:tcPr>
          <w:p>
            <w:pPr>
              <w:pStyle w:val="单元格样式2"/>
            </w:pPr>
            <w:r>
              <w:t xml:space="preserve">维护会议期间信访稳定</w:t>
            </w:r>
          </w:p>
        </w:tc>
        <w:tc>
          <w:tcPr>
            <w:tcW w:w="2268" w:type="dxa"/>
            <w:vAlign w:val="center"/>
          </w:tcPr>
          <w:p>
            <w:pPr>
              <w:pStyle w:val="单元格样式2"/>
            </w:pPr>
            <w:r>
              <w:t xml:space="preserve">维护会议期间信访稳定</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w:t>
            </w:r>
          </w:p>
        </w:tc>
        <w:tc>
          <w:tcPr>
            <w:tcW w:w="5386" w:type="dxa"/>
            <w:vAlign w:val="center"/>
          </w:tcPr>
          <w:p>
            <w:pPr>
              <w:pStyle w:val="单元格样式2"/>
            </w:pPr>
            <w:r>
              <w:t xml:space="preserve">持续提升社会稳定水平</w:t>
            </w:r>
          </w:p>
        </w:tc>
        <w:tc>
          <w:tcPr>
            <w:tcW w:w="2268" w:type="dxa"/>
            <w:vAlign w:val="center"/>
          </w:tcPr>
          <w:p>
            <w:pPr>
              <w:pStyle w:val="单元格样式2"/>
            </w:pPr>
            <w:r>
              <w:t xml:space="preserve">持续提升社会稳定水平</w:t>
            </w:r>
          </w:p>
        </w:tc>
        <w:tc>
          <w:tcPr>
            <w:tcW w:w="1276" w:type="dxa"/>
            <w:vAlign w:val="center"/>
          </w:tcPr>
          <w:p>
            <w:pPr>
              <w:pStyle w:val="单元格样式2"/>
            </w:pPr>
            <w:r>
              <w:t xml:space="preserve">魏县信访局年度工作计划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信访群众满意度</w:t>
            </w:r>
          </w:p>
        </w:tc>
        <w:tc>
          <w:tcPr>
            <w:tcW w:w="5386" w:type="dxa"/>
            <w:vAlign w:val="center"/>
          </w:tcPr>
          <w:p>
            <w:pPr>
              <w:pStyle w:val="单元格样式2"/>
            </w:pPr>
            <w:r>
              <w:t xml:space="preserve">信访群众满意度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3、信访工作经费绩效目标表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13043425P000001100415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信访工作经费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通过信访接待、值班，日常各项工作开展，维护我县社会稳定。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1.通过信访接待、值班，日常各项工作开展，维护我县社会稳定。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开展信访维稳保障工作天数</w:t>
            </w:r>
          </w:p>
        </w:tc>
        <w:tc>
          <w:tcPr>
            <w:tcW w:w="5386" w:type="dxa"/>
            <w:vAlign w:val="center"/>
          </w:tcPr>
          <w:p>
            <w:pPr>
              <w:pStyle w:val="单元格样式2"/>
            </w:pPr>
            <w:r>
              <w:t xml:space="preserve">开展信访维稳保障工作天数</w:t>
            </w:r>
          </w:p>
        </w:tc>
        <w:tc>
          <w:tcPr>
            <w:tcW w:w="2268" w:type="dxa"/>
            <w:vAlign w:val="center"/>
          </w:tcPr>
          <w:p>
            <w:pPr>
              <w:pStyle w:val="单元格样式2"/>
            </w:pPr>
            <w:r>
              <w:t xml:space="preserve">365天</w:t>
            </w:r>
          </w:p>
        </w:tc>
        <w:tc>
          <w:tcPr>
            <w:tcW w:w="1276" w:type="dxa"/>
            <w:vAlign w:val="center"/>
          </w:tcPr>
          <w:p>
            <w:pPr>
              <w:pStyle w:val="单元格样式2"/>
            </w:pPr>
            <w:r>
              <w:t xml:space="preserve">《中共邯郸市委信访局关于落实信访部门经费标准的通知》邯市信【2016】第1号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信访事项化解率(%)</w:t>
            </w:r>
          </w:p>
        </w:tc>
        <w:tc>
          <w:tcPr>
            <w:tcW w:w="5386" w:type="dxa"/>
            <w:vAlign w:val="center"/>
          </w:tcPr>
          <w:p>
            <w:pPr>
              <w:pStyle w:val="单元格样式2"/>
            </w:pPr>
            <w:r>
              <w:t xml:space="preserve">信访事项化解率(%)</w:t>
            </w:r>
          </w:p>
        </w:tc>
        <w:tc>
          <w:tcPr>
            <w:tcW w:w="2268" w:type="dxa"/>
            <w:vAlign w:val="center"/>
          </w:tcPr>
          <w:p>
            <w:pPr>
              <w:pStyle w:val="单元格样式2"/>
            </w:pPr>
            <w:r>
              <w:t xml:space="preserve">100%</w:t>
            </w:r>
          </w:p>
        </w:tc>
        <w:tc>
          <w:tcPr>
            <w:tcW w:w="1276" w:type="dxa"/>
            <w:vAlign w:val="center"/>
          </w:tcPr>
          <w:p>
            <w:pPr>
              <w:pStyle w:val="单元格样式2"/>
            </w:pPr>
            <w:r>
              <w:t xml:space="preserve">《中共邯郸市委信访局关于落实信访部门经费标准的通知》邯市信【2016】第1号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信访事项受理及时率</w:t>
            </w:r>
          </w:p>
        </w:tc>
        <w:tc>
          <w:tcPr>
            <w:tcW w:w="5386" w:type="dxa"/>
            <w:vAlign w:val="center"/>
          </w:tcPr>
          <w:p>
            <w:pPr>
              <w:pStyle w:val="单元格样式2"/>
            </w:pPr>
            <w:r>
              <w:t xml:space="preserve">信访事项受理及时率</w:t>
            </w:r>
          </w:p>
        </w:tc>
        <w:tc>
          <w:tcPr>
            <w:tcW w:w="2268" w:type="dxa"/>
            <w:vAlign w:val="center"/>
          </w:tcPr>
          <w:p>
            <w:pPr>
              <w:pStyle w:val="单元格样式2"/>
            </w:pPr>
            <w:r>
              <w:t xml:space="preserve">100%</w:t>
            </w:r>
          </w:p>
        </w:tc>
        <w:tc>
          <w:tcPr>
            <w:tcW w:w="1276" w:type="dxa"/>
            <w:vAlign w:val="center"/>
          </w:tcPr>
          <w:p>
            <w:pPr>
              <w:pStyle w:val="单元格样式2"/>
            </w:pPr>
            <w:r>
              <w:t xml:space="preserve">《中共邯郸市委信访局关于落实信访部门经费标准的通知》邯市信【2016】第1号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60万元</w:t>
            </w:r>
          </w:p>
        </w:tc>
        <w:tc>
          <w:tcPr>
            <w:tcW w:w="1276" w:type="dxa"/>
            <w:vAlign w:val="center"/>
          </w:tcPr>
          <w:p>
            <w:pPr>
              <w:pStyle w:val="单元格样式2"/>
            </w:pPr>
            <w:r>
              <w:t xml:space="preserve">《中共邯郸市委信访局关于落实信访部门经费标准的通知》邯市信【2016】第1号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信访平稳可控</w:t>
            </w:r>
          </w:p>
        </w:tc>
        <w:tc>
          <w:tcPr>
            <w:tcW w:w="5386" w:type="dxa"/>
            <w:vAlign w:val="center"/>
          </w:tcPr>
          <w:p>
            <w:pPr>
              <w:pStyle w:val="单元格样式2"/>
            </w:pPr>
            <w:r>
              <w:t xml:space="preserve">保持全县信访形势总体平稳可控</w:t>
            </w:r>
          </w:p>
        </w:tc>
        <w:tc>
          <w:tcPr>
            <w:tcW w:w="2268" w:type="dxa"/>
            <w:vAlign w:val="center"/>
          </w:tcPr>
          <w:p>
            <w:pPr>
              <w:pStyle w:val="单元格样式2"/>
            </w:pPr>
            <w:r>
              <w:t xml:space="preserve">保持全县信访形势总体平稳可控</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w:t>
            </w:r>
          </w:p>
        </w:tc>
        <w:tc>
          <w:tcPr>
            <w:tcW w:w="5386" w:type="dxa"/>
            <w:vAlign w:val="center"/>
          </w:tcPr>
          <w:p>
            <w:pPr>
              <w:pStyle w:val="单元格样式2"/>
            </w:pPr>
            <w:r>
              <w:t xml:space="preserve">持续提升社会稳定水平</w:t>
            </w:r>
          </w:p>
        </w:tc>
        <w:tc>
          <w:tcPr>
            <w:tcW w:w="2268" w:type="dxa"/>
            <w:vAlign w:val="center"/>
          </w:tcPr>
          <w:p>
            <w:pPr>
              <w:pStyle w:val="单元格样式2"/>
            </w:pPr>
            <w:r>
              <w:t xml:space="preserve">持续提升社会稳定水平</w:t>
            </w:r>
          </w:p>
        </w:tc>
        <w:tc>
          <w:tcPr>
            <w:tcW w:w="1276" w:type="dxa"/>
            <w:vAlign w:val="center"/>
          </w:tcPr>
          <w:p>
            <w:pPr>
              <w:pStyle w:val="单元格样式2"/>
            </w:pPr>
            <w:r>
              <w:t xml:space="preserve">魏县信访局年度工作计划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信访群众满意度</w:t>
            </w:r>
          </w:p>
        </w:tc>
        <w:tc>
          <w:tcPr>
            <w:tcW w:w="5386" w:type="dxa"/>
            <w:vAlign w:val="center"/>
          </w:tcPr>
          <w:p>
            <w:pPr>
              <w:pStyle w:val="单元格样式2"/>
            </w:pPr>
            <w:r>
              <w:t xml:space="preserve">信访群众满意度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4、解决疑难信访问题配套资金绩效目标表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13043425P004292100016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解决疑难信访问题配套资金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通过对疑难信访案件进行资金救助，促进社会和谐稳定，营造良好社会环境。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1.通过对疑难信访案件进行资金救助，促进社会和谐稳定，营造良好社会环境。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案件数量</w:t>
            </w:r>
          </w:p>
        </w:tc>
        <w:tc>
          <w:tcPr>
            <w:tcW w:w="5386" w:type="dxa"/>
            <w:vAlign w:val="center"/>
          </w:tcPr>
          <w:p>
            <w:pPr>
              <w:pStyle w:val="单元格样式2"/>
            </w:pPr>
            <w:r>
              <w:t xml:space="preserve">使用配套资金解决案件的个数</w:t>
            </w:r>
          </w:p>
        </w:tc>
        <w:tc>
          <w:tcPr>
            <w:tcW w:w="2268" w:type="dxa"/>
            <w:vAlign w:val="center"/>
          </w:tcPr>
          <w:p>
            <w:pPr>
              <w:pStyle w:val="单元格样式2"/>
            </w:pPr>
            <w:r>
              <w:t xml:space="preserve">40个</w:t>
            </w:r>
          </w:p>
        </w:tc>
        <w:tc>
          <w:tcPr>
            <w:tcW w:w="1276" w:type="dxa"/>
            <w:vAlign w:val="center"/>
          </w:tcPr>
          <w:p>
            <w:pPr>
              <w:pStyle w:val="单元格样式2"/>
            </w:pPr>
            <w:r>
              <w:t xml:space="preserve">《关于进一步建立和完善解决特殊疑难信访问题救助基金管理制度的意见》（魏联字〔2021〕4号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信访事项化解率(%)</w:t>
            </w:r>
          </w:p>
        </w:tc>
        <w:tc>
          <w:tcPr>
            <w:tcW w:w="5386" w:type="dxa"/>
            <w:vAlign w:val="center"/>
          </w:tcPr>
          <w:p>
            <w:pPr>
              <w:pStyle w:val="单元格样式2"/>
            </w:pPr>
            <w:r>
              <w:t xml:space="preserve">使用配套资金解决案件的化解率</w:t>
            </w:r>
          </w:p>
        </w:tc>
        <w:tc>
          <w:tcPr>
            <w:tcW w:w="2268" w:type="dxa"/>
            <w:vAlign w:val="center"/>
          </w:tcPr>
          <w:p>
            <w:pPr>
              <w:pStyle w:val="单元格样式2"/>
            </w:pPr>
            <w:r>
              <w:t xml:space="preserve">100%</w:t>
            </w:r>
          </w:p>
        </w:tc>
        <w:tc>
          <w:tcPr>
            <w:tcW w:w="1276" w:type="dxa"/>
            <w:vAlign w:val="center"/>
          </w:tcPr>
          <w:p>
            <w:pPr>
              <w:pStyle w:val="单元格样式2"/>
            </w:pPr>
            <w:r>
              <w:t xml:space="preserve">《关于进一步建立和完善解决特殊疑难信访问题救助基金管理制度的意见》（魏联字〔2021〕4号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救助资金发放及时率</w:t>
            </w:r>
          </w:p>
        </w:tc>
        <w:tc>
          <w:tcPr>
            <w:tcW w:w="5386" w:type="dxa"/>
            <w:vAlign w:val="center"/>
          </w:tcPr>
          <w:p>
            <w:pPr>
              <w:pStyle w:val="单元格样式2"/>
            </w:pPr>
            <w:r>
              <w:t xml:space="preserve">解决疑难信访问题资金</w:t>
            </w:r>
          </w:p>
        </w:tc>
        <w:tc>
          <w:tcPr>
            <w:tcW w:w="2268" w:type="dxa"/>
            <w:vAlign w:val="center"/>
          </w:tcPr>
          <w:p>
            <w:pPr>
              <w:pStyle w:val="单元格样式2"/>
            </w:pPr>
            <w:r>
              <w:t xml:space="preserve">100%</w:t>
            </w:r>
          </w:p>
        </w:tc>
        <w:tc>
          <w:tcPr>
            <w:tcW w:w="1276" w:type="dxa"/>
            <w:vAlign w:val="center"/>
          </w:tcPr>
          <w:p>
            <w:pPr>
              <w:pStyle w:val="单元格样式2"/>
            </w:pPr>
            <w:r>
              <w:t xml:space="preserve">《关于进一步建立和完善解决特殊疑难信访问题救助基金管理制度的意见》（魏联字〔2021〕4号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信访救助资金</w:t>
            </w:r>
          </w:p>
        </w:tc>
        <w:tc>
          <w:tcPr>
            <w:tcW w:w="5386" w:type="dxa"/>
            <w:vAlign w:val="center"/>
          </w:tcPr>
          <w:p>
            <w:pPr>
              <w:pStyle w:val="单元格样式2"/>
            </w:pPr>
            <w:r>
              <w:t xml:space="preserve">及时发放救助金</w:t>
            </w:r>
          </w:p>
        </w:tc>
        <w:tc>
          <w:tcPr>
            <w:tcW w:w="2268" w:type="dxa"/>
            <w:vAlign w:val="center"/>
          </w:tcPr>
          <w:p>
            <w:pPr>
              <w:pStyle w:val="单元格样式2"/>
            </w:pPr>
            <w:r>
              <w:t xml:space="preserve">200万元</w:t>
            </w:r>
          </w:p>
        </w:tc>
        <w:tc>
          <w:tcPr>
            <w:tcW w:w="1276" w:type="dxa"/>
            <w:vAlign w:val="center"/>
          </w:tcPr>
          <w:p>
            <w:pPr>
              <w:pStyle w:val="单元格样式2"/>
            </w:pPr>
            <w:r>
              <w:t xml:space="preserve">《关于进一步建立和完善解决特殊疑难信访问题救助基金管理制度的意见》（魏联字〔2021〕4号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信访平稳可控</w:t>
            </w:r>
          </w:p>
        </w:tc>
        <w:tc>
          <w:tcPr>
            <w:tcW w:w="5386" w:type="dxa"/>
            <w:vAlign w:val="center"/>
          </w:tcPr>
          <w:p>
            <w:pPr>
              <w:pStyle w:val="单元格样式2"/>
            </w:pPr>
            <w:r>
              <w:t xml:space="preserve">全县信访形势总体平稳可控</w:t>
            </w:r>
          </w:p>
        </w:tc>
        <w:tc>
          <w:tcPr>
            <w:tcW w:w="2268" w:type="dxa"/>
            <w:vAlign w:val="center"/>
          </w:tcPr>
          <w:p>
            <w:pPr>
              <w:pStyle w:val="单元格样式2"/>
            </w:pPr>
            <w:r>
              <w:t xml:space="preserve">保持全县信访形势总体平稳可控</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w:t>
            </w:r>
          </w:p>
        </w:tc>
        <w:tc>
          <w:tcPr>
            <w:tcW w:w="5386" w:type="dxa"/>
            <w:vAlign w:val="center"/>
          </w:tcPr>
          <w:p>
            <w:pPr>
              <w:pStyle w:val="单元格样式2"/>
            </w:pPr>
            <w:r>
              <w:t xml:space="preserve">持续提升我县社会稳定水平</w:t>
            </w:r>
          </w:p>
        </w:tc>
        <w:tc>
          <w:tcPr>
            <w:tcW w:w="2268" w:type="dxa"/>
            <w:vAlign w:val="center"/>
          </w:tcPr>
          <w:p>
            <w:pPr>
              <w:pStyle w:val="单元格样式2"/>
            </w:pPr>
            <w:r>
              <w:t xml:space="preserve">持续提升社会稳定水平</w:t>
            </w:r>
          </w:p>
        </w:tc>
        <w:tc>
          <w:tcPr>
            <w:tcW w:w="1276" w:type="dxa"/>
            <w:vAlign w:val="center"/>
          </w:tcPr>
          <w:p>
            <w:pPr>
              <w:pStyle w:val="单元格样式2"/>
            </w:pPr>
            <w:r>
              <w:t xml:space="preserve">魏县信访局年度工作计划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救助对象的满意度</w:t>
            </w:r>
          </w:p>
        </w:tc>
        <w:tc>
          <w:tcPr>
            <w:tcW w:w="5386" w:type="dxa"/>
            <w:vAlign w:val="center"/>
          </w:tcPr>
          <w:p>
            <w:pPr>
              <w:pStyle w:val="单元格样式2"/>
            </w:pPr>
            <w:r>
              <w:t xml:space="preserve">救助对象的满意度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5、驻京、省信访群众服务联络处工作经费绩效目标表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13043425P00429210002R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驻京、省信访群众服务联络处工作经费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通过及时处理进京、赴省上访群众，力争做到全年进京赴省访零登记，维护我县社会稳定。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1.通过及时处理进京、赴省上访群众，力争做到全年进京赴省访零登记，维护我县社会稳定。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开展信访维稳保障工作天数</w:t>
            </w:r>
          </w:p>
        </w:tc>
        <w:tc>
          <w:tcPr>
            <w:tcW w:w="5386" w:type="dxa"/>
            <w:vAlign w:val="center"/>
          </w:tcPr>
          <w:p>
            <w:pPr>
              <w:pStyle w:val="单元格样式2"/>
            </w:pPr>
            <w:r>
              <w:t xml:space="preserve">开展信访维稳保障工作天数</w:t>
            </w:r>
          </w:p>
        </w:tc>
        <w:tc>
          <w:tcPr>
            <w:tcW w:w="2268" w:type="dxa"/>
            <w:vAlign w:val="center"/>
          </w:tcPr>
          <w:p>
            <w:pPr>
              <w:pStyle w:val="单元格样式2"/>
            </w:pPr>
            <w:r>
              <w:t xml:space="preserve">365天</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信访事项化解率(%)</w:t>
            </w:r>
          </w:p>
        </w:tc>
        <w:tc>
          <w:tcPr>
            <w:tcW w:w="5386" w:type="dxa"/>
            <w:vAlign w:val="center"/>
          </w:tcPr>
          <w:p>
            <w:pPr>
              <w:pStyle w:val="单元格样式2"/>
            </w:pPr>
            <w:r>
              <w:t xml:space="preserve">信访事项化解率(%)</w:t>
            </w:r>
          </w:p>
        </w:tc>
        <w:tc>
          <w:tcPr>
            <w:tcW w:w="2268" w:type="dxa"/>
            <w:vAlign w:val="center"/>
          </w:tcPr>
          <w:p>
            <w:pPr>
              <w:pStyle w:val="单元格样式2"/>
            </w:pPr>
            <w:r>
              <w:t xml:space="preserve">100%</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信访事项受理及时率</w:t>
            </w:r>
          </w:p>
        </w:tc>
        <w:tc>
          <w:tcPr>
            <w:tcW w:w="5386" w:type="dxa"/>
            <w:vAlign w:val="center"/>
          </w:tcPr>
          <w:p>
            <w:pPr>
              <w:pStyle w:val="单元格样式2"/>
            </w:pPr>
            <w:r>
              <w:t xml:space="preserve">信访事项受理及时率</w:t>
            </w:r>
          </w:p>
        </w:tc>
        <w:tc>
          <w:tcPr>
            <w:tcW w:w="2268" w:type="dxa"/>
            <w:vAlign w:val="center"/>
          </w:tcPr>
          <w:p>
            <w:pPr>
              <w:pStyle w:val="单元格样式2"/>
            </w:pPr>
            <w:r>
              <w:t xml:space="preserve">100%</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120万元</w:t>
            </w:r>
          </w:p>
        </w:tc>
        <w:tc>
          <w:tcPr>
            <w:tcW w:w="1276" w:type="dxa"/>
            <w:vAlign w:val="center"/>
          </w:tcPr>
          <w:p>
            <w:pPr>
              <w:pStyle w:val="单元格样式2"/>
            </w:pPr>
            <w:r>
              <w:t xml:space="preserve">魏县信访局年度工作计划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信访平稳可控</w:t>
            </w:r>
          </w:p>
        </w:tc>
        <w:tc>
          <w:tcPr>
            <w:tcW w:w="5386" w:type="dxa"/>
            <w:vAlign w:val="center"/>
          </w:tcPr>
          <w:p>
            <w:pPr>
              <w:pStyle w:val="单元格样式2"/>
            </w:pPr>
            <w:r>
              <w:t xml:space="preserve">保持全县信访形势总体平稳可控</w:t>
            </w:r>
          </w:p>
        </w:tc>
        <w:tc>
          <w:tcPr>
            <w:tcW w:w="2268" w:type="dxa"/>
            <w:vAlign w:val="center"/>
          </w:tcPr>
          <w:p>
            <w:pPr>
              <w:pStyle w:val="单元格样式2"/>
            </w:pPr>
            <w:r>
              <w:t xml:space="preserve">保持全县信访形势总体平稳可控</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w:t>
            </w:r>
          </w:p>
        </w:tc>
        <w:tc>
          <w:tcPr>
            <w:tcW w:w="5386" w:type="dxa"/>
            <w:vAlign w:val="center"/>
          </w:tcPr>
          <w:p>
            <w:pPr>
              <w:pStyle w:val="单元格样式2"/>
            </w:pPr>
            <w:r>
              <w:t xml:space="preserve">持续提升社会稳定水平</w:t>
            </w:r>
          </w:p>
        </w:tc>
        <w:tc>
          <w:tcPr>
            <w:tcW w:w="2268" w:type="dxa"/>
            <w:vAlign w:val="center"/>
          </w:tcPr>
          <w:p>
            <w:pPr>
              <w:pStyle w:val="单元格样式2"/>
            </w:pPr>
            <w:r>
              <w:t xml:space="preserve">持续提升社会稳定水平</w:t>
            </w:r>
          </w:p>
        </w:tc>
        <w:tc>
          <w:tcPr>
            <w:tcW w:w="1276" w:type="dxa"/>
            <w:vAlign w:val="center"/>
          </w:tcPr>
          <w:p>
            <w:pPr>
              <w:pStyle w:val="单元格样式2"/>
            </w:pPr>
            <w:r>
              <w:t xml:space="preserve">魏县信访局年度工作计划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信访群众满意度</w:t>
            </w:r>
          </w:p>
        </w:tc>
        <w:tc>
          <w:tcPr>
            <w:tcW w:w="5386" w:type="dxa"/>
            <w:vAlign w:val="center"/>
          </w:tcPr>
          <w:p>
            <w:pPr>
              <w:pStyle w:val="单元格样式2"/>
            </w:pPr>
            <w:r>
              <w:t xml:space="preserve">信访群众满意度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202魏县信访局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魏县信访局（含所属单位）上年末固定资产金额为347.08万元（详见下表）。本年度拟购置固定资产总额为0.00万元，已按要求列入政府采购预算，详见政府采购预算表。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202魏县信访局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347.08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1569.52</w:t>
            </w:r>
          </w:p>
        </w:tc>
        <w:tc>
          <w:tcPr>
            <w:tcW w:w="2835" w:type="dxa"/>
            <w:vAlign w:val="center"/>
          </w:tcPr>
          <w:p>
            <w:pPr>
              <w:pStyle w:val="单元格样式4"/>
            </w:pPr>
            <w:r>
              <w:t xml:space="preserve">194.00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224</w:t>
            </w:r>
          </w:p>
        </w:tc>
        <w:tc>
          <w:tcPr>
            <w:tcW w:w="2835" w:type="dxa"/>
            <w:vAlign w:val="center"/>
          </w:tcPr>
          <w:p>
            <w:pPr>
              <w:pStyle w:val="单元格样式4"/>
            </w:pPr>
            <w:r>
              <w:t xml:space="preserve">27.60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484</w:t>
            </w:r>
          </w:p>
        </w:tc>
        <w:tc>
          <w:tcPr>
            <w:tcW w:w="2835" w:type="dxa"/>
            <w:vAlign w:val="center"/>
          </w:tcPr>
          <w:p>
            <w:pPr>
              <w:pStyle w:val="单元格样式4"/>
            </w:pPr>
            <w:r>
              <w:t xml:space="preserve">153.08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2025-02-13T19:27:35Z</dcterms:created>
  <dcterms:modified xsi:type="dcterms:W3CDTF">2025-02-13T19:27:35Z</dcterms:modified>
</cp:coreProperties>
</file>