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一、魏县统计局本级收支预算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二、魏县城调队收支预算</w:t>
        </w:r>
        <w:r>
          <w:tab/>
        </w:r>
        <w:r>
          <w:fldChar w:fldCharType="begin"/>
        </w:r>
        <w:r>
          <w:instrText xml:space="preserve">PAGEREF _Toc_4_4_0000000002 \h</w:instrText>
        </w:r>
        <w:r>
          <w:fldChar w:fldCharType="separate"/>
        </w:r>
        <w:r>
          <w:t xml:space="preserve">26</w:t>
        </w:r>
        <w:r>
          <w:fldChar w:fldCharType="end"/>
        </w:r>
      </w:hyperlink>
    </w:p>
    <w:p>
      <w:pPr>
        <w:pStyle w:val="TOC1"/>
        <w:tabs>
          <w:tab w:val="right" w:leader="dot" w:pos="14562"/>
        </w:tabs>
      </w:pPr>
      <w:hyperlink w:anchor="_Toc_4_4_0000000003" w:history="1">
        <w:r>
          <w:rPr>
            <w:b w:val="0"/>
          </w:rPr>
          <w:t xml:space="preserve">三、魏县普查中心收支预算</w:t>
        </w:r>
        <w:r>
          <w:tab/>
        </w:r>
        <w:r>
          <w:fldChar w:fldCharType="begin"/>
        </w:r>
        <w:r>
          <w:instrText xml:space="preserve">PAGEREF _Toc_4_4_0000000003 \h</w:instrText>
        </w:r>
        <w:r>
          <w:fldChar w:fldCharType="separate"/>
        </w:r>
        <w:r>
          <w:t xml:space="preserve">40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一、魏县统计局本级收支预算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366.23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289.19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66.12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10.92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366.23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366.23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366.23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366.23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366.23</w:t>
            </w:r>
          </w:p>
        </w:tc>
        <w:tc>
          <w:tcPr>
            <w:tcW w:w="1134" w:type="dxa"/>
            <w:vAlign w:val="center"/>
          </w:tcPr>
          <w:p>
            <w:pPr>
              <w:pStyle w:val="单元格样式7"/>
            </w:pPr>
            <w:r>
              <w:t xml:space="preserve">366.23</w:t>
            </w:r>
          </w:p>
        </w:tc>
        <w:tc>
          <w:tcPr>
            <w:tcW w:w="1134" w:type="dxa"/>
            <w:vAlign w:val="center"/>
          </w:tcPr>
          <w:p>
            <w:pPr>
              <w:pStyle w:val="单元格样式7"/>
            </w:pPr>
            <w:r>
              <w:t xml:space="preserve">366.23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289.19</w:t>
            </w:r>
          </w:p>
        </w:tc>
        <w:tc>
          <w:tcPr>
            <w:tcW w:w="1134" w:type="dxa"/>
            <w:vAlign w:val="center"/>
          </w:tcPr>
          <w:p>
            <w:pPr>
              <w:pStyle w:val="单元格样式4"/>
            </w:pPr>
            <w:r>
              <w:t xml:space="preserve">289.19</w:t>
            </w:r>
          </w:p>
        </w:tc>
        <w:tc>
          <w:tcPr>
            <w:tcW w:w="1134" w:type="dxa"/>
            <w:vAlign w:val="center"/>
          </w:tcPr>
          <w:p>
            <w:pPr>
              <w:pStyle w:val="单元格样式4"/>
            </w:pPr>
            <w:r>
              <w:t xml:space="preserve">289.19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289.19</w:t>
            </w:r>
          </w:p>
        </w:tc>
        <w:tc>
          <w:tcPr>
            <w:tcW w:w="1134" w:type="dxa"/>
            <w:vAlign w:val="center"/>
          </w:tcPr>
          <w:p>
            <w:pPr>
              <w:pStyle w:val="单元格样式4"/>
            </w:pPr>
            <w:r>
              <w:t xml:space="preserve">289.19</w:t>
            </w:r>
          </w:p>
        </w:tc>
        <w:tc>
          <w:tcPr>
            <w:tcW w:w="1134" w:type="dxa"/>
            <w:vAlign w:val="center"/>
          </w:tcPr>
          <w:p>
            <w:pPr>
              <w:pStyle w:val="单元格样式4"/>
            </w:pPr>
            <w:r>
              <w:t xml:space="preserve">289.19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228.19</w:t>
            </w:r>
          </w:p>
        </w:tc>
        <w:tc>
          <w:tcPr>
            <w:tcW w:w="1134" w:type="dxa"/>
            <w:vAlign w:val="center"/>
          </w:tcPr>
          <w:p>
            <w:pPr>
              <w:pStyle w:val="单元格样式4"/>
            </w:pPr>
            <w:r>
              <w:t xml:space="preserve">228.19</w:t>
            </w:r>
          </w:p>
        </w:tc>
        <w:tc>
          <w:tcPr>
            <w:tcW w:w="1134" w:type="dxa"/>
            <w:vAlign w:val="center"/>
          </w:tcPr>
          <w:p>
            <w:pPr>
              <w:pStyle w:val="单元格样式4"/>
            </w:pPr>
            <w:r>
              <w:t xml:space="preserve">228.19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51.00</w:t>
            </w:r>
          </w:p>
        </w:tc>
        <w:tc>
          <w:tcPr>
            <w:tcW w:w="1134" w:type="dxa"/>
            <w:vAlign w:val="center"/>
          </w:tcPr>
          <w:p>
            <w:pPr>
              <w:pStyle w:val="单元格样式4"/>
            </w:pPr>
            <w:r>
              <w:t xml:space="preserve">51.00</w:t>
            </w:r>
          </w:p>
        </w:tc>
        <w:tc>
          <w:tcPr>
            <w:tcW w:w="1134" w:type="dxa"/>
            <w:vAlign w:val="center"/>
          </w:tcPr>
          <w:p>
            <w:pPr>
              <w:pStyle w:val="单元格样式4"/>
            </w:pPr>
            <w:r>
              <w:t xml:space="preserve">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2010505</w:t>
            </w:r>
          </w:p>
        </w:tc>
        <w:tc>
          <w:tcPr>
            <w:tcW w:w="1559" w:type="dxa"/>
            <w:vAlign w:val="center"/>
          </w:tcPr>
          <w:p>
            <w:pPr>
              <w:pStyle w:val="单元格样式2"/>
            </w:pPr>
            <w:r>
              <w:t xml:space="preserve">专项统计业务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66.12</w:t>
            </w:r>
          </w:p>
        </w:tc>
        <w:tc>
          <w:tcPr>
            <w:tcW w:w="1134" w:type="dxa"/>
            <w:vAlign w:val="center"/>
          </w:tcPr>
          <w:p>
            <w:pPr>
              <w:pStyle w:val="单元格样式4"/>
            </w:pPr>
            <w:r>
              <w:t xml:space="preserve">66.12</w:t>
            </w:r>
          </w:p>
        </w:tc>
        <w:tc>
          <w:tcPr>
            <w:tcW w:w="1134" w:type="dxa"/>
            <w:vAlign w:val="center"/>
          </w:tcPr>
          <w:p>
            <w:pPr>
              <w:pStyle w:val="单元格样式4"/>
            </w:pPr>
            <w:r>
              <w:t xml:space="preserve">66.12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66.12</w:t>
            </w:r>
          </w:p>
        </w:tc>
        <w:tc>
          <w:tcPr>
            <w:tcW w:w="1134" w:type="dxa"/>
            <w:vAlign w:val="center"/>
          </w:tcPr>
          <w:p>
            <w:pPr>
              <w:pStyle w:val="单元格样式4"/>
            </w:pPr>
            <w:r>
              <w:t xml:space="preserve">66.12</w:t>
            </w:r>
          </w:p>
        </w:tc>
        <w:tc>
          <w:tcPr>
            <w:tcW w:w="1134" w:type="dxa"/>
            <w:vAlign w:val="center"/>
          </w:tcPr>
          <w:p>
            <w:pPr>
              <w:pStyle w:val="单元格样式4"/>
            </w:pPr>
            <w:r>
              <w:t xml:space="preserve">66.12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24.98</w:t>
            </w:r>
          </w:p>
        </w:tc>
        <w:tc>
          <w:tcPr>
            <w:tcW w:w="1134" w:type="dxa"/>
            <w:vAlign w:val="center"/>
          </w:tcPr>
          <w:p>
            <w:pPr>
              <w:pStyle w:val="单元格样式4"/>
            </w:pPr>
            <w:r>
              <w:t xml:space="preserve">24.98</w:t>
            </w:r>
          </w:p>
        </w:tc>
        <w:tc>
          <w:tcPr>
            <w:tcW w:w="1134" w:type="dxa"/>
            <w:vAlign w:val="center"/>
          </w:tcPr>
          <w:p>
            <w:pPr>
              <w:pStyle w:val="单元格样式4"/>
            </w:pPr>
            <w:r>
              <w:t xml:space="preserve">24.98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27.42</w:t>
            </w:r>
          </w:p>
        </w:tc>
        <w:tc>
          <w:tcPr>
            <w:tcW w:w="1134" w:type="dxa"/>
            <w:vAlign w:val="center"/>
          </w:tcPr>
          <w:p>
            <w:pPr>
              <w:pStyle w:val="单元格样式4"/>
            </w:pPr>
            <w:r>
              <w:t xml:space="preserve">27.42</w:t>
            </w:r>
          </w:p>
        </w:tc>
        <w:tc>
          <w:tcPr>
            <w:tcW w:w="1134" w:type="dxa"/>
            <w:vAlign w:val="center"/>
          </w:tcPr>
          <w:p>
            <w:pPr>
              <w:pStyle w:val="单元格样式4"/>
            </w:pPr>
            <w:r>
              <w:t xml:space="preserve">27.42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13.71</w:t>
            </w:r>
          </w:p>
        </w:tc>
        <w:tc>
          <w:tcPr>
            <w:tcW w:w="1134" w:type="dxa"/>
            <w:vAlign w:val="center"/>
          </w:tcPr>
          <w:p>
            <w:pPr>
              <w:pStyle w:val="单元格样式4"/>
            </w:pPr>
            <w:r>
              <w:t xml:space="preserve">13.71</w:t>
            </w:r>
          </w:p>
        </w:tc>
        <w:tc>
          <w:tcPr>
            <w:tcW w:w="1134" w:type="dxa"/>
            <w:vAlign w:val="center"/>
          </w:tcPr>
          <w:p>
            <w:pPr>
              <w:pStyle w:val="单元格样式4"/>
            </w:pPr>
            <w:r>
              <w:t xml:space="preserve">13.71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10.92</w:t>
            </w:r>
          </w:p>
        </w:tc>
        <w:tc>
          <w:tcPr>
            <w:tcW w:w="1134" w:type="dxa"/>
            <w:vAlign w:val="center"/>
          </w:tcPr>
          <w:p>
            <w:pPr>
              <w:pStyle w:val="单元格样式4"/>
            </w:pPr>
            <w:r>
              <w:t xml:space="preserve">10.92</w:t>
            </w:r>
          </w:p>
        </w:tc>
        <w:tc>
          <w:tcPr>
            <w:tcW w:w="1134" w:type="dxa"/>
            <w:vAlign w:val="center"/>
          </w:tcPr>
          <w:p>
            <w:pPr>
              <w:pStyle w:val="单元格样式4"/>
            </w:pPr>
            <w:r>
              <w:t xml:space="preserve">10.92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10.92</w:t>
            </w:r>
          </w:p>
        </w:tc>
        <w:tc>
          <w:tcPr>
            <w:tcW w:w="1134" w:type="dxa"/>
            <w:vAlign w:val="center"/>
          </w:tcPr>
          <w:p>
            <w:pPr>
              <w:pStyle w:val="单元格样式4"/>
            </w:pPr>
            <w:r>
              <w:t xml:space="preserve">10.92</w:t>
            </w:r>
          </w:p>
        </w:tc>
        <w:tc>
          <w:tcPr>
            <w:tcW w:w="1134" w:type="dxa"/>
            <w:vAlign w:val="center"/>
          </w:tcPr>
          <w:p>
            <w:pPr>
              <w:pStyle w:val="单元格样式4"/>
            </w:pPr>
            <w:r>
              <w:t xml:space="preserve">10.92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10.92</w:t>
            </w:r>
          </w:p>
        </w:tc>
        <w:tc>
          <w:tcPr>
            <w:tcW w:w="1134" w:type="dxa"/>
            <w:vAlign w:val="center"/>
          </w:tcPr>
          <w:p>
            <w:pPr>
              <w:pStyle w:val="单元格样式4"/>
            </w:pPr>
            <w:r>
              <w:t xml:space="preserve">10.92</w:t>
            </w:r>
          </w:p>
        </w:tc>
        <w:tc>
          <w:tcPr>
            <w:tcW w:w="1134" w:type="dxa"/>
            <w:vAlign w:val="center"/>
          </w:tcPr>
          <w:p>
            <w:pPr>
              <w:pStyle w:val="单元格样式4"/>
            </w:pPr>
            <w:r>
              <w:t xml:space="preserve">10.92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366.23</w:t>
            </w:r>
          </w:p>
        </w:tc>
        <w:tc>
          <w:tcPr>
            <w:tcW w:w="1361" w:type="dxa"/>
            <w:vAlign w:val="center"/>
          </w:tcPr>
          <w:p>
            <w:pPr>
              <w:pStyle w:val="单元格样式7"/>
            </w:pPr>
            <w:r>
              <w:t xml:space="preserve">240.23</w:t>
            </w:r>
          </w:p>
        </w:tc>
        <w:tc>
          <w:tcPr>
            <w:tcW w:w="1361" w:type="dxa"/>
            <w:vAlign w:val="center"/>
          </w:tcPr>
          <w:p>
            <w:pPr>
              <w:pStyle w:val="单元格样式7"/>
            </w:pPr>
            <w:r>
              <w:t xml:space="preserve">126.00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289.19</w:t>
            </w:r>
          </w:p>
        </w:tc>
        <w:tc>
          <w:tcPr>
            <w:tcW w:w="1361" w:type="dxa"/>
            <w:vAlign w:val="center"/>
          </w:tcPr>
          <w:p>
            <w:pPr>
              <w:pStyle w:val="单元格样式4"/>
            </w:pPr>
            <w:r>
              <w:t xml:space="preserve">163.19</w:t>
            </w:r>
          </w:p>
        </w:tc>
        <w:tc>
          <w:tcPr>
            <w:tcW w:w="1361" w:type="dxa"/>
            <w:vAlign w:val="center"/>
          </w:tcPr>
          <w:p>
            <w:pPr>
              <w:pStyle w:val="单元格样式4"/>
            </w:pPr>
            <w:r>
              <w:t xml:space="preserve">126.00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289.19</w:t>
            </w:r>
          </w:p>
        </w:tc>
        <w:tc>
          <w:tcPr>
            <w:tcW w:w="1361" w:type="dxa"/>
            <w:vAlign w:val="center"/>
          </w:tcPr>
          <w:p>
            <w:pPr>
              <w:pStyle w:val="单元格样式4"/>
            </w:pPr>
            <w:r>
              <w:t xml:space="preserve">163.19</w:t>
            </w:r>
          </w:p>
        </w:tc>
        <w:tc>
          <w:tcPr>
            <w:tcW w:w="1361" w:type="dxa"/>
            <w:vAlign w:val="center"/>
          </w:tcPr>
          <w:p>
            <w:pPr>
              <w:pStyle w:val="单元格样式4"/>
            </w:pPr>
            <w:r>
              <w:t xml:space="preserve">126.00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228.19</w:t>
            </w:r>
          </w:p>
        </w:tc>
        <w:tc>
          <w:tcPr>
            <w:tcW w:w="1361" w:type="dxa"/>
            <w:vAlign w:val="center"/>
          </w:tcPr>
          <w:p>
            <w:pPr>
              <w:pStyle w:val="单元格样式4"/>
            </w:pPr>
            <w:r>
              <w:t xml:space="preserve">163.19</w:t>
            </w: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51.00</w:t>
            </w:r>
          </w:p>
        </w:tc>
        <w:tc>
          <w:tcPr>
            <w:tcW w:w="1361" w:type="dxa"/>
            <w:vAlign w:val="center"/>
          </w:tcPr>
          <w:p>
            <w:pPr>
              <w:pStyle w:val="单元格样式4"/>
            </w:pPr>
          </w:p>
        </w:tc>
        <w:tc>
          <w:tcPr>
            <w:tcW w:w="1361" w:type="dxa"/>
            <w:vAlign w:val="center"/>
          </w:tcPr>
          <w:p>
            <w:pPr>
              <w:pStyle w:val="单元格样式4"/>
            </w:pPr>
            <w:r>
              <w:t xml:space="preserve">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66.12</w:t>
            </w:r>
          </w:p>
        </w:tc>
        <w:tc>
          <w:tcPr>
            <w:tcW w:w="1361" w:type="dxa"/>
            <w:vAlign w:val="center"/>
          </w:tcPr>
          <w:p>
            <w:pPr>
              <w:pStyle w:val="单元格样式4"/>
            </w:pPr>
            <w:r>
              <w:t xml:space="preserve">66.12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66.12</w:t>
            </w:r>
          </w:p>
        </w:tc>
        <w:tc>
          <w:tcPr>
            <w:tcW w:w="1361" w:type="dxa"/>
            <w:vAlign w:val="center"/>
          </w:tcPr>
          <w:p>
            <w:pPr>
              <w:pStyle w:val="单元格样式4"/>
            </w:pPr>
            <w:r>
              <w:t xml:space="preserve">66.12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24.98</w:t>
            </w:r>
          </w:p>
        </w:tc>
        <w:tc>
          <w:tcPr>
            <w:tcW w:w="1361" w:type="dxa"/>
            <w:vAlign w:val="center"/>
          </w:tcPr>
          <w:p>
            <w:pPr>
              <w:pStyle w:val="单元格样式4"/>
            </w:pPr>
            <w:r>
              <w:t xml:space="preserve">24.98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27.42</w:t>
            </w:r>
          </w:p>
        </w:tc>
        <w:tc>
          <w:tcPr>
            <w:tcW w:w="1361" w:type="dxa"/>
            <w:vAlign w:val="center"/>
          </w:tcPr>
          <w:p>
            <w:pPr>
              <w:pStyle w:val="单元格样式4"/>
            </w:pPr>
            <w:r>
              <w:t xml:space="preserve">27.42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13.71</w:t>
            </w:r>
          </w:p>
        </w:tc>
        <w:tc>
          <w:tcPr>
            <w:tcW w:w="1361" w:type="dxa"/>
            <w:vAlign w:val="center"/>
          </w:tcPr>
          <w:p>
            <w:pPr>
              <w:pStyle w:val="单元格样式4"/>
            </w:pPr>
            <w:r>
              <w:t xml:space="preserve">13.71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10.92</w:t>
            </w:r>
          </w:p>
        </w:tc>
        <w:tc>
          <w:tcPr>
            <w:tcW w:w="1361" w:type="dxa"/>
            <w:vAlign w:val="center"/>
          </w:tcPr>
          <w:p>
            <w:pPr>
              <w:pStyle w:val="单元格样式4"/>
            </w:pPr>
            <w:r>
              <w:t xml:space="preserve">10.92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10.92</w:t>
            </w:r>
          </w:p>
        </w:tc>
        <w:tc>
          <w:tcPr>
            <w:tcW w:w="1361" w:type="dxa"/>
            <w:vAlign w:val="center"/>
          </w:tcPr>
          <w:p>
            <w:pPr>
              <w:pStyle w:val="单元格样式4"/>
            </w:pPr>
            <w:r>
              <w:t xml:space="preserve">10.92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10.92</w:t>
            </w:r>
          </w:p>
        </w:tc>
        <w:tc>
          <w:tcPr>
            <w:tcW w:w="1361" w:type="dxa"/>
            <w:vAlign w:val="center"/>
          </w:tcPr>
          <w:p>
            <w:pPr>
              <w:pStyle w:val="单元格样式4"/>
            </w:pPr>
            <w:r>
              <w:t xml:space="preserve">10.92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366.23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289.19</w:t>
            </w:r>
          </w:p>
        </w:tc>
        <w:tc>
          <w:tcPr>
            <w:tcW w:w="1474" w:type="dxa"/>
            <w:vAlign w:val="center"/>
          </w:tcPr>
          <w:p>
            <w:pPr>
              <w:pStyle w:val="单元格样式4"/>
            </w:pPr>
            <w:r>
              <w:t xml:space="preserve">289.19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66.12</w:t>
            </w:r>
          </w:p>
        </w:tc>
        <w:tc>
          <w:tcPr>
            <w:tcW w:w="1474" w:type="dxa"/>
            <w:vAlign w:val="center"/>
          </w:tcPr>
          <w:p>
            <w:pPr>
              <w:pStyle w:val="单元格样式4"/>
            </w:pPr>
            <w:r>
              <w:t xml:space="preserve">66.12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10.92</w:t>
            </w:r>
          </w:p>
        </w:tc>
        <w:tc>
          <w:tcPr>
            <w:tcW w:w="1474" w:type="dxa"/>
            <w:vAlign w:val="center"/>
          </w:tcPr>
          <w:p>
            <w:pPr>
              <w:pStyle w:val="单元格样式4"/>
            </w:pPr>
            <w:r>
              <w:t xml:space="preserve">10.92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366.23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366.23</w:t>
            </w:r>
          </w:p>
        </w:tc>
        <w:tc>
          <w:tcPr>
            <w:tcW w:w="1474" w:type="dxa"/>
            <w:vAlign w:val="center"/>
          </w:tcPr>
          <w:p>
            <w:pPr>
              <w:pStyle w:val="单元格样式7"/>
            </w:pPr>
            <w:r>
              <w:t xml:space="preserve">366.23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366.23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366.23</w:t>
            </w:r>
          </w:p>
        </w:tc>
        <w:tc>
          <w:tcPr>
            <w:tcW w:w="1474" w:type="dxa"/>
            <w:vAlign w:val="center"/>
          </w:tcPr>
          <w:p>
            <w:pPr>
              <w:pStyle w:val="单元格样式7"/>
            </w:pPr>
            <w:r>
              <w:t xml:space="preserve">366.23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366.23</w:t>
            </w:r>
          </w:p>
        </w:tc>
        <w:tc>
          <w:tcPr>
            <w:tcW w:w="2551" w:type="dxa"/>
            <w:vAlign w:val="center"/>
          </w:tcPr>
          <w:p>
            <w:pPr>
              <w:pStyle w:val="单元格样式7"/>
            </w:pPr>
            <w:r>
              <w:t xml:space="preserve">240.23</w:t>
            </w:r>
          </w:p>
        </w:tc>
        <w:tc>
          <w:tcPr>
            <w:tcW w:w="2551" w:type="dxa"/>
            <w:vAlign w:val="center"/>
          </w:tcPr>
          <w:p>
            <w:pPr>
              <w:pStyle w:val="单元格样式7"/>
            </w:pPr>
            <w:r>
              <w:t xml:space="preserve">126.00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289.19</w:t>
            </w:r>
          </w:p>
        </w:tc>
        <w:tc>
          <w:tcPr>
            <w:tcW w:w="2551" w:type="dxa"/>
            <w:vAlign w:val="center"/>
          </w:tcPr>
          <w:p>
            <w:pPr>
              <w:pStyle w:val="单元格样式4"/>
            </w:pPr>
            <w:r>
              <w:t xml:space="preserve">163.19</w:t>
            </w:r>
          </w:p>
        </w:tc>
        <w:tc>
          <w:tcPr>
            <w:tcW w:w="2551" w:type="dxa"/>
            <w:vAlign w:val="center"/>
          </w:tcPr>
          <w:p>
            <w:pPr>
              <w:pStyle w:val="单元格样式4"/>
            </w:pPr>
            <w:r>
              <w:t xml:space="preserve">126.00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289.19</w:t>
            </w:r>
          </w:p>
        </w:tc>
        <w:tc>
          <w:tcPr>
            <w:tcW w:w="2551" w:type="dxa"/>
            <w:vAlign w:val="center"/>
          </w:tcPr>
          <w:p>
            <w:pPr>
              <w:pStyle w:val="单元格样式4"/>
            </w:pPr>
            <w:r>
              <w:t xml:space="preserve">163.19</w:t>
            </w:r>
          </w:p>
        </w:tc>
        <w:tc>
          <w:tcPr>
            <w:tcW w:w="2551" w:type="dxa"/>
            <w:vAlign w:val="center"/>
          </w:tcPr>
          <w:p>
            <w:pPr>
              <w:pStyle w:val="单元格样式4"/>
            </w:pPr>
            <w:r>
              <w:t xml:space="preserve">126.00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228.19</w:t>
            </w:r>
          </w:p>
        </w:tc>
        <w:tc>
          <w:tcPr>
            <w:tcW w:w="2551" w:type="dxa"/>
            <w:vAlign w:val="center"/>
          </w:tcPr>
          <w:p>
            <w:pPr>
              <w:pStyle w:val="单元格样式4"/>
            </w:pPr>
            <w:r>
              <w:t xml:space="preserve">163.19</w:t>
            </w:r>
          </w:p>
        </w:tc>
        <w:tc>
          <w:tcPr>
            <w:tcW w:w="2551" w:type="dxa"/>
            <w:vAlign w:val="center"/>
          </w:tcPr>
          <w:p>
            <w:pPr>
              <w:pStyle w:val="单元格样式4"/>
            </w:pPr>
            <w:r>
              <w:t xml:space="preserve">65.00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51.00</w:t>
            </w:r>
          </w:p>
        </w:tc>
        <w:tc>
          <w:tcPr>
            <w:tcW w:w="2551" w:type="dxa"/>
            <w:vAlign w:val="center"/>
          </w:tcPr>
          <w:p>
            <w:pPr>
              <w:pStyle w:val="单元格样式4"/>
            </w:pPr>
          </w:p>
        </w:tc>
        <w:tc>
          <w:tcPr>
            <w:tcW w:w="2551" w:type="dxa"/>
            <w:vAlign w:val="center"/>
          </w:tcPr>
          <w:p>
            <w:pPr>
              <w:pStyle w:val="单元格样式4"/>
            </w:pPr>
            <w:r>
              <w:t xml:space="preserve">51.00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66.12</w:t>
            </w:r>
          </w:p>
        </w:tc>
        <w:tc>
          <w:tcPr>
            <w:tcW w:w="2551" w:type="dxa"/>
            <w:vAlign w:val="center"/>
          </w:tcPr>
          <w:p>
            <w:pPr>
              <w:pStyle w:val="单元格样式4"/>
            </w:pPr>
            <w:r>
              <w:t xml:space="preserve">66.12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66.12</w:t>
            </w:r>
          </w:p>
        </w:tc>
        <w:tc>
          <w:tcPr>
            <w:tcW w:w="2551" w:type="dxa"/>
            <w:vAlign w:val="center"/>
          </w:tcPr>
          <w:p>
            <w:pPr>
              <w:pStyle w:val="单元格样式4"/>
            </w:pPr>
            <w:r>
              <w:t xml:space="preserve">66.12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24.98</w:t>
            </w:r>
          </w:p>
        </w:tc>
        <w:tc>
          <w:tcPr>
            <w:tcW w:w="2551" w:type="dxa"/>
            <w:vAlign w:val="center"/>
          </w:tcPr>
          <w:p>
            <w:pPr>
              <w:pStyle w:val="单元格样式4"/>
            </w:pPr>
            <w:r>
              <w:t xml:space="preserve">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27.42</w:t>
            </w:r>
          </w:p>
        </w:tc>
        <w:tc>
          <w:tcPr>
            <w:tcW w:w="2551" w:type="dxa"/>
            <w:vAlign w:val="center"/>
          </w:tcPr>
          <w:p>
            <w:pPr>
              <w:pStyle w:val="单元格样式4"/>
            </w:pPr>
            <w:r>
              <w:t xml:space="preserve">27.42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13.71</w:t>
            </w:r>
          </w:p>
        </w:tc>
        <w:tc>
          <w:tcPr>
            <w:tcW w:w="2551" w:type="dxa"/>
            <w:vAlign w:val="center"/>
          </w:tcPr>
          <w:p>
            <w:pPr>
              <w:pStyle w:val="单元格样式4"/>
            </w:pPr>
            <w:r>
              <w:t xml:space="preserve">13.71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240.23</w:t>
            </w:r>
          </w:p>
        </w:tc>
        <w:tc>
          <w:tcPr>
            <w:tcW w:w="2551" w:type="dxa"/>
            <w:vAlign w:val="center"/>
          </w:tcPr>
          <w:p>
            <w:pPr>
              <w:pStyle w:val="单元格样式7"/>
            </w:pPr>
            <w:r>
              <w:t xml:space="preserve">217.15</w:t>
            </w:r>
          </w:p>
        </w:tc>
        <w:tc>
          <w:tcPr>
            <w:tcW w:w="2551" w:type="dxa"/>
            <w:vAlign w:val="center"/>
          </w:tcPr>
          <w:p>
            <w:pPr>
              <w:pStyle w:val="单元格样式7"/>
            </w:pPr>
            <w:r>
              <w:t xml:space="preserve">23.08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190.36</w:t>
            </w:r>
          </w:p>
        </w:tc>
        <w:tc>
          <w:tcPr>
            <w:tcW w:w="2551" w:type="dxa"/>
            <w:vAlign w:val="center"/>
          </w:tcPr>
          <w:p>
            <w:pPr>
              <w:pStyle w:val="单元格样式4"/>
            </w:pPr>
            <w:r>
              <w:t xml:space="preserve">190.36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85.37</w:t>
            </w:r>
          </w:p>
        </w:tc>
        <w:tc>
          <w:tcPr>
            <w:tcW w:w="2551" w:type="dxa"/>
            <w:vAlign w:val="center"/>
          </w:tcPr>
          <w:p>
            <w:pPr>
              <w:pStyle w:val="单元格样式4"/>
            </w:pPr>
            <w:r>
              <w:t xml:space="preserve">85.37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27.39</w:t>
            </w:r>
          </w:p>
        </w:tc>
        <w:tc>
          <w:tcPr>
            <w:tcW w:w="2551" w:type="dxa"/>
            <w:vAlign w:val="center"/>
          </w:tcPr>
          <w:p>
            <w:pPr>
              <w:pStyle w:val="单元格样式4"/>
            </w:pPr>
            <w:r>
              <w:t xml:space="preserve">27.39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22.17</w:t>
            </w:r>
          </w:p>
        </w:tc>
        <w:tc>
          <w:tcPr>
            <w:tcW w:w="2551" w:type="dxa"/>
            <w:vAlign w:val="center"/>
          </w:tcPr>
          <w:p>
            <w:pPr>
              <w:pStyle w:val="单元格样式4"/>
            </w:pPr>
            <w:r>
              <w:t xml:space="preserve">22.17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2.52</w:t>
            </w:r>
          </w:p>
        </w:tc>
        <w:tc>
          <w:tcPr>
            <w:tcW w:w="2551" w:type="dxa"/>
            <w:vAlign w:val="center"/>
          </w:tcPr>
          <w:p>
            <w:pPr>
              <w:pStyle w:val="单元格样式4"/>
            </w:pPr>
            <w:r>
              <w:t xml:space="preserve">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27.42</w:t>
            </w:r>
          </w:p>
        </w:tc>
        <w:tc>
          <w:tcPr>
            <w:tcW w:w="2551" w:type="dxa"/>
            <w:vAlign w:val="center"/>
          </w:tcPr>
          <w:p>
            <w:pPr>
              <w:pStyle w:val="单元格样式4"/>
            </w:pPr>
            <w:r>
              <w:t xml:space="preserve">27.42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13.71</w:t>
            </w:r>
          </w:p>
        </w:tc>
        <w:tc>
          <w:tcPr>
            <w:tcW w:w="2551" w:type="dxa"/>
            <w:vAlign w:val="center"/>
          </w:tcPr>
          <w:p>
            <w:pPr>
              <w:pStyle w:val="单元格样式4"/>
            </w:pPr>
            <w:r>
              <w:t xml:space="preserve">13.71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0.86</w:t>
            </w:r>
          </w:p>
        </w:tc>
        <w:tc>
          <w:tcPr>
            <w:tcW w:w="2551" w:type="dxa"/>
            <w:vAlign w:val="center"/>
          </w:tcPr>
          <w:p>
            <w:pPr>
              <w:pStyle w:val="单元格样式4"/>
            </w:pPr>
            <w:r>
              <w:t xml:space="preserve">0.86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23.08</w:t>
            </w:r>
          </w:p>
        </w:tc>
        <w:tc>
          <w:tcPr>
            <w:tcW w:w="2551" w:type="dxa"/>
            <w:vAlign w:val="center"/>
          </w:tcPr>
          <w:p>
            <w:pPr>
              <w:pStyle w:val="单元格样式4"/>
            </w:pPr>
          </w:p>
        </w:tc>
        <w:tc>
          <w:tcPr>
            <w:tcW w:w="2551" w:type="dxa"/>
            <w:vAlign w:val="center"/>
          </w:tcPr>
          <w:p>
            <w:pPr>
              <w:pStyle w:val="单元格样式4"/>
            </w:pPr>
            <w:r>
              <w:t xml:space="preserve">23.08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9.60</w:t>
            </w:r>
          </w:p>
        </w:tc>
        <w:tc>
          <w:tcPr>
            <w:tcW w:w="2551" w:type="dxa"/>
            <w:vAlign w:val="center"/>
          </w:tcPr>
          <w:p>
            <w:pPr>
              <w:pStyle w:val="单元格样式4"/>
            </w:pPr>
          </w:p>
        </w:tc>
        <w:tc>
          <w:tcPr>
            <w:tcW w:w="2551" w:type="dxa"/>
            <w:vAlign w:val="center"/>
          </w:tcPr>
          <w:p>
            <w:pPr>
              <w:pStyle w:val="单元格样式4"/>
            </w:pPr>
            <w:r>
              <w:t xml:space="preserve">9.60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9.48</w:t>
            </w:r>
          </w:p>
        </w:tc>
        <w:tc>
          <w:tcPr>
            <w:tcW w:w="2551" w:type="dxa"/>
            <w:vAlign w:val="center"/>
          </w:tcPr>
          <w:p>
            <w:pPr>
              <w:pStyle w:val="单元格样式4"/>
            </w:pPr>
          </w:p>
        </w:tc>
        <w:tc>
          <w:tcPr>
            <w:tcW w:w="2551" w:type="dxa"/>
            <w:vAlign w:val="center"/>
          </w:tcPr>
          <w:p>
            <w:pPr>
              <w:pStyle w:val="单元格样式4"/>
            </w:pPr>
            <w:r>
              <w:t xml:space="preserve">9.48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26.79</w:t>
            </w:r>
          </w:p>
        </w:tc>
        <w:tc>
          <w:tcPr>
            <w:tcW w:w="2551" w:type="dxa"/>
            <w:vAlign w:val="center"/>
          </w:tcPr>
          <w:p>
            <w:pPr>
              <w:pStyle w:val="单元格样式4"/>
            </w:pPr>
            <w:r>
              <w:t xml:space="preserve">26.79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24.98</w:t>
            </w:r>
          </w:p>
        </w:tc>
        <w:tc>
          <w:tcPr>
            <w:tcW w:w="2551" w:type="dxa"/>
            <w:vAlign w:val="center"/>
          </w:tcPr>
          <w:p>
            <w:pPr>
              <w:pStyle w:val="单元格样式4"/>
            </w:pPr>
            <w:r>
              <w:t xml:space="preserve">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1.80</w:t>
            </w:r>
          </w:p>
        </w:tc>
        <w:tc>
          <w:tcPr>
            <w:tcW w:w="2551" w:type="dxa"/>
            <w:vAlign w:val="center"/>
          </w:tcPr>
          <w:p>
            <w:pPr>
              <w:pStyle w:val="单元格样式4"/>
            </w:pPr>
            <w:r>
              <w:t xml:space="preserve">1.80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4.00</w:t>
            </w:r>
          </w:p>
        </w:tc>
        <w:tc>
          <w:tcPr>
            <w:tcW w:w="2381" w:type="dxa"/>
            <w:vAlign w:val="center"/>
          </w:tcPr>
          <w:p>
            <w:pPr>
              <w:pStyle w:val="单元格样式7"/>
            </w:pPr>
            <w:r>
              <w:t xml:space="preserve">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魏县统计局本级2025年单位预算信息公开情况说明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按照《中华人民共和国预算法》、《地方预决算公开操作规程》和《关于进一步推进预算公开工作的实施意见》规定，现将魏县统计局本级2025年单位预算公开如下：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（一）承担组织领导和协调管理全县统计工作，确保统计数据真实、准确、及时的责任。</w:t>
      </w:r>
    </w:p>
    <w:p>
      <w:pPr>
        <w:pStyle w:val="插入文本样式-插入单位职责文件"/>
      </w:pPr>
      <w:r>
        <w:t xml:space="preserve">（二）依照国家、省有关法律、法规和政策，制定并实施统计工作规章制度、统计现代化建设规划、统计调查计划和统计调查标准、统计调查制度，监督检查统计法律、法规实施情况，指导全县统计工作。</w:t>
      </w:r>
    </w:p>
    <w:p>
      <w:pPr>
        <w:pStyle w:val="插入文本样式-插入单位职责文件"/>
      </w:pPr>
      <w:r>
        <w:t xml:space="preserve">（三）贯彻执行国家和省国民经济核算制度，组织实施全县国民经济和投入产出调查，核算全县地区生产总值，收集、整理、测算和提供国民经济核算资料，监督管理全县国民经济核算工作。</w:t>
      </w:r>
    </w:p>
    <w:p>
      <w:pPr>
        <w:pStyle w:val="插入文本样式-插入单位职责文件"/>
      </w:pPr>
      <w:r>
        <w:t xml:space="preserve">（四）组织完成国家和省部署的国情国力普查及重要调查任务；研究提出重大县情县力普查和抽样调查计划并组织实施，汇总、整理和提供有关县情县力方面的统计数据。</w:t>
      </w:r>
    </w:p>
    <w:p>
      <w:pPr>
        <w:pStyle w:val="插入文本样式-插入单位职责文件"/>
      </w:pPr>
      <w:r>
        <w:t xml:space="preserve">（五）组织实施农林牧渔业、农业产值、农产品产量、农业产业化、工业、能源、社会、人口、工资、科技、文化教育、卫生、消费、价格、城镇劳动力、城镇就业、建筑业、固定资产投资、房地产开发、高新技术产业、批发和零售业、住宿和餐饮业、运输邮电业、其他服务业、服务业个体户、对外经济和旅游、民营经济、成品油流通、城市社会经济基本情况、县社会经济基本情况、乡村社会经济、资源环境、境外来中国大陆工作专家、服务业财务、企业（集团）、经济社会重点问题等统计调查，收集、汇总、整理和提供统计数据。</w:t>
      </w:r>
    </w:p>
    <w:p>
      <w:pPr>
        <w:pStyle w:val="插入文本样式-插入单位职责文件"/>
      </w:pPr>
      <w:r>
        <w:t xml:space="preserve">（六）组织实施社会发展水平、县域经济发展、节能降耗、城镇化发展、全面小康及农村建设进程、农村贫困、资源循环利用、妇女儿童等统计监测，收集、整理和提供统计数据。</w:t>
      </w:r>
    </w:p>
    <w:p>
      <w:pPr>
        <w:pStyle w:val="插入文本样式-插入单位职责文件"/>
      </w:pPr>
      <w:r>
        <w:t xml:space="preserve">（七）综合整理和提供财政、金融、民营经济税收、出口、文化教育、卫生、社会保障、公用事业、房屋、对外贸易、对内经济技术合作及引进内资等基本统计数据。</w:t>
      </w:r>
    </w:p>
    <w:p>
      <w:pPr>
        <w:pStyle w:val="插入文本样式-插入单位职责文件"/>
      </w:pPr>
      <w:r>
        <w:t xml:space="preserve">（八）统一核定、管理、公布、出版全县性的基本统计资料，定期发布全县国民经济和社会发展情况的统计信息。</w:t>
      </w:r>
    </w:p>
    <w:p>
      <w:pPr>
        <w:pStyle w:val="插入文本样式-插入单位职责文件"/>
      </w:pPr>
      <w:r>
        <w:t xml:space="preserve">（九）对国民经济、社会发展、科技进步等情况进行统计分析、统计预测和统计监督，向县委、县政府及有关部门提供统计信息和咨询建议。</w:t>
      </w:r>
    </w:p>
    <w:p>
      <w:pPr>
        <w:pStyle w:val="插入文本样式-插入单位职责文件"/>
      </w:pPr>
      <w:r>
        <w:t xml:space="preserve">（十）组织管理、监管（备案）各部门、各乡镇统计调查项目、调查计划、调查方案；组织管理全县统计登记工作；知道专业统计基础工作、统计基层业务和规范化建设；组织建设统计信息管理制度，建立健全统计数据质量审核、监控和评估制度，开展对重要统计数据的审核、监控和评估；依法监督管理涉外调查活动。</w:t>
      </w:r>
    </w:p>
    <w:p>
      <w:pPr>
        <w:pStyle w:val="插入文本样式-插入单位职责文件"/>
      </w:pPr>
      <w:r>
        <w:t xml:space="preserve">（十一）贯彻执行国家、省统计信息库和网络的基本标准与运行规则；管理全县统计信息自动化系统和统计数据库体系；管理全县统计数据库网络；指导全县统计信息化系统建设。</w:t>
      </w:r>
    </w:p>
    <w:p>
      <w:pPr>
        <w:pStyle w:val="插入文本样式-插入单位职责文件"/>
      </w:pPr>
      <w:r>
        <w:t xml:space="preserve">（十二）协助管理乡镇统计站，指导全县统计专业队伍建设，配合国家和省、市统计局组织管理统计从业资格认定和持证上岗工作，协助有关部门组织管理统计专业技术资格考试、职务评聘工作。</w:t>
      </w:r>
    </w:p>
    <w:p>
      <w:pPr>
        <w:pStyle w:val="插入文本样式-插入单位职责文件"/>
      </w:pPr>
      <w:r>
        <w:t xml:space="preserve">（十三）承办县委县政府交办的其他事项。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魏县统计局本级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366.23万元，其中：一般公共预算收入366.23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统计局本级年度单位预算中支出预算的总体情况。2025年支出预算366.23万元，其中基本支出240.23万元，包括人员经费217.15万元和日常公用经费23.08万元；项目支出126.00万元，主要为劳务派遣人员工资项目，统计工作经费项目、统计网格化管理经费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366.23万元，较2024年预算减少23.10万元，其中：基本支出增加38.90万元，主要为2025年减少了第五次全国人口普查项目。基本支出增加主要是人员增加项目支出减少62.00万元，主要为2025年减少了第五次全国人口普查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1、统计网格化管理经费绩效目标表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13043425P000001100828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统计网格化管理经费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提高统计数据质量为目标，全面整合优化统计资源配置，扎实推进全县统计网格化管理责任体系建设。</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1.提高统计数据质量为目标，全面整合优化统计资源配置，扎实推进全县统计网格化管理责任体系建设。</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统计数据上报准确率</w:t>
            </w:r>
          </w:p>
        </w:tc>
        <w:tc>
          <w:tcPr>
            <w:tcW w:w="5386" w:type="dxa"/>
            <w:vAlign w:val="center"/>
          </w:tcPr>
          <w:p>
            <w:pPr>
              <w:pStyle w:val="单元格样式2"/>
            </w:pPr>
            <w:r>
              <w:t xml:space="preserve">统计数据上报准确率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魏政办文（2021）29号网格化方案要求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统计网格级数</w:t>
            </w:r>
          </w:p>
        </w:tc>
        <w:tc>
          <w:tcPr>
            <w:tcW w:w="5386" w:type="dxa"/>
            <w:vAlign w:val="center"/>
          </w:tcPr>
          <w:p>
            <w:pPr>
              <w:pStyle w:val="单元格样式2"/>
            </w:pPr>
            <w:r>
              <w:t xml:space="preserve">建立三级网格职责任务</w:t>
            </w:r>
          </w:p>
        </w:tc>
        <w:tc>
          <w:tcPr>
            <w:tcW w:w="2268" w:type="dxa"/>
            <w:vAlign w:val="center"/>
          </w:tcPr>
          <w:p>
            <w:pPr>
              <w:pStyle w:val="单元格样式2"/>
            </w:pPr>
            <w:r>
              <w:t xml:space="preserve">3级</w:t>
            </w:r>
          </w:p>
        </w:tc>
        <w:tc>
          <w:tcPr>
            <w:tcW w:w="1276" w:type="dxa"/>
            <w:vAlign w:val="center"/>
          </w:tcPr>
          <w:p>
            <w:pPr>
              <w:pStyle w:val="单元格样式2"/>
            </w:pPr>
            <w:r>
              <w:t xml:space="preserve">魏政办文（2021）29号网格化方案要求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管理经费总额</w:t>
            </w:r>
          </w:p>
        </w:tc>
        <w:tc>
          <w:tcPr>
            <w:tcW w:w="5386" w:type="dxa"/>
            <w:vAlign w:val="center"/>
          </w:tcPr>
          <w:p>
            <w:pPr>
              <w:pStyle w:val="单元格样式2"/>
            </w:pPr>
            <w:r>
              <w:t xml:space="preserve">管理经费总额</w:t>
            </w:r>
          </w:p>
        </w:tc>
        <w:tc>
          <w:tcPr>
            <w:tcW w:w="2268" w:type="dxa"/>
            <w:vAlign w:val="center"/>
          </w:tcPr>
          <w:p>
            <w:pPr>
              <w:pStyle w:val="单元格样式2"/>
            </w:pPr>
            <w:r>
              <w:t xml:space="preserve">≤25万元</w:t>
            </w:r>
          </w:p>
        </w:tc>
        <w:tc>
          <w:tcPr>
            <w:tcW w:w="1276" w:type="dxa"/>
            <w:vAlign w:val="center"/>
          </w:tcPr>
          <w:p>
            <w:pPr>
              <w:pStyle w:val="单元格样式2"/>
            </w:pPr>
            <w:r>
              <w:t xml:space="preserve">魏政办文（2021）29号网格化方案要求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上报及时率</w:t>
            </w:r>
          </w:p>
        </w:tc>
        <w:tc>
          <w:tcPr>
            <w:tcW w:w="5386" w:type="dxa"/>
            <w:vAlign w:val="center"/>
          </w:tcPr>
          <w:p>
            <w:pPr>
              <w:pStyle w:val="单元格样式2"/>
            </w:pPr>
            <w:r>
              <w:t xml:space="preserve">按照专业制度要求上报统计数据</w:t>
            </w:r>
          </w:p>
        </w:tc>
        <w:tc>
          <w:tcPr>
            <w:tcW w:w="2268" w:type="dxa"/>
            <w:vAlign w:val="center"/>
          </w:tcPr>
          <w:p>
            <w:pPr>
              <w:pStyle w:val="单元格样式2"/>
            </w:pPr>
            <w:r>
              <w:t xml:space="preserve">100%</w:t>
            </w:r>
          </w:p>
        </w:tc>
        <w:tc>
          <w:tcPr>
            <w:tcW w:w="1276" w:type="dxa"/>
            <w:vAlign w:val="center"/>
          </w:tcPr>
          <w:p>
            <w:pPr>
              <w:pStyle w:val="单元格样式2"/>
            </w:pPr>
            <w:r>
              <w:t xml:space="preserve">魏政办文（2021）29号网格化方案要求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综合事务保障率</w:t>
            </w:r>
          </w:p>
        </w:tc>
        <w:tc>
          <w:tcPr>
            <w:tcW w:w="5386" w:type="dxa"/>
            <w:vAlign w:val="center"/>
          </w:tcPr>
          <w:p>
            <w:pPr>
              <w:pStyle w:val="单元格样式2"/>
            </w:pPr>
            <w:r>
              <w:t xml:space="preserve">综合事务按照年度计划完成率</w:t>
            </w:r>
          </w:p>
        </w:tc>
        <w:tc>
          <w:tcPr>
            <w:tcW w:w="2268" w:type="dxa"/>
            <w:vAlign w:val="center"/>
          </w:tcPr>
          <w:p>
            <w:pPr>
              <w:pStyle w:val="单元格样式2"/>
            </w:pPr>
            <w:r>
              <w:t xml:space="preserve">≥95%</w:t>
            </w:r>
          </w:p>
        </w:tc>
        <w:tc>
          <w:tcPr>
            <w:tcW w:w="1276" w:type="dxa"/>
            <w:vAlign w:val="center"/>
          </w:tcPr>
          <w:p>
            <w:pPr>
              <w:pStyle w:val="单元格样式2"/>
            </w:pPr>
            <w:r>
              <w:t xml:space="preserve">魏政办文（2021）29号网格化方案要求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完善网格化责任体系</w:t>
            </w:r>
          </w:p>
        </w:tc>
        <w:tc>
          <w:tcPr>
            <w:tcW w:w="5386" w:type="dxa"/>
            <w:vAlign w:val="center"/>
          </w:tcPr>
          <w:p>
            <w:pPr>
              <w:pStyle w:val="单元格样式2"/>
            </w:pPr>
            <w:r>
              <w:t xml:space="preserve">完善网格化责任体系</w:t>
            </w:r>
          </w:p>
        </w:tc>
        <w:tc>
          <w:tcPr>
            <w:tcW w:w="2268" w:type="dxa"/>
            <w:vAlign w:val="center"/>
          </w:tcPr>
          <w:p>
            <w:pPr>
              <w:pStyle w:val="单元格样式2"/>
            </w:pPr>
            <w:r>
              <w:t xml:space="preserve">完善</w:t>
            </w:r>
          </w:p>
        </w:tc>
        <w:tc>
          <w:tcPr>
            <w:tcW w:w="1276" w:type="dxa"/>
            <w:vAlign w:val="center"/>
          </w:tcPr>
          <w:p>
            <w:pPr>
              <w:pStyle w:val="单元格样式2"/>
            </w:pPr>
            <w:r>
              <w:t xml:space="preserve">魏政办文（2021）29号网格化方案要求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县城受益居民满意度</w:t>
            </w:r>
          </w:p>
        </w:tc>
        <w:tc>
          <w:tcPr>
            <w:tcW w:w="5386" w:type="dxa"/>
            <w:vAlign w:val="center"/>
          </w:tcPr>
          <w:p>
            <w:pPr>
              <w:pStyle w:val="单元格样式2"/>
            </w:pPr>
            <w:r>
              <w:t xml:space="preserve">县城受益居民满意度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2、2025年全国1%人口抽样调查绩效目标表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13043425P004274100013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2025年全国1%人口抽样调查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保障全县1%人口抽样调查工作圆满完成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掌握2020年以来我县人口在数量、素质、结构、分布以及居住等方面的变化情况，客观反映我国人口发展状况，为科学制定国民经济和社会发展规划、完善新时代人口发展战略、推动人口高质量发展，提供准确的统计信息支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调查对象数量</w:t>
            </w:r>
          </w:p>
        </w:tc>
        <w:tc>
          <w:tcPr>
            <w:tcW w:w="5386" w:type="dxa"/>
            <w:vAlign w:val="center"/>
          </w:tcPr>
          <w:p>
            <w:pPr>
              <w:pStyle w:val="单元格样式2"/>
            </w:pPr>
            <w:r>
              <w:t xml:space="preserve">抽中的1%调查人口数量</w:t>
            </w:r>
          </w:p>
        </w:tc>
        <w:tc>
          <w:tcPr>
            <w:tcW w:w="2268" w:type="dxa"/>
            <w:vAlign w:val="center"/>
          </w:tcPr>
          <w:p>
            <w:pPr>
              <w:pStyle w:val="单元格样式2"/>
            </w:pPr>
            <w:r>
              <w:t xml:space="preserve">≥10000人</w:t>
            </w:r>
          </w:p>
        </w:tc>
        <w:tc>
          <w:tcPr>
            <w:tcW w:w="1276" w:type="dxa"/>
            <w:vAlign w:val="center"/>
          </w:tcPr>
          <w:p>
            <w:pPr>
              <w:pStyle w:val="单元格样式2"/>
            </w:pPr>
            <w:r>
              <w:t xml:space="preserve">国办函〔2024〕71号 </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调查数据准确性</w:t>
            </w:r>
          </w:p>
        </w:tc>
        <w:tc>
          <w:tcPr>
            <w:tcW w:w="5386" w:type="dxa"/>
            <w:vAlign w:val="center"/>
          </w:tcPr>
          <w:p>
            <w:pPr>
              <w:pStyle w:val="单元格样式2"/>
            </w:pPr>
            <w:r>
              <w:t xml:space="preserve">调查数据准确性</w:t>
            </w:r>
          </w:p>
        </w:tc>
        <w:tc>
          <w:tcPr>
            <w:tcW w:w="2268" w:type="dxa"/>
            <w:vAlign w:val="center"/>
          </w:tcPr>
          <w:p>
            <w:pPr>
              <w:pStyle w:val="单元格样式2"/>
            </w:pPr>
            <w:r>
              <w:t xml:space="preserve">100%</w:t>
            </w:r>
          </w:p>
        </w:tc>
        <w:tc>
          <w:tcPr>
            <w:tcW w:w="1276" w:type="dxa"/>
            <w:vAlign w:val="center"/>
          </w:tcPr>
          <w:p>
            <w:pPr>
              <w:pStyle w:val="单元格样式2"/>
            </w:pPr>
            <w:r>
              <w:t xml:space="preserve">国办函〔2024〕71号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调查工作开展及时性</w:t>
            </w:r>
          </w:p>
        </w:tc>
        <w:tc>
          <w:tcPr>
            <w:tcW w:w="5386" w:type="dxa"/>
            <w:vAlign w:val="center"/>
          </w:tcPr>
          <w:p>
            <w:pPr>
              <w:pStyle w:val="单元格样式2"/>
            </w:pPr>
            <w:r>
              <w:t xml:space="preserve">调查工作开展及时性</w:t>
            </w:r>
          </w:p>
        </w:tc>
        <w:tc>
          <w:tcPr>
            <w:tcW w:w="2268" w:type="dxa"/>
            <w:vAlign w:val="center"/>
          </w:tcPr>
          <w:p>
            <w:pPr>
              <w:pStyle w:val="单元格样式2"/>
            </w:pPr>
            <w:r>
              <w:t xml:space="preserve">100%</w:t>
            </w:r>
          </w:p>
        </w:tc>
        <w:tc>
          <w:tcPr>
            <w:tcW w:w="1276" w:type="dxa"/>
            <w:vAlign w:val="center"/>
          </w:tcPr>
          <w:p>
            <w:pPr>
              <w:pStyle w:val="单元格样式2"/>
            </w:pPr>
            <w:r>
              <w:t xml:space="preserve">国办函〔2024〕71号 </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人口抽样调查工作经费</w:t>
            </w:r>
          </w:p>
        </w:tc>
        <w:tc>
          <w:tcPr>
            <w:tcW w:w="5386" w:type="dxa"/>
            <w:vAlign w:val="center"/>
          </w:tcPr>
          <w:p>
            <w:pPr>
              <w:pStyle w:val="单元格样式2"/>
            </w:pPr>
            <w:r>
              <w:t xml:space="preserve">人口抽样调查工作经费</w:t>
            </w:r>
          </w:p>
        </w:tc>
        <w:tc>
          <w:tcPr>
            <w:tcW w:w="2268" w:type="dxa"/>
            <w:vAlign w:val="center"/>
          </w:tcPr>
          <w:p>
            <w:pPr>
              <w:pStyle w:val="单元格样式2"/>
            </w:pPr>
            <w:r>
              <w:t xml:space="preserve">≤10万元</w:t>
            </w:r>
          </w:p>
        </w:tc>
        <w:tc>
          <w:tcPr>
            <w:tcW w:w="1276" w:type="dxa"/>
            <w:vAlign w:val="center"/>
          </w:tcPr>
          <w:p>
            <w:pPr>
              <w:pStyle w:val="单元格样式2"/>
            </w:pPr>
            <w:r>
              <w:t xml:space="preserve">国办函〔2024〕71号 </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促进社会资源合理配置</w:t>
            </w:r>
          </w:p>
        </w:tc>
        <w:tc>
          <w:tcPr>
            <w:tcW w:w="5386" w:type="dxa"/>
            <w:vAlign w:val="center"/>
          </w:tcPr>
          <w:p>
            <w:pPr>
              <w:pStyle w:val="单元格样式2"/>
            </w:pPr>
            <w:r>
              <w:t xml:space="preserve">促进社会资源合理配置</w:t>
            </w:r>
          </w:p>
        </w:tc>
        <w:tc>
          <w:tcPr>
            <w:tcW w:w="2268" w:type="dxa"/>
            <w:vAlign w:val="center"/>
          </w:tcPr>
          <w:p>
            <w:pPr>
              <w:pStyle w:val="单元格样式2"/>
            </w:pPr>
            <w:r>
              <w:t xml:space="preserve">有效促进</w:t>
            </w:r>
          </w:p>
        </w:tc>
        <w:tc>
          <w:tcPr>
            <w:tcW w:w="1276" w:type="dxa"/>
            <w:vAlign w:val="center"/>
          </w:tcPr>
          <w:p>
            <w:pPr>
              <w:pStyle w:val="单元格样式2"/>
            </w:pPr>
            <w:r>
              <w:t xml:space="preserve">国办函〔2024〕71号 </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为发展规划制定提供科学依据</w:t>
            </w:r>
          </w:p>
        </w:tc>
        <w:tc>
          <w:tcPr>
            <w:tcW w:w="5386" w:type="dxa"/>
            <w:vAlign w:val="center"/>
          </w:tcPr>
          <w:p>
            <w:pPr>
              <w:pStyle w:val="单元格样式2"/>
            </w:pPr>
            <w:r>
              <w:t xml:space="preserve">为发展规划制定提供科学依据</w:t>
            </w:r>
          </w:p>
        </w:tc>
        <w:tc>
          <w:tcPr>
            <w:tcW w:w="2268" w:type="dxa"/>
            <w:vAlign w:val="center"/>
          </w:tcPr>
          <w:p>
            <w:pPr>
              <w:pStyle w:val="单元格样式2"/>
            </w:pPr>
            <w:r>
              <w:t xml:space="preserve">有效提供</w:t>
            </w:r>
          </w:p>
        </w:tc>
        <w:tc>
          <w:tcPr>
            <w:tcW w:w="1276" w:type="dxa"/>
            <w:vAlign w:val="center"/>
          </w:tcPr>
          <w:p>
            <w:pPr>
              <w:pStyle w:val="单元格样式2"/>
            </w:pPr>
            <w:r>
              <w:t xml:space="preserve">国办函〔2024〕71号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调查对象满意度</w:t>
            </w:r>
          </w:p>
        </w:tc>
        <w:tc>
          <w:tcPr>
            <w:tcW w:w="5386" w:type="dxa"/>
            <w:vAlign w:val="center"/>
          </w:tcPr>
          <w:p>
            <w:pPr>
              <w:pStyle w:val="单元格样式2"/>
            </w:pPr>
            <w:r>
              <w:t xml:space="preserve">调查对象满意度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国办函〔2024〕71号 </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3、劳务派遣人员工资绩效目标表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13043425P00427410005H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为确保统计工作的正常运行，并不断提升统计服务质量，做好其他统计工作。</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1.为确保统计工作的正常运行，并不断提升统计服务质量，做好其他统计工作。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vAlign w:val="center"/>
          </w:tcPr>
          <w:p>
            <w:pPr>
              <w:pStyle w:val="单元格样式2"/>
            </w:pPr>
            <w:r>
              <w:t xml:space="preserve">劳务派遣人员数量</w:t>
            </w:r>
          </w:p>
        </w:tc>
        <w:tc>
          <w:tcPr>
            <w:tcW w:w="2268" w:type="dxa"/>
            <w:vAlign w:val="center"/>
          </w:tcPr>
          <w:p>
            <w:pPr>
              <w:pStyle w:val="单元格样式2"/>
            </w:pPr>
            <w:r>
              <w:t xml:space="preserve">9人</w:t>
            </w:r>
          </w:p>
        </w:tc>
        <w:tc>
          <w:tcPr>
            <w:tcW w:w="1276" w:type="dxa"/>
            <w:vAlign w:val="center"/>
          </w:tcPr>
          <w:p>
            <w:pPr>
              <w:pStyle w:val="单元格样式2"/>
            </w:pPr>
            <w:r>
              <w:t xml:space="preserve">劳务派遣人员合同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≥95%</w:t>
            </w:r>
          </w:p>
        </w:tc>
        <w:tc>
          <w:tcPr>
            <w:tcW w:w="1276" w:type="dxa"/>
            <w:vAlign w:val="center"/>
          </w:tcPr>
          <w:p>
            <w:pPr>
              <w:pStyle w:val="单元格样式2"/>
            </w:pPr>
            <w:r>
              <w:t xml:space="preserve">劳务派遣人员合同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劳务派遣人员合同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劳务派遣人员工资及保险总额</w:t>
            </w:r>
          </w:p>
        </w:tc>
        <w:tc>
          <w:tcPr>
            <w:tcW w:w="5386" w:type="dxa"/>
            <w:vAlign w:val="center"/>
          </w:tcPr>
          <w:p>
            <w:pPr>
              <w:pStyle w:val="单元格样式2"/>
            </w:pPr>
            <w:r>
              <w:t xml:space="preserve">劳务派遣人员工资及保险总额</w:t>
            </w:r>
          </w:p>
        </w:tc>
        <w:tc>
          <w:tcPr>
            <w:tcW w:w="2268" w:type="dxa"/>
            <w:vAlign w:val="center"/>
          </w:tcPr>
          <w:p>
            <w:pPr>
              <w:pStyle w:val="单元格样式2"/>
            </w:pPr>
            <w:r>
              <w:t xml:space="preserve">40万元</w:t>
            </w:r>
          </w:p>
        </w:tc>
        <w:tc>
          <w:tcPr>
            <w:tcW w:w="1276" w:type="dxa"/>
            <w:vAlign w:val="center"/>
          </w:tcPr>
          <w:p>
            <w:pPr>
              <w:pStyle w:val="单元格样式2"/>
            </w:pPr>
            <w:r>
              <w:t xml:space="preserve">劳务派遣人员合同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提升统计服务质量</w:t>
            </w:r>
          </w:p>
        </w:tc>
        <w:tc>
          <w:tcPr>
            <w:tcW w:w="5386" w:type="dxa"/>
            <w:vAlign w:val="center"/>
          </w:tcPr>
          <w:p>
            <w:pPr>
              <w:pStyle w:val="单元格样式2"/>
            </w:pPr>
            <w:r>
              <w:t xml:space="preserve">有效提升统计服务质量</w:t>
            </w:r>
          </w:p>
        </w:tc>
        <w:tc>
          <w:tcPr>
            <w:tcW w:w="2268" w:type="dxa"/>
            <w:vAlign w:val="center"/>
          </w:tcPr>
          <w:p>
            <w:pPr>
              <w:pStyle w:val="单元格样式2"/>
            </w:pPr>
            <w:r>
              <w:t xml:space="preserve">有效提升</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提高统计数据质量</w:t>
            </w:r>
          </w:p>
        </w:tc>
        <w:tc>
          <w:tcPr>
            <w:tcW w:w="5386" w:type="dxa"/>
            <w:vAlign w:val="center"/>
          </w:tcPr>
          <w:p>
            <w:pPr>
              <w:pStyle w:val="单元格样式2"/>
            </w:pPr>
            <w:r>
              <w:t xml:space="preserve">有效保障统计数据质量</w:t>
            </w:r>
          </w:p>
        </w:tc>
        <w:tc>
          <w:tcPr>
            <w:tcW w:w="2268" w:type="dxa"/>
            <w:vAlign w:val="center"/>
          </w:tcPr>
          <w:p>
            <w:pPr>
              <w:pStyle w:val="单元格样式2"/>
            </w:pPr>
            <w:r>
              <w:t xml:space="preserve">有效保障统计数据质量</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4、统计工作经费绩效目标表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13043425P00427410003A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"为切实保障统计数据上报进度与质量，让主要经济指标数据真实反映我县经济社会发展所取得的成绩，为建设邯郸市域副中心城市提供强有力统计服务和统计支撑</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1."为切实保障统计数据上报进度与质量，让主要经济指标数据真实反映我县经济社会发展所取得的成绩，为建设邯郸市域副中心城市提供强有力统计服务和统计支撑</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服务入统企业数量</w:t>
            </w:r>
          </w:p>
        </w:tc>
        <w:tc>
          <w:tcPr>
            <w:tcW w:w="5386" w:type="dxa"/>
            <w:vAlign w:val="center"/>
          </w:tcPr>
          <w:p>
            <w:pPr>
              <w:pStyle w:val="单元格样式2"/>
            </w:pPr>
            <w:r>
              <w:t xml:space="preserve">服务入统企业数量</w:t>
            </w:r>
          </w:p>
        </w:tc>
        <w:tc>
          <w:tcPr>
            <w:tcW w:w="2268" w:type="dxa"/>
            <w:vAlign w:val="center"/>
          </w:tcPr>
          <w:p>
            <w:pPr>
              <w:pStyle w:val="单元格样式2"/>
            </w:pPr>
            <w:r>
              <w:t xml:space="preserve">290家</w:t>
            </w:r>
          </w:p>
        </w:tc>
        <w:tc>
          <w:tcPr>
            <w:tcW w:w="1276" w:type="dxa"/>
            <w:vAlign w:val="center"/>
          </w:tcPr>
          <w:p>
            <w:pPr>
              <w:pStyle w:val="单元格样式2"/>
            </w:pPr>
            <w:r>
              <w:t xml:space="preserve">魏办字（2019）33号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企业上报数据合格率</w:t>
            </w:r>
          </w:p>
        </w:tc>
        <w:tc>
          <w:tcPr>
            <w:tcW w:w="5386" w:type="dxa"/>
            <w:vAlign w:val="center"/>
          </w:tcPr>
          <w:p>
            <w:pPr>
              <w:pStyle w:val="单元格样式2"/>
            </w:pPr>
            <w:r>
              <w:t xml:space="preserve">企业上报数据合格率</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魏办字（2019）33号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入统企业凭证审核服务费</w:t>
            </w:r>
          </w:p>
        </w:tc>
        <w:tc>
          <w:tcPr>
            <w:tcW w:w="5386" w:type="dxa"/>
            <w:vAlign w:val="center"/>
          </w:tcPr>
          <w:p>
            <w:pPr>
              <w:pStyle w:val="单元格样式2"/>
            </w:pPr>
            <w:r>
              <w:t xml:space="preserve">入统企业凭证审核服务费</w:t>
            </w:r>
          </w:p>
        </w:tc>
        <w:tc>
          <w:tcPr>
            <w:tcW w:w="2268" w:type="dxa"/>
            <w:vAlign w:val="center"/>
          </w:tcPr>
          <w:p>
            <w:pPr>
              <w:pStyle w:val="单元格样式2"/>
            </w:pPr>
            <w:r>
              <w:t xml:space="preserve">40万元</w:t>
            </w:r>
          </w:p>
        </w:tc>
        <w:tc>
          <w:tcPr>
            <w:tcW w:w="1276" w:type="dxa"/>
            <w:vAlign w:val="center"/>
          </w:tcPr>
          <w:p>
            <w:pPr>
              <w:pStyle w:val="单元格样式2"/>
            </w:pPr>
            <w:r>
              <w:t xml:space="preserve">魏办字（2019）33号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入统企业上报数据完成时间</w:t>
            </w:r>
          </w:p>
        </w:tc>
        <w:tc>
          <w:tcPr>
            <w:tcW w:w="5386" w:type="dxa"/>
            <w:vAlign w:val="center"/>
          </w:tcPr>
          <w:p>
            <w:pPr>
              <w:pStyle w:val="单元格样式2"/>
            </w:pPr>
            <w:r>
              <w:t xml:space="preserve">入统企业上报数据完成时间</w:t>
            </w:r>
          </w:p>
        </w:tc>
        <w:tc>
          <w:tcPr>
            <w:tcW w:w="2268" w:type="dxa"/>
            <w:vAlign w:val="center"/>
          </w:tcPr>
          <w:p>
            <w:pPr>
              <w:pStyle w:val="单元格样式2"/>
            </w:pPr>
            <w:r>
              <w:t xml:space="preserve">在平台关网规定时间前完成</w:t>
            </w:r>
          </w:p>
        </w:tc>
        <w:tc>
          <w:tcPr>
            <w:tcW w:w="1276" w:type="dxa"/>
            <w:vAlign w:val="center"/>
          </w:tcPr>
          <w:p>
            <w:pPr>
              <w:pStyle w:val="单元格样式2"/>
            </w:pPr>
            <w:r>
              <w:t xml:space="preserve">魏办字（2019）33号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服务入统企业</w:t>
            </w:r>
          </w:p>
        </w:tc>
        <w:tc>
          <w:tcPr>
            <w:tcW w:w="5386" w:type="dxa"/>
            <w:vAlign w:val="center"/>
          </w:tcPr>
          <w:p>
            <w:pPr>
              <w:pStyle w:val="单元格样式2"/>
            </w:pPr>
            <w:r>
              <w:t xml:space="preserve">为入统企业提供统计服务和统计支撑</w:t>
            </w:r>
          </w:p>
        </w:tc>
        <w:tc>
          <w:tcPr>
            <w:tcW w:w="2268" w:type="dxa"/>
            <w:vAlign w:val="center"/>
          </w:tcPr>
          <w:p>
            <w:pPr>
              <w:pStyle w:val="单元格样式2"/>
            </w:pPr>
            <w:r>
              <w:t xml:space="preserve">为入统企业提供统计服务和统计支撑</w:t>
            </w:r>
          </w:p>
        </w:tc>
        <w:tc>
          <w:tcPr>
            <w:tcW w:w="1276" w:type="dxa"/>
            <w:vAlign w:val="center"/>
          </w:tcPr>
          <w:p>
            <w:pPr>
              <w:pStyle w:val="单元格样式2"/>
            </w:pPr>
            <w:r>
              <w:t xml:space="preserve">魏办字（2019）33号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上报统计数据</w:t>
            </w:r>
          </w:p>
        </w:tc>
        <w:tc>
          <w:tcPr>
            <w:tcW w:w="5386" w:type="dxa"/>
            <w:vAlign w:val="center"/>
          </w:tcPr>
          <w:p>
            <w:pPr>
              <w:pStyle w:val="单元格样式2"/>
            </w:pPr>
            <w:r>
              <w:t xml:space="preserve">本次统计数据可长期作为以后年度数据对比参考依据</w:t>
            </w:r>
          </w:p>
        </w:tc>
        <w:tc>
          <w:tcPr>
            <w:tcW w:w="2268" w:type="dxa"/>
            <w:vAlign w:val="center"/>
          </w:tcPr>
          <w:p>
            <w:pPr>
              <w:pStyle w:val="单元格样式2"/>
            </w:pPr>
            <w:r>
              <w:t xml:space="preserve">本次统计数据可长期作为以后年度数据对比参考依据</w:t>
            </w:r>
          </w:p>
        </w:tc>
        <w:tc>
          <w:tcPr>
            <w:tcW w:w="1276" w:type="dxa"/>
            <w:vAlign w:val="center"/>
          </w:tcPr>
          <w:p>
            <w:pPr>
              <w:pStyle w:val="单元格样式2"/>
            </w:pPr>
            <w:r>
              <w:t xml:space="preserve">魏办字（2019）33号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入统企业满意度</w:t>
            </w:r>
          </w:p>
        </w:tc>
        <w:tc>
          <w:tcPr>
            <w:tcW w:w="5386" w:type="dxa"/>
            <w:vAlign w:val="center"/>
          </w:tcPr>
          <w:p>
            <w:pPr>
              <w:pStyle w:val="单元格样式2"/>
            </w:pPr>
            <w:r>
              <w:t xml:space="preserve">入统企业满意度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5、乡镇统计站办公经费绩效目标表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13043425P00427410002N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乡镇统计站办公经费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保障全县22个 乡镇统计站统计数据上报全面及时准确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1.保障全县22个 乡镇统计站统计数据上报全面及时准确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乡镇统计站数量</w:t>
            </w:r>
          </w:p>
        </w:tc>
        <w:tc>
          <w:tcPr>
            <w:tcW w:w="5386" w:type="dxa"/>
            <w:vAlign w:val="center"/>
          </w:tcPr>
          <w:p>
            <w:pPr>
              <w:pStyle w:val="单元格样式2"/>
            </w:pPr>
            <w:r>
              <w:t xml:space="preserve">乡镇统计站数量</w:t>
            </w:r>
          </w:p>
        </w:tc>
        <w:tc>
          <w:tcPr>
            <w:tcW w:w="2268" w:type="dxa"/>
            <w:vAlign w:val="center"/>
          </w:tcPr>
          <w:p>
            <w:pPr>
              <w:pStyle w:val="单元格样式2"/>
            </w:pPr>
            <w:r>
              <w:t xml:space="preserve">22个</w:t>
            </w:r>
          </w:p>
        </w:tc>
        <w:tc>
          <w:tcPr>
            <w:tcW w:w="1276" w:type="dxa"/>
            <w:vAlign w:val="center"/>
          </w:tcPr>
          <w:p>
            <w:pPr>
              <w:pStyle w:val="单元格样式2"/>
            </w:pPr>
            <w:r>
              <w:t xml:space="preserve">魏文办（2021）18号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统计数据验收合格率</w:t>
            </w:r>
          </w:p>
        </w:tc>
        <w:tc>
          <w:tcPr>
            <w:tcW w:w="5386" w:type="dxa"/>
            <w:vAlign w:val="center"/>
          </w:tcPr>
          <w:p>
            <w:pPr>
              <w:pStyle w:val="单元格样式2"/>
            </w:pPr>
            <w:r>
              <w:t xml:space="preserve">验收合格数据占总上报数据的比例</w:t>
            </w:r>
          </w:p>
        </w:tc>
        <w:tc>
          <w:tcPr>
            <w:tcW w:w="2268" w:type="dxa"/>
            <w:vAlign w:val="center"/>
          </w:tcPr>
          <w:p>
            <w:pPr>
              <w:pStyle w:val="单元格样式2"/>
            </w:pPr>
            <w:r>
              <w:t xml:space="preserve">≥95%</w:t>
            </w:r>
          </w:p>
        </w:tc>
        <w:tc>
          <w:tcPr>
            <w:tcW w:w="1276" w:type="dxa"/>
            <w:vAlign w:val="center"/>
          </w:tcPr>
          <w:p>
            <w:pPr>
              <w:pStyle w:val="单元格样式2"/>
            </w:pPr>
            <w:r>
              <w:t xml:space="preserve">魏文办（2021）18号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乡镇每年补助经费数</w:t>
            </w:r>
          </w:p>
        </w:tc>
        <w:tc>
          <w:tcPr>
            <w:tcW w:w="5386" w:type="dxa"/>
            <w:vAlign w:val="center"/>
          </w:tcPr>
          <w:p>
            <w:pPr>
              <w:pStyle w:val="单元格样式2"/>
            </w:pPr>
            <w:r>
              <w:t xml:space="preserve">乡镇每年补助经费数</w:t>
            </w:r>
          </w:p>
        </w:tc>
        <w:tc>
          <w:tcPr>
            <w:tcW w:w="2268" w:type="dxa"/>
            <w:vAlign w:val="center"/>
          </w:tcPr>
          <w:p>
            <w:pPr>
              <w:pStyle w:val="单元格样式2"/>
            </w:pPr>
            <w:r>
              <w:t xml:space="preserve">11万元</w:t>
            </w:r>
          </w:p>
        </w:tc>
        <w:tc>
          <w:tcPr>
            <w:tcW w:w="1276" w:type="dxa"/>
            <w:vAlign w:val="center"/>
          </w:tcPr>
          <w:p>
            <w:pPr>
              <w:pStyle w:val="单元格样式2"/>
            </w:pPr>
            <w:r>
              <w:t xml:space="preserve">魏文办（2021）18号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上报截止时间</w:t>
            </w:r>
          </w:p>
        </w:tc>
        <w:tc>
          <w:tcPr>
            <w:tcW w:w="5386" w:type="dxa"/>
            <w:vAlign w:val="center"/>
          </w:tcPr>
          <w:p>
            <w:pPr>
              <w:pStyle w:val="单元格样式2"/>
            </w:pPr>
            <w:r>
              <w:t xml:space="preserve">按照统计平台要求时限完成数据上报</w:t>
            </w:r>
          </w:p>
        </w:tc>
        <w:tc>
          <w:tcPr>
            <w:tcW w:w="2268" w:type="dxa"/>
            <w:vAlign w:val="center"/>
          </w:tcPr>
          <w:p>
            <w:pPr>
              <w:pStyle w:val="单元格样式2"/>
            </w:pPr>
            <w:r>
              <w:t xml:space="preserve">按照统计平台要求时限完成数据上报</w:t>
            </w:r>
          </w:p>
        </w:tc>
        <w:tc>
          <w:tcPr>
            <w:tcW w:w="1276" w:type="dxa"/>
            <w:vAlign w:val="center"/>
          </w:tcPr>
          <w:p>
            <w:pPr>
              <w:pStyle w:val="单元格样式2"/>
            </w:pPr>
            <w:r>
              <w:t xml:space="preserve">魏文办（2021）18号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统计数据质量</w:t>
            </w:r>
          </w:p>
        </w:tc>
        <w:tc>
          <w:tcPr>
            <w:tcW w:w="5386" w:type="dxa"/>
            <w:vAlign w:val="center"/>
          </w:tcPr>
          <w:p>
            <w:pPr>
              <w:pStyle w:val="单元格样式2"/>
            </w:pPr>
            <w:r>
              <w:t xml:space="preserve">统计数据质量得到显著提高</w:t>
            </w:r>
          </w:p>
        </w:tc>
        <w:tc>
          <w:tcPr>
            <w:tcW w:w="2268" w:type="dxa"/>
            <w:vAlign w:val="center"/>
          </w:tcPr>
          <w:p>
            <w:pPr>
              <w:pStyle w:val="单元格样式2"/>
            </w:pPr>
            <w:r>
              <w:t xml:space="preserve">统计数据质量得到显著提高</w:t>
            </w:r>
          </w:p>
        </w:tc>
        <w:tc>
          <w:tcPr>
            <w:tcW w:w="1276" w:type="dxa"/>
            <w:vAlign w:val="center"/>
          </w:tcPr>
          <w:p>
            <w:pPr>
              <w:pStyle w:val="单元格样式2"/>
            </w:pPr>
            <w:r>
              <w:t xml:space="preserve">魏文办（2021）18号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上报统计数据</w:t>
            </w:r>
          </w:p>
        </w:tc>
        <w:tc>
          <w:tcPr>
            <w:tcW w:w="5386" w:type="dxa"/>
            <w:vAlign w:val="center"/>
          </w:tcPr>
          <w:p>
            <w:pPr>
              <w:pStyle w:val="单元格样式2"/>
            </w:pPr>
            <w:r>
              <w:t xml:space="preserve">本次统计数据可长期作为以后年度数据对比参考依据</w:t>
            </w:r>
          </w:p>
        </w:tc>
        <w:tc>
          <w:tcPr>
            <w:tcW w:w="2268" w:type="dxa"/>
            <w:vAlign w:val="center"/>
          </w:tcPr>
          <w:p>
            <w:pPr>
              <w:pStyle w:val="单元格样式2"/>
            </w:pPr>
            <w:r>
              <w:t xml:space="preserve">本次统计数据可长期作为以后年度数据对比参考依据</w:t>
            </w:r>
          </w:p>
        </w:tc>
        <w:tc>
          <w:tcPr>
            <w:tcW w:w="1276" w:type="dxa"/>
            <w:vAlign w:val="center"/>
          </w:tcPr>
          <w:p>
            <w:pPr>
              <w:pStyle w:val="单元格样式2"/>
            </w:pPr>
            <w:r>
              <w:t xml:space="preserve">魏文办（2021）18号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乡镇统计站满意度</w:t>
            </w:r>
          </w:p>
        </w:tc>
        <w:tc>
          <w:tcPr>
            <w:tcW w:w="5386" w:type="dxa"/>
            <w:vAlign w:val="center"/>
          </w:tcPr>
          <w:p>
            <w:pPr>
              <w:pStyle w:val="单元格样式2"/>
            </w:pPr>
            <w:r>
              <w:t xml:space="preserve">乡镇统计站满意度</w:t>
            </w:r>
          </w:p>
        </w:tc>
        <w:tc>
          <w:tcPr>
            <w:tcW w:w="2268" w:type="dxa"/>
            <w:vAlign w:val="center"/>
          </w:tcPr>
          <w:p>
            <w:pPr>
              <w:pStyle w:val="单元格样式2"/>
            </w:pPr>
            <w:r>
              <w:t xml:space="preserve">≥95%</w:t>
            </w:r>
          </w:p>
        </w:tc>
        <w:tc>
          <w:tcPr>
            <w:tcW w:w="1276" w:type="dxa"/>
            <w:vAlign w:val="center"/>
          </w:tcPr>
          <w:p>
            <w:pPr>
              <w:pStyle w:val="单元格样式2"/>
            </w:pPr>
            <w:r>
              <w:t xml:space="preserve">魏文办（2021）18号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魏县统计局本级上年末固定资产金额为1190972.00万元（详见下表）。本年度拟购置固定资产总额为0.00万元，已按要求列入政府采购预算，详见政府采购预算表。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410001魏县统计局本级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1190972.00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145000.00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187</w:t>
            </w:r>
          </w:p>
        </w:tc>
        <w:tc>
          <w:tcPr>
            <w:tcW w:w="2835" w:type="dxa"/>
            <w:vAlign w:val="center"/>
          </w:tcPr>
          <w:p>
            <w:pPr>
              <w:pStyle w:val="单元格样式4"/>
            </w:pPr>
            <w:r>
              <w:t xml:space="preserve">1045972.00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二、魏县城调队收支预算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魏县城调队2025年单位预算信息公开情况说明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按照《中华人民共和国预算法》、《地方预决算公开操作规程》和《关于进一步推进预算公开工作的实施意见》规定，现将魏县城调队2025年单位预算公开如下：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魏县城调队</w:t>
            </w:r>
          </w:p>
        </w:tc>
        <w:tc>
          <w:tcPr>
            <w:tcW w:w="1843" w:type="dxa"/>
            <w:vAlign w:val="center"/>
          </w:tcPr>
          <w:p>
            <w:pPr>
              <w:pStyle w:val="单元格样式3"/>
            </w:pPr>
            <w:r>
              <w:t xml:space="preserve">行政</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魏县城调队上年末固定资产金额为0.00万元（详见下表）。本年度拟购置固定资产总额为0.00万元，已按要求列入政府采购预算，详见政府采购预算表。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410002魏县城调队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三、魏县普查中心收支预算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魏县普查中心2025年单位预算信息公开情况说明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按照《中华人民共和国预算法》、《地方预决算公开操作规程》和《关于进一步推进预算公开工作的实施意见》规定，现将魏县普查中心2025年单位预算公开如下：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魏县普查中心</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魏县普查中心上年末固定资产金额为0.00万元（详见下表）。本年度拟购置固定资产总额为0.00万元，已按要求列入政府采购预算，详见政府采购预算表。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410003魏县普查中心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2025-02-17T18:34:54Z</dcterms:created>
  <dcterms:modified xsi:type="dcterms:W3CDTF">2025-02-17T18:34:54Z</dcterms:modified>
</cp:coreProperties>
</file>