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hAnsi="Times New Roman" w:cs="Times New Roman"/>
          <w:color w:val="auto"/>
          <w:sz w:val="20"/>
        </w:rPr>
      </w:pPr>
      <w:bookmarkStart w:id="7" w:name="_GoBack"/>
      <w:bookmarkEnd w:id="7"/>
    </w:p>
    <w:p>
      <w:pPr>
        <w:pStyle w:val="10"/>
        <w:rPr>
          <w:rFonts w:ascii="Times New Roman" w:hAnsi="Times New Roman" w:cs="Times New Roman"/>
          <w:color w:val="auto"/>
          <w:sz w:val="20"/>
        </w:rPr>
      </w:pPr>
    </w:p>
    <w:p>
      <w:pPr>
        <w:pStyle w:val="10"/>
        <w:rPr>
          <w:rFonts w:ascii="Times New Roman" w:hAnsi="Times New Roman" w:cs="Times New Roman"/>
          <w:color w:val="auto"/>
          <w:sz w:val="20"/>
        </w:rPr>
      </w:pPr>
    </w:p>
    <w:p>
      <w:pPr>
        <w:pStyle w:val="10"/>
        <w:spacing w:before="2"/>
        <w:rPr>
          <w:rFonts w:ascii="Times New Roman" w:hAnsi="Times New Roman" w:cs="Times New Roman"/>
          <w:color w:val="auto"/>
          <w:sz w:val="21"/>
        </w:rPr>
      </w:pPr>
    </w:p>
    <w:p>
      <w:pPr>
        <w:rPr>
          <w:rFonts w:ascii="Times New Roman" w:hAnsi="Times New Roman" w:eastAsia="仿宋_GB2312" w:cs="Times New Roman"/>
          <w:color w:val="auto"/>
          <w:sz w:val="36"/>
          <w:szCs w:val="36"/>
        </w:rPr>
      </w:pPr>
    </w:p>
    <w:p>
      <w:pPr>
        <w:adjustRightInd w:val="0"/>
        <w:snapToGrid w:val="0"/>
        <w:spacing w:before="120" w:beforeLines="50"/>
        <w:jc w:val="center"/>
        <w:outlineLvl w:val="0"/>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ascii="Times New Roman" w:hAnsi="Times New Roman" w:eastAsia="楷体_GB2312" w:cs="Times New Roman"/>
          <w:bCs/>
          <w:color w:val="auto"/>
          <w:sz w:val="48"/>
          <w:szCs w:val="48"/>
          <w:lang w:val="en-US"/>
        </w:rPr>
      </w:pPr>
      <w:r>
        <w:rPr>
          <w:rFonts w:ascii="Times New Roman" w:hAnsi="Times New Roman" w:eastAsia="楷体_GB2312" w:cs="Times New Roman"/>
          <w:bCs/>
          <w:color w:val="auto"/>
          <w:sz w:val="48"/>
          <w:szCs w:val="48"/>
        </w:rPr>
        <w:t>（污染影响类）</w:t>
      </w:r>
    </w:p>
    <w:p>
      <w:pPr>
        <w:jc w:val="center"/>
        <w:rPr>
          <w:rFonts w:ascii="Times New Roman" w:hAnsi="Times New Roman" w:eastAsia="仿宋" w:cs="Times New Roman"/>
          <w:color w:val="auto"/>
          <w:sz w:val="52"/>
          <w:szCs w:val="52"/>
        </w:rPr>
      </w:pPr>
    </w:p>
    <w:p>
      <w:pPr>
        <w:ind w:firstLine="1040"/>
        <w:rPr>
          <w:rFonts w:ascii="Times New Roman" w:hAnsi="Times New Roman" w:eastAsia="仿宋" w:cs="Times New Roman"/>
          <w:color w:val="auto"/>
          <w:sz w:val="44"/>
          <w:szCs w:val="44"/>
        </w:rPr>
      </w:pPr>
    </w:p>
    <w:p>
      <w:pPr>
        <w:pStyle w:val="15"/>
        <w:rPr>
          <w:color w:val="auto"/>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2"/>
          <w:szCs w:val="32"/>
          <w:u w:val="single"/>
          <w:lang w:val="en-US"/>
        </w:rPr>
      </w:pPr>
      <w:r>
        <w:rPr>
          <w:rFonts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rPr>
        <w:t>魏县</w:t>
      </w:r>
      <w:r>
        <w:rPr>
          <w:rFonts w:hint="eastAsia" w:ascii="Times New Roman" w:hAnsi="Times New Roman" w:eastAsia="仿宋_GB2312" w:cs="Times New Roman"/>
          <w:color w:val="auto"/>
          <w:sz w:val="36"/>
          <w:szCs w:val="36"/>
          <w:u w:val="single"/>
          <w:lang w:val="en-US"/>
        </w:rPr>
        <w:t>顺驰商砼加工有限公司鑫磊分公司</w:t>
      </w:r>
      <w:r>
        <w:rPr>
          <w:rFonts w:hint="eastAsia" w:ascii="Times New Roman" w:hAnsi="Times New Roman" w:eastAsia="仿宋_GB2312" w:cs="Times New Roman"/>
          <w:color w:val="auto"/>
          <w:sz w:val="36"/>
          <w:szCs w:val="36"/>
          <w:u w:val="single"/>
        </w:rPr>
        <w:t>年产25万</w:t>
      </w:r>
      <w:r>
        <w:rPr>
          <w:rFonts w:ascii="Times New Roman" w:hAnsi="Times New Roman" w:eastAsia="仿宋_GB2312" w:cs="Times New Roman"/>
          <w:color w:val="auto"/>
          <w:sz w:val="36"/>
          <w:szCs w:val="36"/>
          <w:u w:val="single"/>
        </w:rPr>
        <w:t>m³</w:t>
      </w:r>
      <w:r>
        <w:rPr>
          <w:rFonts w:hint="eastAsia" w:ascii="Times New Roman" w:hAnsi="Times New Roman" w:eastAsia="仿宋_GB2312" w:cs="Times New Roman"/>
          <w:color w:val="auto"/>
          <w:sz w:val="36"/>
          <w:szCs w:val="36"/>
          <w:u w:val="single"/>
        </w:rPr>
        <w:t>湿拌砂浆生产项目</w:t>
      </w:r>
      <w:r>
        <w:rPr>
          <w:rFonts w:hint="eastAsia" w:ascii="Times New Roman" w:hAnsi="Times New Roman" w:eastAsia="仿宋_GB2312" w:cs="Times New Roman"/>
          <w:color w:val="auto"/>
          <w:sz w:val="32"/>
          <w:szCs w:val="32"/>
          <w:u w:val="single"/>
          <w:lang w:val="en-US"/>
        </w:rPr>
        <w:t xml:space="preserve">                           </w:t>
      </w:r>
    </w:p>
    <w:p>
      <w:pPr>
        <w:adjustRightInd w:val="0"/>
        <w:snapToGrid w:val="0"/>
        <w:spacing w:line="288" w:lineRule="auto"/>
        <w:ind w:left="3827" w:leftChars="267" w:right="449" w:rightChars="204" w:hanging="3240" w:hangingChars="900"/>
        <w:rPr>
          <w:rFonts w:ascii="Times New Roman" w:hAnsi="Times New Roman" w:eastAsia="仿宋_GB2312" w:cs="Times New Roman"/>
          <w:color w:val="auto"/>
          <w:sz w:val="36"/>
          <w:szCs w:val="36"/>
          <w:u w:val="single"/>
          <w:lang w:val="en-US"/>
        </w:rPr>
      </w:pPr>
      <w:r>
        <w:rPr>
          <w:rFonts w:ascii="Times New Roman" w:hAnsi="Times New Roman" w:eastAsia="仿宋_GB2312" w:cs="Times New Roman"/>
          <w:color w:val="auto"/>
          <w:sz w:val="36"/>
          <w:szCs w:val="36"/>
        </w:rPr>
        <w:t>建设单位（盖章）：</w:t>
      </w:r>
      <w:r>
        <w:rPr>
          <w:rFonts w:hint="eastAsia" w:ascii="Times New Roman" w:hAnsi="Times New Roman" w:eastAsia="仿宋_GB2312" w:cs="Times New Roman"/>
          <w:color w:val="auto"/>
          <w:sz w:val="36"/>
          <w:szCs w:val="36"/>
          <w:u w:val="single"/>
          <w:lang w:val="en-US"/>
        </w:rPr>
        <w:t xml:space="preserve">魏县顺驰商砼加工有限公司鑫磊分公司                  </w:t>
      </w:r>
    </w:p>
    <w:p>
      <w:pPr>
        <w:adjustRightInd w:val="0"/>
        <w:snapToGrid w:val="0"/>
        <w:spacing w:line="288" w:lineRule="auto"/>
        <w:ind w:right="669" w:rightChars="304" w:firstLine="680"/>
        <w:rPr>
          <w:rFonts w:ascii="Times New Roman" w:hAnsi="Times New Roman" w:eastAsia="仿宋_GB2312" w:cs="Times New Roman"/>
          <w:color w:val="auto"/>
          <w:sz w:val="36"/>
          <w:szCs w:val="36"/>
        </w:rPr>
      </w:pPr>
      <w:r>
        <w:rPr>
          <w:rFonts w:ascii="Times New Roman" w:hAnsi="Times New Roman" w:eastAsia="仿宋_GB2312" w:cs="Times New Roman"/>
          <w:color w:val="auto"/>
          <w:sz w:val="36"/>
          <w:szCs w:val="36"/>
        </w:rPr>
        <w:t>编制日期：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lang w:val="en-US"/>
        </w:rPr>
        <w:t xml:space="preserve">       </w:t>
      </w:r>
      <w:r>
        <w:rPr>
          <w:rFonts w:hint="eastAsia" w:ascii="Times New Roman" w:hAnsi="Times New Roman" w:eastAsia="仿宋_GB2312" w:cs="Times New Roman"/>
          <w:color w:val="auto"/>
          <w:sz w:val="32"/>
          <w:szCs w:val="32"/>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202</w:t>
      </w:r>
      <w:r>
        <w:rPr>
          <w:rFonts w:hint="eastAsia" w:ascii="Times New Roman" w:hAnsi="Times New Roman" w:eastAsia="仿宋_GB2312" w:cs="Times New Roman"/>
          <w:color w:val="auto"/>
          <w:sz w:val="36"/>
          <w:szCs w:val="36"/>
          <w:u w:val="single"/>
          <w:lang w:val="en-US"/>
        </w:rPr>
        <w:t xml:space="preserve">4 </w:t>
      </w:r>
      <w:r>
        <w:rPr>
          <w:rFonts w:ascii="Times New Roman" w:hAnsi="Times New Roman" w:eastAsia="仿宋_GB2312" w:cs="Times New Roman"/>
          <w:color w:val="auto"/>
          <w:sz w:val="36"/>
          <w:szCs w:val="36"/>
          <w:u w:val="single"/>
          <w:lang w:val="en-US"/>
        </w:rPr>
        <w:t>年</w:t>
      </w:r>
      <w:r>
        <w:rPr>
          <w:rFonts w:hint="eastAsia" w:ascii="Times New Roman" w:hAnsi="Times New Roman" w:eastAsia="仿宋_GB2312" w:cs="Times New Roman"/>
          <w:color w:val="auto"/>
          <w:sz w:val="36"/>
          <w:szCs w:val="36"/>
          <w:u w:val="single"/>
          <w:lang w:val="en-US"/>
        </w:rPr>
        <w:t xml:space="preserve"> 1</w:t>
      </w:r>
      <w:r>
        <w:rPr>
          <w:rFonts w:hint="eastAsia" w:ascii="Times New Roman" w:hAnsi="Times New Roman" w:eastAsia="仿宋_GB2312" w:cs="Times New Roman"/>
          <w:color w:val="auto"/>
          <w:sz w:val="36"/>
          <w:szCs w:val="36"/>
          <w:u w:val="single"/>
          <w:lang w:val="en-US" w:eastAsia="zh-CN"/>
        </w:rPr>
        <w:t>2</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月 </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rPr>
        <w:t xml:space="preserve">  </w:t>
      </w:r>
      <w:r>
        <w:rPr>
          <w:rFonts w:ascii="Times New Roman" w:hAnsi="Times New Roman" w:eastAsia="仿宋_GB2312" w:cs="Times New Roman"/>
          <w:color w:val="auto"/>
          <w:sz w:val="24"/>
          <w:szCs w:val="24"/>
          <w:u w:val="single"/>
          <w:lang w:val="en-US"/>
        </w:rPr>
        <w:t xml:space="preserve"> </w:t>
      </w:r>
      <w:r>
        <w:rPr>
          <w:rFonts w:hint="eastAsia" w:ascii="Times New Roman" w:hAnsi="Times New Roman" w:eastAsia="仿宋_GB2312" w:cs="Times New Roman"/>
          <w:color w:val="auto"/>
          <w:sz w:val="24"/>
          <w:szCs w:val="24"/>
          <w:u w:val="single"/>
          <w:lang w:val="en-US"/>
        </w:rPr>
        <w:t xml:space="preserve"> </w:t>
      </w:r>
      <w:r>
        <w:rPr>
          <w:rFonts w:ascii="Times New Roman" w:hAnsi="Times New Roman" w:eastAsia="仿宋_GB2312" w:cs="Times New Roman"/>
          <w:color w:val="auto"/>
          <w:sz w:val="24"/>
          <w:szCs w:val="24"/>
          <w:u w:val="single"/>
          <w:lang w:val="en-US"/>
        </w:rPr>
        <w:t xml:space="preserve"> </w:t>
      </w:r>
      <w:r>
        <w:rPr>
          <w:rFonts w:ascii="Times New Roman" w:hAnsi="Times New Roman" w:eastAsia="仿宋_GB2312" w:cs="Times New Roman"/>
          <w:color w:val="auto"/>
          <w:sz w:val="32"/>
          <w:szCs w:val="32"/>
          <w:u w:val="single"/>
          <w:lang w:val="en-US"/>
        </w:rPr>
        <w:t xml:space="preserve">    </w:t>
      </w:r>
      <w:bookmarkStart w:id="0" w:name="_Hlk57884087"/>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p>
      <w:pPr>
        <w:pStyle w:val="5"/>
        <w:spacing w:before="120" w:after="120"/>
        <w:rPr>
          <w:color w:val="auto"/>
        </w:rPr>
      </w:pPr>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bookmarkEnd w:id="0"/>
    <w:p>
      <w:pPr>
        <w:adjustRightInd w:val="0"/>
        <w:snapToGrid w:val="0"/>
        <w:spacing w:line="288" w:lineRule="auto"/>
        <w:jc w:val="center"/>
        <w:rPr>
          <w:rFonts w:ascii="Times New Roman" w:hAnsi="Times New Roman" w:eastAsia="楷体_GB2312" w:cs="Times New Roman"/>
          <w:color w:val="auto"/>
          <w:sz w:val="36"/>
          <w:szCs w:val="36"/>
        </w:rPr>
        <w:sectPr>
          <w:footerReference r:id="rId3" w:type="default"/>
          <w:footerReference r:id="rId4" w:type="even"/>
          <w:pgSz w:w="11910" w:h="16840"/>
          <w:pgMar w:top="1580" w:right="1320" w:bottom="1240" w:left="1340" w:header="0" w:footer="1043" w:gutter="0"/>
          <w:cols w:space="720" w:num="1"/>
        </w:sectPr>
      </w:pPr>
      <w:r>
        <w:rPr>
          <w:rFonts w:ascii="Times New Roman" w:hAnsi="Times New Roman" w:eastAsia="楷体_GB2312" w:cs="Times New Roman"/>
          <w:color w:val="auto"/>
          <w:sz w:val="36"/>
          <w:szCs w:val="36"/>
        </w:rPr>
        <w:t>中华人民共和国生态环境部制</w:t>
      </w:r>
    </w:p>
    <w:p>
      <w:pPr>
        <w:rPr>
          <w:rFonts w:ascii="Times New Roman" w:hAnsi="Times New Roman" w:cs="Times New Roman"/>
          <w:color w:val="auto"/>
        </w:rPr>
        <w:sectPr>
          <w:pgSz w:w="11910" w:h="16840"/>
          <w:pgMar w:top="1580" w:right="1320" w:bottom="1240" w:left="1340" w:header="0" w:footer="1043"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一、建设项目基本情况</w:t>
      </w:r>
    </w:p>
    <w:tbl>
      <w:tblPr>
        <w:tblStyle w:val="32"/>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魏县</w:t>
            </w:r>
            <w:r>
              <w:rPr>
                <w:rFonts w:hint="eastAsia" w:ascii="Times New Roman" w:hAnsi="Times New Roman" w:cs="Times New Roman"/>
                <w:color w:val="auto"/>
                <w:sz w:val="21"/>
                <w:szCs w:val="21"/>
                <w:lang w:val="en-US"/>
              </w:rPr>
              <w:t>顺驰商砼加工有限公司鑫磊分公司</w:t>
            </w:r>
            <w:r>
              <w:rPr>
                <w:rFonts w:hint="eastAsia" w:ascii="Times New Roman" w:hAnsi="Times New Roman" w:cs="Times New Roman"/>
                <w:color w:val="auto"/>
                <w:sz w:val="21"/>
                <w:szCs w:val="21"/>
              </w:rPr>
              <w:t>年产25万</w:t>
            </w:r>
            <w:r>
              <w:rPr>
                <w:rFonts w:ascii="Times New Roman" w:hAnsi="Times New Roman" w:cs="Times New Roman"/>
                <w:color w:val="auto"/>
                <w:sz w:val="21"/>
                <w:szCs w:val="21"/>
              </w:rPr>
              <w:t>m³</w:t>
            </w:r>
            <w:r>
              <w:rPr>
                <w:rFonts w:hint="eastAsia" w:ascii="Times New Roman" w:hAnsi="Times New Roman" w:cs="Times New Roman"/>
                <w:color w:val="auto"/>
                <w:sz w:val="21"/>
                <w:szCs w:val="21"/>
              </w:rPr>
              <w:t>湿拌砂浆生产项目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52"/>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2412-130434-89-01-537283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段宏宇</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rPr>
              <w:t>16630008233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河北省</w:t>
            </w:r>
            <w:r>
              <w:rPr>
                <w:rFonts w:hint="eastAsia" w:ascii="Times New Roman" w:hAnsi="Times New Roman" w:cs="Times New Roman"/>
                <w:color w:val="auto"/>
                <w:sz w:val="21"/>
                <w:szCs w:val="21"/>
                <w:lang w:val="en-US"/>
              </w:rPr>
              <w:t>邯郸市魏县德政镇王庄村北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szCs w:val="21"/>
              </w:rPr>
            </w:pPr>
            <w:r>
              <w:rPr>
                <w:rFonts w:ascii="Times New Roman" w:hAnsi="Times New Roman"/>
                <w:color w:val="auto"/>
                <w:sz w:val="21"/>
                <w:szCs w:val="20"/>
              </w:rPr>
              <w:t>东经114°55′</w:t>
            </w:r>
            <w:r>
              <w:rPr>
                <w:rFonts w:hint="eastAsia" w:ascii="Times New Roman" w:hAnsi="Times New Roman"/>
                <w:color w:val="auto"/>
                <w:sz w:val="21"/>
                <w:szCs w:val="20"/>
                <w:lang w:val="en-US"/>
              </w:rPr>
              <w:t>39.063</w:t>
            </w:r>
            <w:r>
              <w:rPr>
                <w:rFonts w:ascii="Times New Roman" w:hAnsi="Times New Roman"/>
                <w:color w:val="auto"/>
                <w:sz w:val="21"/>
                <w:szCs w:val="20"/>
              </w:rPr>
              <w:t>″，北纬36°18′49.</w:t>
            </w:r>
            <w:r>
              <w:rPr>
                <w:rFonts w:hint="eastAsia" w:ascii="Times New Roman" w:hAnsi="Times New Roman"/>
                <w:color w:val="auto"/>
                <w:sz w:val="21"/>
                <w:szCs w:val="20"/>
                <w:lang w:val="en-US"/>
              </w:rPr>
              <w:t>356</w:t>
            </w:r>
            <w:r>
              <w:rPr>
                <w:rFonts w:ascii="Times New Roman" w:hAnsi="Times New Roman"/>
                <w:color w:val="auto"/>
                <w:sz w:val="21"/>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C3021 水泥制品制造</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二十七、非金属矿物制品业-55.石膏、水泥制品及类似制品制造-商品混凝土；砼结构构件制造；水泥制品制造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新建（迁建）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改建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扩建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首次申报项目</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不予批准后再次申报项目</w:t>
            </w:r>
          </w:p>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超五年重新审核项目</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部门</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文号</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tabs>
                <w:tab w:val="left" w:pos="713"/>
              </w:tabs>
              <w:ind w:left="210" w:hanging="210" w:hangingChars="1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魏审批备字[2024]073号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环保投资占比</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8.33</w:t>
            </w:r>
            <w:r>
              <w:rPr>
                <w:rFonts w:ascii="Times New Roman" w:hAnsi="Times New Roman" w:cs="Times New Roman"/>
                <w:color w:val="auto"/>
                <w:sz w:val="21"/>
                <w:szCs w:val="21"/>
                <w:lang w:val="en-US"/>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tabs>
                <w:tab w:val="left" w:pos="199"/>
              </w:tabs>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pacing w:val="-3"/>
                <w:sz w:val="21"/>
                <w:szCs w:val="21"/>
              </w:rPr>
              <w:t>否</w:t>
            </w:r>
            <w:r>
              <w:rPr>
                <w:rFonts w:ascii="Times New Roman" w:hAnsi="Times New Roman" w:cs="Times New Roman"/>
                <w:color w:val="auto"/>
                <w:sz w:val="21"/>
                <w:szCs w:val="21"/>
              </w:rPr>
              <w:t xml:space="preserve"> </w:t>
            </w:r>
          </w:p>
          <w:p>
            <w:pPr>
              <w:pStyle w:val="52"/>
              <w:tabs>
                <w:tab w:val="left" w:pos="199"/>
              </w:tabs>
              <w:spacing w:line="25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□是：</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u w:val="single"/>
                <w:lang w:val="en-US"/>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用地（用海）面积（m</w:t>
            </w:r>
            <w:r>
              <w:rPr>
                <w:rFonts w:ascii="Times New Roman" w:hAnsi="Times New Roman" w:cs="Times New Roman"/>
                <w:b/>
                <w:bCs/>
                <w:color w:val="auto"/>
                <w:sz w:val="21"/>
                <w:szCs w:val="21"/>
                <w:vertAlign w:val="superscript"/>
                <w:lang w:val="en-US"/>
              </w:rPr>
              <w:t>2</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4667（新增占地面积为0）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规划环境影</w:t>
            </w:r>
          </w:p>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规划及规划</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环境影响评价</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5" w:hRule="atLeast"/>
          <w:jc w:val="center"/>
        </w:trPr>
        <w:tc>
          <w:tcPr>
            <w:tcW w:w="1492" w:type="dxa"/>
            <w:tcBorders>
              <w:top w:val="single" w:color="000000" w:sz="4" w:space="0"/>
              <w:right w:val="single" w:color="000000" w:sz="4" w:space="0"/>
            </w:tcBorders>
            <w:vAlign w:val="center"/>
          </w:tcPr>
          <w:p>
            <w:pPr>
              <w:pStyle w:val="52"/>
              <w:spacing w:before="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spacing w:line="400" w:lineRule="exact"/>
              <w:ind w:left="110" w:leftChars="50" w:firstLine="421" w:firstLineChars="200"/>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1、产业政策符合性</w:t>
            </w:r>
          </w:p>
          <w:p>
            <w:pPr>
              <w:wordWrap w:val="0"/>
              <w:spacing w:line="400" w:lineRule="exact"/>
              <w:ind w:left="110" w:leftChars="50" w:firstLine="420" w:firstLineChars="200"/>
              <w:rPr>
                <w:rFonts w:hint="eastAsia" w:ascii="Times New Roman" w:hAnsi="Times New Roman" w:eastAsia="宋体" w:cs="Times New Roman"/>
                <w:b/>
                <w:bCs/>
                <w:color w:val="auto"/>
                <w:sz w:val="21"/>
                <w:szCs w:val="21"/>
                <w:lang w:eastAsia="zh-CN"/>
              </w:rPr>
            </w:pPr>
            <w:r>
              <w:rPr>
                <w:rFonts w:ascii="Times New Roman" w:hAnsi="Times New Roman" w:cs="Times New Roman"/>
                <w:color w:val="auto"/>
                <w:sz w:val="21"/>
                <w:szCs w:val="21"/>
              </w:rPr>
              <w:t>根据《国民经济行业分类》（GB/T4754-2017）及其修改单，本项目属于</w:t>
            </w:r>
            <w:r>
              <w:rPr>
                <w:rFonts w:hint="eastAsia" w:ascii="Times New Roman" w:hAnsi="Times New Roman" w:cs="Times New Roman"/>
                <w:color w:val="auto"/>
                <w:sz w:val="21"/>
                <w:szCs w:val="21"/>
              </w:rPr>
              <w:t>“C3021 水泥制品制造”</w:t>
            </w:r>
            <w:r>
              <w:rPr>
                <w:rFonts w:ascii="Times New Roman" w:hAnsi="Times New Roman" w:cs="Times New Roman"/>
                <w:color w:val="auto"/>
                <w:sz w:val="21"/>
                <w:szCs w:val="21"/>
              </w:rPr>
              <w:t>，对照《产业结构调整指导目录（</w:t>
            </w:r>
            <w:r>
              <w:rPr>
                <w:rFonts w:hint="eastAsia" w:ascii="Times New Roman" w:hAnsi="Times New Roman" w:cs="Times New Roman"/>
                <w:color w:val="auto"/>
                <w:sz w:val="21"/>
                <w:szCs w:val="21"/>
                <w:lang w:val="en-US"/>
              </w:rPr>
              <w:t>2024</w:t>
            </w:r>
            <w:r>
              <w:rPr>
                <w:rFonts w:ascii="Times New Roman" w:hAnsi="Times New Roman" w:cs="Times New Roman"/>
                <w:color w:val="auto"/>
                <w:sz w:val="21"/>
                <w:szCs w:val="21"/>
              </w:rPr>
              <w:t>年本）》，本项目不属于名录中限制及淘汰类项目，属于允许类。且不属于《市场准入负面清单》（2022年）中禁止类项目，属于市场准入负面清单以外的行业、领域、业务等，市场主体可依法平等进入。</w:t>
            </w:r>
            <w:r>
              <w:rPr>
                <w:rFonts w:hint="eastAsia" w:ascii="Times New Roman" w:hAnsi="Times New Roman" w:cs="Times New Roman"/>
                <w:color w:val="auto"/>
                <w:sz w:val="21"/>
                <w:szCs w:val="21"/>
                <w:lang w:eastAsia="zh-CN"/>
              </w:rPr>
              <w:t>项目已在魏县行政审批局完成备案，备案编号为：</w:t>
            </w:r>
            <w:r>
              <w:rPr>
                <w:rFonts w:hint="eastAsia" w:ascii="Times New Roman" w:hAnsi="Times New Roman" w:cs="Times New Roman"/>
                <w:color w:val="auto"/>
                <w:sz w:val="21"/>
                <w:szCs w:val="21"/>
                <w:lang w:val="en-US" w:eastAsia="zh-CN"/>
              </w:rPr>
              <w:t>魏审批备字[2024]073号。</w:t>
            </w:r>
          </w:p>
          <w:p>
            <w:pPr>
              <w:wordWrap w:val="0"/>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综上，本项目建设符合国家和地方产业政策要求。</w:t>
            </w:r>
          </w:p>
          <w:p>
            <w:pPr>
              <w:pStyle w:val="52"/>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“三线一单”符合性分析</w:t>
            </w:r>
          </w:p>
          <w:p>
            <w:pPr>
              <w:widowControl/>
              <w:autoSpaceDE/>
              <w:autoSpaceDN/>
              <w:spacing w:line="400" w:lineRule="exact"/>
              <w:ind w:firstLine="421" w:firstLineChars="200"/>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1）</w:t>
            </w:r>
            <w:r>
              <w:rPr>
                <w:rFonts w:ascii="Times New Roman" w:hAnsi="Times New Roman" w:cs="Times New Roman"/>
                <w:b/>
                <w:bCs/>
                <w:color w:val="auto"/>
                <w:kern w:val="2"/>
                <w:sz w:val="21"/>
                <w:szCs w:val="21"/>
                <w:lang w:val="en-US" w:bidi="ar-SA"/>
              </w:rPr>
              <w:t>项目与《河北省人民政府关于加快实施“三线一单”生态环境分区管控的意见》(冀政字[2020]71号)的符合性</w:t>
            </w:r>
          </w:p>
          <w:p>
            <w:pPr>
              <w:adjustRightInd w:val="0"/>
              <w:snapToGrid w:val="0"/>
              <w:spacing w:line="400" w:lineRule="exact"/>
              <w:ind w:firstLine="420" w:firstLineChars="200"/>
              <w:jc w:val="both"/>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1"/>
                <w:szCs w:val="21"/>
                <w:lang w:val="en-US" w:bidi="ar-SA"/>
              </w:rPr>
              <w:t>本项目与《河北省人民政府关于加快实施</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三线一单</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生态环境分区管控的意见》(冀政字[2020]71号)的符合性分析见表。</w:t>
            </w:r>
          </w:p>
          <w:p>
            <w:pPr>
              <w:tabs>
                <w:tab w:val="right" w:leader="dot" w:pos="8300"/>
              </w:tabs>
              <w:autoSpaceDE/>
              <w:autoSpaceDN/>
              <w:spacing w:line="240" w:lineRule="exact"/>
              <w:ind w:left="220" w:leftChars="10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表</w:t>
            </w:r>
            <w:r>
              <w:rPr>
                <w:rFonts w:hint="eastAsia" w:ascii="Times New Roman" w:hAnsi="Times New Roman" w:cs="Times New Roman"/>
                <w:b/>
                <w:bCs/>
                <w:color w:val="auto"/>
                <w:kern w:val="2"/>
                <w:sz w:val="21"/>
                <w:szCs w:val="21"/>
                <w:lang w:val="en-US" w:bidi="ar-SA"/>
              </w:rPr>
              <w:t>1.1</w:t>
            </w:r>
            <w:r>
              <w:rPr>
                <w:rFonts w:ascii="Times New Roman" w:hAnsi="Times New Roman" w:cs="Times New Roman"/>
                <w:b/>
                <w:bCs/>
                <w:color w:val="auto"/>
                <w:kern w:val="2"/>
                <w:sz w:val="21"/>
                <w:szCs w:val="21"/>
                <w:lang w:val="en-US" w:bidi="ar-SA"/>
              </w:rPr>
              <w:t xml:space="preserve"> </w:t>
            </w:r>
            <w:r>
              <w:rPr>
                <w:rFonts w:hint="eastAsia"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val="en-US" w:bidi="ar-SA"/>
              </w:rPr>
              <w:t>本项目与河北省“三线一单”对比结果一览表</w:t>
            </w:r>
          </w:p>
          <w:tbl>
            <w:tblPr>
              <w:tblStyle w:val="33"/>
              <w:tblW w:w="486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247"/>
              <w:gridCol w:w="2633"/>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分类</w:t>
                  </w:r>
                </w:p>
              </w:tc>
              <w:tc>
                <w:tcPr>
                  <w:tcW w:w="2111"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管控要求</w:t>
                  </w:r>
                </w:p>
              </w:tc>
              <w:tc>
                <w:tcPr>
                  <w:tcW w:w="1712"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生态保护红线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重要生态功能区域生态功能不降低、面积不减少、性质不改变。</w:t>
                  </w:r>
                </w:p>
              </w:tc>
              <w:tc>
                <w:tcPr>
                  <w:tcW w:w="1712" w:type="pct"/>
                  <w:tcBorders>
                    <w:tl2br w:val="nil"/>
                    <w:tr2bl w:val="nil"/>
                  </w:tcBorders>
                  <w:vAlign w:val="center"/>
                </w:tcPr>
                <w:p>
                  <w:pPr>
                    <w:autoSpaceDE/>
                    <w:autoSpaceDN/>
                    <w:adjustRightInd w:val="0"/>
                    <w:snapToGrid w:val="0"/>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ascii="Times New Roman" w:hAnsi="Times New Roman" w:cs="Times New Roman"/>
                      <w:color w:val="auto"/>
                      <w:kern w:val="2"/>
                      <w:sz w:val="21"/>
                      <w:szCs w:val="21"/>
                      <w:lang w:val="en-US" w:bidi="ar-SA"/>
                    </w:rPr>
                    <w:t>占</w:t>
                  </w:r>
                  <w:r>
                    <w:rPr>
                      <w:rFonts w:ascii="Times New Roman" w:hAnsi="Times New Roman" w:cs="Times New Roman"/>
                      <w:color w:val="auto"/>
                      <w:kern w:val="2"/>
                      <w:sz w:val="21"/>
                      <w:szCs w:val="24"/>
                      <w:lang w:val="en-US" w:bidi="ar-SA"/>
                    </w:rPr>
                    <w:t>地为</w:t>
                  </w:r>
                  <w:r>
                    <w:rPr>
                      <w:rFonts w:hint="eastAsia" w:ascii="Times New Roman" w:hAnsi="Times New Roman" w:cs="Times New Roman"/>
                      <w:color w:val="auto"/>
                      <w:kern w:val="2"/>
                      <w:sz w:val="21"/>
                      <w:szCs w:val="24"/>
                      <w:lang w:val="en-US" w:bidi="ar-SA"/>
                    </w:rPr>
                    <w:t>建设用地</w:t>
                  </w:r>
                  <w:r>
                    <w:rPr>
                      <w:rFonts w:ascii="Times New Roman" w:hAnsi="Times New Roman" w:cs="Times New Roman"/>
                      <w:color w:val="auto"/>
                      <w:kern w:val="2"/>
                      <w:sz w:val="21"/>
                      <w:szCs w:val="24"/>
                      <w:lang w:val="en-US" w:bidi="ar-SA"/>
                    </w:rPr>
                    <w:t>，占地范围不涉及各类生态保护红线。</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环境质量底线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到2025年，地表水国考断面优良(Ⅲ类以上)比例、近岸海域优良海水比例逐步提升；空气中PM</w:t>
                  </w:r>
                  <w:r>
                    <w:rPr>
                      <w:rFonts w:ascii="Times New Roman" w:hAnsi="Times New Roman" w:cs="Times New Roman"/>
                      <w:color w:val="auto"/>
                      <w:kern w:val="2"/>
                      <w:sz w:val="21"/>
                      <w:szCs w:val="24"/>
                      <w:vertAlign w:val="subscript"/>
                      <w:lang w:val="en-US" w:bidi="ar-SA"/>
                    </w:rPr>
                    <w:t>2.5</w:t>
                  </w:r>
                  <w:r>
                    <w:rPr>
                      <w:rFonts w:ascii="Times New Roman" w:hAnsi="Times New Roman" w:cs="Times New Roman"/>
                      <w:color w:val="auto"/>
                      <w:kern w:val="2"/>
                      <w:sz w:val="21"/>
                      <w:szCs w:val="24"/>
                      <w:lang w:val="en-US" w:bidi="ar-SA"/>
                    </w:rPr>
                    <w:t>年均浓度持续降低、优良天数比例稳步提升；土壤受污染耕地安全利用率、污染地块安全利用率进一步提升。</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本项目不新增劳动定员，不新增生活污水，车辆冲洗废水经沉淀池沉淀后，回用于车辆冲洗，不外排；废气经处理后均达标排放。项目占地为</w:t>
                  </w:r>
                  <w:r>
                    <w:rPr>
                      <w:rFonts w:hint="eastAsia" w:cs="Times New Roman"/>
                      <w:color w:val="auto"/>
                      <w:sz w:val="21"/>
                      <w:szCs w:val="21"/>
                    </w:rPr>
                    <w:t>建设用地</w:t>
                  </w:r>
                  <w:r>
                    <w:rPr>
                      <w:rFonts w:hint="eastAsia" w:ascii="Times New Roman" w:hAnsi="Times New Roman" w:cs="Times New Roman"/>
                      <w:color w:val="auto"/>
                      <w:kern w:val="2"/>
                      <w:sz w:val="21"/>
                      <w:szCs w:val="24"/>
                      <w:lang w:val="en-US" w:bidi="ar-SA"/>
                    </w:rPr>
                    <w:t>，符合环境质量底线要求。</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资源利用上限</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1、以保障生态安全、改善环境质量为核心，合理确定全省资源利用上线目标，实现水资源与水环境、能源与大气环境、岸线与海洋环境的协同管控。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2、到2035年，广泛形成绿色生产生活方式，生态环境根本转变，建成蓝天、碧水、净土的美丽河北。</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项目产品生产所需的原辅材料外购，供水、供电均由</w:t>
                  </w:r>
                  <w:r>
                    <w:rPr>
                      <w:rFonts w:hint="eastAsia" w:ascii="Times New Roman" w:hAnsi="Times New Roman" w:cs="Times New Roman"/>
                      <w:color w:val="auto"/>
                      <w:sz w:val="21"/>
                      <w:szCs w:val="21"/>
                    </w:rPr>
                    <w:t>当地管网</w:t>
                  </w:r>
                  <w:r>
                    <w:rPr>
                      <w:rFonts w:ascii="Times New Roman" w:hAnsi="Times New Roman" w:cs="Times New Roman"/>
                      <w:color w:val="auto"/>
                      <w:sz w:val="21"/>
                      <w:szCs w:val="21"/>
                    </w:rPr>
                    <w:t>供给，项目原料、水、电供应充足，生产过程节约用电，最大的减少物耗、能耗</w:t>
                  </w:r>
                  <w:r>
                    <w:rPr>
                      <w:rFonts w:hint="eastAsia" w:ascii="Times New Roman" w:hAnsi="Times New Roman" w:cs="Times New Roman"/>
                      <w:color w:val="auto"/>
                      <w:sz w:val="21"/>
                      <w:szCs w:val="21"/>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生态环境管控总体要求</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优先保护单元：严格落实生态保护红线管理要求，除有限人为活动外，依法依规禁止其他城镇和建设活动。一般生态空间突出生态保护，严禁不符合主体功能定位的各类开发活动，严禁任意改变用途。重大引水工程、白洋淀入淀河流两侧范围严格执行引调水工程等相关法律规定。</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重点管控单元：省级以上产业园区重点管控单元。严格产业准入，完善园区设施建设，推动设施提标改造；实施污染物总量控制，落实排污许可证制度；强化资源利用效率和地下水开采管控。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一般管控单元：严格执行国家和省关于产业准入、总量控制和污染物排放标准等管控要求。</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lang w:val="en-US"/>
                    </w:rPr>
                    <w:t>河北省邯郸市魏县德政镇王庄村北，所在单元类别为一般管控单元</w:t>
                  </w:r>
                  <w:r>
                    <w:rPr>
                      <w:rFonts w:ascii="Times New Roman" w:hAnsi="Times New Roman" w:cs="Times New Roman"/>
                      <w:color w:val="auto"/>
                      <w:kern w:val="2"/>
                      <w:sz w:val="21"/>
                      <w:szCs w:val="24"/>
                      <w:lang w:val="en-US" w:bidi="ar-SA"/>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符合</w:t>
                  </w:r>
                </w:p>
              </w:tc>
            </w:tr>
          </w:tbl>
          <w:p>
            <w:pPr>
              <w:spacing w:line="400" w:lineRule="exact"/>
              <w:ind w:left="110" w:leftChars="50"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由上表分析可知，本项目符合河北省“三线一单”相关要求</w:t>
            </w:r>
            <w:r>
              <w:rPr>
                <w:rFonts w:hint="eastAsia" w:ascii="Times New Roman" w:hAnsi="Times New Roman" w:cs="Times New Roman"/>
                <w:color w:val="auto"/>
                <w:kern w:val="2"/>
                <w:sz w:val="21"/>
                <w:szCs w:val="21"/>
                <w:lang w:val="en-US" w:bidi="ar-SA"/>
              </w:rPr>
              <w:t>。</w:t>
            </w:r>
          </w:p>
          <w:p>
            <w:pPr>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2）《邯郸市生态环境准入清单（2023年版）》符合性分析</w:t>
            </w:r>
          </w:p>
          <w:p>
            <w:pPr>
              <w:spacing w:line="400" w:lineRule="exact"/>
              <w:ind w:left="110" w:lef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根据《邯郸市生态环境准入清单（2023年版）》（二零二四年三月）要求。邯郸市环境管控单元图见附图6。逐条分析项目情况如下：</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2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1"/>
              <w:gridCol w:w="273"/>
              <w:gridCol w:w="273"/>
              <w:gridCol w:w="709"/>
              <w:gridCol w:w="5470"/>
              <w:gridCol w:w="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gridSpan w:val="2"/>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972" w:type="dxa"/>
                  <w:gridSpan w:val="2"/>
                  <w:tcBorders>
                    <w:left w:val="single" w:color="000000" w:sz="4" w:space="0"/>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w:t>
                  </w:r>
                </w:p>
              </w:tc>
              <w:tc>
                <w:tcPr>
                  <w:tcW w:w="541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管控要求</w:t>
                  </w:r>
                </w:p>
              </w:tc>
              <w:tc>
                <w:tcPr>
                  <w:tcW w:w="789"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生态保护红线</w:t>
                  </w:r>
                </w:p>
              </w:tc>
              <w:tc>
                <w:tcPr>
                  <w:tcW w:w="270"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r>
                    <w:rPr>
                      <w:rFonts w:hint="eastAsia" w:ascii="Times New Roman" w:hAnsi="Times New Roman" w:cs="Times New Roman"/>
                      <w:color w:val="auto"/>
                      <w:sz w:val="21"/>
                      <w:szCs w:val="21"/>
                      <w:lang w:val="en-US"/>
                    </w:rPr>
                    <w:t>3.生态保护红线内，自然保护地核心保护区原则上禁止人为活动，其他区域严格禁止开发性、生产性建设活动，法律法规另有规定的，从其规定。</w:t>
                  </w:r>
                </w:p>
              </w:tc>
              <w:tc>
                <w:tcPr>
                  <w:tcW w:w="78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本项目不在生态保护红线内，本项目建设符合</w:t>
                  </w:r>
                  <w:r>
                    <w:rPr>
                      <w:rFonts w:hint="eastAsia" w:cs="Times New Roman"/>
                      <w:color w:val="auto"/>
                      <w:sz w:val="21"/>
                      <w:szCs w:val="21"/>
                    </w:rPr>
                    <w:t>当地</w:t>
                  </w:r>
                  <w:r>
                    <w:rPr>
                      <w:rFonts w:ascii="Times New Roman" w:hAnsi="Times New Roman" w:cs="Times New Roman"/>
                      <w:color w:val="auto"/>
                      <w:sz w:val="21"/>
                      <w:szCs w:val="21"/>
                    </w:rPr>
                    <w:t>规划</w:t>
                  </w:r>
                  <w:r>
                    <w:rPr>
                      <w:rFonts w:hint="eastAsia" w:cs="Times New Roman"/>
                      <w:color w:val="auto"/>
                      <w:sz w:val="21"/>
                      <w:szCs w:val="21"/>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因国家重大战略资源勘查需要，在不影响主体功能定位的前提下，经依法批准后予以安排勘查项目。</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鼓励按照规划开展维护、修复和提升生态功能的活动。</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生态保护红线是国土空间规划中的重要</w:t>
                  </w:r>
                  <w:r>
                    <w:rPr>
                      <w:rFonts w:hint="eastAsia" w:ascii="Times New Roman" w:hAnsi="Times New Roman" w:cs="Times New Roman"/>
                      <w:color w:val="auto"/>
                      <w:sz w:val="21"/>
                      <w:szCs w:val="21"/>
                    </w:rPr>
                    <w:t>管控边界，生态保护红线内自然保护地核心保护区外，禁止开发性、生产性建设活动，在符合法律法规的前提下，仅允许《自然资源部 生态环境部 国家林业和草原局关于加强生态保护红线管理的通知（试行）》（自然资发〔2022〕142 号）中对生态功能不造成破坏的有限人为活动。</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一般生态空间</w:t>
                  </w:r>
                </w:p>
              </w:tc>
              <w:tc>
                <w:tcPr>
                  <w:tcW w:w="270" w:type="dxa"/>
                  <w:vMerge w:val="restart"/>
                  <w:tcBorders>
                    <w:top w:val="single" w:color="000000"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总体要求</w:t>
                  </w:r>
                </w:p>
              </w:tc>
              <w:tc>
                <w:tcPr>
                  <w:tcW w:w="270"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限制类活动</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789"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本项目占地为</w:t>
                  </w:r>
                  <w:r>
                    <w:rPr>
                      <w:rFonts w:hint="eastAsia" w:cs="Times New Roman"/>
                      <w:color w:val="auto"/>
                      <w:sz w:val="21"/>
                      <w:szCs w:val="21"/>
                    </w:rPr>
                    <w:t>建设</w:t>
                  </w:r>
                  <w:r>
                    <w:rPr>
                      <w:rFonts w:hint="eastAsia" w:ascii="Times New Roman" w:hAnsi="Times New Roman" w:cs="Times New Roman"/>
                      <w:color w:val="auto"/>
                      <w:sz w:val="21"/>
                      <w:szCs w:val="21"/>
                    </w:rPr>
                    <w:t>用地</w:t>
                  </w:r>
                  <w:r>
                    <w:rPr>
                      <w:rFonts w:ascii="Times New Roman" w:hAnsi="Times New Roman" w:cs="Times New Roman"/>
                      <w:color w:val="auto"/>
                      <w:sz w:val="21"/>
                      <w:szCs w:val="21"/>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鼓励城镇空间和符合国家生态退耕条件的农业空间转为生态空间。</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鼓励各地根据生态保护需要和规划，结合土地综合整治、工矿废弃地复垦利用、矿山环境恢复治理等各类工程实施，因地制宜促进生态空间内建设用地逐步有序退出</w:t>
                  </w:r>
                  <w:r>
                    <w:rPr>
                      <w:rFonts w:hint="eastAsia" w:ascii="Times New Roman" w:hAnsi="Times New Roman" w:cs="Times New Roman"/>
                      <w:color w:val="auto"/>
                      <w:sz w:val="21"/>
                      <w:szCs w:val="21"/>
                    </w:rPr>
                    <w:t>。</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top w:val="single" w:color="auto"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水源涵养</w:t>
                  </w:r>
                </w:p>
              </w:tc>
              <w:tc>
                <w:tcPr>
                  <w:tcW w:w="270"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禁止类活动</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r>
                    <w:rPr>
                      <w:rFonts w:hint="eastAsia" w:ascii="Times New Roman" w:hAnsi="Times New Roman" w:cs="Times New Roman"/>
                      <w:color w:val="auto"/>
                      <w:sz w:val="21"/>
                      <w:szCs w:val="21"/>
                    </w:rPr>
                    <w:t>。</w:t>
                  </w:r>
                </w:p>
              </w:tc>
              <w:tc>
                <w:tcPr>
                  <w:tcW w:w="789"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不会</w:t>
                  </w:r>
                  <w:r>
                    <w:rPr>
                      <w:rFonts w:ascii="Times New Roman" w:hAnsi="Times New Roman" w:cs="Times New Roman"/>
                      <w:color w:val="auto"/>
                      <w:sz w:val="21"/>
                      <w:szCs w:val="21"/>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坚持自然恢复为主，严格限制在水源涵养区大规模人工造林。</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严格控制载畜量，实行以草定畜，在农牧交错区提倡农牧结合，发展生态产业，培育替代产业减轻区内畜牧业对水源和生态系统的压力</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防风固沙</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加强对内陆河流的规划和管理，保护沙区湿地，禁止发展高耗水工业</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转变畜牧业生产方式，实行禁牧休牧，推行舍饲圈养，以草定畜，严格控制载畜量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水土保持</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1.严禁陡坡垦殖和过度放牧。2.禁止毁林开荒、烧山开荒和陡坡地开垦，合理开发自然资源，保护和恢复自然生态系统，增强区域水土保持能力</w:t>
                  </w:r>
                  <w:r>
                    <w:rPr>
                      <w:rFonts w:hint="eastAsia" w:ascii="Times New Roman" w:hAnsi="Times New Roman" w:cs="Times New Roman"/>
                      <w:color w:val="auto"/>
                      <w:sz w:val="21"/>
                      <w:szCs w:val="21"/>
                      <w:lang w:val="en-US"/>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w:t>
                  </w:r>
                  <w:r>
                    <w:rPr>
                      <w:rFonts w:hint="eastAsia" w:ascii="Times New Roman" w:hAnsi="Times New Roman" w:cs="Times New Roman"/>
                      <w:color w:val="auto"/>
                      <w:sz w:val="21"/>
                      <w:szCs w:val="21"/>
                      <w:lang w:val="en-US" w:eastAsia="zh-CN"/>
                    </w:rPr>
                    <w:t>利用</w:t>
                  </w:r>
                  <w:r>
                    <w:rPr>
                      <w:rFonts w:hint="eastAsia" w:ascii="Times New Roman" w:hAnsi="Times New Roman" w:cs="Times New Roman"/>
                      <w:color w:val="auto"/>
                      <w:sz w:val="21"/>
                      <w:szCs w:val="21"/>
                      <w:lang w:val="en-US"/>
                    </w:rPr>
                    <w:t>现有土地，不涉及毁林开荒、烧山开荒和陡坡地开垦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严格资源开发和建设项目的生态监管，控制新的人为水土流失。</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对水土保持林只能进行抚育和更新性质的采伐；对采伐区和集材道应当采取防止水土流失的措施，并在采伐后及时更新造林</w:t>
                  </w:r>
                  <w:r>
                    <w:rPr>
                      <w:rFonts w:hint="eastAsia" w:ascii="Times New Roman" w:hAnsi="Times New Roman" w:cs="Times New Roman"/>
                      <w:color w:val="auto"/>
                      <w:sz w:val="21"/>
                      <w:szCs w:val="21"/>
                      <w:lang w:val="en-US"/>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生物</w:t>
                  </w:r>
                  <w:r>
                    <w:rPr>
                      <w:rFonts w:ascii="Times New Roman" w:hAnsi="Times New Roman" w:cs="Times New Roman"/>
                      <w:color w:val="auto"/>
                      <w:sz w:val="21"/>
                      <w:szCs w:val="21"/>
                    </w:rPr>
                    <w:t>多样性维护</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本项目不在生态保护区</w:t>
                  </w:r>
                  <w:r>
                    <w:rPr>
                      <w:rFonts w:hint="eastAsia" w:ascii="Times New Roman" w:hAnsi="Times New Roman" w:cs="Times New Roman"/>
                      <w:color w:val="auto"/>
                      <w:sz w:val="21"/>
                      <w:szCs w:val="21"/>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严格控制高耗能、高排放行业发展，新引入的行业、企业不得对优先区域生物多样性造成影响。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保护自然生态系统与重要物种栖息地，限制或禁止各种损害栖息地的经济社会活动和生产方式，如无序采矿、毁林开荒、湿地和草地开垦、道路建设等。防止生态建设导致栖息环境的改变。</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水土流失</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1.有关基础设施建设、矿产资源开发、城镇建设、公共服务设施建设等方面的规划，在实施过</w:t>
                  </w:r>
                  <w:r>
                    <w:rPr>
                      <w:rFonts w:hint="eastAsia" w:ascii="Times New Roman" w:hAnsi="Times New Roman" w:cs="Times New Roman"/>
                      <w:color w:val="auto"/>
                      <w:sz w:val="21"/>
                      <w:szCs w:val="21"/>
                    </w:rPr>
                    <w:t>程中可能造成水土流失的，规划的组织编制机关应当在规划中提出水土流失预防和治理的对策和措施。2.对采伐区和集材道应当采取防止水土流失的措施，并在采伐后及时更新造林。</w:t>
                  </w:r>
                  <w:r>
                    <w:rPr>
                      <w:rFonts w:hint="eastAsia" w:ascii="Times New Roman" w:hAnsi="Times New Roman" w:cs="Times New Roman"/>
                      <w:color w:val="auto"/>
                      <w:sz w:val="21"/>
                      <w:szCs w:val="21"/>
                      <w:lang w:val="en-US"/>
                    </w:rPr>
                    <w:t>3.生产建设项目选址、选线应当避让水土流失重点预防区和重点治理区；无法避让的，应当提高防治标准，优化施工工艺，减少地表扰动和植被损坏范围，有效控制可能造成的水土流失。4.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土地沙化</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1.禁止在沙化土地上砍挖灌木、药材及其他固沙植物。2.在沙化土地封禁保护区范围内，禁止一切破坏植被的活动。禁止在沙化土地封禁保护区范围内安置移民</w:t>
                  </w:r>
                  <w:r>
                    <w:rPr>
                      <w:rFonts w:hint="eastAsia"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在对防风固沙林网、林带进行抚育更新性质的采伐之前，必须在其附近预先形成接替林网和林带。</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河湖滨岸带</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本项目占地不属于湿地、水生动物洄游通道、野生动物栖息地，项目周边无水利工程、河道、湖泊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建设工程等特殊需要确需临时占用湿地的，应当经县级人民政府有关湿地保护管理部门批准。临时占用湿地的期限不得超过二年，不得修筑永久性建筑物。占用期满后，用地单位应当按照有关标准进行生态修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在湿地内从事生产经营、观赏旅游、科学研究、调查观测、科普教育等活动，应当避免影响、降低湿地生态功能和对野生生物物种造成损害。</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在河道管理范围内进行下列活动，必须报经河道主管机关批准；涉及其他部门的，由河道主管机关会同有关部门批准：采砂、取土、淘金、弃置砂石或者淤泥；爆破、钻探、挖筑鱼塘；在河道滩地存放物料、修建厂房或者其他建筑设施；在河道滩地开采地下资源及进行考古发掘。</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向河道、湖泊排污的排污口的设置和扩大，排污单位在向生态环境部门申报之前，应当征得河道主管机关的同意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bl>
          <w:p>
            <w:pPr>
              <w:adjustRightInd w:val="0"/>
              <w:snapToGrid w:val="0"/>
              <w:spacing w:line="48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表1</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全市各类自然保护地总体管控符合性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8"/>
              <w:gridCol w:w="350"/>
              <w:gridCol w:w="489"/>
              <w:gridCol w:w="6112"/>
              <w:gridCol w:w="3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tcBorders>
                    <w:bottom w:val="single" w:color="000000" w:sz="4" w:space="0"/>
                    <w:right w:val="single" w:color="000000" w:sz="4" w:space="0"/>
                  </w:tcBorders>
                  <w:vAlign w:val="center"/>
                </w:tcPr>
                <w:p>
                  <w:pPr>
                    <w:autoSpaceDE/>
                    <w:autoSpaceDN/>
                    <w:jc w:val="center"/>
                    <w:rPr>
                      <w:b/>
                      <w:color w:val="auto"/>
                      <w:sz w:val="21"/>
                      <w:szCs w:val="21"/>
                    </w:rPr>
                  </w:pPr>
                  <w:r>
                    <w:rPr>
                      <w:rFonts w:hint="eastAsia"/>
                      <w:b/>
                      <w:color w:val="auto"/>
                      <w:sz w:val="21"/>
                      <w:szCs w:val="21"/>
                    </w:rPr>
                    <w:t>属性</w:t>
                  </w:r>
                </w:p>
              </w:tc>
              <w:tc>
                <w:tcPr>
                  <w:tcW w:w="839" w:type="dxa"/>
                  <w:gridSpan w:val="2"/>
                  <w:tcBorders>
                    <w:left w:val="single" w:color="000000" w:sz="4" w:space="0"/>
                    <w:bottom w:val="single" w:color="000000" w:sz="4" w:space="0"/>
                  </w:tcBorders>
                  <w:vAlign w:val="center"/>
                </w:tcPr>
                <w:p>
                  <w:pPr>
                    <w:autoSpaceDE/>
                    <w:autoSpaceDN/>
                    <w:jc w:val="center"/>
                    <w:rPr>
                      <w:b/>
                      <w:color w:val="auto"/>
                      <w:sz w:val="21"/>
                      <w:szCs w:val="21"/>
                    </w:rPr>
                  </w:pPr>
                  <w:r>
                    <w:rPr>
                      <w:rFonts w:hint="eastAsia"/>
                      <w:b/>
                      <w:color w:val="auto"/>
                      <w:sz w:val="21"/>
                      <w:szCs w:val="21"/>
                    </w:rPr>
                    <w:t>管控</w:t>
                  </w:r>
                </w:p>
              </w:tc>
              <w:tc>
                <w:tcPr>
                  <w:tcW w:w="6112"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管控要求</w:t>
                  </w:r>
                </w:p>
              </w:tc>
              <w:tc>
                <w:tcPr>
                  <w:tcW w:w="304"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自然保护区</w:t>
                  </w:r>
                </w:p>
              </w:tc>
              <w:tc>
                <w:tcPr>
                  <w:tcW w:w="350" w:type="dxa"/>
                  <w:vMerge w:val="restart"/>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304" w:type="dxa"/>
                  <w:vMerge w:val="restart"/>
                  <w:tcBorders>
                    <w:top w:val="single" w:color="000000" w:sz="4" w:space="0"/>
                    <w:left w:val="single" w:color="000000" w:sz="4" w:space="0"/>
                  </w:tcBorders>
                  <w:vAlign w:val="center"/>
                </w:tcPr>
                <w:p>
                  <w:pPr>
                    <w:autoSpaceDE/>
                    <w:autoSpaceDN/>
                    <w:jc w:val="center"/>
                    <w:rPr>
                      <w:color w:val="auto"/>
                      <w:kern w:val="2"/>
                      <w:sz w:val="21"/>
                      <w:szCs w:val="21"/>
                    </w:rPr>
                  </w:pPr>
                  <w:r>
                    <w:rPr>
                      <w:rFonts w:hint="eastAsia"/>
                      <w:color w:val="auto"/>
                      <w:sz w:val="21"/>
                      <w:szCs w:val="21"/>
                    </w:rPr>
                    <w:t>本项目占地不涉及自然保护区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bottom w:val="single" w:color="000000" w:sz="4" w:space="0"/>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lang w:val="en-US"/>
                    </w:rPr>
                  </w:pPr>
                  <w:r>
                    <w:rPr>
                      <w:color w:val="auto"/>
                      <w:sz w:val="21"/>
                      <w:szCs w:val="21"/>
                    </w:rPr>
                    <w:t>1.在自然保护区组织参观、旅游活动的，应当严格按照前款规定的方案进行，并加强管理；进入自然保护区参观、旅游的单位和个人，应当服从自然保护区管理机构的管理。</w:t>
                  </w:r>
                  <w:r>
                    <w:rPr>
                      <w:rFonts w:hint="eastAsia"/>
                      <w:color w:val="auto"/>
                      <w:sz w:val="21"/>
                      <w:szCs w:val="21"/>
                      <w:lang w:val="en-US"/>
                    </w:rPr>
                    <w:t>2.在自然保护区的外围保护地带建设的项目，不得损害自然保护区内的环境质量；已造成损害的，应当限期治理。限期治理决定由法律、法规规定的机关作出，被限期治理的企业事业单位必须按期完成治理任务。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304" w:type="dxa"/>
                  <w:vMerge w:val="continue"/>
                  <w:tcBorders>
                    <w:left w:val="single" w:color="000000" w:sz="4" w:space="0"/>
                  </w:tcBorders>
                  <w:vAlign w:val="center"/>
                </w:tcPr>
                <w:p>
                  <w:pPr>
                    <w:autoSpaceDE/>
                    <w:autoSpaceDN/>
                    <w:jc w:val="center"/>
                    <w:rPr>
                      <w:color w:val="auto"/>
                      <w:kern w:val="2"/>
                      <w:sz w:val="21"/>
                      <w:szCs w:val="21"/>
                      <w:lang w:val="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风景名胜区</w:t>
                  </w:r>
                </w:p>
              </w:tc>
              <w:tc>
                <w:tcPr>
                  <w:tcW w:w="350" w:type="dxa"/>
                  <w:vMerge w:val="restart"/>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top w:val="nil"/>
                    <w:left w:val="single" w:color="000000" w:sz="4" w:space="0"/>
                  </w:tcBorders>
                  <w:vAlign w:val="center"/>
                </w:tcPr>
                <w:p>
                  <w:pPr>
                    <w:jc w:val="center"/>
                    <w:rPr>
                      <w:color w:val="auto"/>
                    </w:rPr>
                  </w:pPr>
                  <w:r>
                    <w:rPr>
                      <w:rFonts w:hint="eastAsia"/>
                      <w:color w:val="auto"/>
                      <w:sz w:val="21"/>
                      <w:szCs w:val="21"/>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304" w:type="dxa"/>
                  <w:vMerge w:val="restart"/>
                  <w:tcBorders>
                    <w:left w:val="single" w:color="000000" w:sz="4" w:space="0"/>
                  </w:tcBorders>
                  <w:vAlign w:val="center"/>
                </w:tcPr>
                <w:p>
                  <w:pPr>
                    <w:jc w:val="center"/>
                    <w:rPr>
                      <w:color w:val="auto"/>
                      <w:sz w:val="21"/>
                      <w:szCs w:val="21"/>
                    </w:rPr>
                  </w:pPr>
                  <w:r>
                    <w:rPr>
                      <w:rFonts w:hint="eastAsia"/>
                      <w:color w:val="auto"/>
                      <w:sz w:val="21"/>
                      <w:szCs w:val="21"/>
                    </w:rPr>
                    <w:t>本项目占地不涉及风景名胜区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rPr>
                    <w:t>1.在风景名胜区内进行建设活动的，建设单位、施工单位应当制定污染防治和水土保持方案，并采取有效措施，保护好周围景物、水体、林草植被、野生动物资源和地形地貌。2.在风景名胜区内从事影视拍摄等影响生态和景观的活动，应当经风景名胜区管理机构审核后，依照有关法律、法规的规定报有关主管部门批准。3.风景名胜区内居民的生产生活方式应当有利于保护风景名胜资源和传承当地民俗风貌。在风景名胜区内新建居民住宅，应当在规划确定的居住用地范围内依法建设。规划确定需要拆除的居民住宅，不得翻建、改建、扩建。</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湿地公园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在湿地内从事生产经营、观赏旅游、科学研究、调查观测、 </w:t>
                  </w:r>
                </w:p>
                <w:p>
                  <w:pPr>
                    <w:autoSpaceDE/>
                    <w:autoSpaceDN/>
                    <w:jc w:val="center"/>
                    <w:rPr>
                      <w:color w:val="auto"/>
                      <w:sz w:val="21"/>
                      <w:szCs w:val="21"/>
                    </w:rPr>
                  </w:pPr>
                  <w:r>
                    <w:rPr>
                      <w:color w:val="auto"/>
                      <w:sz w:val="21"/>
                      <w:szCs w:val="21"/>
                      <w:lang w:val="en-US"/>
                    </w:rPr>
                    <w:t>科普教育等活动，应当避免影响、降低湿地生态功能和对野生生物物种造成损害。</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森林公园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禁止擅自在国家级自然公园内从事采矿、房地产、开发区、 </w:t>
                  </w:r>
                </w:p>
                <w:p>
                  <w:pPr>
                    <w:autoSpaceDE/>
                    <w:autoSpaceDN/>
                    <w:jc w:val="center"/>
                    <w:rPr>
                      <w:color w:val="auto"/>
                      <w:sz w:val="21"/>
                      <w:szCs w:val="21"/>
                    </w:rPr>
                  </w:pPr>
                  <w:r>
                    <w:rPr>
                      <w:color w:val="auto"/>
                      <w:sz w:val="21"/>
                      <w:szCs w:val="21"/>
                      <w:lang w:val="en-US"/>
                    </w:rPr>
                    <w:t>高尔夫球场、风力光伏电场等不符合管控要求的开发活动。禁止违规侵占国家级自然公园，排放不符合水污染物排放标准的工业废水、生活污水及其他的废水、污水，倾倒、堆放、丢弃、遗撒固体废物等污染生态环境的行为。</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国家级自然公园范围内除国家重大项目外，仅允许对生态 </w:t>
                  </w:r>
                </w:p>
                <w:p>
                  <w:pPr>
                    <w:autoSpaceDE/>
                    <w:autoSpaceDN/>
                    <w:jc w:val="center"/>
                    <w:rPr>
                      <w:color w:val="auto"/>
                      <w:sz w:val="21"/>
                      <w:szCs w:val="21"/>
                    </w:rPr>
                  </w:pPr>
                  <w:r>
                    <w:rPr>
                      <w:color w:val="auto"/>
                      <w:sz w:val="21"/>
                      <w:szCs w:val="21"/>
                      <w:lang w:val="en-US"/>
                    </w:rPr>
                    <w:t>功能不造成破坏的有限人为活动：1.自然公园内居民和其他合法权益主体依法依规开展的生产生活及设施建设。2.符合自然公园保护管理要求的文化、体育活动和必要的配套设施建设。3.符合生态保护红线管控要求的其他活动和设施建设。4.法律法规和国家政策允许在自然公园内开展的其他活动。</w:t>
                  </w:r>
                </w:p>
              </w:tc>
              <w:tc>
                <w:tcPr>
                  <w:tcW w:w="304"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地质公园</w:t>
                  </w:r>
                </w:p>
              </w:tc>
              <w:tc>
                <w:tcPr>
                  <w:tcW w:w="350"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304"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本项目占地不涉及地质公园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pPr>
                    <w:autoSpaceDE/>
                    <w:autoSpaceDN/>
                    <w:jc w:val="center"/>
                    <w:rPr>
                      <w:color w:val="auto"/>
                      <w:sz w:val="21"/>
                      <w:szCs w:val="21"/>
                    </w:rPr>
                  </w:pPr>
                </w:p>
              </w:tc>
              <w:tc>
                <w:tcPr>
                  <w:tcW w:w="350" w:type="dxa"/>
                  <w:vMerge w:val="continue"/>
                  <w:tcBorders>
                    <w:left w:val="single" w:color="000000" w:sz="4" w:space="0"/>
                  </w:tcBorders>
                  <w:vAlign w:val="center"/>
                </w:tcPr>
                <w:p>
                  <w:pPr>
                    <w:autoSpaceDE/>
                    <w:autoSpaceDN/>
                    <w:jc w:val="center"/>
                    <w:rPr>
                      <w:color w:val="auto"/>
                      <w:sz w:val="21"/>
                      <w:szCs w:val="21"/>
                    </w:rPr>
                  </w:pPr>
                </w:p>
              </w:tc>
              <w:tc>
                <w:tcPr>
                  <w:tcW w:w="48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6112" w:type="dxa"/>
                  <w:tcBorders>
                    <w:left w:val="single" w:color="000000" w:sz="4" w:space="0"/>
                  </w:tcBorders>
                  <w:vAlign w:val="center"/>
                </w:tcPr>
                <w:p>
                  <w:pPr>
                    <w:autoSpaceDE/>
                    <w:autoSpaceDN/>
                    <w:jc w:val="center"/>
                    <w:rPr>
                      <w:color w:val="auto"/>
                      <w:sz w:val="21"/>
                      <w:szCs w:val="21"/>
                    </w:rPr>
                  </w:pPr>
                  <w:r>
                    <w:rPr>
                      <w:rFonts w:hint="eastAsia"/>
                      <w:color w:val="auto"/>
                      <w:sz w:val="21"/>
                      <w:szCs w:val="21"/>
                      <w:lang w:val="en-US"/>
                    </w:rPr>
                    <w:t>1.</w:t>
                  </w:r>
                  <w:r>
                    <w:rPr>
                      <w:rFonts w:hint="eastAsia"/>
                      <w:color w:val="auto"/>
                      <w:sz w:val="21"/>
                      <w:szCs w:val="21"/>
                    </w:rPr>
                    <w:t>对国际或国内具有极为罕见和重要科学价值的地质遗迹实施一级保护，非经批准不得入内。经设立该级地质遗迹保护区的人民政府地质矿产行政主管部门批准，可组织进行参观、科研或国际间交往。</w:t>
                  </w:r>
                  <w:r>
                    <w:rPr>
                      <w:rFonts w:hint="eastAsia"/>
                      <w:color w:val="auto"/>
                      <w:sz w:val="21"/>
                      <w:szCs w:val="21"/>
                      <w:lang w:val="en-US"/>
                    </w:rPr>
                    <w:t>2.</w:t>
                  </w:r>
                  <w:r>
                    <w:rPr>
                      <w:rFonts w:hint="eastAsia"/>
                      <w:color w:val="auto"/>
                      <w:sz w:val="21"/>
                      <w:szCs w:val="21"/>
                    </w:rPr>
                    <w:t>对大区域范围内具有重要科学价值的地质遗迹实施二级保护。经设立该级地质遗迹保护区的人民政府地质矿产行政主管部门批准，可有组织地进行科研、教学、学术交流及适当的旅游活动。</w:t>
                  </w:r>
                  <w:r>
                    <w:rPr>
                      <w:rFonts w:hint="eastAsia"/>
                      <w:color w:val="auto"/>
                      <w:sz w:val="21"/>
                      <w:szCs w:val="21"/>
                      <w:lang w:val="en-US"/>
                    </w:rPr>
                    <w:t>3.</w:t>
                  </w:r>
                  <w:r>
                    <w:rPr>
                      <w:rFonts w:hint="eastAsia"/>
                      <w:color w:val="auto"/>
                      <w:sz w:val="21"/>
                      <w:szCs w:val="21"/>
                    </w:rPr>
                    <w:t>对具一定价值的地质遗迹实施三级保护。经设立该级地质遗迹保护区的人民政府地质矿产行政主管部门批准，可组织开展旅游活动。</w:t>
                  </w:r>
                </w:p>
              </w:tc>
              <w:tc>
                <w:tcPr>
                  <w:tcW w:w="304" w:type="dxa"/>
                  <w:vMerge w:val="continue"/>
                  <w:tcBorders>
                    <w:left w:val="single" w:color="000000" w:sz="4" w:space="0"/>
                  </w:tcBorders>
                  <w:vAlign w:val="center"/>
                </w:tcPr>
                <w:p>
                  <w:pPr>
                    <w:autoSpaceDE/>
                    <w:autoSpaceDN/>
                    <w:jc w:val="center"/>
                    <w:rPr>
                      <w:color w:val="auto"/>
                      <w:sz w:val="21"/>
                      <w:szCs w:val="21"/>
                    </w:rPr>
                  </w:pPr>
                </w:p>
              </w:tc>
            </w:tr>
          </w:tbl>
          <w:p>
            <w:pPr>
              <w:autoSpaceDE/>
              <w:autoSpaceDN/>
              <w:spacing w:line="48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rPr>
              <w:t>）全市环境总体管控符合性分析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4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32"/>
              <w:gridCol w:w="9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15"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管理维度</w:t>
                  </w:r>
                </w:p>
              </w:tc>
              <w:tc>
                <w:tcPr>
                  <w:tcW w:w="6015"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87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年均浓度分别达到20微克/立方米、38微克/立方米、46微克/立方米，遏制O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恶化态势，优良天数比例控制在58%以上。2035年SO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年均浓度分别达到20微克/立方米、38微克/立方米、35微克/立方米，O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在现状基础上得到控制，优良天数比例控制在75%以上。</w:t>
                  </w:r>
                </w:p>
              </w:tc>
              <w:tc>
                <w:tcPr>
                  <w:tcW w:w="872"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1.严格落实钢铁、水泥、平板玻璃等行业产能置换政策，严 </w:t>
                  </w:r>
                </w:p>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禁新增钢铁、焦化、水泥和平板玻璃等产能，禁止新增化工园区。2.</w:t>
                  </w:r>
                  <w:r>
                    <w:rPr>
                      <w:rFonts w:ascii="Times New Roman" w:hAnsi="Times New Roman" w:cs="Times New Roman"/>
                      <w:color w:val="auto"/>
                      <w:sz w:val="21"/>
                      <w:szCs w:val="21"/>
                      <w:lang w:val="en-US"/>
                    </w:rPr>
                    <w:t>严控“两高”产业规模。以钢铁、焦化、水泥、平板玻璃、煤电等行业企业为重点，严格控制新增产能，遏制高耗能、高排放项目盲目发展。持续巩固去产能成果，严格落实产业准入条件，坚决防止反弹。</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严格执行质量、环保、能耗、安全等法规标准，加大重点行业低效和过剩产能压减力度，淘汰4.3米焦炉，关停部分1000立方米以下高炉和100吨以下转炉。</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.加快城市建成区钢铁、煤炭、火电企业搬迁改造或关停退出，县城及主要城镇建成区的钢铁、煤炭、火电企业逐步实施退城搬迁。</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.严格控制高耗能项目建设，提高市场准入门槛，严格控制新增煤电机组装机规模，审慎发展石油化工等项目。</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rPr>
                    <w:t>.严格散煤生产、加工、储运、销售环节监管，“禁煤区”“高污染燃料禁燃区”不得新设散煤经营网点。</w:t>
                  </w: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rPr>
                    <w:t>.推进煤炭、钢铁、焦化、水泥等大宗货物年运输量150万吨以上的大型工矿企业、大型物流园区以及港口集疏运铁路专用线、管道或封闭管廊等建设</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rPr>
                    <w:t>.确保“散乱污”企业动态清零。建立“散乱污”企业动态管理机制，定期开展“回头看”，坚决杜绝“散乱污”企业项目建设和已取缔的“散乱污”企业异地转移，死灰复燃。</w:t>
                  </w:r>
                  <w:r>
                    <w:rPr>
                      <w:rFonts w:hint="eastAsia" w:ascii="Times New Roman" w:hAnsi="Times New Roman" w:cs="Times New Roman"/>
                      <w:color w:val="auto"/>
                      <w:sz w:val="21"/>
                      <w:szCs w:val="21"/>
                      <w:lang w:val="en-US"/>
                    </w:rPr>
                    <w:t>9</w:t>
                  </w:r>
                  <w:r>
                    <w:rPr>
                      <w:rFonts w:ascii="Times New Roman" w:hAnsi="Times New Roman" w:cs="Times New Roman"/>
                      <w:color w:val="auto"/>
                      <w:sz w:val="21"/>
                      <w:szCs w:val="21"/>
                    </w:rPr>
                    <w:t>.对30万千瓦及以上热电联产机组覆盖范围内的自备燃煤电厂实施关停整合</w:t>
                  </w:r>
                  <w:r>
                    <w:rPr>
                      <w:rFonts w:hint="eastAsia" w:ascii="Times New Roman" w:hAnsi="Times New Roman" w:cs="Times New Roman"/>
                      <w:color w:val="auto"/>
                      <w:sz w:val="21"/>
                      <w:szCs w:val="21"/>
                    </w:rPr>
                    <w:t>。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 年，在全市推广氨排放控制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措施，完成210 万亩农田推广应用，有效降低氨对PM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的影响。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r>
                    <w:rPr>
                      <w:rFonts w:hint="eastAsia" w:cs="Times New Roman"/>
                      <w:color w:val="auto"/>
                      <w:sz w:val="21"/>
                      <w:szCs w:val="21"/>
                    </w:rPr>
                    <w:t>。</w:t>
                  </w:r>
                </w:p>
              </w:tc>
              <w:tc>
                <w:tcPr>
                  <w:tcW w:w="872"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color w:val="auto"/>
                <w:sz w:val="21"/>
                <w:szCs w:val="24"/>
                <w:lang w:val="en-US"/>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5 </w:t>
            </w:r>
            <w:r>
              <w:rPr>
                <w:rFonts w:hint="eastAsia" w:ascii="Times New Roman" w:hAnsi="Times New Roman" w:cs="Times New Roman"/>
                <w:b/>
                <w:bCs/>
                <w:color w:val="auto"/>
                <w:sz w:val="21"/>
                <w:szCs w:val="21"/>
              </w:rPr>
              <w:t>全市水环境总体管控符合性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07"/>
              <w:gridCol w:w="9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97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94"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2025年地表水Ⅲ类及以上水体断面比例达到27%以上，劣Ⅴ类水体基本消除；2035年全面消除劣Ⅴ类水质。</w:t>
                  </w:r>
                </w:p>
              </w:tc>
              <w:tc>
                <w:tcPr>
                  <w:tcW w:w="894"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无废水外排</w:t>
                  </w:r>
                  <w:r>
                    <w:rPr>
                      <w:rFonts w:ascii="Times New Roman" w:hAnsi="Times New Roman" w:cs="Times New Roman"/>
                      <w:color w:val="auto"/>
                      <w:sz w:val="21"/>
                      <w:szCs w:val="21"/>
                    </w:rPr>
                    <w:t>，项目建设不会对周边水环境产生影响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r>
                    <w:rPr>
                      <w:rFonts w:hint="eastAsia" w:ascii="Times New Roman" w:hAnsi="Times New Roman" w:cs="Times New Roman"/>
                      <w:color w:val="auto"/>
                      <w:sz w:val="21"/>
                      <w:szCs w:val="21"/>
                      <w:lang w:val="en-US"/>
                    </w:rPr>
                    <w:t>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 缆 线、取水、排水、监测等工程设施的建设单位、产权单位或者使用单位，应当对设施进行日常检查和维护，保证其正常运行，发现危害渠道安全、妨碍渠水畅通等情况的，应当及时进行整改、消除安全隐患。</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94"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6 </w:t>
            </w:r>
            <w:r>
              <w:rPr>
                <w:rFonts w:hint="eastAsia" w:ascii="Times New Roman" w:hAnsi="Times New Roman" w:cs="Times New Roman"/>
                <w:b/>
                <w:bCs/>
                <w:color w:val="auto"/>
                <w:sz w:val="21"/>
                <w:szCs w:val="21"/>
              </w:rPr>
              <w:t>全市土壤环境总体管控符合性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0"/>
              <w:gridCol w:w="6050"/>
              <w:gridCol w:w="9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38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49"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 年受污染耕地安全利用率达到95%以上，重点建设用地安全利用得到有效保障</w:t>
                  </w:r>
                </w:p>
              </w:tc>
              <w:tc>
                <w:tcPr>
                  <w:tcW w:w="84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未占用耕地，</w:t>
                  </w:r>
                  <w:r>
                    <w:rPr>
                      <w:rFonts w:ascii="Times New Roman" w:hAnsi="Times New Roman" w:cs="Times New Roman"/>
                      <w:color w:val="auto"/>
                      <w:sz w:val="21"/>
                      <w:szCs w:val="21"/>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389" w:type="dxa"/>
                  <w:tcBorders>
                    <w:top w:val="single" w:color="000000" w:sz="4" w:space="0"/>
                    <w:left w:val="single" w:color="000000" w:sz="4" w:space="0"/>
                    <w:bottom w:val="single" w:color="000000" w:sz="4" w:space="0"/>
                  </w:tcBorders>
                  <w:vAlign w:val="center"/>
                </w:tcPr>
                <w:p>
                  <w:pPr>
                    <w:autoSpaceDE/>
                    <w:autoSpaceDN/>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1.在未污染耕地集中区域全面推进高标准农田建设，将符合条件的未污染耕地划入永久基本农田，不得新建有色金属冶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下水污染的，相关企业要制定整改方案和建立台账清单。4.推动工业固废综合利用，促进工业固废减量化、资源化。加强塑料污染防控，强化对生产、使用、销售塑料制品单位的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监督检查，有序禁止限制部分塑料制品生产、销售、使用。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5.2021 年底前，配合省相关部门对褐煤开采洗选、非金属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spacing w:line="48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rPr>
              <w:t>）全市资源利用总体管控要求符合性分析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7</w:t>
            </w:r>
            <w:r>
              <w:rPr>
                <w:rFonts w:hint="eastAsia" w:ascii="Times New Roman" w:hAnsi="Times New Roman" w:cs="Times New Roman"/>
                <w:b/>
                <w:bCs/>
                <w:color w:val="auto"/>
                <w:sz w:val="21"/>
                <w:szCs w:val="21"/>
              </w:rPr>
              <w:t xml:space="preserve"> 全市资源利用总体管控要求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737"/>
              <w:gridCol w:w="5676"/>
              <w:gridCol w:w="10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020" w:type="dxa"/>
                  <w:gridSpan w:val="2"/>
                  <w:tcBorders>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5431"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986"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2025年水资源利用总量22.30亿立方米以下，其中地下水取水量</w:t>
                  </w:r>
                  <w:r>
                    <w:rPr>
                      <w:rFonts w:hint="eastAsia" w:cs="Times New Roman"/>
                      <w:color w:val="auto"/>
                      <w:sz w:val="21"/>
                      <w:szCs w:val="21"/>
                      <w:lang w:val="en-US"/>
                    </w:rPr>
                    <w:t>9.71</w:t>
                  </w:r>
                  <w:r>
                    <w:rPr>
                      <w:rFonts w:ascii="Times New Roman" w:hAnsi="Times New Roman" w:cs="Times New Roman"/>
                      <w:color w:val="auto"/>
                      <w:sz w:val="21"/>
                      <w:szCs w:val="21"/>
                    </w:rPr>
                    <w:t>亿立方米以下</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到2025年，全市万元生产总值能耗和用水量比2020年分别下降18%和15.4%。全社会煤炭消费、万元生产总值二氧化碳排放削减量完成省定任务。</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号”质量指标的规定。4.对新增耗煤项目实施等(减)量替代。5.平原地区农村全部完成生活和冬季取暖散煤替代，实现散煤动态清零。</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2025年邯郸市耕地保有量592940公顷（889.41万亩），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永久基本农田保护面积524640 公顷（786.96 万亩），城镇开发边界扩展倍数≤1.3；2035 年邯郸市耕地保有量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592940公顷（889.41万亩），永久基本农田保护面积524640公顷（786.96 万亩），城镇开发边界扩展倍数≤1.3。</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986" w:type="dxa"/>
                  <w:vMerge w:val="continue"/>
                  <w:tcBorders>
                    <w:left w:val="single" w:color="000000" w:sz="4" w:space="0"/>
                  </w:tcBorders>
                  <w:vAlign w:val="center"/>
                </w:tcPr>
                <w:p>
                  <w:pPr>
                    <w:autoSpaceDE/>
                    <w:autoSpaceDN/>
                    <w:jc w:val="center"/>
                    <w:rPr>
                      <w:rFonts w:ascii="Times New Roman" w:hAnsi="Times New Roman" w:cs="Times New Roman"/>
                      <w:color w:val="auto"/>
                      <w:kern w:val="2"/>
                      <w:sz w:val="21"/>
                      <w:szCs w:val="21"/>
                    </w:rPr>
                  </w:pPr>
                </w:p>
              </w:tc>
            </w:tr>
          </w:tbl>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5）</w:t>
            </w:r>
            <w:r>
              <w:rPr>
                <w:rFonts w:hint="eastAsia" w:ascii="Times New Roman" w:hAnsi="Times New Roman" w:cs="Times New Roman"/>
                <w:b/>
                <w:bCs/>
                <w:color w:val="auto"/>
                <w:sz w:val="21"/>
                <w:szCs w:val="21"/>
              </w:rPr>
              <w:t>全市产业布局总体管控</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8</w:t>
            </w:r>
            <w:r>
              <w:rPr>
                <w:rFonts w:hint="eastAsia" w:ascii="Times New Roman" w:hAnsi="Times New Roman" w:cs="Times New Roman"/>
                <w:b/>
                <w:bCs/>
                <w:color w:val="auto"/>
                <w:sz w:val="21"/>
                <w:szCs w:val="21"/>
              </w:rPr>
              <w:t xml:space="preserve"> 全市产业布局总体管控要求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4"/>
              <w:gridCol w:w="5773"/>
              <w:gridCol w:w="1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产业</w:t>
                  </w:r>
                </w:p>
              </w:tc>
              <w:tc>
                <w:tcPr>
                  <w:tcW w:w="555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083"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产业布局总体要求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1.严把项目准入关。严格落实生态保护红线、环境质量底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线、资源利用上线、环境准入清单和产业准入政策，严格落实钢铁、水泥、平板玻璃等行业产能置换政策，严禁新增钢铁、焦化、水泥和平板玻璃等产能，禁止新增化工园区。2.</w:t>
                  </w:r>
                  <w:r>
                    <w:rPr>
                      <w:rFonts w:ascii="Times New Roman" w:hAnsi="Times New Roman" w:cs="Times New Roman"/>
                      <w:color w:val="auto"/>
                      <w:sz w:val="21"/>
                      <w:szCs w:val="21"/>
                    </w:rPr>
                    <w:t>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加快调整不符合生态环境功能定位的产业布局、产业规模和产业结构，明确禁止和限制发展的行业、生产工艺和产业目录。</w:t>
                  </w:r>
                  <w:r>
                    <w:rPr>
                      <w:rFonts w:hint="eastAsia" w:ascii="Times New Roman" w:hAnsi="Times New Roman" w:cs="Times New Roman"/>
                      <w:color w:val="auto"/>
                      <w:sz w:val="21"/>
                      <w:szCs w:val="21"/>
                      <w:lang w:val="en-US"/>
                    </w:rPr>
                    <w:t>4.发展壮大“532”市域主导产业，加快新旧动能转换。提升传统优势产业发展能级，完成钢铁产业整合重组，延伸钢铁产业链条，加快建设全国重要精品钢材生产基地，形成“一集群五基地”产业格局。</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本项目满足产业布局总体要求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项目入园准入要求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1.造纸、焦化、氮肥、有色金属、印染、农副食品加工、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原料药制造、皮革、农药、电镀、钢铁、水泥、平板玻璃、石灰、石化、化工等高污染工业项目必须入园进区，其他工业项目原则上也不在园区外布局。2.</w:t>
                  </w:r>
                  <w:r>
                    <w:rPr>
                      <w:rFonts w:ascii="Times New Roman" w:hAnsi="Times New Roman" w:cs="Times New Roman"/>
                      <w:color w:val="auto"/>
                      <w:sz w:val="21"/>
                      <w:szCs w:val="21"/>
                    </w:rPr>
                    <w:t>新（改、扩）建钢铁、石化、化工、焦化、建材、有色等项目的环境影响评价，应满足区域、规划环评要求。</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本项目不属于必须入园进区单位</w:t>
                  </w:r>
                </w:p>
              </w:tc>
            </w:tr>
          </w:tbl>
          <w:p>
            <w:pPr>
              <w:autoSpaceDE/>
              <w:autoSpaceDN/>
              <w:spacing w:line="400" w:lineRule="exact"/>
              <w:ind w:left="110" w:leftChars="50" w:firstLine="420" w:firstLineChars="200"/>
              <w:rPr>
                <w:rFonts w:ascii="Times New Roman" w:hAnsi="Times New Roman" w:cs="Times New Roman"/>
                <w:color w:val="auto"/>
                <w:sz w:val="21"/>
                <w:szCs w:val="21"/>
                <w:lang w:bidi="ar-SA"/>
              </w:rPr>
            </w:pPr>
            <w:r>
              <w:rPr>
                <w:rFonts w:ascii="Times New Roman" w:hAnsi="Times New Roman" w:cs="Times New Roman"/>
                <w:color w:val="auto"/>
                <w:sz w:val="21"/>
                <w:szCs w:val="21"/>
                <w:lang w:val="en-US" w:bidi="ar-SA"/>
              </w:rPr>
              <w:t>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val="en-US" w:bidi="ar-SA"/>
              </w:rPr>
              <w:t>10</w:t>
            </w:r>
            <w:r>
              <w:rPr>
                <w:rFonts w:ascii="Times New Roman" w:hAnsi="Times New Roman" w:cs="Times New Roman"/>
                <w:color w:val="auto"/>
                <w:sz w:val="21"/>
                <w:szCs w:val="21"/>
                <w:lang w:val="en-US" w:bidi="ar-SA"/>
              </w:rPr>
              <w:t>、PM</w:t>
            </w:r>
            <w:r>
              <w:rPr>
                <w:rFonts w:ascii="Times New Roman" w:hAnsi="Times New Roman" w:cs="Times New Roman"/>
                <w:color w:val="auto"/>
                <w:sz w:val="21"/>
                <w:szCs w:val="21"/>
                <w:vertAlign w:val="subscript"/>
                <w:lang w:val="en-US" w:bidi="ar-SA"/>
              </w:rPr>
              <w:t>2.5</w:t>
            </w:r>
            <w:r>
              <w:rPr>
                <w:rFonts w:ascii="Times New Roman" w:hAnsi="Times New Roman" w:cs="Times New Roman"/>
                <w:color w:val="auto"/>
                <w:sz w:val="21"/>
                <w:szCs w:val="21"/>
                <w:lang w:val="en-US" w:bidi="ar-SA"/>
              </w:rPr>
              <w:t>、O</w:t>
            </w:r>
            <w:r>
              <w:rPr>
                <w:rFonts w:ascii="Times New Roman" w:hAnsi="Times New Roman" w:cs="Times New Roman"/>
                <w:color w:val="auto"/>
                <w:sz w:val="21"/>
                <w:szCs w:val="21"/>
                <w:vertAlign w:val="subscript"/>
                <w:lang w:val="en-US" w:bidi="ar-SA"/>
              </w:rPr>
              <w:t>3</w:t>
            </w:r>
            <w:r>
              <w:rPr>
                <w:rFonts w:ascii="Times New Roman" w:hAnsi="Times New Roman" w:cs="Times New Roman"/>
                <w:color w:val="auto"/>
                <w:sz w:val="21"/>
                <w:szCs w:val="21"/>
                <w:lang w:val="en-US" w:bidi="ar-SA"/>
              </w:rPr>
              <w:t>。</w:t>
            </w:r>
            <w:r>
              <w:rPr>
                <w:rFonts w:ascii="Times New Roman" w:hAnsi="Times New Roman" w:cs="Times New Roman"/>
                <w:color w:val="auto"/>
                <w:sz w:val="21"/>
                <w:szCs w:val="21"/>
                <w:lang w:bidi="ar-SA"/>
              </w:rPr>
              <w:t>超标与</w:t>
            </w:r>
            <w:r>
              <w:rPr>
                <w:rFonts w:hint="eastAsia" w:ascii="Times New Roman" w:hAnsi="Times New Roman" w:cs="Times New Roman"/>
                <w:color w:val="auto"/>
                <w:sz w:val="21"/>
                <w:szCs w:val="21"/>
                <w:lang w:bidi="ar-SA"/>
              </w:rPr>
              <w:t>邯郸市</w:t>
            </w:r>
            <w:r>
              <w:rPr>
                <w:rFonts w:ascii="Times New Roman" w:hAnsi="Times New Roman" w:cs="Times New Roman"/>
                <w:color w:val="auto"/>
                <w:sz w:val="21"/>
                <w:szCs w:val="21"/>
                <w:lang w:bidi="ar-SA"/>
              </w:rPr>
              <w:t>内工业企业数量较多及气候条件因素有关，造成这一现象主要原因是</w:t>
            </w:r>
            <w:r>
              <w:rPr>
                <w:rFonts w:hint="eastAsia" w:ascii="Times New Roman" w:hAnsi="Times New Roman" w:cs="Times New Roman"/>
                <w:color w:val="auto"/>
                <w:sz w:val="21"/>
                <w:szCs w:val="21"/>
                <w:lang w:bidi="ar-SA"/>
              </w:rPr>
              <w:t>邯郸</w:t>
            </w:r>
            <w:r>
              <w:rPr>
                <w:rFonts w:ascii="Times New Roman" w:hAnsi="Times New Roman" w:cs="Times New Roman"/>
                <w:color w:val="auto"/>
                <w:sz w:val="21"/>
                <w:szCs w:val="21"/>
                <w:lang w:bidi="ar-SA"/>
              </w:rPr>
              <w:t>处于工业开发强度较高、农业活动频繁的地区，易形成颗粒物积聚和飘移，导致环境质量差。</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随着《魏县保障邯郸市空气质量综合指数“退后十”攻坚行动方案》</w:t>
            </w:r>
            <w:r>
              <w:rPr>
                <w:rFonts w:hint="eastAsia" w:ascii="Times New Roman" w:hAnsi="Times New Roman" w:cs="Times New Roman"/>
                <w:color w:val="auto"/>
                <w:sz w:val="21"/>
                <w:szCs w:val="21"/>
                <w:lang w:val="en-US" w:bidi="ar-SA"/>
              </w:rPr>
              <w:t>（魏文〔2021〕10号）、</w:t>
            </w:r>
            <w:r>
              <w:rPr>
                <w:rFonts w:ascii="Times New Roman" w:hAnsi="Times New Roman" w:cs="Times New Roman"/>
                <w:color w:val="auto"/>
                <w:sz w:val="21"/>
                <w:szCs w:val="21"/>
                <w:lang w:val="en-US" w:bidi="ar-SA"/>
              </w:rPr>
              <w:t>《邯郸市2023年大气污染综合治理暨全面巩固“退后十”成果工作方案&gt;的通知》（邯气领办〔2023〕5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rPr>
              <w:t>）资源利用上线</w:t>
            </w:r>
            <w:r>
              <w:rPr>
                <w:rFonts w:hint="eastAsia" w:ascii="Times New Roman" w:hAnsi="Times New Roman" w:cs="Times New Roman"/>
                <w:b/>
                <w:bCs/>
                <w:color w:val="auto"/>
                <w:sz w:val="21"/>
                <w:szCs w:val="21"/>
              </w:rPr>
              <w:t>符合性分析</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9</w:t>
            </w:r>
            <w:r>
              <w:rPr>
                <w:rFonts w:hint="eastAsia" w:ascii="Times New Roman" w:hAnsi="Times New Roman" w:cs="Times New Roman"/>
                <w:b/>
                <w:bCs/>
                <w:color w:val="auto"/>
                <w:sz w:val="21"/>
                <w:szCs w:val="21"/>
              </w:rPr>
              <w:t xml:space="preserve"> 全市资源利用总体管控要求</w:t>
            </w:r>
          </w:p>
          <w:tbl>
            <w:tblPr>
              <w:tblStyle w:val="32"/>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vAlign w:val="center"/>
                </w:tcPr>
                <w:p>
                  <w:pPr>
                    <w:pStyle w:val="52"/>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要素</w:t>
                  </w:r>
                </w:p>
              </w:tc>
              <w:tc>
                <w:tcPr>
                  <w:tcW w:w="5446"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590"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bl>
          <w:p>
            <w:pPr>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项目用水由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供水管网供给，项目用电由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供电电网提供。本项目消耗适量的电资源、水资源和土地资源，项目资源消耗量相对区域资源利用总量较小，所在区域原辅</w:t>
            </w:r>
            <w:r>
              <w:rPr>
                <w:rFonts w:ascii="Times New Roman" w:hAnsi="Times New Roman" w:cs="Times New Roman"/>
                <w:color w:val="auto"/>
                <w:sz w:val="21"/>
                <w:szCs w:val="21"/>
              </w:rPr>
              <w:t>料、水、电供应充足，生产过程尽可能做到合理利用和节约能耗，最大限度地减少物耗、能耗，不会突破资源利用上线。</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生态环境准入清单</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ind w:firstLine="420" w:firstLineChars="200"/>
              <w:jc w:val="both"/>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w:t>
            </w:r>
            <w:r>
              <w:rPr>
                <w:rFonts w:hint="eastAsia" w:ascii="Times New Roman" w:hAnsi="Times New Roman" w:cs="Times New Roman"/>
                <w:color w:val="auto"/>
                <w:sz w:val="21"/>
                <w:szCs w:val="21"/>
              </w:rPr>
              <w:t>《邯郸市生态环境准入清单（2023年版）》（二零二四年三月）要求，同时查询河北省三线一单管理平台（http://218.11.12.12:8083/query），邯郸市</w:t>
            </w:r>
            <w:r>
              <w:rPr>
                <w:rFonts w:hint="eastAsia" w:ascii="Times New Roman" w:hAnsi="Times New Roman" w:cs="Times New Roman"/>
                <w:color w:val="auto"/>
                <w:sz w:val="21"/>
                <w:szCs w:val="21"/>
                <w:lang w:val="en-US"/>
              </w:rPr>
              <w:t>环境管控单元图见附图6，本项目位于河北省邯郸市魏县德政镇王庄村北。所在单元类别为一般管控单元，魏县生态环境准入清单如下：</w:t>
            </w:r>
          </w:p>
          <w:p>
            <w:pPr>
              <w:adjustRightInd w:val="0"/>
              <w:snapToGrid w:val="0"/>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表1.</w:t>
            </w:r>
            <w:r>
              <w:rPr>
                <w:rFonts w:hint="eastAsia" w:ascii="Times New Roman" w:hAnsi="Times New Roman" w:cs="Times New Roman"/>
                <w:b/>
                <w:bCs/>
                <w:color w:val="auto"/>
                <w:sz w:val="21"/>
                <w:szCs w:val="21"/>
                <w:lang w:val="en-US"/>
              </w:rPr>
              <w:t>10</w:t>
            </w:r>
            <w:r>
              <w:rPr>
                <w:rFonts w:ascii="Times New Roman" w:hAnsi="Times New Roman" w:cs="Times New Roman"/>
                <w:b/>
                <w:bCs/>
                <w:color w:val="auto"/>
                <w:sz w:val="21"/>
                <w:szCs w:val="21"/>
                <w:lang w:val="en-US"/>
              </w:rPr>
              <w:t xml:space="preserve"> 魏县生态环境准入清单</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247"/>
              <w:gridCol w:w="683"/>
              <w:gridCol w:w="450"/>
              <w:gridCol w:w="600"/>
              <w:gridCol w:w="433"/>
              <w:gridCol w:w="3934"/>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tcBorders>
                    <w:bottom w:val="single" w:color="000000" w:sz="4" w:space="0"/>
                    <w:right w:val="single" w:color="000000" w:sz="4" w:space="0"/>
                  </w:tcBorders>
                  <w:vAlign w:val="center"/>
                </w:tcPr>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编</w:t>
                  </w:r>
                </w:p>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号</w:t>
                  </w:r>
                </w:p>
              </w:tc>
              <w:tc>
                <w:tcPr>
                  <w:tcW w:w="247"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区</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县</w:t>
                  </w:r>
                </w:p>
              </w:tc>
              <w:tc>
                <w:tcPr>
                  <w:tcW w:w="68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涉及</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乡镇</w:t>
                  </w:r>
                </w:p>
              </w:tc>
              <w:tc>
                <w:tcPr>
                  <w:tcW w:w="45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单位</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类别</w:t>
                  </w:r>
                </w:p>
              </w:tc>
              <w:tc>
                <w:tcPr>
                  <w:tcW w:w="60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环境要</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素类别</w:t>
                  </w:r>
                </w:p>
              </w:tc>
              <w:tc>
                <w:tcPr>
                  <w:tcW w:w="43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维度</w:t>
                  </w:r>
                </w:p>
              </w:tc>
              <w:tc>
                <w:tcPr>
                  <w:tcW w:w="3934"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管控措施</w:t>
                  </w:r>
                </w:p>
              </w:tc>
              <w:tc>
                <w:tcPr>
                  <w:tcW w:w="736"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restart"/>
                  <w:tcBorders>
                    <w:top w:val="single" w:color="000000" w:sz="4" w:space="0"/>
                    <w:righ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ZH13043430139</w:t>
                  </w:r>
                </w:p>
              </w:tc>
              <w:tc>
                <w:tcPr>
                  <w:tcW w:w="247"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魏县</w:t>
                  </w:r>
                </w:p>
              </w:tc>
              <w:tc>
                <w:tcPr>
                  <w:tcW w:w="683" w:type="dxa"/>
                  <w:vMerge w:val="restart"/>
                  <w:tcBorders>
                    <w:top w:val="single" w:color="000000" w:sz="4" w:space="0"/>
                    <w:left w:val="single" w:color="000000" w:sz="4" w:space="0"/>
                  </w:tcBorders>
                  <w:vAlign w:val="center"/>
                </w:tcPr>
                <w:p>
                  <w:pPr>
                    <w:widowControl/>
                    <w:jc w:val="center"/>
                    <w:rPr>
                      <w:rFonts w:ascii="Times New Roman" w:hAnsi="Times New Roman" w:cs="Times New Roman"/>
                      <w:b/>
                      <w:bCs/>
                      <w:color w:val="auto"/>
                      <w:sz w:val="21"/>
                      <w:szCs w:val="21"/>
                    </w:rPr>
                  </w:pPr>
                  <w:r>
                    <w:rPr>
                      <w:rFonts w:hint="eastAsia" w:ascii="Times New Roman" w:hAnsi="Times New Roman" w:cs="Times New Roman"/>
                      <w:color w:val="auto"/>
                      <w:sz w:val="21"/>
                      <w:szCs w:val="21"/>
                      <w:lang w:val="en-US"/>
                    </w:rPr>
                    <w:t>魏城镇、</w:t>
                  </w:r>
                  <w:r>
                    <w:rPr>
                      <w:rFonts w:hint="eastAsia" w:ascii="Times New Roman" w:hAnsi="Times New Roman" w:cs="Times New Roman"/>
                      <w:b/>
                      <w:bCs/>
                      <w:color w:val="auto"/>
                      <w:sz w:val="21"/>
                      <w:szCs w:val="21"/>
                      <w:lang w:val="en-US"/>
                    </w:rPr>
                    <w:t xml:space="preserve">德 </w:t>
                  </w:r>
                </w:p>
                <w:p>
                  <w:pPr>
                    <w:widowControl/>
                    <w:jc w:val="center"/>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政镇</w:t>
                  </w:r>
                  <w:r>
                    <w:rPr>
                      <w:rFonts w:hint="eastAsia" w:ascii="Times New Roman" w:hAnsi="Times New Roman" w:cs="Times New Roman"/>
                      <w:color w:val="auto"/>
                      <w:sz w:val="21"/>
                      <w:szCs w:val="21"/>
                      <w:lang w:val="en-US"/>
                    </w:rPr>
                    <w:t xml:space="preserve">、北皋镇、双井镇、车往镇、东代固镇、院堡镇、南双庙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 xml:space="preserve">镇、棘针寨镇、沙口集乡、野胡拐乡、仕望集镇、前大磨乡、大辛庄乡、北台头乡、泊口镇、南双庙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镇、牙里镇、回隆镇、张二庄镇、大马村乡、边马镇</w:t>
                  </w:r>
                </w:p>
              </w:tc>
              <w:tc>
                <w:tcPr>
                  <w:tcW w:w="45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一般管控单元</w:t>
                  </w:r>
                </w:p>
              </w:tc>
              <w:tc>
                <w:tcPr>
                  <w:tcW w:w="60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lang w:val="en-US" w:bidi="ar"/>
                    </w:rPr>
                    <w:t>-</w:t>
                  </w: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空间</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布局</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1.禁止建设《产业结构调整指导目录》中禁止类项目及设备(如砖瓦轮窑以及立窑、无顶轮窑、马蹄窑等土窑、普通挤砖机等）</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本项目属于允许类项目，项目周边无生态保护红线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污染</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物排</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放管</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sz w:val="21"/>
                      <w:szCs w:val="21"/>
                      <w:lang w:val="en-US"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 (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本项目不使用燃料，不涉及锅炉、工业炉窑，项目建设符合“退后十”方案要求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环境</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风险</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防控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工艺过程中产生的含VOCs废料(渣、液)满足《挥发性有机物无组织排放控制标准》(GB37822-2019)中的要求。</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本项目不涉及</w:t>
                  </w:r>
                  <w:r>
                    <w:rPr>
                      <w:rFonts w:hint="eastAsia" w:ascii="Times New Roman" w:hAnsi="Times New Roman" w:cs="Times New Roman"/>
                      <w:color w:val="auto"/>
                      <w:kern w:val="2"/>
                      <w:sz w:val="21"/>
                      <w:szCs w:val="21"/>
                      <w:lang w:val="en-US"/>
                    </w:rPr>
                    <w:t>VOCs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资源</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利用</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效率</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w:t>
                  </w:r>
                </w:p>
              </w:tc>
            </w:tr>
          </w:tbl>
          <w:p>
            <w:pPr>
              <w:pStyle w:val="52"/>
              <w:tabs>
                <w:tab w:val="left" w:pos="531"/>
              </w:tabs>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3、绩效评价符合性分析</w:t>
            </w:r>
          </w:p>
          <w:p>
            <w:pPr>
              <w:pStyle w:val="52"/>
              <w:tabs>
                <w:tab w:val="left" w:pos="531"/>
              </w:tabs>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与《河北省十一个行业重污染天气应急减排措施制定技术指南（试行）》符合性</w:t>
            </w:r>
          </w:p>
          <w:p>
            <w:pPr>
              <w:pStyle w:val="52"/>
              <w:tabs>
                <w:tab w:val="left" w:pos="531"/>
              </w:tabs>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根据该技术指南中“预拌混凝土、预拌砂浆行业企业绩效评级表”，逐条分析符合性内容如下：</w:t>
            </w:r>
          </w:p>
          <w:p>
            <w:pPr>
              <w:pStyle w:val="52"/>
              <w:tabs>
                <w:tab w:val="left" w:pos="531"/>
              </w:tabs>
              <w:spacing w:line="400" w:lineRule="exact"/>
              <w:ind w:left="110" w:lef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表1.11  本项目与“预拌混凝土、预拌砂浆行业企业绩效评级表”符合性</w:t>
            </w:r>
          </w:p>
          <w:tbl>
            <w:tblPr>
              <w:tblStyle w:val="3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5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color w:val="auto"/>
                      <w:sz w:val="21"/>
                      <w:szCs w:val="21"/>
                      <w:lang w:val="en-US"/>
                    </w:rPr>
                    <w:t>引领性指标</w:t>
                  </w:r>
                </w:p>
              </w:tc>
              <w:tc>
                <w:tcPr>
                  <w:tcW w:w="5576"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hint="eastAsia" w:ascii="Times New Roman" w:hAnsi="Times New Roman" w:cs="Times New Roman"/>
                      <w:b/>
                      <w:color w:val="auto"/>
                      <w:sz w:val="21"/>
                      <w:szCs w:val="21"/>
                      <w:lang w:val="en-US"/>
                    </w:rPr>
                    <w:t>商砼搅拌站</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能源类型</w:t>
                  </w:r>
                </w:p>
              </w:tc>
              <w:tc>
                <w:tcPr>
                  <w:tcW w:w="5576" w:type="dxa"/>
                  <w:shd w:val="clear" w:color="auto" w:fill="auto"/>
                  <w:vAlign w:val="center"/>
                </w:tcPr>
                <w:p>
                  <w:pPr>
                    <w:widowControl/>
                    <w:ind w:left="-110" w:leftChars="-50" w:right="-110" w:rightChars="-50"/>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电、外购蒸汽、天然气（采用低氮燃烧）</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本项目生产设备均使用电能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排放限值</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天然气锅炉基准氧含量3.5%，PM、NOx排放浓度不高于10、50mg/m</w:t>
                  </w:r>
                  <w:r>
                    <w:rPr>
                      <w:rStyle w:val="65"/>
                      <w:color w:val="auto"/>
                      <w:sz w:val="21"/>
                      <w:szCs w:val="21"/>
                      <w:vertAlign w:val="superscript"/>
                      <w:lang w:val="en-US" w:bidi="ar"/>
                    </w:rPr>
                    <w:t>3</w:t>
                  </w:r>
                  <w:r>
                    <w:rPr>
                      <w:rFonts w:ascii="Times New Roman" w:hAnsi="Times New Roman" w:cs="Times New Roman"/>
                      <w:color w:val="auto"/>
                      <w:sz w:val="21"/>
                      <w:szCs w:val="21"/>
                      <w:lang w:val="en-US" w:bidi="ar"/>
                    </w:rPr>
                    <w:t>，热风炉基准氧含量8%，PM、NOx排放浓度不高于10、100mg/m</w:t>
                  </w:r>
                  <w:r>
                    <w:rPr>
                      <w:rStyle w:val="65"/>
                      <w:color w:val="auto"/>
                      <w:sz w:val="21"/>
                      <w:szCs w:val="21"/>
                      <w:vertAlign w:val="superscript"/>
                      <w:lang w:val="en-US" w:bidi="ar"/>
                    </w:rPr>
                    <w:t>3</w:t>
                  </w:r>
                  <w:r>
                    <w:rPr>
                      <w:rFonts w:hint="eastAsia" w:ascii="Times New Roman" w:hAnsi="Times New Roman" w:cs="Times New Roman"/>
                      <w:color w:val="auto"/>
                      <w:sz w:val="21"/>
                      <w:szCs w:val="21"/>
                      <w:lang w:val="en-US" w:bidi="ar"/>
                    </w:rPr>
                    <w:t>。</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w:t>
                  </w:r>
                  <w:r>
                    <w:rPr>
                      <w:rFonts w:hint="eastAsia" w:ascii="Times New Roman" w:hAnsi="Times New Roman" w:cs="Times New Roman"/>
                      <w:color w:val="auto"/>
                      <w:sz w:val="21"/>
                      <w:szCs w:val="21"/>
                      <w:lang w:val="en-US" w:bidi="ar"/>
                    </w:rPr>
                    <w:t>不设锅炉、热风炉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无组织排放</w:t>
                  </w:r>
                </w:p>
              </w:tc>
              <w:tc>
                <w:tcPr>
                  <w:tcW w:w="5576" w:type="dxa"/>
                  <w:shd w:val="clear" w:color="auto" w:fill="auto"/>
                  <w:vAlign w:val="center"/>
                </w:tcPr>
                <w:p>
                  <w:pPr>
                    <w:widowControl/>
                    <w:numPr>
                      <w:ilvl w:val="0"/>
                      <w:numId w:val="2"/>
                    </w:numPr>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物料储存：粉状物料全部密闭储存；料棚建设全封闭，无明显裂隙、开口；物料进出口采取快速起闭门等方式，保证无粉尘外逸。料棚内部采取局部封闭或顶部雾化喷淋、重点区域喷雾等抑尘措施，做到抑尘全覆盖。湿拌混凝土和砂浆企业非冷冻期采用顶部雾化喷淋方式，冷冻期采取温水、添加防冻物质或辅助电加热等防冻方式，或产尘作业面采用局部雾炮方式达到抑尘效果。</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2、物料运输：物料采用皮带、斜槽等方式输送，封闭式建设；封闭式通廊内部输送皮带加装雾化喷淋抑尘装置；各物料破碎、转载、下料口设置集尘装置或物料转载、下料等区域局部封闭，并配置袋式除尘器。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3、砂石上料：砂石上料采取区域侧、顶三面密封措施并加装集气除尘设施，上料时采用远红外等自动感应控制独立喷淋抑尘系统，集气除尘和自动感应喷淋与铲车作业上料同步运行。</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4、筛沙工序：筛沙机不在料棚内作业时应进行封闭。</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5、砂石分离：砂石浆分离系统全封闭式建设，设置洗罐水砂石分离回收设施；通过输送带或砂浆泵等方式，将物料直接输送至料棚或生产线；采用室外倒运的采用防遗漏倒运车，严禁遗撒；</w:t>
                  </w:r>
                </w:p>
                <w:p>
                  <w:pPr>
                    <w:pStyle w:val="10"/>
                    <w:widowControl/>
                    <w:ind w:left="-110" w:leftChars="-50" w:right="-110" w:rightChars="-50"/>
                    <w:rPr>
                      <w:rFonts w:ascii="Times New Roman" w:hAnsi="Times New Roman" w:cs="Times New Roman"/>
                      <w:color w:val="auto"/>
                      <w:sz w:val="21"/>
                      <w:szCs w:val="21"/>
                      <w:lang w:val="en-US"/>
                    </w:rPr>
                  </w:pPr>
                  <w:r>
                    <w:rPr>
                      <w:rFonts w:ascii="Times New Roman" w:hAnsi="Times New Roman" w:eastAsia="宋体" w:cs="Times New Roman"/>
                      <w:color w:val="auto"/>
                      <w:sz w:val="21"/>
                      <w:szCs w:val="21"/>
                      <w:lang w:val="en-US"/>
                    </w:rPr>
                    <w:t>6、粉料筒仓：粉料筒仓库全封闭，库顶泄压口配备袋式除尘器。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lang w:val="en-US"/>
                    </w:rPr>
                    <w:t>7</w:t>
                  </w:r>
                  <w:r>
                    <w:rPr>
                      <w:rFonts w:ascii="Times New Roman" w:hAnsi="Times New Roman" w:cs="Times New Roman"/>
                      <w:color w:val="auto"/>
                      <w:sz w:val="21"/>
                      <w:szCs w:val="21"/>
                    </w:rPr>
                    <w:t>、厂区管理：厂区地面全部硬化或绿化，无成片裸露土地；地面保持清洁，定时采用湿法清扫作业车清扫，做到无浮土、污泥。车间地面、墙面、设备表面不可见明显积尘。</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8、主机车间：（搅拌生产楼）地面、墙面、设备表面不可见明显积尘，设施、设备不可见粉尘跑冒滴漏现象</w:t>
                  </w:r>
                </w:p>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9</w:t>
                  </w:r>
                  <w:r>
                    <w:rPr>
                      <w:rFonts w:ascii="Times New Roman" w:hAnsi="Times New Roman" w:cs="Times New Roman"/>
                      <w:color w:val="auto"/>
                      <w:sz w:val="21"/>
                      <w:szCs w:val="21"/>
                    </w:rPr>
                    <w:t>、车辆清洗：厂区（或料棚）出入口或搅拌楼放料区，安装运输车辆侧向全覆盖式强制喷淋清洗设施，清洗设施应保证车辆冲洗效果，地面至少设置一排花式喷射喷头。喷淋设施应充分考虑冷冻期结冰问题，合理优化地面基础设计，洗车平台应低于地面（呈斜坡状），若高于水平地面的应呈斜坡状并设置回水槽，保证清洗废水快速收集无外溢；清洗完成后车辆应在洗车槽内短暂停留，避免因车身带水过多造成道路湿滑和冬季积水结冰等安全隐患；冲洗介质可使用温水、添加防冻物质等有效防冻措施；冲洗水循环利用，不外排。</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hint="eastAsia" w:ascii="Times New Roman" w:hAnsi="Times New Roman" w:cs="Times New Roman"/>
                      <w:color w:val="auto"/>
                      <w:sz w:val="21"/>
                      <w:szCs w:val="21"/>
                      <w:lang w:val="en-US" w:bidi="ar"/>
                    </w:rPr>
                    <w:t>本项目粉状物料（水泥、粉煤灰）全部入粉料仓储存；料场密闭，内设喷雾降尘装置；本项目物料密闭输送，各产尘点加装布袋除尘装置；骨料配料仓三面密封，加装布袋除尘装置；粉料仓全密封，仓顶设布袋除尘器；厂区地面硬化，未硬化地点全部绿化；厂区出入口设车辆冲洗装置，冲洗水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监测监控水平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料场出入口等易产尘点，安装高清视频监控设施，视频监控数据保存三个月以上</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企业承诺严格按照监测监控规定执行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环境管理水平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环保档案齐全：1、环评批复文件；2、排污许可证及季度、年度执行报告；3、竣工验收文件；4、一年内废气检测报告</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以上记录至少需保存一年。</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管理制度健全：1、有专兼职环保人员；2、废气治理设施运行管理规程</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运输方式</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1、物料和产品公路运输使用国六排放标准重型载货车辆（含燃气）或新能源车辆的比例不低于 50％；其他车辆达到国五排放标准；</w:t>
                  </w:r>
                </w:p>
              </w:tc>
              <w:tc>
                <w:tcPr>
                  <w:tcW w:w="1359" w:type="dxa"/>
                  <w:vMerge w:val="restart"/>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2、厂内运输车辆全部达到国五及以上排放标准（含燃气）或使用新能源车辆</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3、厂内非道路移动机械使用纯电动等新能源机械的比例不低于50％，其他达到国三及以上排放标准，其中3吨及以下叉车全部采用纯电能源</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运输监管</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参照《重污染天气重点行业移动源应急管理技术指南》建立门禁视频监控系统和电子台账</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企业承诺严格按照运输监管规定执行</w:t>
                  </w:r>
                </w:p>
              </w:tc>
            </w:tr>
          </w:tbl>
          <w:p>
            <w:pPr>
              <w:adjustRightInd w:val="0"/>
              <w:spacing w:line="400" w:lineRule="exact"/>
              <w:ind w:left="110" w:leftChars="50" w:firstLine="401" w:firstLineChars="200"/>
              <w:rPr>
                <w:rFonts w:ascii="Times New Roman" w:hAnsi="Times New Roman" w:cs="Times New Roman"/>
                <w:b/>
                <w:bCs/>
                <w:color w:val="auto"/>
                <w:sz w:val="21"/>
                <w:szCs w:val="20"/>
                <w:lang w:val="en-US"/>
              </w:rPr>
            </w:pPr>
            <w:r>
              <w:rPr>
                <w:rFonts w:hint="eastAsia" w:ascii="Times New Roman" w:hAnsi="Times New Roman" w:cs="Times New Roman"/>
                <w:b/>
                <w:bCs/>
                <w:color w:val="auto"/>
                <w:sz w:val="20"/>
                <w:szCs w:val="20"/>
                <w:lang w:val="en-US"/>
              </w:rPr>
              <w:t>4</w:t>
            </w:r>
            <w:r>
              <w:rPr>
                <w:rFonts w:ascii="Times New Roman" w:hAnsi="Times New Roman" w:cs="Times New Roman"/>
                <w:b/>
                <w:bCs/>
                <w:color w:val="auto"/>
                <w:sz w:val="20"/>
                <w:szCs w:val="20"/>
                <w:lang w:val="en-US"/>
              </w:rPr>
              <w:t>、</w:t>
            </w:r>
            <w:r>
              <w:rPr>
                <w:rFonts w:ascii="Times New Roman" w:hAnsi="Times New Roman" w:cs="Times New Roman"/>
                <w:b/>
                <w:bCs/>
                <w:color w:val="auto"/>
                <w:sz w:val="21"/>
                <w:szCs w:val="20"/>
                <w:lang w:val="en-US"/>
              </w:rPr>
              <w:t>环境管理政策符合性分析</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（1）根据《煤场、料场、渣场扬尘污染控制技术规范》（DB 13/T 2352—2016）中关于</w:t>
            </w:r>
            <w:r>
              <w:rPr>
                <w:rFonts w:hint="eastAsia" w:ascii="Times New Roman" w:hAnsi="Times New Roman" w:cs="Times New Roman"/>
                <w:color w:val="auto"/>
                <w:sz w:val="21"/>
                <w:szCs w:val="21"/>
                <w:lang w:val="en-US"/>
              </w:rPr>
              <w:t>水泥及</w:t>
            </w:r>
            <w:r>
              <w:rPr>
                <w:rFonts w:ascii="Times New Roman" w:hAnsi="Times New Roman" w:cs="Times New Roman"/>
                <w:color w:val="auto"/>
                <w:sz w:val="21"/>
                <w:szCs w:val="21"/>
                <w:lang w:val="en-US"/>
              </w:rPr>
              <w:t>其他行业物料运输、转运、装卸、物料储存的有关要求</w:t>
            </w:r>
            <w:r>
              <w:rPr>
                <w:rFonts w:hint="eastAsia" w:ascii="Times New Roman" w:hAnsi="Times New Roman" w:cs="Times New Roman"/>
                <w:color w:val="auto"/>
                <w:sz w:val="21"/>
                <w:szCs w:val="21"/>
                <w:lang w:val="en-US"/>
              </w:rPr>
              <w:t>，提出以下环保措施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①粉状物料（如</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等干料）运输车辆应采用密闭车斗或罐车。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块状物料（如</w:t>
            </w:r>
            <w:r>
              <w:rPr>
                <w:rFonts w:hint="eastAsia" w:ascii="Times New Roman" w:hAnsi="Times New Roman" w:cs="Times New Roman"/>
                <w:color w:val="auto"/>
                <w:sz w:val="21"/>
                <w:szCs w:val="21"/>
                <w:lang w:val="en-US"/>
              </w:rPr>
              <w:t>石子、石粉</w:t>
            </w:r>
            <w:r>
              <w:rPr>
                <w:rFonts w:ascii="Times New Roman" w:hAnsi="Times New Roman" w:cs="Times New Roman"/>
                <w:color w:val="auto"/>
                <w:sz w:val="21"/>
                <w:szCs w:val="21"/>
                <w:lang w:val="en-US"/>
              </w:rPr>
              <w:t>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③密闭输送物料应在装卸处配备吸尘、喷淋等设施。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④</w:t>
            </w:r>
            <w:r>
              <w:rPr>
                <w:rFonts w:hint="eastAsia" w:ascii="Times New Roman" w:hAnsi="Times New Roman" w:cs="Times New Roman"/>
                <w:color w:val="auto"/>
                <w:sz w:val="21"/>
                <w:szCs w:val="21"/>
                <w:lang w:val="en-US"/>
              </w:rPr>
              <w:t>粉状物料（水泥等）入仓储存；粒</w:t>
            </w:r>
            <w:r>
              <w:rPr>
                <w:rFonts w:ascii="Times New Roman" w:hAnsi="Times New Roman" w:cs="Times New Roman"/>
                <w:color w:val="auto"/>
                <w:sz w:val="21"/>
                <w:szCs w:val="21"/>
                <w:lang w:val="en-US"/>
              </w:rPr>
              <w:t>状物料</w:t>
            </w:r>
            <w:r>
              <w:rPr>
                <w:rFonts w:hint="eastAsia" w:ascii="Times New Roman" w:hAnsi="Times New Roman" w:cs="Times New Roman"/>
                <w:color w:val="auto"/>
                <w:sz w:val="21"/>
                <w:szCs w:val="21"/>
                <w:lang w:val="en-US"/>
              </w:rPr>
              <w:t>（石子、石粉等）</w:t>
            </w:r>
            <w:r>
              <w:rPr>
                <w:rFonts w:ascii="Times New Roman" w:hAnsi="Times New Roman" w:cs="Times New Roman"/>
                <w:color w:val="auto"/>
                <w:sz w:val="21"/>
                <w:szCs w:val="21"/>
                <w:lang w:val="en-US"/>
              </w:rPr>
              <w:t>储存采用入棚、入仓方式储存</w:t>
            </w:r>
            <w:r>
              <w:rPr>
                <w:rFonts w:hint="eastAsia" w:ascii="Times New Roman" w:hAnsi="Times New Roman" w:cs="Times New Roman"/>
                <w:color w:val="auto"/>
                <w:sz w:val="21"/>
                <w:szCs w:val="21"/>
                <w:lang w:val="en-US"/>
              </w:rPr>
              <w:t>、密闭料场储存，并设有喷雾降尘装置</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⑤厂区道路进行硬化，定期清扫、洒水，以保持道路积尘处于低负荷状态。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本项目物料运输要求严格按照规范执行</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防治扬尘措施符合《煤场、料场、渣场扬尘污染控制技术规范》（DB 13/T 2352—2016）的有关要求。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根据《邯郸市涉粉状物料企业扬尘（PM</w:t>
            </w:r>
            <w:r>
              <w:rPr>
                <w:rFonts w:hint="eastAsia" w:ascii="Times New Roman" w:hAnsi="Times New Roman" w:cs="Times New Roman"/>
                <w:color w:val="auto"/>
                <w:sz w:val="21"/>
                <w:szCs w:val="21"/>
                <w:vertAlign w:val="subscript"/>
                <w:lang w:val="en-US"/>
              </w:rPr>
              <w:t>10</w:t>
            </w:r>
            <w:r>
              <w:rPr>
                <w:rFonts w:hint="eastAsia" w:ascii="Times New Roman" w:hAnsi="Times New Roman" w:cs="Times New Roman"/>
                <w:color w:val="auto"/>
                <w:sz w:val="21"/>
                <w:szCs w:val="21"/>
                <w:lang w:val="en-US"/>
              </w:rPr>
              <w:t>）污染深度治理实施方案》（邯气领办[2020]40号）中的相关要求，提出以下环保措施：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lang w:val="en-US"/>
              </w:rPr>
              <w:t>物料密闭。</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等粉状物料采用密闭料仓、储罐等方式密闭储存，采用管状带式输送机、气力输送设备、罐车等方式密闭输送。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车间封闭。</w:t>
            </w:r>
            <w:r>
              <w:rPr>
                <w:rFonts w:hint="eastAsia" w:ascii="Times New Roman" w:hAnsi="Times New Roman" w:cs="Times New Roman"/>
                <w:color w:val="auto"/>
                <w:sz w:val="21"/>
                <w:szCs w:val="21"/>
                <w:lang w:val="en-US"/>
              </w:rPr>
              <w:t>车间</w:t>
            </w:r>
            <w:r>
              <w:rPr>
                <w:rFonts w:ascii="Times New Roman" w:hAnsi="Times New Roman" w:cs="Times New Roman"/>
                <w:color w:val="auto"/>
                <w:sz w:val="21"/>
                <w:szCs w:val="21"/>
                <w:lang w:val="en-US"/>
              </w:rPr>
              <w:t>应进行整体封闭。</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lang w:val="en-US"/>
              </w:rPr>
              <w:t>长期堆放的物料可使用加湿、喷洒表面结壳剂、覆盖等抑尘技术，控制物料表面风蚀扬尘</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⑥</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⑦</w:t>
            </w:r>
            <w:r>
              <w:rPr>
                <w:rFonts w:ascii="Times New Roman" w:hAnsi="Times New Roman" w:cs="Times New Roman"/>
                <w:color w:val="auto"/>
                <w:sz w:val="21"/>
                <w:szCs w:val="21"/>
                <w:lang w:val="en-US"/>
              </w:rPr>
              <w:t>内部运输。大宗原料储运采用机械化原料场和机械化作业</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粉状物料全部采用封闭皮带通廊或管状带式输送机运输，避免物料的二次倒运。</w:t>
            </w:r>
          </w:p>
          <w:p>
            <w:pPr>
              <w:adjustRightInd w:val="0"/>
              <w:spacing w:line="400" w:lineRule="exact"/>
              <w:ind w:left="110" w:leftChars="50" w:firstLine="421" w:firstLineChars="200"/>
              <w:rPr>
                <w:rFonts w:ascii="Times New Roman" w:hAnsi="Times New Roman" w:cs="Times New Roman"/>
                <w:color w:val="auto"/>
                <w:szCs w:val="21"/>
                <w:lang w:val="en-US"/>
              </w:rPr>
            </w:pPr>
            <w:r>
              <w:rPr>
                <w:rFonts w:hint="eastAsia" w:ascii="Times New Roman" w:hAnsi="Times New Roman" w:cs="Times New Roman"/>
                <w:b/>
                <w:bCs/>
                <w:color w:val="auto"/>
                <w:sz w:val="21"/>
                <w:szCs w:val="20"/>
                <w:lang w:val="en-US"/>
              </w:rPr>
              <w:t>本项目严格按照《邯郸市涉粉状物料企业扬尘（PM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）污染深度治理实施方案》（邯气领办[2020]40号）执行，</w:t>
            </w:r>
            <w:r>
              <w:rPr>
                <w:rFonts w:ascii="Times New Roman" w:hAnsi="Times New Roman" w:cs="Times New Roman"/>
                <w:b/>
                <w:bCs/>
                <w:color w:val="auto"/>
                <w:sz w:val="21"/>
                <w:szCs w:val="20"/>
                <w:lang w:val="en-US"/>
              </w:rPr>
              <w:t>防治扬尘措施符合</w:t>
            </w:r>
            <w:r>
              <w:rPr>
                <w:rFonts w:hint="eastAsia" w:ascii="Times New Roman" w:hAnsi="Times New Roman" w:cs="Times New Roman"/>
                <w:b/>
                <w:bCs/>
                <w:color w:val="auto"/>
                <w:sz w:val="21"/>
                <w:szCs w:val="20"/>
                <w:lang w:val="en-US"/>
              </w:rPr>
              <w:t>《邯郸市涉粉状物料企业扬尘（PM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）污染深度治理实施方案》（邯气领办[2020]40号）中</w:t>
            </w:r>
            <w:r>
              <w:rPr>
                <w:rFonts w:ascii="Times New Roman" w:hAnsi="Times New Roman" w:cs="Times New Roman"/>
                <w:b/>
                <w:bCs/>
                <w:color w:val="auto"/>
                <w:sz w:val="21"/>
                <w:szCs w:val="20"/>
                <w:lang w:val="en-US"/>
              </w:rPr>
              <w:t>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根据《邯郸市大气污染防治工作领导小组办公室关于印发&lt;邯郸市2019年重点行业无组织排放精准治理实施方案&gt;的通知》（邯气领办【2019】10号）</w:t>
            </w:r>
            <w:r>
              <w:rPr>
                <w:rFonts w:hint="eastAsia" w:ascii="Times New Roman" w:hAnsi="Times New Roman" w:cs="Times New Roman"/>
                <w:color w:val="auto"/>
                <w:sz w:val="21"/>
                <w:szCs w:val="21"/>
                <w:lang w:val="en-US"/>
              </w:rPr>
              <w:t>的</w:t>
            </w:r>
            <w:r>
              <w:rPr>
                <w:rFonts w:ascii="Times New Roman" w:hAnsi="Times New Roman" w:cs="Times New Roman"/>
                <w:color w:val="auto"/>
                <w:sz w:val="21"/>
                <w:szCs w:val="21"/>
                <w:lang w:val="en-US"/>
              </w:rPr>
              <w:t>要求，深入推进大气污染治理工作，加快12个重点行业（钢铁、焦化、火电、水泥、铸造、砖瓦窑【矸石砖】、炭素、玻璃、陶瓷、建材、矿山【含洗煤】和物流等）实现绿色发展，降低污染物排放总量，改善区域环境空气质量。</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保证无组织排放治理的精准治理，实现污染物的减排，保证定岗定人、任务明确、责任明确，根据企业的无组织源治理清单，制定本企业的无组织排放管理岗位责任制。将无组织排放精准治理的岗位责任制在全厂公开栏内公示，并在各班组公示栏张贴该班组无组织排放精准治理的岗位考核情况，考核情况与薪资挂钩，形成奖惩机制。</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color w:val="auto"/>
                <w:sz w:val="21"/>
                <w:szCs w:val="21"/>
                <w:lang w:val="en-US"/>
              </w:rPr>
              <w:t>。</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ascii="Times New Roman" w:hAnsi="Times New Roman" w:cs="Times New Roman"/>
                <w:b/>
                <w:bCs/>
                <w:color w:val="auto"/>
                <w:kern w:val="2"/>
                <w:sz w:val="21"/>
                <w:szCs w:val="21"/>
                <w:lang w:val="en-US"/>
              </w:rPr>
              <w:t>5、</w:t>
            </w:r>
            <w:r>
              <w:rPr>
                <w:rFonts w:hint="eastAsia" w:ascii="Times New Roman" w:hAnsi="Times New Roman" w:cs="Times New Roman"/>
                <w:b/>
                <w:bCs/>
                <w:color w:val="auto"/>
                <w:kern w:val="2"/>
                <w:sz w:val="21"/>
                <w:szCs w:val="21"/>
                <w:lang w:val="en-US"/>
              </w:rPr>
              <w:t>项目与《河北省防沙治沙规划（2021—2030年）》及《河北省生态环境厅办公室关于进一步做好沙区建设项目环境影响评价工作的通知》（冀环办字函【2023】326号）符合性分析</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为贯彻落实《中华人民共和国防沙治沙法》，按照“在沙化土地范围内从事开发建设活动的，必须事先就该项目可能对当地及相关地区生态产生的影响进行环境影响评价，依法提交环境影响报告;环境影响报告应当包括有关防沙治沙的内容”规定。根据《河北省防沙治沙规划（2021-2030年）》、《河北省生态环境厅办公室关于进一步做好沙区建设项目环境影响评价工作的通知》（环办字函【2023】326号）可知，坚持生态优先、综合治理，统筹规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本项目位于河北省邯郸市</w:t>
            </w:r>
            <w:r>
              <w:rPr>
                <w:rFonts w:hint="eastAsia" w:ascii="Times New Roman" w:hAnsi="Times New Roman" w:cs="Times New Roman"/>
                <w:color w:val="auto"/>
                <w:sz w:val="21"/>
                <w:szCs w:val="21"/>
                <w:lang w:val="en-US"/>
              </w:rPr>
              <w:t>魏县德政镇王庄村北</w:t>
            </w:r>
            <w:r>
              <w:rPr>
                <w:rFonts w:hint="eastAsia" w:ascii="Times New Roman" w:hAnsi="Times New Roman" w:cs="Times New Roman"/>
                <w:color w:val="auto"/>
                <w:kern w:val="2"/>
                <w:sz w:val="21"/>
                <w:szCs w:val="21"/>
                <w:lang w:val="en-US"/>
              </w:rPr>
              <w:t>，区域内地形平坦，不在沙化土地封禁保护区范围内，企业按要求进行环境影响评价工作，不会对区域防沙治沙造成影响，符合要求。</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hint="eastAsia" w:ascii="Times New Roman" w:hAnsi="Times New Roman" w:cs="Times New Roman"/>
                <w:b/>
                <w:bCs/>
                <w:color w:val="auto"/>
                <w:kern w:val="2"/>
                <w:sz w:val="21"/>
                <w:szCs w:val="21"/>
                <w:lang w:val="en-US"/>
              </w:rPr>
              <w:t>6、</w:t>
            </w:r>
            <w:r>
              <w:rPr>
                <w:rFonts w:ascii="Times New Roman" w:hAnsi="Times New Roman" w:cs="Times New Roman"/>
                <w:b/>
                <w:bCs/>
                <w:color w:val="auto"/>
                <w:kern w:val="2"/>
                <w:sz w:val="21"/>
                <w:szCs w:val="21"/>
                <w:lang w:val="en-US"/>
              </w:rPr>
              <w:t>占地及规划符合性</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土地利用规划符合性</w:t>
            </w:r>
          </w:p>
          <w:p>
            <w:pPr>
              <w:pStyle w:val="52"/>
              <w:tabs>
                <w:tab w:val="left" w:pos="531"/>
              </w:tabs>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0"/>
              </w:rPr>
              <w:t>本项目位于</w:t>
            </w:r>
            <w:r>
              <w:rPr>
                <w:rFonts w:hint="eastAsia" w:ascii="Times New Roman" w:hAnsi="Times New Roman"/>
                <w:color w:val="auto"/>
                <w:sz w:val="21"/>
                <w:szCs w:val="20"/>
              </w:rPr>
              <w:t>邯郸市</w:t>
            </w:r>
            <w:r>
              <w:rPr>
                <w:rFonts w:hint="eastAsia" w:ascii="Times New Roman" w:hAnsi="Times New Roman" w:cs="Times New Roman"/>
                <w:color w:val="auto"/>
                <w:sz w:val="21"/>
                <w:szCs w:val="21"/>
                <w:lang w:val="en-US"/>
              </w:rPr>
              <w:t>魏县德政镇王庄村北</w:t>
            </w:r>
            <w:r>
              <w:rPr>
                <w:rFonts w:hint="eastAsia" w:ascii="Times New Roman" w:hAnsi="Times New Roman"/>
                <w:color w:val="auto"/>
                <w:sz w:val="21"/>
                <w:szCs w:val="20"/>
              </w:rPr>
              <w:t>，</w:t>
            </w:r>
            <w:r>
              <w:rPr>
                <w:rFonts w:hint="eastAsia" w:ascii="Times New Roman" w:hAnsi="Times New Roman" w:cs="Times New Roman"/>
                <w:color w:val="auto"/>
                <w:sz w:val="21"/>
                <w:szCs w:val="21"/>
                <w:lang w:val="en-US"/>
              </w:rPr>
              <w:t>企业现有干混砂浆生产线西侧。</w:t>
            </w:r>
            <w:r>
              <w:rPr>
                <w:rFonts w:hint="eastAsia" w:ascii="Times New Roman" w:hAnsi="Times New Roman" w:cs="Times New Roman"/>
                <w:color w:val="auto"/>
                <w:sz w:val="21"/>
                <w:szCs w:val="21"/>
              </w:rPr>
              <w:t>根据魏县国土资源局出具的“关于魏县</w:t>
            </w:r>
            <w:r>
              <w:rPr>
                <w:rFonts w:ascii="Times New Roman" w:hAnsi="Times New Roman" w:cs="Times New Roman"/>
                <w:color w:val="auto"/>
                <w:kern w:val="2"/>
                <w:sz w:val="21"/>
                <w:szCs w:val="21"/>
                <w:lang w:val="en-US" w:bidi="ar-SA"/>
              </w:rPr>
              <w:t>顺驰商砼加工</w:t>
            </w:r>
            <w:r>
              <w:rPr>
                <w:rFonts w:hint="eastAsia" w:ascii="Times New Roman" w:hAnsi="Times New Roman" w:cs="Times New Roman"/>
                <w:color w:val="auto"/>
                <w:sz w:val="21"/>
                <w:szCs w:val="21"/>
              </w:rPr>
              <w:t>有限公司用地证明”（见附件），</w:t>
            </w:r>
            <w:r>
              <w:rPr>
                <w:rFonts w:hint="eastAsia" w:ascii="Times New Roman" w:hAnsi="Times New Roman" w:cs="Times New Roman"/>
                <w:color w:val="auto"/>
                <w:kern w:val="2"/>
                <w:sz w:val="21"/>
                <w:szCs w:val="21"/>
                <w:lang w:val="en-US" w:bidi="ar-SA"/>
              </w:rPr>
              <w:t>魏县德政镇王庄村北土地35亩已被</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征用</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转让干混砂浆项目时，将包括设备、生产工艺、原材料、土地7亩等所有与此项目有关的事宜均转让给鑫磊分公司（转让协议见附件）。本项目不新增占地，在原有7亩土地上扩建湿拌砂浆生产线。</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选址可行性分析</w:t>
            </w:r>
          </w:p>
          <w:p>
            <w:pPr>
              <w:pStyle w:val="41"/>
              <w:autoSpaceDE/>
              <w:autoSpaceDN/>
              <w:adjustRightInd/>
              <w:snapToGrid/>
              <w:spacing w:line="400" w:lineRule="exact"/>
              <w:ind w:left="110" w:leftChars="50" w:firstLine="420"/>
              <w:jc w:val="both"/>
              <w:rPr>
                <w:rFonts w:ascii="Times New Roman" w:hAnsi="Times New Roman" w:cs="Times New Roman"/>
                <w:color w:val="auto"/>
                <w:sz w:val="21"/>
                <w:szCs w:val="21"/>
                <w:lang w:bidi="ar-SA"/>
              </w:rPr>
            </w:pPr>
            <w:r>
              <w:rPr>
                <w:rFonts w:hint="eastAsia" w:ascii="Times New Roman" w:hAnsi="Times New Roman" w:cs="Times New Roman"/>
                <w:color w:val="auto"/>
                <w:sz w:val="21"/>
              </w:rPr>
              <w:t>本</w:t>
            </w:r>
            <w:r>
              <w:rPr>
                <w:rFonts w:ascii="Times New Roman" w:hAnsi="Times New Roman" w:cs="Times New Roman"/>
                <w:color w:val="auto"/>
                <w:kern w:val="0"/>
                <w:sz w:val="21"/>
                <w:szCs w:val="21"/>
              </w:rPr>
              <w:t>项目主要加工工艺为</w:t>
            </w:r>
            <w:r>
              <w:rPr>
                <w:rFonts w:hint="eastAsia" w:ascii="Times New Roman" w:hAnsi="Times New Roman" w:cs="Times New Roman"/>
                <w:color w:val="auto"/>
                <w:kern w:val="0"/>
                <w:sz w:val="21"/>
                <w:szCs w:val="21"/>
              </w:rPr>
              <w:t>上料、计量、搅拌</w:t>
            </w:r>
            <w:r>
              <w:rPr>
                <w:rFonts w:ascii="Times New Roman" w:hAnsi="Times New Roman" w:cs="Times New Roman"/>
                <w:color w:val="auto"/>
                <w:kern w:val="0"/>
                <w:sz w:val="21"/>
                <w:szCs w:val="21"/>
              </w:rPr>
              <w:t>等工艺，</w:t>
            </w:r>
            <w:r>
              <w:rPr>
                <w:rFonts w:hint="eastAsia" w:ascii="Times New Roman" w:hAnsi="Times New Roman" w:cs="Times New Roman"/>
                <w:color w:val="auto"/>
                <w:kern w:val="0"/>
                <w:sz w:val="21"/>
                <w:szCs w:val="21"/>
              </w:rPr>
              <w:t>经严格污染防控措施治理后</w:t>
            </w:r>
            <w:r>
              <w:rPr>
                <w:rFonts w:ascii="Times New Roman" w:hAnsi="Times New Roman" w:cs="Times New Roman"/>
                <w:color w:val="auto"/>
                <w:kern w:val="0"/>
                <w:sz w:val="21"/>
                <w:szCs w:val="21"/>
              </w:rPr>
              <w:t>污染情况较轻，</w:t>
            </w:r>
            <w:r>
              <w:rPr>
                <w:rFonts w:ascii="Times New Roman" w:hAnsi="Times New Roman"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三废</w:t>
            </w:r>
            <w:r>
              <w:rPr>
                <w:rFonts w:hint="eastAsia" w:ascii="Times New Roman" w:hAnsi="Times New Roman" w:cs="Times New Roman"/>
                <w:color w:val="auto"/>
                <w:sz w:val="21"/>
                <w:szCs w:val="21"/>
              </w:rPr>
              <w:t>”</w:t>
            </w:r>
            <w:r>
              <w:rPr>
                <w:rFonts w:ascii="Times New Roman" w:hAnsi="Times New Roman" w:cs="Times New Roman"/>
                <w:color w:val="auto"/>
                <w:sz w:val="21"/>
                <w:szCs w:val="21"/>
              </w:rPr>
              <w:t>对周围环境影响不大。</w:t>
            </w:r>
            <w:r>
              <w:rPr>
                <w:rFonts w:hint="eastAsia" w:ascii="Times New Roman" w:hAnsi="Times New Roman" w:cs="Times New Roman"/>
                <w:color w:val="auto"/>
                <w:sz w:val="21"/>
                <w:szCs w:val="21"/>
              </w:rPr>
              <w:t>项目</w:t>
            </w:r>
            <w:r>
              <w:rPr>
                <w:rFonts w:ascii="Times New Roman" w:hAnsi="Times New Roman" w:cs="Times New Roman"/>
                <w:color w:val="auto"/>
                <w:sz w:val="21"/>
                <w:szCs w:val="21"/>
              </w:rPr>
              <w:t>占地符合规划要求，土地资源利用合理，切实保护土地资源。</w:t>
            </w:r>
            <w:r>
              <w:rPr>
                <w:rFonts w:hint="eastAsia" w:ascii="Times New Roman" w:hAnsi="Times New Roman" w:cs="Times New Roman"/>
                <w:color w:val="auto"/>
                <w:sz w:val="21"/>
                <w:szCs w:val="21"/>
              </w:rPr>
              <w:t>排放的污染物</w:t>
            </w:r>
            <w:r>
              <w:rPr>
                <w:rFonts w:ascii="Times New Roman" w:hAnsi="Times New Roman" w:cs="Times New Roman"/>
                <w:color w:val="auto"/>
                <w:sz w:val="21"/>
                <w:szCs w:val="21"/>
              </w:rPr>
              <w:t>对周围环境的影响可以接受。在采取相应环境风险防范措施并严格生产管理的条件下，其环境风险能达到可接受水平。按照本</w:t>
            </w:r>
            <w:r>
              <w:rPr>
                <w:rFonts w:hint="eastAsia" w:ascii="Times New Roman" w:hAnsi="Times New Roman" w:cs="Times New Roman"/>
                <w:color w:val="auto"/>
                <w:sz w:val="21"/>
                <w:szCs w:val="21"/>
              </w:rPr>
              <w:t>评价</w:t>
            </w:r>
            <w:r>
              <w:rPr>
                <w:rFonts w:ascii="Times New Roman" w:hAnsi="Times New Roman" w:cs="Times New Roman"/>
                <w:color w:val="auto"/>
                <w:sz w:val="21"/>
                <w:szCs w:val="21"/>
              </w:rPr>
              <w:t>实施后，资源及环境承载力均能满足要求</w:t>
            </w:r>
            <w:r>
              <w:rPr>
                <w:rFonts w:hint="eastAsia" w:ascii="Times New Roman" w:hAnsi="Times New Roman" w:cs="Times New Roman"/>
                <w:color w:val="auto"/>
                <w:sz w:val="21"/>
                <w:szCs w:val="21"/>
              </w:rPr>
              <w:t>。综上所述，</w:t>
            </w:r>
            <w:r>
              <w:rPr>
                <w:rFonts w:ascii="Times New Roman" w:hAnsi="Times New Roman" w:cs="Times New Roman"/>
                <w:color w:val="auto"/>
                <w:sz w:val="21"/>
                <w:szCs w:val="21"/>
              </w:rPr>
              <w:t>从</w:t>
            </w:r>
            <w:r>
              <w:rPr>
                <w:rFonts w:ascii="Times New Roman" w:hAnsi="Times New Roman" w:cs="Times New Roman"/>
                <w:bCs/>
                <w:color w:val="auto"/>
                <w:sz w:val="21"/>
                <w:szCs w:val="21"/>
              </w:rPr>
              <w:t>环境影响等方面综合分析，本项目选址可行。</w:t>
            </w:r>
          </w:p>
        </w:tc>
      </w:tr>
    </w:tbl>
    <w:p>
      <w:pPr>
        <w:jc w:val="center"/>
        <w:rPr>
          <w:rFonts w:ascii="Times New Roman" w:hAnsi="Times New Roman" w:cs="Times New Roman"/>
          <w:color w:val="auto"/>
          <w:sz w:val="21"/>
        </w:rPr>
        <w:sectPr>
          <w:footerReference r:id="rId5" w:type="default"/>
          <w:footerReference r:id="rId6" w:type="even"/>
          <w:pgSz w:w="11910" w:h="16840"/>
          <w:pgMar w:top="1580" w:right="1320" w:bottom="1240" w:left="1340" w:header="0" w:footer="1043" w:gutter="0"/>
          <w:pgNumType w:start="1"/>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二、建设项目工程分析</w:t>
      </w:r>
    </w:p>
    <w:tbl>
      <w:tblPr>
        <w:tblStyle w:val="32"/>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4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内</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容</w:t>
            </w:r>
          </w:p>
        </w:tc>
        <w:tc>
          <w:tcPr>
            <w:tcW w:w="9105" w:type="dxa"/>
            <w:tcBorders>
              <w:left w:val="single" w:color="000000" w:sz="4" w:space="0"/>
              <w:bottom w:val="single" w:color="000000" w:sz="4" w:space="0"/>
            </w:tcBorders>
          </w:tcPr>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一、项目由来</w:t>
            </w:r>
          </w:p>
          <w:p>
            <w:pPr>
              <w:autoSpaceDE/>
              <w:autoSpaceDN/>
              <w:spacing w:line="400" w:lineRule="exact"/>
              <w:ind w:left="110" w:leftChars="50" w:right="110" w:rightChars="50" w:firstLine="420" w:firstLineChars="200"/>
              <w:jc w:val="both"/>
              <w:outlineLvl w:val="2"/>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rPr>
              <w:t>于</w:t>
            </w:r>
            <w:r>
              <w:rPr>
                <w:rFonts w:hint="eastAsia" w:ascii="Times New Roman" w:hAnsi="Times New Roman" w:cs="Times New Roman"/>
                <w:color w:val="auto"/>
                <w:sz w:val="21"/>
                <w:szCs w:val="21"/>
                <w:lang w:val="en-US"/>
              </w:rPr>
              <w:t>2022年2月10日成立，2023年11月1日购买了</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ascii="Times New Roman" w:hAnsi="Times New Roman" w:cs="Times New Roman"/>
                <w:color w:val="auto"/>
                <w:sz w:val="21"/>
                <w:szCs w:val="21"/>
                <w:lang w:val="en-US"/>
              </w:rPr>
              <w:t>商砼升级改造及干混砂浆生产线建设项目</w:t>
            </w:r>
            <w:r>
              <w:rPr>
                <w:rFonts w:hint="eastAsia" w:ascii="Times New Roman" w:hAnsi="Times New Roman" w:cs="Times New Roman"/>
                <w:color w:val="auto"/>
                <w:sz w:val="21"/>
                <w:szCs w:val="21"/>
                <w:lang w:val="en-US"/>
              </w:rPr>
              <w:t>中的一条年产干混砂浆30万吨生产线（转让协议见附件），</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hint="eastAsia" w:ascii="Times New Roman" w:hAnsi="Times New Roman" w:cs="Times New Roman"/>
                <w:color w:val="auto"/>
                <w:sz w:val="21"/>
                <w:szCs w:val="21"/>
                <w:lang w:val="en-US"/>
              </w:rPr>
              <w:t>在协议签订后将排污许可证中该生产线移除。以鑫磊分公司的名义于2024年1月31日取得了干混砂浆生产线排</w:t>
            </w:r>
            <w:r>
              <w:rPr>
                <w:rFonts w:hint="eastAsia" w:ascii="Times New Roman" w:hAnsi="Times New Roman" w:cs="Times New Roman"/>
                <w:color w:val="auto"/>
                <w:sz w:val="21"/>
                <w:szCs w:val="21"/>
                <w:lang w:val="en-US" w:eastAsia="zh-CN"/>
              </w:rPr>
              <w:t>污</w:t>
            </w:r>
            <w:r>
              <w:rPr>
                <w:rFonts w:hint="eastAsia" w:ascii="Times New Roman" w:hAnsi="Times New Roman" w:cs="Times New Roman"/>
                <w:color w:val="auto"/>
                <w:sz w:val="21"/>
                <w:szCs w:val="21"/>
                <w:lang w:val="en-US"/>
              </w:rPr>
              <w:t>许可证，编号为：91130434MA0GG2B713001Q。现有项目实际生产能力为年生产干混砂浆30万吨。</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原有干混砂浆生产线占地7亩已随同生产线一起转让给鑫磊分公司，本项目不新增占地，在紧邻干混砂浆生产线</w:t>
            </w:r>
            <w:r>
              <w:rPr>
                <w:rFonts w:hint="eastAsia" w:ascii="Times New Roman" w:hAnsi="Times New Roman" w:cs="Times New Roman"/>
                <w:color w:val="auto"/>
                <w:sz w:val="21"/>
                <w:szCs w:val="21"/>
                <w:lang w:val="en-US" w:eastAsia="zh-CN"/>
              </w:rPr>
              <w:t>西侧建设本项目</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项目已在魏县行政审批局备案，备案编号为：魏审批备字[2024]073号。</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根据《中华人民共和国环境影响评价法》、《建设项目环境保护管理条例》以及《建设项目环境影响评价分类管理名录》（2021 年版）的有关规定，该项目属“</w:t>
            </w:r>
            <w:r>
              <w:rPr>
                <w:rFonts w:ascii="Times New Roman" w:hAnsi="Times New Roman"/>
                <w:color w:val="auto"/>
                <w:sz w:val="21"/>
                <w:szCs w:val="20"/>
                <w:lang w:val="en-US"/>
              </w:rPr>
              <w:t>二十七、非金属矿物制品业</w:t>
            </w:r>
            <w:r>
              <w:rPr>
                <w:rFonts w:hint="eastAsia" w:ascii="Times New Roman" w:hAnsi="Times New Roman"/>
                <w:color w:val="auto"/>
                <w:sz w:val="21"/>
                <w:szCs w:val="20"/>
                <w:lang w:val="en-US"/>
              </w:rPr>
              <w:t>-55.石膏、水泥制品及类似制品制造-</w:t>
            </w:r>
            <w:r>
              <w:rPr>
                <w:rFonts w:ascii="Times New Roman" w:hAnsi="Times New Roman"/>
                <w:color w:val="auto"/>
                <w:sz w:val="21"/>
                <w:szCs w:val="20"/>
                <w:lang w:val="en-US"/>
              </w:rPr>
              <w:t>商品混凝土；砼结构构件制造；水泥制品制造</w:t>
            </w:r>
            <w:r>
              <w:rPr>
                <w:rFonts w:hint="eastAsia" w:ascii="Times New Roman" w:hAnsi="Times New Roman" w:cs="Times New Roman"/>
                <w:color w:val="auto"/>
                <w:sz w:val="21"/>
                <w:szCs w:val="21"/>
                <w:lang w:val="en-US"/>
              </w:rPr>
              <w:t>”，需编制环境影响报告表。</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lang w:val="en-US"/>
              </w:rPr>
              <w:t>于2024年11月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二、建设项目基本内容</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1、项目名称：</w:t>
            </w:r>
            <w:r>
              <w:rPr>
                <w:rFonts w:hint="eastAsia" w:ascii="Times New Roman" w:hAnsi="Times New Roman" w:cs="Times New Roman"/>
                <w:color w:val="auto"/>
                <w:sz w:val="21"/>
                <w:szCs w:val="21"/>
                <w:lang w:val="en-US"/>
              </w:rPr>
              <w:t>魏县</w:t>
            </w:r>
            <w:r>
              <w:rPr>
                <w:rFonts w:ascii="Times New Roman" w:hAnsi="Times New Roman" w:cs="Times New Roman"/>
                <w:color w:val="auto"/>
                <w:sz w:val="21"/>
                <w:szCs w:val="21"/>
              </w:rPr>
              <w:t>顺驰商砼加工有限公司鑫磊分公司</w:t>
            </w:r>
            <w:r>
              <w:rPr>
                <w:rFonts w:hint="eastAsia" w:ascii="Times New Roman" w:hAnsi="Times New Roman" w:cs="Times New Roman"/>
                <w:color w:val="auto"/>
                <w:sz w:val="21"/>
                <w:szCs w:val="21"/>
                <w:lang w:val="en-US"/>
              </w:rPr>
              <w:t>年产25万m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湿拌砂浆生产项目</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建设单位：</w:t>
            </w:r>
            <w:r>
              <w:rPr>
                <w:rFonts w:ascii="Times New Roman" w:hAnsi="Times New Roman" w:cs="Times New Roman"/>
                <w:color w:val="auto"/>
                <w:sz w:val="21"/>
                <w:szCs w:val="21"/>
              </w:rPr>
              <w:t>魏县顺驰商砼加工有限公司鑫磊分公司</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建设性质：</w:t>
            </w:r>
            <w:r>
              <w:rPr>
                <w:rFonts w:hint="eastAsia" w:ascii="Times New Roman" w:hAnsi="Times New Roman" w:cs="Times New Roman"/>
                <w:color w:val="auto"/>
                <w:sz w:val="21"/>
                <w:szCs w:val="21"/>
                <w:lang w:val="en-US"/>
              </w:rPr>
              <w:t>扩建</w:t>
            </w:r>
            <w:r>
              <w:rPr>
                <w:rFonts w:ascii="Times New Roman" w:hAnsi="Times New Roman" w:cs="Times New Roman"/>
                <w:color w:val="auto"/>
                <w:sz w:val="21"/>
                <w:szCs w:val="21"/>
              </w:rPr>
              <w:t>；</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rPr>
              <w:t>4、建设地点：</w:t>
            </w:r>
            <w:bookmarkStart w:id="1" w:name="_Toc10252"/>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rPr>
              <w:t>河北省魏县</w:t>
            </w:r>
            <w:r>
              <w:rPr>
                <w:rFonts w:hint="eastAsia" w:ascii="Times New Roman" w:hAnsi="Times New Roman" w:cs="Times New Roman"/>
                <w:color w:val="auto"/>
                <w:sz w:val="21"/>
                <w:szCs w:val="21"/>
                <w:lang w:val="en-US"/>
              </w:rPr>
              <w:t>德政镇王庄村北</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厂址中心地理坐标为</w:t>
            </w:r>
            <w:r>
              <w:rPr>
                <w:rFonts w:ascii="Times New Roman" w:hAnsi="Times New Roman"/>
                <w:color w:val="auto"/>
                <w:sz w:val="21"/>
                <w:szCs w:val="20"/>
              </w:rPr>
              <w:t>东经114°55′39.063″，北纬36°18′49.356″</w:t>
            </w:r>
            <w:r>
              <w:rPr>
                <w:rFonts w:ascii="Times New Roman" w:hAnsi="Times New Roman" w:cs="Times New Roman"/>
                <w:color w:val="auto"/>
                <w:sz w:val="21"/>
                <w:szCs w:val="21"/>
                <w:lang w:val="en-US"/>
              </w:rPr>
              <w:t>。厂界</w:t>
            </w:r>
            <w:r>
              <w:rPr>
                <w:rFonts w:hint="eastAsia" w:ascii="Times New Roman" w:hAnsi="Times New Roman" w:cs="Times New Roman"/>
                <w:color w:val="auto"/>
                <w:sz w:val="21"/>
                <w:szCs w:val="21"/>
                <w:lang w:val="en-US"/>
              </w:rPr>
              <w:t>东侧为空地，北侧为</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rPr>
              <w:t>商砼加工项目，</w:t>
            </w:r>
            <w:r>
              <w:rPr>
                <w:rFonts w:hint="eastAsia" w:ascii="Times New Roman" w:hAnsi="Times New Roman" w:cs="Times New Roman"/>
                <w:color w:val="auto"/>
                <w:sz w:val="21"/>
                <w:szCs w:val="21"/>
                <w:lang w:val="en-US"/>
              </w:rPr>
              <w:t>西侧为S234省道，南侧为闲置公交车站</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w:t>
            </w:r>
          </w:p>
          <w:bookmarkEnd w:id="1"/>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bookmarkStart w:id="2" w:name="_Toc30271"/>
            <w:r>
              <w:rPr>
                <w:rFonts w:ascii="Times New Roman" w:hAnsi="Times New Roman" w:cs="Times New Roman"/>
                <w:b/>
                <w:bCs/>
                <w:color w:val="auto"/>
                <w:sz w:val="21"/>
                <w:szCs w:val="21"/>
                <w:lang w:val="en-US"/>
              </w:rPr>
              <w:t>5</w:t>
            </w:r>
            <w:bookmarkEnd w:id="2"/>
            <w:r>
              <w:rPr>
                <w:rFonts w:ascii="Times New Roman" w:hAnsi="Times New Roman" w:cs="Times New Roman"/>
                <w:b/>
                <w:bCs/>
                <w:color w:val="auto"/>
                <w:sz w:val="21"/>
                <w:szCs w:val="21"/>
                <w:lang w:val="en-US"/>
              </w:rPr>
              <w:t>、劳动定员与工作制度：</w:t>
            </w:r>
            <w:r>
              <w:rPr>
                <w:rFonts w:hint="eastAsia" w:ascii="Times New Roman" w:hAnsi="Times New Roman" w:cs="Times New Roman"/>
                <w:color w:val="auto"/>
                <w:sz w:val="21"/>
                <w:szCs w:val="21"/>
                <w:lang w:val="en-US"/>
              </w:rPr>
              <w:t>原有</w:t>
            </w:r>
            <w:r>
              <w:rPr>
                <w:rFonts w:ascii="Times New Roman" w:hAnsi="Times New Roman" w:cs="Times New Roman"/>
                <w:color w:val="auto"/>
                <w:sz w:val="21"/>
                <w:szCs w:val="21"/>
                <w:lang w:val="en-US"/>
              </w:rPr>
              <w:t>干混砂浆生产线</w:t>
            </w:r>
            <w:r>
              <w:rPr>
                <w:rFonts w:hint="eastAsia" w:ascii="Times New Roman" w:hAnsi="Times New Roman" w:cs="Times New Roman"/>
                <w:color w:val="auto"/>
                <w:sz w:val="21"/>
                <w:szCs w:val="21"/>
                <w:lang w:val="en-US"/>
              </w:rPr>
              <w:t>劳动定员25人，本项目不新增</w:t>
            </w:r>
            <w:r>
              <w:rPr>
                <w:rFonts w:ascii="Times New Roman" w:hAnsi="Times New Roman" w:cs="Times New Roman"/>
                <w:color w:val="auto"/>
                <w:sz w:val="21"/>
                <w:szCs w:val="21"/>
                <w:lang w:val="en-US"/>
              </w:rPr>
              <w:t>劳动定员</w:t>
            </w:r>
            <w:r>
              <w:rPr>
                <w:rFonts w:hint="eastAsia" w:ascii="Times New Roman" w:hAnsi="Times New Roman" w:cs="Times New Roman"/>
                <w:color w:val="auto"/>
                <w:sz w:val="21"/>
                <w:szCs w:val="21"/>
                <w:lang w:val="en-US"/>
              </w:rPr>
              <w:t>，从原有25人中调配10人至湿拌砂浆生产线，</w:t>
            </w:r>
            <w:r>
              <w:rPr>
                <w:rFonts w:ascii="Times New Roman" w:hAnsi="Times New Roman" w:cs="Times New Roman"/>
                <w:color w:val="auto"/>
                <w:sz w:val="21"/>
                <w:szCs w:val="21"/>
                <w:lang w:val="en-US"/>
              </w:rPr>
              <w:t>采取</w:t>
            </w:r>
            <w:r>
              <w:rPr>
                <w:rFonts w:hint="eastAsia" w:ascii="Times New Roman" w:hAnsi="Times New Roman" w:cs="Times New Roman"/>
                <w:color w:val="auto"/>
                <w:sz w:val="21"/>
                <w:szCs w:val="21"/>
                <w:lang w:val="en-US"/>
              </w:rPr>
              <w:t>两</w:t>
            </w:r>
            <w:r>
              <w:rPr>
                <w:rFonts w:ascii="Times New Roman" w:hAnsi="Times New Roman" w:cs="Times New Roman"/>
                <w:color w:val="auto"/>
                <w:sz w:val="21"/>
                <w:szCs w:val="21"/>
                <w:lang w:val="en-US"/>
              </w:rPr>
              <w:t>班工作制，每班工作8小时，年工作时间</w:t>
            </w:r>
            <w:r>
              <w:rPr>
                <w:rFonts w:hint="eastAsia" w:ascii="Times New Roman" w:hAnsi="Times New Roman" w:cs="Times New Roman"/>
                <w:color w:val="auto"/>
                <w:sz w:val="21"/>
                <w:szCs w:val="21"/>
                <w:lang w:val="en-US"/>
              </w:rPr>
              <w:t>300</w:t>
            </w:r>
            <w:r>
              <w:rPr>
                <w:rFonts w:ascii="Times New Roman" w:hAnsi="Times New Roman" w:cs="Times New Roman"/>
                <w:color w:val="auto"/>
                <w:sz w:val="21"/>
                <w:szCs w:val="21"/>
                <w:lang w:val="en-US"/>
              </w:rPr>
              <w:t>天</w:t>
            </w:r>
            <w:r>
              <w:rPr>
                <w:rFonts w:hint="eastAsia"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项目投资：</w:t>
            </w:r>
            <w:r>
              <w:rPr>
                <w:rFonts w:ascii="Times New Roman" w:hAnsi="Times New Roman" w:cs="Times New Roman"/>
                <w:color w:val="auto"/>
                <w:sz w:val="21"/>
                <w:szCs w:val="21"/>
              </w:rPr>
              <w:t>项目总投资为</w:t>
            </w:r>
            <w:r>
              <w:rPr>
                <w:rFonts w:hint="eastAsia" w:ascii="Times New Roman" w:hAnsi="Times New Roman" w:cs="Times New Roman"/>
                <w:color w:val="auto"/>
                <w:sz w:val="21"/>
                <w:szCs w:val="21"/>
                <w:lang w:val="en-US"/>
              </w:rPr>
              <w:t>600</w:t>
            </w:r>
            <w:r>
              <w:rPr>
                <w:rFonts w:ascii="Times New Roman" w:hAnsi="Times New Roman" w:cs="Times New Roman"/>
                <w:color w:val="auto"/>
                <w:sz w:val="21"/>
                <w:szCs w:val="21"/>
              </w:rPr>
              <w:t>万元，其中环保投资</w:t>
            </w:r>
            <w:r>
              <w:rPr>
                <w:rFonts w:hint="eastAsia" w:ascii="Times New Roman" w:hAnsi="Times New Roman" w:cs="Times New Roman"/>
                <w:color w:val="auto"/>
                <w:sz w:val="21"/>
                <w:szCs w:val="21"/>
                <w:lang w:val="en-US"/>
              </w:rPr>
              <w:t>50</w:t>
            </w:r>
            <w:r>
              <w:rPr>
                <w:rFonts w:ascii="Times New Roman" w:hAnsi="Times New Roman" w:cs="Times New Roman"/>
                <w:color w:val="auto"/>
                <w:sz w:val="21"/>
                <w:szCs w:val="21"/>
              </w:rPr>
              <w:t>万元</w:t>
            </w:r>
            <w:r>
              <w:rPr>
                <w:rFonts w:hint="eastAsia" w:ascii="Times New Roman" w:hAnsi="Times New Roman" w:cs="Times New Roman"/>
                <w:color w:val="auto"/>
                <w:sz w:val="21"/>
                <w:szCs w:val="21"/>
              </w:rPr>
              <w:t>，</w:t>
            </w:r>
            <w:r>
              <w:rPr>
                <w:rFonts w:ascii="Times New Roman" w:hAnsi="Times New Roman" w:cs="Times New Roman"/>
                <w:color w:val="auto"/>
                <w:sz w:val="21"/>
                <w:szCs w:val="21"/>
              </w:rPr>
              <w:t>占总投资</w:t>
            </w:r>
            <w:r>
              <w:rPr>
                <w:rFonts w:hint="eastAsia" w:ascii="Times New Roman" w:hAnsi="Times New Roman" w:cs="Times New Roman"/>
                <w:color w:val="auto"/>
                <w:sz w:val="21"/>
                <w:szCs w:val="21"/>
                <w:lang w:val="en-US"/>
              </w:rPr>
              <w:t>8.33</w:t>
            </w:r>
            <w:r>
              <w:rPr>
                <w:rFonts w:ascii="Times New Roman" w:hAnsi="Times New Roman" w:cs="Times New Roman"/>
                <w:color w:val="auto"/>
                <w:sz w:val="21"/>
                <w:szCs w:val="21"/>
              </w:rPr>
              <w:t>%</w:t>
            </w:r>
            <w:r>
              <w:rPr>
                <w:rFonts w:ascii="Times New Roman" w:hAnsi="Times New Roman" w:cs="Times New Roman"/>
                <w:color w:val="auto"/>
                <w:sz w:val="21"/>
                <w:szCs w:val="21"/>
                <w:lang w:val="en-US"/>
              </w:rPr>
              <w:t>；</w:t>
            </w:r>
          </w:p>
          <w:p>
            <w:pPr>
              <w:pStyle w:val="52"/>
              <w:spacing w:line="400" w:lineRule="exact"/>
              <w:ind w:left="110" w:leftChars="50" w:right="110" w:rightChars="50" w:firstLine="42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建设内容：</w:t>
            </w:r>
            <w:r>
              <w:rPr>
                <w:rFonts w:hint="eastAsia" w:ascii="Times New Roman" w:hAnsi="Times New Roman" w:cs="Times New Roman"/>
                <w:color w:val="auto"/>
                <w:sz w:val="21"/>
                <w:szCs w:val="21"/>
              </w:rPr>
              <w:t>本</w:t>
            </w:r>
            <w:r>
              <w:rPr>
                <w:rFonts w:ascii="Times New Roman" w:hAnsi="Times New Roman" w:cs="Times New Roman"/>
                <w:color w:val="auto"/>
                <w:sz w:val="21"/>
                <w:szCs w:val="21"/>
              </w:rPr>
              <w:t>项目</w:t>
            </w:r>
            <w:r>
              <w:rPr>
                <w:rFonts w:hint="eastAsia" w:ascii="Times New Roman" w:hAnsi="Times New Roman" w:cs="Times New Roman"/>
                <w:color w:val="auto"/>
                <w:sz w:val="21"/>
                <w:szCs w:val="21"/>
                <w:lang w:eastAsia="zh-CN"/>
              </w:rPr>
              <w:t>在现有厂区内新增建筑面积</w:t>
            </w:r>
            <w:r>
              <w:rPr>
                <w:rFonts w:hint="eastAsia" w:ascii="Times New Roman" w:hAnsi="Times New Roman" w:cs="Times New Roman"/>
                <w:color w:val="auto"/>
                <w:sz w:val="21"/>
                <w:szCs w:val="21"/>
                <w:lang w:val="en-US" w:eastAsia="zh-CN"/>
              </w:rPr>
              <w:t>1550m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新建湿拌砂浆生产线一条，主要建设搅拌楼、</w:t>
            </w:r>
            <w:r>
              <w:rPr>
                <w:rFonts w:hint="eastAsia" w:ascii="Times New Roman" w:hAnsi="Times New Roman" w:cs="Times New Roman"/>
                <w:color w:val="auto"/>
                <w:sz w:val="21"/>
                <w:szCs w:val="21"/>
                <w:lang w:eastAsia="zh-CN"/>
              </w:rPr>
              <w:t>生产车间及其他附属设施</w:t>
            </w:r>
            <w:r>
              <w:rPr>
                <w:rFonts w:hint="eastAsia" w:ascii="Times New Roman" w:hAnsi="Times New Roman" w:cs="Times New Roman"/>
                <w:color w:val="auto"/>
                <w:sz w:val="21"/>
                <w:szCs w:val="21"/>
              </w:rPr>
              <w:t>，购置搅拌成套设备及其附属设备</w:t>
            </w:r>
            <w:r>
              <w:rPr>
                <w:rFonts w:hint="eastAsia" w:ascii="Times New Roman" w:hAnsi="Times New Roman" w:cs="Times New Roman"/>
                <w:color w:val="auto"/>
                <w:sz w:val="21"/>
                <w:szCs w:val="21"/>
                <w:lang w:val="en-US"/>
              </w:rPr>
              <w:t>41台（套）。项目建成后，年产25万m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工</w:t>
            </w:r>
            <w:r>
              <w:rPr>
                <w:rFonts w:ascii="Times New Roman" w:hAnsi="Times New Roman" w:cs="Times New Roman"/>
                <w:color w:val="auto"/>
                <w:sz w:val="21"/>
                <w:szCs w:val="21"/>
              </w:rPr>
              <w:t>程内容一览表如下</w:t>
            </w:r>
            <w:r>
              <w:rPr>
                <w:rFonts w:ascii="Times New Roman" w:hAnsi="Times New Roman" w:cs="Times New Roman"/>
                <w:color w:val="auto"/>
                <w:sz w:val="21"/>
                <w:szCs w:val="21"/>
                <w:lang w:val="en-US"/>
              </w:rPr>
              <w:t>。</w:t>
            </w:r>
          </w:p>
          <w:p>
            <w:pPr>
              <w:autoSpaceDE/>
              <w:autoSpaceDN/>
              <w:spacing w:line="400" w:lineRule="exact"/>
              <w:jc w:val="center"/>
              <w:rPr>
                <w:rFonts w:ascii="Times New Roman" w:hAnsi="Times New Roman" w:cs="Times New Roman"/>
                <w:b/>
                <w:bCs/>
                <w:color w:val="auto"/>
                <w:sz w:val="24"/>
                <w:szCs w:val="24"/>
                <w:lang w:val="en-US"/>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lang w:val="en-US" w:bidi="ar-SA"/>
              </w:rPr>
              <mc:AlternateContent>
                <mc:Choice Requires="wps">
                  <w:drawing>
                    <wp:anchor distT="0" distB="0" distL="114300" distR="114300" simplePos="0" relativeHeight="25166336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3360;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eastAsia="zh-CN"/>
              </w:rPr>
              <w:t>扩建</w:t>
            </w:r>
            <w:r>
              <w:rPr>
                <w:rFonts w:ascii="Times New Roman" w:hAnsi="Times New Roman" w:cs="Times New Roman"/>
                <w:b/>
                <w:bCs/>
                <w:color w:val="auto"/>
                <w:sz w:val="21"/>
                <w:szCs w:val="21"/>
              </w:rPr>
              <w:t>项目工程内容一览表</w:t>
            </w:r>
          </w:p>
          <w:tbl>
            <w:tblPr>
              <w:tblStyle w:val="3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00"/>
              <w:gridCol w:w="1975"/>
              <w:gridCol w:w="531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项目</w:t>
                  </w:r>
                </w:p>
              </w:tc>
              <w:tc>
                <w:tcPr>
                  <w:tcW w:w="2275" w:type="dxa"/>
                  <w:gridSpan w:val="2"/>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建设内容</w:t>
                  </w:r>
                </w:p>
              </w:tc>
              <w:tc>
                <w:tcPr>
                  <w:tcW w:w="5313"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工程</w:t>
                  </w:r>
                  <w:r>
                    <w:rPr>
                      <w:rFonts w:hint="eastAsia" w:ascii="Times New Roman" w:hAnsi="Times New Roman" w:cs="Times New Roman"/>
                      <w:b/>
                      <w:bCs/>
                      <w:color w:val="auto"/>
                      <w:sz w:val="21"/>
                      <w:szCs w:val="21"/>
                    </w:rPr>
                    <w:t>内容</w:t>
                  </w:r>
                </w:p>
              </w:tc>
              <w:tc>
                <w:tcPr>
                  <w:tcW w:w="597"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主体工程</w:t>
                  </w:r>
                </w:p>
              </w:tc>
              <w:tc>
                <w:tcPr>
                  <w:tcW w:w="2275" w:type="dxa"/>
                  <w:gridSpan w:val="2"/>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湿拌砂浆生产车间</w:t>
                  </w:r>
                </w:p>
              </w:tc>
              <w:tc>
                <w:tcPr>
                  <w:tcW w:w="5313" w:type="dxa"/>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紧邻原有生产车间，建设1座1层湿拌砂浆生产车间</w:t>
                  </w:r>
                </w:p>
              </w:tc>
              <w:tc>
                <w:tcPr>
                  <w:tcW w:w="597" w:type="dxa"/>
                  <w:shd w:val="clear" w:color="auto" w:fill="auto"/>
                  <w:vAlign w:val="center"/>
                </w:tcPr>
                <w:p>
                  <w:pPr>
                    <w:pStyle w:val="30"/>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shd w:val="clear" w:color="auto" w:fill="auto"/>
                  <w:vAlign w:val="center"/>
                </w:tcPr>
                <w:p>
                  <w:pPr>
                    <w:pStyle w:val="30"/>
                    <w:autoSpaceDE/>
                    <w:autoSpaceDN/>
                    <w:snapToGrid w:val="0"/>
                    <w:ind w:left="-110" w:leftChars="-50" w:right="-110" w:rightChars="-50" w:firstLine="0" w:firstLineChars="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搅拌楼</w:t>
                  </w:r>
                </w:p>
              </w:tc>
              <w:tc>
                <w:tcPr>
                  <w:tcW w:w="5313" w:type="dxa"/>
                  <w:shd w:val="clear" w:color="auto" w:fill="auto"/>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座，</w:t>
                  </w:r>
                  <w:r>
                    <w:rPr>
                      <w:rFonts w:hint="eastAsia" w:ascii="Times New Roman" w:hAnsi="Times New Roman" w:cs="Times New Roman"/>
                      <w:color w:val="auto"/>
                      <w:sz w:val="21"/>
                      <w:szCs w:val="21"/>
                      <w:lang w:val="en-US"/>
                    </w:rPr>
                    <w:t>占地面积50m</w:t>
                  </w:r>
                  <w:r>
                    <w:rPr>
                      <w:rFonts w:hint="eastAsia"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lang w:val="en-US"/>
                    </w:rPr>
                    <w:t>，建设湿拌砂浆生产线</w:t>
                  </w:r>
                </w:p>
              </w:tc>
              <w:tc>
                <w:tcPr>
                  <w:tcW w:w="597" w:type="dxa"/>
                  <w:shd w:val="clear" w:color="auto" w:fill="auto"/>
                  <w:vAlign w:val="center"/>
                </w:tcPr>
                <w:p>
                  <w:pPr>
                    <w:autoSpaceDE/>
                    <w:autoSpaceDN/>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2275" w:type="dxa"/>
                  <w:gridSpan w:val="2"/>
                  <w:shd w:val="clear" w:color="auto" w:fill="auto"/>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封闭式原料料场</w:t>
                  </w:r>
                </w:p>
              </w:tc>
              <w:tc>
                <w:tcPr>
                  <w:tcW w:w="5313" w:type="dxa"/>
                  <w:shd w:val="clear" w:color="auto" w:fill="auto"/>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1座，单层钢结构，</w:t>
                  </w:r>
                  <w:r>
                    <w:rPr>
                      <w:rFonts w:hint="eastAsia" w:ascii="Times New Roman" w:hAnsi="Times New Roman" w:cs="Times New Roman"/>
                      <w:color w:val="auto"/>
                      <w:sz w:val="21"/>
                      <w:szCs w:val="21"/>
                      <w:lang w:val="en-US"/>
                    </w:rPr>
                    <w:t>占地面积600m</w:t>
                  </w:r>
                  <w:r>
                    <w:rPr>
                      <w:rFonts w:hint="eastAsia"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lang w:val="en-US"/>
                    </w:rPr>
                    <w:t>，高10m，本项目为</w:t>
                  </w:r>
                  <w:r>
                    <w:rPr>
                      <w:rFonts w:hint="eastAsia" w:ascii="Times New Roman" w:hAnsi="Times New Roman" w:cs="Times New Roman"/>
                      <w:color w:val="auto"/>
                      <w:sz w:val="21"/>
                      <w:szCs w:val="21"/>
                    </w:rPr>
                    <w:t>封闭式原料料场</w:t>
                  </w:r>
                </w:p>
              </w:tc>
              <w:tc>
                <w:tcPr>
                  <w:tcW w:w="597" w:type="dxa"/>
                  <w:shd w:val="clear" w:color="auto" w:fill="auto"/>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2275" w:type="dxa"/>
                  <w:gridSpan w:val="2"/>
                  <w:vAlign w:val="center"/>
                </w:tcPr>
                <w:p>
                  <w:pPr>
                    <w:autoSpaceDE/>
                    <w:autoSpaceDN/>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危废间</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位于</w:t>
                  </w:r>
                  <w:r>
                    <w:rPr>
                      <w:rFonts w:hint="eastAsia" w:ascii="Times New Roman" w:hAnsi="Times New Roman" w:cs="Times New Roman"/>
                      <w:color w:val="auto"/>
                      <w:sz w:val="21"/>
                      <w:szCs w:val="21"/>
                      <w:lang w:val="en-US"/>
                    </w:rPr>
                    <w:t>料场</w:t>
                  </w:r>
                  <w:r>
                    <w:rPr>
                      <w:rFonts w:hint="eastAsia"/>
                      <w:color w:val="auto"/>
                      <w:sz w:val="21"/>
                      <w:szCs w:val="21"/>
                    </w:rPr>
                    <w:t>东北侧</w:t>
                  </w:r>
                  <w:r>
                    <w:rPr>
                      <w:rFonts w:hint="eastAsia" w:ascii="Times New Roman" w:hAnsi="Times New Roman" w:cs="Times New Roman"/>
                      <w:color w:val="auto"/>
                      <w:sz w:val="21"/>
                      <w:szCs w:val="21"/>
                      <w:lang w:val="en-US"/>
                    </w:rPr>
                    <w:t>，设计占地面积5m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color w:val="auto"/>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粉料仓</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0"/>
                    </w:rPr>
                    <w:t>本项目设置</w:t>
                  </w:r>
                  <w:r>
                    <w:rPr>
                      <w:rFonts w:hint="eastAsia" w:ascii="Times New Roman" w:hAnsi="Times New Roman" w:cs="Times New Roman"/>
                      <w:color w:val="auto"/>
                      <w:sz w:val="21"/>
                      <w:szCs w:val="20"/>
                      <w:lang w:val="en-US"/>
                    </w:rPr>
                    <w:t>2个100t水泥筒仓，1个100t粉煤灰筒仓，用于粉料储存</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辅助工程</w:t>
                  </w: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综合办公用房</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层砖混结构，用于职工日常办公</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pStyle w:val="41"/>
                    <w:autoSpaceDE/>
                    <w:autoSpaceDN/>
                    <w:adjustRightInd/>
                    <w:snapToGrid/>
                    <w:spacing w:line="240" w:lineRule="auto"/>
                    <w:ind w:left="-110" w:leftChars="-50" w:right="-110" w:rightChars="-5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检测</w:t>
                  </w:r>
                  <w:r>
                    <w:rPr>
                      <w:rFonts w:hint="eastAsia" w:ascii="Times New Roman" w:hAnsi="Times New Roman" w:cs="Times New Roman"/>
                      <w:color w:val="auto"/>
                      <w:sz w:val="21"/>
                      <w:szCs w:val="21"/>
                    </w:rPr>
                    <w:t>化验</w:t>
                  </w:r>
                  <w:r>
                    <w:rPr>
                      <w:rFonts w:ascii="Times New Roman" w:hAnsi="Times New Roman" w:cs="Times New Roman"/>
                      <w:color w:val="auto"/>
                      <w:sz w:val="21"/>
                      <w:szCs w:val="21"/>
                    </w:rPr>
                    <w:t>室</w:t>
                  </w:r>
                </w:p>
              </w:tc>
              <w:tc>
                <w:tcPr>
                  <w:tcW w:w="5313"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1座，1层建筑面积120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w:t>
                  </w:r>
                  <w:r>
                    <w:rPr>
                      <w:rFonts w:hint="eastAsia" w:ascii="Times New Roman" w:hAnsi="Times New Roman" w:cs="Times New Roman"/>
                      <w:color w:val="auto"/>
                      <w:sz w:val="21"/>
                      <w:szCs w:val="21"/>
                      <w:lang w:val="en-US"/>
                    </w:rPr>
                    <w:t>检测化验</w:t>
                  </w:r>
                  <w:r>
                    <w:rPr>
                      <w:rFonts w:ascii="Times New Roman" w:hAnsi="Times New Roman" w:cs="Times New Roman"/>
                      <w:color w:val="auto"/>
                      <w:sz w:val="21"/>
                      <w:szCs w:val="21"/>
                      <w:lang w:val="en-US"/>
                    </w:rPr>
                    <w:t>室</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pStyle w:val="41"/>
                    <w:autoSpaceDE/>
                    <w:autoSpaceDN/>
                    <w:adjustRightInd/>
                    <w:snapToGrid/>
                    <w:spacing w:line="240" w:lineRule="auto"/>
                    <w:ind w:left="-110" w:leftChars="-50" w:right="-110" w:rightChars="-50"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沉淀池</w:t>
                  </w:r>
                </w:p>
              </w:tc>
              <w:tc>
                <w:tcPr>
                  <w:tcW w:w="5313"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位于现有料场西侧，容积50m</w:t>
                  </w:r>
                  <w:r>
                    <w:rPr>
                      <w:rFonts w:hint="eastAsia" w:ascii="Times New Roman" w:hAnsi="Times New Roman" w:cs="Times New Roman"/>
                      <w:color w:val="auto"/>
                      <w:sz w:val="21"/>
                      <w:szCs w:val="21"/>
                      <w:vertAlign w:val="superscript"/>
                      <w:lang w:val="en-US"/>
                    </w:rPr>
                    <w:t>3</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电</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，依托现有变压器可以满足本项目用电要求</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水</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供水</w:t>
                  </w:r>
                  <w:r>
                    <w:rPr>
                      <w:rFonts w:hint="eastAsia"/>
                      <w:color w:val="auto"/>
                      <w:sz w:val="21"/>
                      <w:szCs w:val="21"/>
                      <w:lang w:bidi="ar"/>
                    </w:rPr>
                    <w:t>管网供水</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排水</w:t>
                  </w:r>
                </w:p>
              </w:tc>
              <w:tc>
                <w:tcPr>
                  <w:tcW w:w="5313" w:type="dxa"/>
                  <w:vAlign w:val="center"/>
                </w:tcPr>
                <w:p>
                  <w:pPr>
                    <w:jc w:val="center"/>
                    <w:textAlignment w:val="baseline"/>
                    <w:rPr>
                      <w:color w:val="auto"/>
                      <w:sz w:val="21"/>
                      <w:szCs w:val="21"/>
                      <w:lang w:bidi="ar"/>
                    </w:rPr>
                  </w:pPr>
                  <w:r>
                    <w:rPr>
                      <w:rFonts w:hint="eastAsia"/>
                      <w:color w:val="auto"/>
                      <w:sz w:val="21"/>
                      <w:szCs w:val="21"/>
                      <w:lang w:bidi="ar"/>
                    </w:rPr>
                    <w:t>生活污水用于厂区泼洒抑尘，厂区设防渗旱厕，定期清掏；车辆冲洗废水经沉淀池沉淀后，回用于车辆冲洗，不外排</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wordWrap w:val="0"/>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制冷、供热</w:t>
                  </w:r>
                </w:p>
              </w:tc>
              <w:tc>
                <w:tcPr>
                  <w:tcW w:w="5313"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lang w:val="en-US"/>
                    </w:rPr>
                    <w:t>项目无生产用热，职工冬季取暖由空调供给</w:t>
                  </w:r>
                </w:p>
              </w:tc>
              <w:tc>
                <w:tcPr>
                  <w:tcW w:w="597"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975" w:type="dxa"/>
                  <w:vAlign w:val="center"/>
                </w:tcPr>
                <w:p>
                  <w:pPr>
                    <w:widowControl/>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w:t>
                  </w:r>
                  <w:r>
                    <w:rPr>
                      <w:rFonts w:hint="eastAsia"/>
                      <w:color w:val="auto"/>
                      <w:sz w:val="21"/>
                      <w:szCs w:val="21"/>
                      <w:lang w:val="en-US" w:bidi="ar"/>
                    </w:rPr>
                    <w:t>排放口（</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集气罩+脉冲布袋除尘器+15m高排气筒</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shd w:val="clear" w:color="auto" w:fill="auto"/>
                  <w:vAlign w:val="center"/>
                </w:tcPr>
                <w:p>
                  <w:pPr>
                    <w:widowControl/>
                    <w:jc w:val="center"/>
                    <w:textAlignment w:val="center"/>
                    <w:rPr>
                      <w:rFonts w:ascii="Times New Roman" w:hAnsi="Times New Roman" w:cs="Times New Roman"/>
                      <w:color w:val="auto"/>
                      <w:kern w:val="2"/>
                      <w:sz w:val="21"/>
                      <w:szCs w:val="21"/>
                      <w:lang w:val="en-US" w:bidi="ar-SA"/>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5313" w:type="dxa"/>
                  <w:shd w:val="clear" w:color="auto" w:fill="auto"/>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w:t>
                  </w:r>
                  <w:r>
                    <w:rPr>
                      <w:rFonts w:hint="eastAsia" w:ascii="Times New Roman" w:hAnsi="Times New Roman" w:cs="Times New Roman"/>
                      <w:color w:val="auto"/>
                      <w:kern w:val="21"/>
                      <w:sz w:val="21"/>
                      <w:szCs w:val="21"/>
                      <w:lang w:val="en-US" w:eastAsia="zh-CN"/>
                    </w:rPr>
                    <w:t>20</w:t>
                  </w:r>
                  <w:r>
                    <w:rPr>
                      <w:rFonts w:hint="eastAsia" w:ascii="Times New Roman" w:hAnsi="Times New Roman" w:cs="Times New Roman"/>
                      <w:color w:val="auto"/>
                      <w:kern w:val="21"/>
                      <w:sz w:val="21"/>
                      <w:szCs w:val="21"/>
                      <w:lang w:val="en-US"/>
                    </w:rPr>
                    <w:t>m）</w:t>
                  </w:r>
                </w:p>
              </w:tc>
              <w:tc>
                <w:tcPr>
                  <w:tcW w:w="597" w:type="dxa"/>
                  <w:shd w:val="clear" w:color="auto" w:fill="auto"/>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厂界无组织废气</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生活污水</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生活污水用于厂区泼洒抑尘，厂区设防渗旱厕，定期清掏</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车辆冲洗废水</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噪音</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各生产设备噪声</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低噪设备、基础减震、隔声、距离衰减</w:t>
                  </w:r>
                  <w:r>
                    <w:rPr>
                      <w:rFonts w:hint="eastAsia" w:ascii="Times New Roman" w:hAnsi="Times New Roman" w:cs="Times New Roman"/>
                      <w:color w:val="auto"/>
                      <w:sz w:val="21"/>
                      <w:szCs w:val="21"/>
                      <w:lang w:val="en-US"/>
                    </w:rPr>
                    <w:t>等措施降噪</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pacing w:val="-10"/>
                      <w:sz w:val="21"/>
                      <w:szCs w:val="20"/>
                    </w:rPr>
                    <w:t>除尘灰</w:t>
                  </w:r>
                </w:p>
              </w:tc>
              <w:tc>
                <w:tcPr>
                  <w:tcW w:w="5313"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spacing w:line="0" w:lineRule="atLeast"/>
                    <w:ind w:left="-110" w:leftChars="-50" w:right="-110" w:rightChars="-50"/>
                    <w:jc w:val="center"/>
                    <w:rPr>
                      <w:rFonts w:ascii="Times New Roman" w:hAnsi="Times New Roman" w:cs="Times New Roman"/>
                      <w:color w:val="auto"/>
                      <w:spacing w:val="-10"/>
                      <w:sz w:val="20"/>
                      <w:szCs w:val="20"/>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5313"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0"/>
                      <w:lang w:val="en-US"/>
                    </w:rPr>
                    <w:t>暂存危废间，定期由资质单位处置</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bl>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8</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生产规模：</w:t>
            </w:r>
            <w:r>
              <w:rPr>
                <w:rFonts w:ascii="Times New Roman" w:hAnsi="Times New Roman" w:cs="Times New Roman"/>
                <w:color w:val="auto"/>
                <w:sz w:val="21"/>
                <w:szCs w:val="21"/>
              </w:rPr>
              <w:t>项目建成后年产</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rPr>
              <w:t>产品方案见下表；</w:t>
            </w:r>
          </w:p>
          <w:p>
            <w:pPr>
              <w:autoSpaceDE/>
              <w:autoSpaceDN/>
              <w:spacing w:line="400" w:lineRule="exact"/>
              <w:jc w:val="center"/>
              <w:rPr>
                <w:rFonts w:ascii="Times New Roman" w:hAnsi="Times New Roman" w:cs="Times New Roman"/>
                <w:b/>
                <w:bCs/>
                <w:color w:val="auto"/>
                <w:sz w:val="20"/>
                <w:szCs w:val="20"/>
                <w:lang w:val="en-US"/>
              </w:rPr>
            </w:pPr>
            <w:r>
              <w:rPr>
                <w:rFonts w:ascii="Times New Roman" w:hAnsi="Times New Roman" w:cs="Times New Roman"/>
                <w:b/>
                <w:bCs/>
                <w:color w:val="auto"/>
                <w:sz w:val="21"/>
                <w:szCs w:val="20"/>
              </w:rPr>
              <w:t>表2.</w:t>
            </w:r>
            <w:r>
              <w:rPr>
                <w:rFonts w:hint="eastAsia" w:ascii="Times New Roman" w:hAnsi="Times New Roman" w:cs="Times New Roman"/>
                <w:b/>
                <w:bCs/>
                <w:color w:val="auto"/>
                <w:sz w:val="21"/>
                <w:szCs w:val="20"/>
                <w:lang w:val="en-US"/>
              </w:rPr>
              <w:t>2</w:t>
            </w:r>
            <w:r>
              <w:rPr>
                <w:rFonts w:ascii="Times New Roman" w:hAnsi="Times New Roman" w:cs="Times New Roman"/>
                <w:b/>
                <w:bCs/>
                <w:color w:val="auto"/>
                <w:sz w:val="21"/>
                <w:szCs w:val="20"/>
              </w:rPr>
              <w:t xml:space="preserve">  本项目建成后全厂产品方案变化情况一览表</w:t>
            </w:r>
          </w:p>
          <w:tbl>
            <w:tblPr>
              <w:tblStyle w:val="32"/>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96"/>
              <w:gridCol w:w="1026"/>
              <w:gridCol w:w="1484"/>
              <w:gridCol w:w="985"/>
              <w:gridCol w:w="985"/>
              <w:gridCol w:w="9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生产线名称</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产品</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扩建前</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扩建后</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变化情况</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年工作时间</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b/>
                      <w:bCs/>
                      <w:color w:val="auto"/>
                      <w:szCs w:val="21"/>
                    </w:rPr>
                  </w:pPr>
                  <w:r>
                    <w:rPr>
                      <w:rFonts w:ascii="Times New Roman" w:hAnsi="Times New Roman" w:cs="Times New Roman"/>
                      <w:b/>
                      <w:bCs/>
                      <w:color w:val="auto"/>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干混砂浆生产线</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干混砂浆</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3600h/a</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color w:val="auto"/>
                      <w:szCs w:val="21"/>
                      <w:lang w:val="en-US"/>
                    </w:rPr>
                  </w:pPr>
                  <w:r>
                    <w:rPr>
                      <w:rFonts w:hint="eastAsia" w:ascii="Times New Roman" w:hAnsi="Times New Roman" w:cs="Times New Roman"/>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湿拌砂浆</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4800h/a</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ind w:left="-110" w:leftChars="-50" w:right="-110" w:rightChars="-50"/>
                    <w:rPr>
                      <w:rFonts w:ascii="Times New Roman" w:hAnsi="Times New Roman" w:cs="Times New Roman"/>
                      <w:color w:val="auto"/>
                      <w:szCs w:val="21"/>
                      <w:lang w:val="en-US"/>
                    </w:rPr>
                  </w:pPr>
                  <w:r>
                    <w:rPr>
                      <w:rFonts w:ascii="Times New Roman" w:hAnsi="Times New Roman" w:cs="Times New Roman"/>
                      <w:color w:val="auto"/>
                      <w:szCs w:val="21"/>
                    </w:rPr>
                    <w:t>M5-M20按订单确定</w:t>
                  </w:r>
                </w:p>
              </w:tc>
            </w:tr>
          </w:tbl>
          <w:p>
            <w:pPr>
              <w:spacing w:line="440" w:lineRule="exact"/>
              <w:ind w:firstLine="482"/>
              <w:rPr>
                <w:rFonts w:ascii="Times New Roman" w:hAnsi="Times New Roman" w:cs="Times New Roman"/>
                <w:b/>
                <w:color w:val="auto"/>
                <w:sz w:val="21"/>
                <w:szCs w:val="21"/>
              </w:rPr>
            </w:pPr>
            <w:r>
              <w:rPr>
                <w:rFonts w:hint="eastAsia" w:ascii="Times New Roman" w:hAnsi="Times New Roman" w:cs="Times New Roman"/>
                <w:color w:val="auto"/>
                <w:sz w:val="21"/>
                <w:szCs w:val="21"/>
              </w:rPr>
              <w:t>本项目产品湿拌砂浆执行《预拌砂浆》（GB/T 25181-2019）。</w:t>
            </w:r>
          </w:p>
          <w:p>
            <w:pPr>
              <w:spacing w:line="440" w:lineRule="exact"/>
              <w:ind w:firstLine="482"/>
              <w:jc w:val="center"/>
              <w:rPr>
                <w:b/>
                <w:color w:val="auto"/>
                <w:sz w:val="21"/>
                <w:szCs w:val="21"/>
              </w:rPr>
            </w:pPr>
            <w:r>
              <w:rPr>
                <w:rFonts w:ascii="Times New Roman" w:hAnsi="Times New Roman" w:cs="Times New Roman"/>
                <w:b/>
                <w:color w:val="auto"/>
                <w:sz w:val="21"/>
                <w:szCs w:val="21"/>
              </w:rPr>
              <w:t>表2</w:t>
            </w:r>
            <w:r>
              <w:rPr>
                <w:rFonts w:hint="eastAsia" w:ascii="Times New Roman" w:hAnsi="Times New Roman" w:cs="Times New Roman"/>
                <w:b/>
                <w:color w:val="auto"/>
                <w:sz w:val="21"/>
                <w:szCs w:val="21"/>
                <w:lang w:val="en-US"/>
              </w:rPr>
              <w:t>.</w:t>
            </w:r>
            <w:r>
              <w:rPr>
                <w:rFonts w:ascii="Times New Roman" w:hAnsi="Times New Roman" w:cs="Times New Roman"/>
                <w:b/>
                <w:color w:val="auto"/>
                <w:sz w:val="21"/>
                <w:szCs w:val="21"/>
              </w:rPr>
              <w:t>3  湿拌砂浆性能指标</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50"/>
              <w:gridCol w:w="1268"/>
              <w:gridCol w:w="1282"/>
              <w:gridCol w:w="1479"/>
              <w:gridCol w:w="101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68" w:type="dxa"/>
                  <w:gridSpan w:val="2"/>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项目</w:t>
                  </w:r>
                </w:p>
              </w:tc>
              <w:tc>
                <w:tcPr>
                  <w:tcW w:w="126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湿拌砌筑砂浆</w:t>
                  </w:r>
                </w:p>
              </w:tc>
              <w:tc>
                <w:tcPr>
                  <w:tcW w:w="2761"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湿拌抹灰砂浆</w:t>
                  </w:r>
                </w:p>
              </w:tc>
              <w:tc>
                <w:tcPr>
                  <w:tcW w:w="101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湿拌地面砂浆</w:t>
                  </w:r>
                </w:p>
              </w:tc>
              <w:tc>
                <w:tcPr>
                  <w:tcW w:w="118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湿拌防水砂浆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68" w:type="dxa"/>
                  <w:gridSpan w:val="2"/>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6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82"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普通抹灰砂浆</w:t>
                  </w:r>
                </w:p>
              </w:tc>
              <w:tc>
                <w:tcPr>
                  <w:tcW w:w="1479"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机喷抹灰砂浆</w:t>
                  </w:r>
                </w:p>
              </w:tc>
              <w:tc>
                <w:tcPr>
                  <w:tcW w:w="101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18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保水率%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≥92.0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凝结时间h</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＜40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14d拉伸粘结强度MPa</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M5：≥0.15</w:t>
                  </w:r>
                </w:p>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＞M5：≥0.20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28d收缩率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2761" w:type="dxa"/>
                  <w:gridSpan w:val="2"/>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抗冻性*</w:t>
                  </w: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强度损失率%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质量损失率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7"/>
                  <w:vAlign w:val="center"/>
                </w:tcPr>
                <w:p>
                  <w:pPr>
                    <w:adjustRightInd w:val="0"/>
                    <w:snapToGrid w:val="0"/>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*有抗冻性要求是，应进行抗冻性试验。</w:t>
                  </w:r>
                </w:p>
              </w:tc>
            </w:tr>
          </w:tbl>
          <w:p>
            <w:pPr>
              <w:autoSpaceDE/>
              <w:autoSpaceDN/>
              <w:spacing w:line="400" w:lineRule="exact"/>
              <w:ind w:left="110" w:leftChars="50" w:firstLine="421" w:firstLineChars="200"/>
              <w:rPr>
                <w:rFonts w:ascii="Times New Roman" w:hAnsi="Times New Roman" w:cs="Times New Roman"/>
                <w:b/>
                <w:bCs/>
                <w:color w:val="auto"/>
                <w:sz w:val="21"/>
              </w:rPr>
            </w:pPr>
            <w:r>
              <w:rPr>
                <w:rFonts w:ascii="Times New Roman" w:hAnsi="Times New Roman" w:cs="Times New Roman"/>
                <w:b/>
                <w:bCs/>
                <w:color w:val="auto"/>
                <w:sz w:val="21"/>
                <w:lang w:val="en-US"/>
              </w:rPr>
              <w:t>9、</w:t>
            </w:r>
            <w:r>
              <w:rPr>
                <w:rFonts w:ascii="Times New Roman" w:hAnsi="Times New Roman" w:cs="Times New Roman"/>
                <w:b/>
                <w:bCs/>
                <w:color w:val="auto"/>
                <w:sz w:val="21"/>
              </w:rPr>
              <w:t>主要生产设备</w:t>
            </w:r>
          </w:p>
          <w:p>
            <w:pPr>
              <w:pStyle w:val="11"/>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建设一条湿拌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主要生产设备明细表如下：</w:t>
            </w:r>
          </w:p>
          <w:p>
            <w:pPr>
              <w:autoSpaceDE/>
              <w:autoSpaceDN/>
              <w:spacing w:line="400" w:lineRule="exact"/>
              <w:jc w:val="center"/>
              <w:rPr>
                <w:rFonts w:ascii="Times New Roman" w:hAnsi="Times New Roman" w:cs="Times New Roman"/>
                <w:b/>
                <w:bCs/>
                <w:color w:val="auto"/>
                <w:sz w:val="21"/>
                <w:lang w:val="en-US"/>
              </w:rPr>
            </w:pPr>
            <w:r>
              <w:rPr>
                <w:rFonts w:hint="eastAsia" w:ascii="Times New Roman" w:hAnsi="Times New Roman" w:cs="Times New Roman"/>
                <w:b/>
                <w:bCs/>
                <w:color w:val="auto"/>
                <w:sz w:val="21"/>
                <w:szCs w:val="21"/>
                <w:lang w:val="en-US"/>
              </w:rPr>
              <w:t>表2.4 生产</w:t>
            </w:r>
            <w:r>
              <w:rPr>
                <w:rFonts w:ascii="Times New Roman" w:hAnsi="Times New Roman" w:cs="Times New Roman"/>
                <w:b/>
                <w:bCs/>
                <w:color w:val="auto"/>
                <w:sz w:val="21"/>
                <w:szCs w:val="21"/>
                <w:lang w:val="en-US"/>
              </w:rPr>
              <w:t>设备一览表</w:t>
            </w:r>
          </w:p>
          <w:tbl>
            <w:tblPr>
              <w:tblStyle w:val="32"/>
              <w:tblW w:w="8703" w:type="dxa"/>
              <w:tblInd w:w="221" w:type="dxa"/>
              <w:tblLayout w:type="fixed"/>
              <w:tblCellMar>
                <w:top w:w="0" w:type="dxa"/>
                <w:left w:w="108" w:type="dxa"/>
                <w:bottom w:w="0" w:type="dxa"/>
                <w:right w:w="108" w:type="dxa"/>
              </w:tblCellMar>
            </w:tblPr>
            <w:tblGrid>
              <w:gridCol w:w="557"/>
              <w:gridCol w:w="946"/>
              <w:gridCol w:w="1798"/>
              <w:gridCol w:w="2882"/>
              <w:gridCol w:w="1560"/>
              <w:gridCol w:w="960"/>
            </w:tblGrid>
            <w:tr>
              <w:tblPrEx>
                <w:tblCellMar>
                  <w:top w:w="0" w:type="dxa"/>
                  <w:left w:w="108" w:type="dxa"/>
                  <w:bottom w:w="0" w:type="dxa"/>
                  <w:right w:w="108" w:type="dxa"/>
                </w:tblCellMar>
              </w:tblPrEx>
              <w:trPr>
                <w:trHeight w:val="283" w:hRule="atLeast"/>
              </w:trPr>
              <w:tc>
                <w:tcPr>
                  <w:tcW w:w="5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27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w:t>
                  </w:r>
                  <w:r>
                    <w:rPr>
                      <w:rFonts w:hint="eastAsia" w:ascii="Times New Roman" w:hAnsi="Times New Roman" w:cs="Times New Roman"/>
                      <w:b/>
                      <w:bCs/>
                      <w:color w:val="auto"/>
                      <w:sz w:val="21"/>
                      <w:szCs w:val="21"/>
                    </w:rPr>
                    <w:t>（台</w:t>
                  </w:r>
                  <w:r>
                    <w:rPr>
                      <w:rFonts w:hint="eastAsia" w:ascii="Times New Roman" w:hAnsi="Times New Roman" w:cs="Times New Roman"/>
                      <w:b/>
                      <w:bCs/>
                      <w:color w:val="auto"/>
                      <w:sz w:val="21"/>
                      <w:szCs w:val="21"/>
                      <w:lang w:val="en-US"/>
                    </w:rPr>
                    <w:t>/套</w:t>
                  </w:r>
                  <w:r>
                    <w:rPr>
                      <w:rFonts w:hint="eastAsia" w:ascii="Times New Roman" w:hAnsi="Times New Roman" w:cs="Times New Roman"/>
                      <w:b/>
                      <w:bCs/>
                      <w:color w:val="auto"/>
                      <w:sz w:val="21"/>
                      <w:szCs w:val="21"/>
                    </w:rPr>
                    <w:t>）</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46" w:type="dxa"/>
                  <w:vMerge w:val="restart"/>
                  <w:tcBorders>
                    <w:top w:val="single" w:color="000000" w:sz="4" w:space="0"/>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配料站</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骨料储料斗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容积</w:t>
                  </w:r>
                  <w:r>
                    <w:rPr>
                      <w:rFonts w:ascii="Times New Roman" w:hAnsi="Times New Roman" w:cs="Times New Roman"/>
                      <w:color w:val="auto"/>
                      <w:sz w:val="21"/>
                      <w:szCs w:val="21"/>
                    </w:rPr>
                    <w:t>2</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称料斗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斗体厚度5.5mm</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83" w:hRule="atLeast"/>
              </w:trPr>
              <w:tc>
                <w:tcPr>
                  <w:tcW w:w="557" w:type="dxa"/>
                  <w:vMerge w:val="continue"/>
                  <w:tcBorders>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斗式提升机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p>
              </w:tc>
              <w:tc>
                <w:tcPr>
                  <w:tcW w:w="946" w:type="dxa"/>
                  <w:vMerge w:val="continue"/>
                  <w:tcBorders>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2</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水泥计量</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2000L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煤灰</w:t>
                  </w:r>
                  <w:r>
                    <w:rPr>
                      <w:rFonts w:ascii="Times New Roman" w:hAnsi="Times New Roman" w:cs="Times New Roman"/>
                      <w:color w:val="auto"/>
                      <w:sz w:val="21"/>
                      <w:szCs w:val="21"/>
                    </w:rPr>
                    <w:t>计量</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850L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500kg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水计量及供水系统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700L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供水管路</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ISW100-100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ind w:left="-110" w:leftChars="-50" w:right="-110" w:rightChars="-50"/>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外加剂计量系统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0.1m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供液管路</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Φ 40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储液箱</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vertAlign w:val="superscript"/>
                    </w:rPr>
                  </w:pPr>
                  <w:r>
                    <w:rPr>
                      <w:rFonts w:ascii="Times New Roman" w:hAnsi="Times New Roman" w:cs="Times New Roman"/>
                      <w:color w:val="auto"/>
                      <w:sz w:val="21"/>
                      <w:szCs w:val="21"/>
                    </w:rPr>
                    <w:t>10m</w:t>
                  </w:r>
                  <w:r>
                    <w:rPr>
                      <w:rFonts w:ascii="Times New Roman" w:hAnsi="Times New Roman" w:cs="Times New Roman"/>
                      <w:color w:val="auto"/>
                      <w:sz w:val="21"/>
                      <w:szCs w:val="21"/>
                      <w:vertAlign w:val="superscript"/>
                    </w:rPr>
                    <w:t>3</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100KG</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气路系统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螺杆式空压机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2.4/2.0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储气罐</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600L</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9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搅拌主楼</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待料斗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双气缸</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卸料斗</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278KW</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螺旋给料机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LSJ-323-9</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83" w:hRule="atLeast"/>
              </w:trPr>
              <w:tc>
                <w:tcPr>
                  <w:tcW w:w="557" w:type="dxa"/>
                  <w:vMerge w:val="continue"/>
                  <w:tcBorders>
                    <w:top w:val="nil"/>
                    <w:left w:val="single" w:color="000000" w:sz="4" w:space="0"/>
                    <w:bottom w:val="single" w:color="auto"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946" w:type="dxa"/>
                  <w:vMerge w:val="continue"/>
                  <w:tcBorders>
                    <w:top w:val="nil"/>
                    <w:left w:val="single" w:color="000000" w:sz="4" w:space="0"/>
                    <w:bottom w:val="single" w:color="auto" w:sz="4" w:space="0"/>
                    <w:right w:val="single" w:color="000000" w:sz="4" w:space="0"/>
                    <w:tl2br w:val="nil"/>
                    <w:tr2bl w:val="nil"/>
                  </w:tcBorders>
                  <w:vAlign w:val="center"/>
                </w:tcPr>
                <w:p>
                  <w:pPr>
                    <w:jc w:val="center"/>
                    <w:rPr>
                      <w:rFonts w:ascii="Times New Roman" w:hAnsi="Times New Roman" w:cs="Times New Roman"/>
                      <w:color w:val="auto"/>
                      <w:sz w:val="21"/>
                      <w:szCs w:val="21"/>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rPr>
                  </w:pPr>
                  <w:r>
                    <w:rPr>
                      <w:rFonts w:ascii="Times New Roman" w:hAnsi="Times New Roman" w:cs="Times New Roman"/>
                      <w:color w:val="auto"/>
                      <w:sz w:val="21"/>
                      <w:szCs w:val="21"/>
                    </w:rPr>
                    <w:t>除尘装置</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8000m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rPr>
                <w:trHeight w:val="272" w:hRule="atLeast"/>
              </w:trPr>
              <w:tc>
                <w:tcPr>
                  <w:tcW w:w="557" w:type="dxa"/>
                  <w:vMerge w:val="restart"/>
                  <w:tcBorders>
                    <w:top w:val="nil"/>
                    <w:left w:val="single" w:color="000000" w:sz="4" w:space="0"/>
                    <w:right w:val="single" w:color="000000" w:sz="4" w:space="0"/>
                    <w:tl2br w:val="nil"/>
                    <w:tr2bl w:val="nil"/>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8</w:t>
                  </w:r>
                </w:p>
              </w:tc>
              <w:tc>
                <w:tcPr>
                  <w:tcW w:w="946" w:type="dxa"/>
                  <w:vMerge w:val="restart"/>
                  <w:tcBorders>
                    <w:top w:val="nil"/>
                    <w:left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粉料存储系统</w:t>
                  </w: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仓体及支腿</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bidi="ar"/>
                    </w:rPr>
                    <w:t>1</w:t>
                  </w:r>
                  <w:r>
                    <w:rPr>
                      <w:rFonts w:ascii="Times New Roman" w:hAnsi="Times New Roman" w:cs="Times New Roman"/>
                      <w:color w:val="auto"/>
                      <w:sz w:val="21"/>
                      <w:szCs w:val="21"/>
                      <w:lang w:val="en-US" w:bidi="ar"/>
                    </w:rPr>
                    <w:t>00t</w:t>
                  </w:r>
                  <w:r>
                    <w:rPr>
                      <w:rFonts w:hint="eastAsia" w:ascii="Times New Roman" w:hAnsi="Times New Roman" w:cs="Times New Roman"/>
                      <w:color w:val="auto"/>
                      <w:sz w:val="21"/>
                      <w:szCs w:val="21"/>
                      <w:lang w:val="en-US" w:bidi="ar"/>
                    </w:rPr>
                    <w:t xml:space="preserve"> </w:t>
                  </w:r>
                  <w:r>
                    <w:rPr>
                      <w:rFonts w:hint="eastAsia" w:ascii="Times New Roman" w:hAnsi="Times New Roman" w:cs="Times New Roman"/>
                      <w:color w:val="auto"/>
                      <w:sz w:val="21"/>
                      <w:szCs w:val="21"/>
                      <w:lang w:val="en-US" w:eastAsia="zh-CN" w:bidi="ar"/>
                    </w:rPr>
                    <w:t>18</w:t>
                  </w:r>
                  <w:r>
                    <w:rPr>
                      <w:rFonts w:ascii="Times New Roman" w:hAnsi="Times New Roman" w:cs="Times New Roman"/>
                      <w:color w:val="auto"/>
                      <w:sz w:val="21"/>
                      <w:szCs w:val="21"/>
                      <w:lang w:val="en-US" w:bidi="ar"/>
                    </w:rPr>
                    <w:t>m</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272" w:hRule="atLeast"/>
              </w:trPr>
              <w:tc>
                <w:tcPr>
                  <w:tcW w:w="557" w:type="dxa"/>
                  <w:vMerge w:val="continue"/>
                  <w:tcBorders>
                    <w:left w:val="single" w:color="000000" w:sz="4" w:space="0"/>
                    <w:bottom w:val="single" w:color="auto" w:sz="4" w:space="0"/>
                    <w:right w:val="single" w:color="000000" w:sz="4" w:space="0"/>
                    <w:tl2br w:val="nil"/>
                    <w:tr2bl w:val="nil"/>
                  </w:tcBorders>
                  <w:vAlign w:val="center"/>
                </w:tcPr>
                <w:p>
                  <w:pPr>
                    <w:widowControl/>
                    <w:jc w:val="center"/>
                    <w:textAlignment w:val="center"/>
                    <w:rPr>
                      <w:color w:val="auto"/>
                    </w:rPr>
                  </w:pPr>
                </w:p>
              </w:tc>
              <w:tc>
                <w:tcPr>
                  <w:tcW w:w="946" w:type="dxa"/>
                  <w:vMerge w:val="continue"/>
                  <w:tcBorders>
                    <w:left w:val="single" w:color="000000" w:sz="4" w:space="0"/>
                    <w:bottom w:val="single" w:color="auto" w:sz="4" w:space="0"/>
                    <w:right w:val="single" w:color="000000" w:sz="4" w:space="0"/>
                    <w:tl2br w:val="nil"/>
                    <w:tr2bl w:val="nil"/>
                  </w:tcBorders>
                  <w:vAlign w:val="center"/>
                </w:tcPr>
                <w:p>
                  <w:pPr>
                    <w:widowControl/>
                    <w:jc w:val="center"/>
                    <w:textAlignment w:val="center"/>
                    <w:rPr>
                      <w:color w:val="auto"/>
                    </w:rPr>
                  </w:pPr>
                </w:p>
              </w:tc>
              <w:tc>
                <w:tcPr>
                  <w:tcW w:w="17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仓顶布袋除尘器</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2500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/h</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49" w:hRule="atLeast"/>
              </w:trPr>
              <w:tc>
                <w:tcPr>
                  <w:tcW w:w="557" w:type="dxa"/>
                  <w:vMerge w:val="restart"/>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9</w:t>
                  </w:r>
                </w:p>
              </w:tc>
              <w:tc>
                <w:tcPr>
                  <w:tcW w:w="9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辅助设备</w:t>
                  </w:r>
                </w:p>
              </w:tc>
              <w:tc>
                <w:tcPr>
                  <w:tcW w:w="1798"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装载机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4t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CellMar>
                  <w:top w:w="0" w:type="dxa"/>
                  <w:left w:w="108" w:type="dxa"/>
                  <w:bottom w:w="0" w:type="dxa"/>
                  <w:right w:w="108" w:type="dxa"/>
                </w:tblCellMar>
              </w:tblPrEx>
              <w:trPr>
                <w:trHeight w:val="49" w:hRule="atLeast"/>
              </w:trPr>
              <w:tc>
                <w:tcPr>
                  <w:tcW w:w="557" w:type="dxa"/>
                  <w:vMerge w:val="continue"/>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color w:val="auto"/>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pStyle w:val="52"/>
                    <w:kinsoku w:val="0"/>
                    <w:overflowPunct w:val="0"/>
                    <w:jc w:val="center"/>
                    <w:rPr>
                      <w:color w:val="auto"/>
                    </w:rPr>
                  </w:pPr>
                </w:p>
              </w:tc>
              <w:tc>
                <w:tcPr>
                  <w:tcW w:w="1798"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皮带输送机</w:t>
                  </w:r>
                </w:p>
              </w:tc>
              <w:tc>
                <w:tcPr>
                  <w:tcW w:w="28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rPr>
                <w:trHeight w:val="49" w:hRule="atLeast"/>
              </w:trPr>
              <w:tc>
                <w:tcPr>
                  <w:tcW w:w="618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合计</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41</w:t>
                  </w:r>
                </w:p>
              </w:tc>
              <w:tc>
                <w:tcPr>
                  <w:tcW w:w="96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color w:val="auto"/>
                      <w:sz w:val="21"/>
                      <w:szCs w:val="21"/>
                      <w:lang w:val="en-US"/>
                    </w:rPr>
                  </w:pPr>
                </w:p>
              </w:tc>
            </w:tr>
          </w:tbl>
          <w:p>
            <w:pPr>
              <w:pStyle w:val="52"/>
              <w:spacing w:line="440" w:lineRule="exact"/>
              <w:ind w:left="110" w:lef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sz w:val="21"/>
                <w:lang w:val="en-US"/>
              </w:rPr>
              <w:t>10、原辅材料消耗量</w:t>
            </w:r>
          </w:p>
          <w:p>
            <w:pPr>
              <w:pStyle w:val="52"/>
              <w:spacing w:line="440" w:lineRule="exact"/>
              <w:ind w:firstLine="420" w:firstLineChars="200"/>
              <w:jc w:val="both"/>
              <w:rPr>
                <w:rFonts w:ascii="Times New Roman" w:hAnsi="Times New Roman" w:cs="Times New Roman"/>
                <w:color w:val="auto"/>
                <w:sz w:val="21"/>
                <w:lang w:val="en-US"/>
              </w:rPr>
            </w:pPr>
            <w:r>
              <w:rPr>
                <w:rFonts w:ascii="Times New Roman" w:hAnsi="Times New Roman" w:cs="Times New Roman"/>
                <w:color w:val="auto"/>
                <w:sz w:val="21"/>
                <w:lang w:val="en-US"/>
              </w:rPr>
              <w:t>项目</w:t>
            </w:r>
            <w:r>
              <w:rPr>
                <w:rStyle w:val="39"/>
                <w:rFonts w:hint="eastAsia"/>
                <w:color w:val="auto"/>
                <w:lang w:eastAsia="zh-CN"/>
              </w:rPr>
              <w:t>实施前后</w:t>
            </w:r>
            <w:r>
              <w:rPr>
                <w:rFonts w:ascii="Times New Roman" w:hAnsi="Times New Roman" w:cs="Times New Roman"/>
                <w:color w:val="auto"/>
                <w:sz w:val="21"/>
                <w:lang w:val="en-US"/>
              </w:rPr>
              <w:t>主要原材料及能源消耗情况见下表。</w:t>
            </w:r>
          </w:p>
          <w:p>
            <w:pPr>
              <w:autoSpaceDE/>
              <w:autoSpaceDN/>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rPr>
              <w:t>5</w:t>
            </w:r>
            <w:r>
              <w:rPr>
                <w:rFonts w:ascii="Times New Roman" w:hAnsi="Times New Roman" w:cs="Times New Roman"/>
                <w:b/>
                <w:bCs/>
                <w:color w:val="auto"/>
                <w:sz w:val="21"/>
                <w:szCs w:val="21"/>
                <w:lang w:val="en-US"/>
              </w:rPr>
              <w:t xml:space="preserve">  项目主要原辅材料消耗变化情况一览表</w:t>
            </w:r>
          </w:p>
          <w:tbl>
            <w:tblPr>
              <w:tblStyle w:val="32"/>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02"/>
              <w:gridCol w:w="550"/>
              <w:gridCol w:w="1650"/>
              <w:gridCol w:w="1669"/>
              <w:gridCol w:w="1843"/>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952" w:type="dxa"/>
                  <w:gridSpan w:val="2"/>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名称</w:t>
                  </w:r>
                </w:p>
              </w:tc>
              <w:tc>
                <w:tcPr>
                  <w:tcW w:w="1650"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rPr>
                    <w:t>扩建前</w:t>
                  </w:r>
                </w:p>
              </w:tc>
              <w:tc>
                <w:tcPr>
                  <w:tcW w:w="1669"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bidi="ar"/>
                    </w:rPr>
                  </w:pPr>
                  <w:r>
                    <w:rPr>
                      <w:rFonts w:hint="eastAsia" w:ascii="Times New Roman" w:hAnsi="Times New Roman" w:cs="Times New Roman"/>
                      <w:b/>
                      <w:bCs/>
                      <w:color w:val="auto"/>
                      <w:sz w:val="21"/>
                      <w:szCs w:val="21"/>
                    </w:rPr>
                    <w:t>扩建后</w:t>
                  </w:r>
                </w:p>
              </w:tc>
              <w:tc>
                <w:tcPr>
                  <w:tcW w:w="1843"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bidi="ar"/>
                    </w:rPr>
                  </w:pPr>
                  <w:r>
                    <w:rPr>
                      <w:rFonts w:hint="eastAsia" w:ascii="Times New Roman" w:hAnsi="Times New Roman" w:cs="Times New Roman"/>
                      <w:b/>
                      <w:bCs/>
                      <w:color w:val="auto"/>
                      <w:sz w:val="21"/>
                      <w:szCs w:val="21"/>
                    </w:rPr>
                    <w:t>本项目消耗量</w:t>
                  </w:r>
                </w:p>
              </w:tc>
              <w:tc>
                <w:tcPr>
                  <w:tcW w:w="2342" w:type="dxa"/>
                  <w:tcBorders>
                    <w:tl2br w:val="nil"/>
                    <w:tr2bl w:val="nil"/>
                  </w:tcBorders>
                  <w:vAlign w:val="center"/>
                </w:tcPr>
                <w:p>
                  <w:pPr>
                    <w:widowControl/>
                    <w:autoSpaceDE/>
                    <w:autoSpaceDN/>
                    <w:jc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402"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原辅料</w:t>
                  </w:r>
                </w:p>
              </w:tc>
              <w:tc>
                <w:tcPr>
                  <w:tcW w:w="550"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水泥</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50000t/a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99668t/a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43860t/a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粉煤灰</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9000t/a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33834t/a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21930t/a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center"/>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砂子</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168875</w:t>
                  </w:r>
                  <w:r>
                    <w:rPr>
                      <w:rFonts w:hint="eastAsia" w:ascii="Times New Roman" w:hAnsi="Times New Roman" w:cs="Times New Roman"/>
                      <w:color w:val="auto"/>
                      <w:sz w:val="21"/>
                      <w:szCs w:val="21"/>
                      <w:lang w:val="en-US" w:bidi="ar"/>
                    </w:rPr>
                    <w:t>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516557t/a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307017t/a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自卸汽车运输，</w:t>
                  </w:r>
                  <w:r>
                    <w:rPr>
                      <w:rFonts w:hint="eastAsia" w:ascii="Times New Roman" w:hAnsi="Times New Roman" w:cs="Times New Roman"/>
                      <w:color w:val="auto"/>
                      <w:sz w:val="21"/>
                      <w:szCs w:val="21"/>
                      <w:lang w:val="en-US" w:bidi="ar"/>
                    </w:rPr>
                    <w:t>存放于</w:t>
                  </w:r>
                  <w:r>
                    <w:rPr>
                      <w:rFonts w:hint="eastAsia" w:ascii="Times New Roman" w:hAnsi="Times New Roman" w:cs="Times New Roman"/>
                      <w:color w:val="auto"/>
                      <w:sz w:val="21"/>
                      <w:szCs w:val="21"/>
                    </w:rPr>
                    <w:t>封闭式原料料场；</w:t>
                  </w:r>
                </w:p>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rPr>
                    <w:t>粒径≤</w:t>
                  </w:r>
                  <w:r>
                    <w:rPr>
                      <w:rFonts w:hint="eastAsia" w:ascii="Times New Roman" w:hAnsi="Times New Roman" w:cs="Times New Roman"/>
                      <w:color w:val="auto"/>
                      <w:sz w:val="21"/>
                      <w:szCs w:val="21"/>
                      <w:lang w:val="en-US"/>
                    </w:rPr>
                    <w:t>5mm，</w:t>
                  </w:r>
                  <w:r>
                    <w:rPr>
                      <w:rFonts w:hint="eastAsia" w:ascii="Times New Roman" w:hAnsi="Times New Roman"/>
                      <w:color w:val="auto"/>
                      <w:kern w:val="2"/>
                      <w:sz w:val="21"/>
                      <w:szCs w:val="21"/>
                      <w:shd w:val="clear" w:color="auto" w:fill="FFFFFF"/>
                    </w:rPr>
                    <w:t>含泥量≤</w:t>
                  </w:r>
                  <w:r>
                    <w:rPr>
                      <w:rFonts w:ascii="Times New Roman" w:hAnsi="Times New Roman"/>
                      <w:color w:val="auto"/>
                      <w:kern w:val="2"/>
                      <w:sz w:val="21"/>
                      <w:szCs w:val="21"/>
                      <w:shd w:val="clear" w:color="auto" w:fill="FFFFFF"/>
                    </w:rPr>
                    <w:t>10%</w:t>
                  </w:r>
                  <w:r>
                    <w:rPr>
                      <w:rFonts w:hint="eastAsia" w:ascii="Times New Roman" w:hAnsi="Times New Roman"/>
                      <w:color w:val="auto"/>
                      <w:kern w:val="2"/>
                      <w:sz w:val="21"/>
                      <w:szCs w:val="21"/>
                      <w:shd w:val="clear" w:color="auto" w:fill="FFFFFF"/>
                    </w:rPr>
                    <w:t>；机制砂粒径≤</w:t>
                  </w:r>
                  <w:r>
                    <w:rPr>
                      <w:rFonts w:hint="eastAsia" w:ascii="Times New Roman" w:hAnsi="Times New Roman"/>
                      <w:color w:val="auto"/>
                      <w:kern w:val="2"/>
                      <w:sz w:val="21"/>
                      <w:szCs w:val="21"/>
                      <w:shd w:val="clear" w:color="auto" w:fill="FFFFFF"/>
                      <w:lang w:val="en-US"/>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5</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550" w:type="dxa"/>
                  <w:tcBorders>
                    <w:tl2br w:val="nil"/>
                    <w:tr2bl w:val="nil"/>
                  </w:tcBorders>
                  <w:vAlign w:val="center"/>
                </w:tcPr>
                <w:p>
                  <w:pPr>
                    <w:spacing w:line="300" w:lineRule="exact"/>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eastAsia="zh-CN"/>
                    </w:rPr>
                    <w:t>外加</w:t>
                  </w:r>
                  <w:r>
                    <w:rPr>
                      <w:rFonts w:ascii="Times New Roman" w:hAnsi="Times New Roman" w:cs="Times New Roman"/>
                      <w:color w:val="auto"/>
                      <w:sz w:val="21"/>
                      <w:szCs w:val="21"/>
                      <w:lang w:val="en-US"/>
                    </w:rPr>
                    <w:t>剂</w:t>
                  </w:r>
                </w:p>
              </w:tc>
              <w:tc>
                <w:tcPr>
                  <w:tcW w:w="1650"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0 </w:t>
                  </w:r>
                  <w:r>
                    <w:rPr>
                      <w:rFonts w:hint="eastAsia" w:ascii="Times New Roman" w:hAnsi="Times New Roman" w:cs="Times New Roman"/>
                      <w:color w:val="auto"/>
                      <w:sz w:val="21"/>
                      <w:szCs w:val="21"/>
                      <w:lang w:val="en-US" w:bidi="ar"/>
                    </w:rPr>
                    <w:t>t/a</w:t>
                  </w:r>
                </w:p>
              </w:tc>
              <w:tc>
                <w:tcPr>
                  <w:tcW w:w="1669"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2500</w:t>
                  </w:r>
                  <w:r>
                    <w:rPr>
                      <w:rFonts w:hint="eastAsia" w:ascii="Times New Roman" w:hAnsi="Times New Roman" w:cs="Times New Roman"/>
                      <w:color w:val="auto"/>
                      <w:sz w:val="21"/>
                      <w:szCs w:val="21"/>
                      <w:lang w:val="en-US"/>
                    </w:rPr>
                    <w:t xml:space="preserve"> </w:t>
                  </w:r>
                  <w:r>
                    <w:rPr>
                      <w:rFonts w:hint="eastAsia" w:ascii="Times New Roman" w:hAnsi="Times New Roman" w:cs="Times New Roman"/>
                      <w:color w:val="auto"/>
                      <w:sz w:val="21"/>
                      <w:szCs w:val="21"/>
                      <w:lang w:val="en-US" w:bidi="ar"/>
                    </w:rPr>
                    <w:t>t/a</w:t>
                  </w:r>
                </w:p>
              </w:tc>
              <w:tc>
                <w:tcPr>
                  <w:tcW w:w="184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rPr>
                    <w:t xml:space="preserve">2500 </w:t>
                  </w:r>
                  <w:r>
                    <w:rPr>
                      <w:rFonts w:hint="eastAsia" w:ascii="Times New Roman" w:hAnsi="Times New Roman" w:cs="Times New Roman"/>
                      <w:color w:val="auto"/>
                      <w:sz w:val="21"/>
                      <w:szCs w:val="21"/>
                      <w:lang w:val="en-US" w:bidi="ar"/>
                    </w:rPr>
                    <w:t>t/a</w:t>
                  </w:r>
                </w:p>
              </w:tc>
              <w:tc>
                <w:tcPr>
                  <w:tcW w:w="2342"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6</w:t>
                  </w:r>
                </w:p>
              </w:tc>
              <w:tc>
                <w:tcPr>
                  <w:tcW w:w="402"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能源</w:t>
                  </w: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新鲜水</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vertAlign w:val="subscript"/>
                      <w:lang w:val="en-US" w:bidi="ar"/>
                    </w:rPr>
                  </w:pPr>
                  <w:r>
                    <w:rPr>
                      <w:rFonts w:hint="eastAsia" w:ascii="Times New Roman" w:hAnsi="Times New Roman" w:cs="Times New Roman"/>
                      <w:color w:val="auto"/>
                      <w:sz w:val="21"/>
                      <w:szCs w:val="21"/>
                      <w:lang w:val="en-US"/>
                    </w:rPr>
                    <w:t>1062.5</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39432.5</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38370</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2342"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供水</w:t>
                  </w:r>
                  <w:r>
                    <w:rPr>
                      <w:rFonts w:hint="eastAsia"/>
                      <w:color w:val="auto"/>
                      <w:sz w:val="21"/>
                      <w:szCs w:val="21"/>
                      <w:lang w:bidi="ar"/>
                    </w:rPr>
                    <w:t>管网供水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天然气</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36万m</w:t>
                  </w:r>
                  <w:r>
                    <w:rPr>
                      <w:rFonts w:hint="eastAsia" w:ascii="Times New Roman" w:hAnsi="Times New Roman" w:cs="Times New Roman"/>
                      <w:color w:val="auto"/>
                      <w:sz w:val="21"/>
                      <w:szCs w:val="21"/>
                      <w:vertAlign w:val="superscript"/>
                      <w:lang w:val="en-US"/>
                    </w:rPr>
                    <w:t>3</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36万m</w:t>
                  </w:r>
                  <w:r>
                    <w:rPr>
                      <w:rFonts w:hint="eastAsia" w:ascii="Times New Roman" w:hAnsi="Times New Roman" w:cs="Times New Roman"/>
                      <w:color w:val="auto"/>
                      <w:sz w:val="21"/>
                      <w:szCs w:val="21"/>
                      <w:vertAlign w:val="superscript"/>
                      <w:lang w:val="en-US"/>
                    </w:rPr>
                    <w:t>3</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2342" w:type="dxa"/>
                  <w:tcBorders>
                    <w:tl2br w:val="nil"/>
                    <w:tr2bl w:val="nil"/>
                  </w:tcBorders>
                  <w:vAlign w:val="center"/>
                </w:tcPr>
                <w:p>
                  <w:pPr>
                    <w:textAlignment w:val="baseline"/>
                    <w:rPr>
                      <w:color w:val="auto"/>
                      <w:sz w:val="21"/>
                      <w:szCs w:val="21"/>
                      <w:lang w:bidi="ar"/>
                    </w:rPr>
                  </w:pPr>
                  <w:r>
                    <w:rPr>
                      <w:rFonts w:hint="eastAsia"/>
                      <w:color w:val="auto"/>
                      <w:sz w:val="21"/>
                      <w:szCs w:val="21"/>
                      <w:lang w:val="en-US"/>
                    </w:rPr>
                    <w:t>撬车运送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4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w:t>
                  </w:r>
                </w:p>
              </w:tc>
              <w:tc>
                <w:tcPr>
                  <w:tcW w:w="402"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p>
              </w:tc>
              <w:tc>
                <w:tcPr>
                  <w:tcW w:w="5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电</w:t>
                  </w:r>
                </w:p>
              </w:tc>
              <w:tc>
                <w:tcPr>
                  <w:tcW w:w="1650"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48.07</w:t>
                  </w:r>
                  <w:r>
                    <w:rPr>
                      <w:rFonts w:ascii="Times New Roman" w:hAnsi="Times New Roman" w:cs="Times New Roman"/>
                      <w:color w:val="auto"/>
                      <w:sz w:val="21"/>
                      <w:szCs w:val="21"/>
                      <w:lang w:val="en-US" w:bidi="ar"/>
                    </w:rPr>
                    <w:t>万kW・h</w:t>
                  </w:r>
                </w:p>
              </w:tc>
              <w:tc>
                <w:tcPr>
                  <w:tcW w:w="1669"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83.07</w:t>
                  </w:r>
                  <w:r>
                    <w:rPr>
                      <w:rFonts w:ascii="Times New Roman" w:hAnsi="Times New Roman" w:cs="Times New Roman"/>
                      <w:color w:val="auto"/>
                      <w:sz w:val="21"/>
                      <w:szCs w:val="21"/>
                      <w:lang w:val="en-US" w:bidi="ar"/>
                    </w:rPr>
                    <w:t>万kW・h</w:t>
                  </w:r>
                </w:p>
              </w:tc>
              <w:tc>
                <w:tcPr>
                  <w:tcW w:w="184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35</w:t>
                  </w:r>
                  <w:r>
                    <w:rPr>
                      <w:rFonts w:ascii="Times New Roman" w:hAnsi="Times New Roman" w:cs="Times New Roman"/>
                      <w:color w:val="auto"/>
                      <w:sz w:val="21"/>
                      <w:szCs w:val="21"/>
                      <w:lang w:val="en-US" w:bidi="ar"/>
                    </w:rPr>
                    <w:t>万kW・h</w:t>
                  </w:r>
                </w:p>
              </w:tc>
              <w:tc>
                <w:tcPr>
                  <w:tcW w:w="2342"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供电电网供电</w:t>
                  </w:r>
                </w:p>
              </w:tc>
            </w:tr>
          </w:tbl>
          <w:p>
            <w:pPr>
              <w:autoSpaceDE/>
              <w:autoSpaceDN/>
              <w:spacing w:line="400" w:lineRule="exact"/>
              <w:ind w:left="110" w:leftChars="50" w:firstLine="420" w:firstLineChars="200"/>
              <w:jc w:val="both"/>
              <w:rPr>
                <w:rFonts w:ascii="Times New Roman" w:hAnsi="Times New Roman" w:cs="Times New Roman"/>
                <w:bCs/>
                <w:snapToGrid w:val="0"/>
                <w:color w:val="auto"/>
                <w:sz w:val="21"/>
                <w:szCs w:val="21"/>
                <w:lang w:val="en-US"/>
              </w:rPr>
            </w:pPr>
            <w:r>
              <w:rPr>
                <w:rFonts w:ascii="Times New Roman" w:hAnsi="Times New Roman" w:cs="Times New Roman"/>
                <w:bCs/>
                <w:snapToGrid w:val="0"/>
                <w:color w:val="auto"/>
                <w:sz w:val="21"/>
                <w:szCs w:val="21"/>
                <w:lang w:val="en-US"/>
              </w:rPr>
              <w:t>本项目原辅材料的理化性质，见下表。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2.6</w:t>
            </w:r>
            <w:r>
              <w:rPr>
                <w:rFonts w:ascii="Times New Roman" w:hAnsi="Times New Roman" w:cs="Times New Roman"/>
                <w:b/>
                <w:bCs/>
                <w:color w:val="auto"/>
                <w:sz w:val="21"/>
                <w:szCs w:val="21"/>
                <w:lang w:val="en-US"/>
              </w:rPr>
              <w:t xml:space="preserve"> 本项目原辅材料成分信息表</w:t>
            </w:r>
          </w:p>
          <w:tbl>
            <w:tblPr>
              <w:tblStyle w:val="3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1"/>
              <w:gridCol w:w="6908"/>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7" w:hRule="atLeast"/>
                <w:jc w:val="center"/>
              </w:trPr>
              <w:tc>
                <w:tcPr>
                  <w:tcW w:w="705"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序号</w:t>
                  </w:r>
                </w:p>
              </w:tc>
              <w:tc>
                <w:tcPr>
                  <w:tcW w:w="1171"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名称</w:t>
                  </w:r>
                </w:p>
              </w:tc>
              <w:tc>
                <w:tcPr>
                  <w:tcW w:w="6908"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1</w:t>
                  </w:r>
                </w:p>
              </w:tc>
              <w:tc>
                <w:tcPr>
                  <w:tcW w:w="1171"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水泥</w:t>
                  </w:r>
                </w:p>
              </w:tc>
              <w:tc>
                <w:tcPr>
                  <w:tcW w:w="6975" w:type="dxa"/>
                  <w:gridSpan w:val="2"/>
                  <w:vAlign w:val="center"/>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color w:val="auto"/>
                      <w:sz w:val="21"/>
                      <w:szCs w:val="21"/>
                    </w:rPr>
                    <w:t>硅酸盐水泥，粉状水硬性无机胶凝材料。加水搅拌后成浆体，能在空气中硬化或者在水中硬化，并能把砂、石等材料牢固地胶结在一起</w:t>
                  </w:r>
                  <w:r>
                    <w:rPr>
                      <w:rFonts w:ascii="Times New Roman" w:hAnsi="Times New Roman" w:cs="Times New Roman"/>
                      <w:bCs/>
                      <w:snapToGrid w:val="0"/>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砂子</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主要为SiO</w:t>
                  </w:r>
                  <w:r>
                    <w:rPr>
                      <w:rFonts w:ascii="Times New Roman" w:hAnsi="Times New Roman" w:cs="Times New Roman"/>
                      <w:bCs/>
                      <w:color w:val="auto"/>
                      <w:sz w:val="21"/>
                      <w:szCs w:val="21"/>
                      <w:vertAlign w:val="subscript"/>
                      <w:lang w:val="en-US"/>
                    </w:rPr>
                    <w:t>2</w:t>
                  </w:r>
                  <w:r>
                    <w:rPr>
                      <w:rFonts w:ascii="Times New Roman" w:hAnsi="Times New Roman" w:cs="Times New Roman"/>
                      <w:bCs/>
                      <w:color w:val="auto"/>
                      <w:sz w:val="21"/>
                      <w:szCs w:val="21"/>
                      <w:lang w:val="en-US"/>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粉煤灰</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bidi="ar"/>
                    </w:rPr>
                    <w:t>4</w:t>
                  </w:r>
                </w:p>
              </w:tc>
              <w:tc>
                <w:tcPr>
                  <w:tcW w:w="1171" w:type="dxa"/>
                  <w:vAlign w:val="center"/>
                </w:tcPr>
                <w:p>
                  <w:pPr>
                    <w:spacing w:line="300" w:lineRule="exact"/>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eastAsia="zh-CN"/>
                    </w:rPr>
                    <w:t>外加</w:t>
                  </w:r>
                  <w:r>
                    <w:rPr>
                      <w:rFonts w:ascii="Times New Roman" w:hAnsi="Times New Roman" w:cs="Times New Roman"/>
                      <w:color w:val="auto"/>
                      <w:sz w:val="21"/>
                      <w:szCs w:val="21"/>
                      <w:lang w:val="en-US"/>
                    </w:rPr>
                    <w:t>剂</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葡萄糖酸钠缓凝剂，能够显著延缓凝结时间。在用量为0.15%以下时，起始凝结时间的对数与配加量成正比例关系，即配加量加一倍，初凝时间延迟到十倍，这就使能工作的时间从很少几个小时延长到几天而无损于强度，特别是在热天和需要放置的时间较长时。</w:t>
                  </w:r>
                </w:p>
              </w:tc>
            </w:tr>
          </w:tbl>
          <w:p>
            <w:pPr>
              <w:pStyle w:val="52"/>
              <w:spacing w:line="400" w:lineRule="exact"/>
              <w:ind w:firstLine="421" w:firstLineChars="200"/>
              <w:jc w:val="both"/>
              <w:rPr>
                <w:rFonts w:ascii="Times New Roman" w:hAnsi="Times New Roman" w:cs="Times New Roman"/>
                <w:b/>
                <w:snapToGrid w:val="0"/>
                <w:color w:val="auto"/>
                <w:sz w:val="21"/>
                <w:szCs w:val="21"/>
                <w:lang w:val="en-US"/>
              </w:rPr>
            </w:pPr>
            <w:r>
              <w:rPr>
                <w:rFonts w:hint="eastAsia" w:ascii="Times New Roman" w:hAnsi="Times New Roman" w:cs="Times New Roman"/>
                <w:b/>
                <w:snapToGrid w:val="0"/>
                <w:color w:val="auto"/>
                <w:sz w:val="21"/>
                <w:szCs w:val="21"/>
                <w:lang w:val="en-US"/>
              </w:rPr>
              <w:t>三</w:t>
            </w:r>
            <w:r>
              <w:rPr>
                <w:rFonts w:ascii="Times New Roman" w:hAnsi="Times New Roman" w:cs="Times New Roman"/>
                <w:b/>
                <w:snapToGrid w:val="0"/>
                <w:color w:val="auto"/>
                <w:sz w:val="21"/>
                <w:szCs w:val="21"/>
                <w:lang w:val="en-US"/>
              </w:rPr>
              <w:t>、公用工程</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rPr>
              <w:t>给排水</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1）现有工程</w:t>
            </w:r>
            <w:r>
              <w:rPr>
                <w:rFonts w:ascii="Times New Roman" w:hAnsi="Times New Roman" w:cs="Times New Roman"/>
                <w:b/>
                <w:bCs/>
                <w:color w:val="auto"/>
                <w:sz w:val="21"/>
                <w:szCs w:val="21"/>
              </w:rPr>
              <w:t>给排水</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企业提供的资料，企业现有干混砂浆生产线用水为生产用水、生活用水。劳动定员共25人，年有效工作时间为300天，厂区不设食堂及宿舍，生活用水主要为职工生活盥洗水，公司不设食堂、宿舍，根据参照《河北省地方标准生活与服务业用水定额第1部分：居民生活》（DB13/T5450.1—2021）表1居民生活用水定额S962农村</w:t>
            </w:r>
            <w:r>
              <w:rPr>
                <w:rFonts w:hint="eastAsia" w:ascii="Times New Roman" w:hAnsi="Times New Roman" w:cs="Times New Roman"/>
                <w:color w:val="auto"/>
                <w:sz w:val="21"/>
                <w:szCs w:val="21"/>
                <w:lang w:val="en-US" w:eastAsia="zh-CN"/>
              </w:rPr>
              <w:t>居</w:t>
            </w:r>
            <w:r>
              <w:rPr>
                <w:rFonts w:hint="eastAsia" w:ascii="Times New Roman" w:hAnsi="Times New Roman" w:cs="Times New Roman"/>
                <w:color w:val="auto"/>
                <w:sz w:val="21"/>
                <w:szCs w:val="21"/>
                <w:lang w:val="en-US"/>
              </w:rPr>
              <w:t>民用水定额，18.5m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/人/年，则职工生活用水量为1.54m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/d（462.5m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/a）。生产用水为封闭式原料厂房喷淋抑尘用水，采用新鲜水，用水量为2m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/d（600m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/a）。实际总用水量共计3.54m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/d（1062.5m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/a）。项目生产工艺无废水产生，抑尘用水不外排；生活污水水质简单，泼洒抑尘。项目厂区建设防渗旱厕，定期清掏，由附近农民用做农肥。全厂无废水外排。</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2）本项目</w:t>
            </w:r>
            <w:r>
              <w:rPr>
                <w:rFonts w:ascii="Times New Roman" w:hAnsi="Times New Roman" w:cs="Times New Roman"/>
                <w:b/>
                <w:bCs/>
                <w:color w:val="auto"/>
                <w:sz w:val="21"/>
                <w:szCs w:val="21"/>
              </w:rPr>
              <w:t>给排水</w:t>
            </w:r>
          </w:p>
          <w:p>
            <w:pPr>
              <w:autoSpaceDE/>
              <w:autoSpaceDN/>
              <w:spacing w:line="40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给水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本项目用水</w:t>
            </w:r>
            <w:r>
              <w:rPr>
                <w:rFonts w:ascii="Times New Roman" w:hAnsi="Times New Roman" w:cs="Times New Roman"/>
                <w:color w:val="auto"/>
                <w:sz w:val="21"/>
                <w:szCs w:val="21"/>
              </w:rPr>
              <w:t>由</w:t>
            </w:r>
            <w:r>
              <w:rPr>
                <w:rFonts w:hint="eastAsia" w:ascii="Times New Roman" w:hAnsi="Times New Roman" w:cs="Times New Roman"/>
                <w:color w:val="auto"/>
                <w:sz w:val="21"/>
                <w:szCs w:val="21"/>
              </w:rPr>
              <w:t>当地</w:t>
            </w:r>
            <w:r>
              <w:rPr>
                <w:rFonts w:ascii="Times New Roman" w:hAnsi="Times New Roman" w:cs="Times New Roman"/>
                <w:color w:val="auto"/>
                <w:sz w:val="21"/>
                <w:szCs w:val="21"/>
              </w:rPr>
              <w:t>供水管网提供</w:t>
            </w:r>
            <w:r>
              <w:rPr>
                <w:rFonts w:ascii="Times New Roman" w:hAnsi="Times New Roman" w:cs="Times New Roman"/>
                <w:color w:val="auto"/>
                <w:sz w:val="21"/>
                <w:szCs w:val="21"/>
                <w:lang w:val="en-US"/>
              </w:rPr>
              <w:t>，用水主要</w:t>
            </w:r>
            <w:r>
              <w:rPr>
                <w:rFonts w:hint="eastAsia" w:ascii="Times New Roman" w:hAnsi="Times New Roman" w:cs="Times New Roman"/>
                <w:color w:val="auto"/>
                <w:sz w:val="21"/>
                <w:szCs w:val="21"/>
                <w:lang w:val="en-US"/>
              </w:rPr>
              <w:t>为生活用水、</w:t>
            </w:r>
            <w:r>
              <w:rPr>
                <w:rFonts w:ascii="Times New Roman" w:hAnsi="Times New Roman" w:cs="Times New Roman"/>
                <w:color w:val="auto"/>
                <w:sz w:val="21"/>
                <w:szCs w:val="21"/>
                <w:lang w:val="en-US"/>
              </w:rPr>
              <w:t>拌和用水</w:t>
            </w:r>
            <w:r>
              <w:rPr>
                <w:rFonts w:hint="eastAsia" w:ascii="Times New Roman" w:hAnsi="Times New Roman" w:cs="Times New Roman"/>
                <w:color w:val="auto"/>
                <w:sz w:val="21"/>
                <w:szCs w:val="21"/>
                <w:lang w:val="en-US"/>
              </w:rPr>
              <w:t>、喷淋用水</w:t>
            </w:r>
            <w:r>
              <w:rPr>
                <w:rFonts w:ascii="Times New Roman" w:hAnsi="Times New Roman" w:cs="Times New Roman"/>
                <w:color w:val="auto"/>
                <w:sz w:val="21"/>
                <w:szCs w:val="21"/>
                <w:lang w:val="en-US"/>
              </w:rPr>
              <w:t>及车辆冲洗水。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①生活用水：</w:t>
            </w:r>
            <w:r>
              <w:rPr>
                <w:rFonts w:hint="eastAsia" w:ascii="Times New Roman" w:hAnsi="Times New Roman" w:cs="Times New Roman"/>
                <w:color w:val="auto"/>
                <w:sz w:val="21"/>
                <w:szCs w:val="21"/>
                <w:lang w:val="en-US"/>
              </w:rPr>
              <w:t>厂区劳动定员共有25人，年有效工作时间为300天，本项目员工从现有25人中调配10人。不新增生活用水。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②</w:t>
            </w:r>
            <w:r>
              <w:rPr>
                <w:rFonts w:ascii="Times New Roman" w:hAnsi="Times New Roman" w:cs="Times New Roman"/>
                <w:b/>
                <w:bCs/>
                <w:color w:val="auto"/>
                <w:sz w:val="21"/>
                <w:szCs w:val="21"/>
                <w:lang w:val="en-US"/>
              </w:rPr>
              <w:t>拌和用水：</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拌和用水添加至</w:t>
            </w:r>
            <w:r>
              <w:rPr>
                <w:rFonts w:hint="eastAsia" w:ascii="Times New Roman" w:hAnsi="Times New Roman" w:cs="Times New Roman"/>
                <w:color w:val="auto"/>
                <w:sz w:val="21"/>
                <w:szCs w:val="21"/>
                <w:lang w:val="en-US"/>
              </w:rPr>
              <w:t>砂浆</w:t>
            </w:r>
            <w:r>
              <w:rPr>
                <w:rFonts w:ascii="Times New Roman" w:hAnsi="Times New Roman" w:cs="Times New Roman"/>
                <w:color w:val="auto"/>
                <w:sz w:val="21"/>
                <w:szCs w:val="21"/>
                <w:lang w:val="en-US"/>
              </w:rPr>
              <w:t>混合料中，随成品带走。根据企业提供</w:t>
            </w:r>
            <w:r>
              <w:rPr>
                <w:rFonts w:hint="eastAsia" w:ascii="Times New Roman" w:hAnsi="Times New Roman" w:cs="Times New Roman"/>
                <w:color w:val="auto"/>
                <w:sz w:val="21"/>
                <w:szCs w:val="21"/>
                <w:lang w:val="en-US"/>
              </w:rPr>
              <w:t>资料，考虑蒸发损失，单方砂浆中含水量平均为150kg/m</w:t>
            </w:r>
            <w:r>
              <w:rPr>
                <w:rFonts w:hint="eastAsia"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，本项目</w:t>
            </w:r>
            <w:r>
              <w:rPr>
                <w:rFonts w:ascii="Times New Roman" w:hAnsi="Times New Roman" w:cs="Times New Roman"/>
                <w:color w:val="auto"/>
                <w:sz w:val="21"/>
                <w:szCs w:val="21"/>
              </w:rPr>
              <w:t>年产</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lang w:val="en-US"/>
              </w:rPr>
              <w:t>，则拌和用水量为</w:t>
            </w:r>
            <w:r>
              <w:rPr>
                <w:rFonts w:hint="eastAsia" w:ascii="Times New Roman" w:hAnsi="Times New Roman" w:cs="Times New Roman"/>
                <w:color w:val="auto"/>
                <w:sz w:val="21"/>
                <w:szCs w:val="21"/>
                <w:lang w:val="en-US"/>
              </w:rPr>
              <w:t>375</w:t>
            </w:r>
            <w:r>
              <w:rPr>
                <w:rFonts w:hint="eastAsia" w:ascii="Times New Roman" w:hAnsi="Times New Roman" w:cs="Times New Roman"/>
                <w:color w:val="auto"/>
                <w:sz w:val="21"/>
                <w:szCs w:val="21"/>
                <w:lang w:val="en-US" w:bidi="ar"/>
              </w:rPr>
              <w:t>00</w:t>
            </w:r>
            <w:r>
              <w:rPr>
                <w:rFonts w:ascii="Times New Roman" w:hAnsi="Times New Roman" w:cs="Times New Roman"/>
                <w:color w:val="auto"/>
                <w:sz w:val="21"/>
                <w:szCs w:val="21"/>
                <w:lang w:val="en-US"/>
              </w:rPr>
              <w:t>t/a，日用水量为</w:t>
            </w:r>
            <w:r>
              <w:rPr>
                <w:rFonts w:hint="eastAsia" w:ascii="Times New Roman" w:hAnsi="Times New Roman" w:cs="Times New Roman"/>
                <w:color w:val="auto"/>
                <w:sz w:val="21"/>
                <w:szCs w:val="21"/>
                <w:lang w:val="en-US"/>
              </w:rPr>
              <w:t>125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37500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喷淋用水：</w:t>
            </w:r>
            <w:r>
              <w:rPr>
                <w:rFonts w:ascii="Times New Roman" w:hAnsi="Times New Roman" w:cs="Times New Roman"/>
                <w:color w:val="auto"/>
                <w:sz w:val="21"/>
                <w:szCs w:val="21"/>
                <w:lang w:val="en-US"/>
              </w:rPr>
              <w:t>本项目在骨料存放区上方加装喷淋设备，喷淋采用新鲜水，每日用水量为2.0m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600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车辆冲洗用水：</w:t>
            </w:r>
            <w:r>
              <w:rPr>
                <w:rFonts w:ascii="Times New Roman" w:hAnsi="Times New Roman" w:cs="Times New Roman"/>
                <w:color w:val="auto"/>
                <w:sz w:val="21"/>
                <w:szCs w:val="21"/>
                <w:lang w:val="en-US"/>
              </w:rPr>
              <w:t>本项目在进出厂位置设置车辆洗车平台，对进出车辆进行冲洗，车辆冲洗用水可以循环使用，需定期补充新鲜水。车辆冲洗用水量约为4.5m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/d，循环水量为</w:t>
            </w:r>
            <w:r>
              <w:rPr>
                <w:rFonts w:ascii="Times New Roman" w:hAnsi="Times New Roman" w:cs="Times New Roman"/>
                <w:color w:val="auto"/>
                <w:sz w:val="21"/>
                <w:szCs w:val="21"/>
                <w:lang w:val="en-US" w:bidi="ar-SA"/>
              </w:rPr>
              <w:t>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，每日补充新鲜水0.9</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270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综上所述，项目建成后全厂新鲜用水量为</w:t>
            </w:r>
            <w:r>
              <w:rPr>
                <w:rFonts w:hint="eastAsia" w:ascii="Times New Roman" w:hAnsi="Times New Roman" w:cs="Times New Roman"/>
                <w:color w:val="auto"/>
                <w:sz w:val="21"/>
                <w:szCs w:val="21"/>
                <w:lang w:val="en-US" w:bidi="ar"/>
              </w:rPr>
              <w:t>170</w:t>
            </w:r>
            <w:r>
              <w:rPr>
                <w:rFonts w:ascii="Times New Roman" w:hAnsi="Times New Roman" w:cs="Times New Roman"/>
                <w:color w:val="auto"/>
                <w:sz w:val="21"/>
                <w:szCs w:val="21"/>
                <w:lang w:val="en-US" w:bidi="ar"/>
              </w:rPr>
              <w:t>.38</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51114</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/a），循环水量为</w:t>
            </w:r>
            <w:r>
              <w:rPr>
                <w:rFonts w:ascii="Times New Roman" w:hAnsi="Times New Roman" w:cs="Times New Roman"/>
                <w:color w:val="auto"/>
                <w:sz w:val="21"/>
                <w:szCs w:val="21"/>
                <w:lang w:val="en-US" w:bidi="ar-SA"/>
              </w:rPr>
              <w:t>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1080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排水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①</w:t>
            </w:r>
            <w:r>
              <w:rPr>
                <w:rFonts w:ascii="Times New Roman" w:hAnsi="Times New Roman" w:cs="Times New Roman"/>
                <w:b/>
                <w:bCs/>
                <w:color w:val="auto"/>
                <w:kern w:val="2"/>
                <w:sz w:val="21"/>
                <w:szCs w:val="21"/>
                <w:lang w:val="en-US" w:bidi="ar-SA"/>
              </w:rPr>
              <w:t>生活污水</w:t>
            </w:r>
            <w:r>
              <w:rPr>
                <w:rFonts w:hint="eastAsia" w:ascii="Times New Roman" w:hAnsi="Times New Roman" w:cs="Times New Roman"/>
                <w:b/>
                <w:bCs/>
                <w:color w:val="auto"/>
                <w:kern w:val="2"/>
                <w:sz w:val="21"/>
                <w:szCs w:val="21"/>
                <w:lang w:val="en-US" w:bidi="ar-SA"/>
              </w:rPr>
              <w:t>：</w:t>
            </w:r>
            <w:r>
              <w:rPr>
                <w:rFonts w:hint="eastAsia" w:ascii="Times New Roman" w:hAnsi="Times New Roman" w:cs="Times New Roman"/>
                <w:color w:val="auto"/>
                <w:kern w:val="2"/>
                <w:sz w:val="21"/>
                <w:szCs w:val="21"/>
                <w:lang w:val="en-US" w:bidi="ar-SA"/>
              </w:rPr>
              <w:t>本项目不新增定员，不新增生活污水。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②</w:t>
            </w:r>
            <w:r>
              <w:rPr>
                <w:rFonts w:ascii="Times New Roman" w:hAnsi="Times New Roman" w:cs="Times New Roman"/>
                <w:b/>
                <w:bCs/>
                <w:color w:val="auto"/>
                <w:sz w:val="21"/>
                <w:szCs w:val="21"/>
                <w:lang w:val="en-US" w:bidi="ar-SA"/>
              </w:rPr>
              <w:t>车辆冲洗废水：</w:t>
            </w:r>
            <w:r>
              <w:rPr>
                <w:rFonts w:ascii="Times New Roman" w:hAnsi="Times New Roman" w:cs="Times New Roman"/>
                <w:color w:val="auto"/>
                <w:sz w:val="21"/>
                <w:szCs w:val="21"/>
                <w:lang w:val="en-US" w:bidi="ar-SA"/>
              </w:rPr>
              <w:t>车辆冲洗废水产生量按用水量的80%计算，根据上文可知，车辆冲洗用水量为</w:t>
            </w:r>
            <w:r>
              <w:rPr>
                <w:rFonts w:ascii="Times New Roman" w:hAnsi="Times New Roman" w:cs="Times New Roman"/>
                <w:color w:val="auto"/>
                <w:sz w:val="21"/>
                <w:szCs w:val="21"/>
                <w:lang w:val="en-US"/>
              </w:rPr>
              <w:t>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ascii="Times New Roman" w:hAnsi="Times New Roman" w:cs="Times New Roman"/>
                <w:color w:val="auto"/>
                <w:sz w:val="21"/>
                <w:szCs w:val="21"/>
                <w:lang w:val="en-US" w:bidi="ar-SA"/>
              </w:rPr>
              <w:t>，则车辆冲洗废水的产生量约为3.6m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沉淀池沉淀后，回用于车辆冲洗，不外排。</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综上所述，</w:t>
            </w:r>
            <w:r>
              <w:rPr>
                <w:rFonts w:hint="eastAsia" w:ascii="Times New Roman" w:hAnsi="Times New Roman" w:cs="Times New Roman"/>
                <w:color w:val="auto"/>
                <w:sz w:val="21"/>
                <w:szCs w:val="21"/>
                <w:lang w:val="en-US" w:bidi="ar-SA"/>
              </w:rPr>
              <w:t>项目建设无废水外排</w:t>
            </w:r>
            <w:r>
              <w:rPr>
                <w:rFonts w:ascii="Times New Roman" w:hAnsi="Times New Roman" w:cs="Times New Roman"/>
                <w:color w:val="auto"/>
                <w:sz w:val="21"/>
                <w:szCs w:val="21"/>
                <w:lang w:val="en-US" w:bidi="ar-SA"/>
              </w:rPr>
              <w:t>。</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3）扩建后全厂</w:t>
            </w:r>
            <w:r>
              <w:rPr>
                <w:rFonts w:ascii="Times New Roman" w:hAnsi="Times New Roman" w:cs="Times New Roman"/>
                <w:b/>
                <w:bCs/>
                <w:color w:val="auto"/>
                <w:sz w:val="21"/>
                <w:szCs w:val="21"/>
              </w:rPr>
              <w:t>给排水</w:t>
            </w:r>
          </w:p>
          <w:p>
            <w:pPr>
              <w:autoSpaceDE/>
              <w:autoSpaceDN/>
              <w:spacing w:line="400" w:lineRule="exact"/>
              <w:ind w:left="110" w:leftChars="50" w:firstLine="420" w:firstLineChars="200"/>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扩建后全厂用水主要为：生活用水、车辆冲洗用水、拌合用水、喷淋用水、原有项目厂房喷淋用水，总用水量共计39432.5m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/a，回用水用量为1080m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/a。项目生产工艺无废水产生，产品拌和用水全部由产品带走，废水主要为车辆清洗废水和生活污水，共计1450m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/a，其中生活污水水质简单，泼洒抑尘，厂区设</w:t>
            </w:r>
            <w:r>
              <w:rPr>
                <w:rFonts w:hint="eastAsia" w:ascii="Times New Roman" w:hAnsi="Times New Roman" w:cs="Times New Roman"/>
                <w:color w:val="auto"/>
                <w:sz w:val="21"/>
                <w:szCs w:val="21"/>
                <w:lang w:val="en-US" w:eastAsia="zh-CN"/>
              </w:rPr>
              <w:t>防渗</w:t>
            </w:r>
            <w:r>
              <w:rPr>
                <w:rFonts w:hint="eastAsia" w:ascii="Times New Roman" w:hAnsi="Times New Roman" w:cs="Times New Roman"/>
                <w:color w:val="auto"/>
                <w:sz w:val="21"/>
                <w:szCs w:val="21"/>
                <w:lang w:val="en-US"/>
              </w:rPr>
              <w:t>旱厕，定期清掏用作农肥。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扩建项目</w:t>
            </w:r>
            <w:r>
              <w:rPr>
                <w:rFonts w:hint="default" w:ascii="Times New Roman" w:hAnsi="Times New Roman" w:cs="Times New Roman"/>
                <w:b/>
                <w:bCs/>
                <w:color w:val="auto"/>
                <w:sz w:val="21"/>
                <w:szCs w:val="21"/>
                <w:lang w:val="en-US" w:eastAsia="zh-CN"/>
              </w:rPr>
              <w:t>给排水情况一览表      单位m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a</w:t>
            </w:r>
          </w:p>
          <w:tbl>
            <w:tblPr>
              <w:tblStyle w:val="33"/>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5"/>
              <w:gridCol w:w="855"/>
              <w:gridCol w:w="1035"/>
              <w:gridCol w:w="1080"/>
              <w:gridCol w:w="90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用水环节</w:t>
                  </w:r>
                </w:p>
              </w:tc>
              <w:tc>
                <w:tcPr>
                  <w:tcW w:w="30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总</w:t>
                  </w:r>
                  <w:r>
                    <w:rPr>
                      <w:rFonts w:hint="default" w:ascii="Times New Roman" w:hAnsi="Times New Roman" w:cs="Times New Roman"/>
                      <w:b/>
                      <w:bCs/>
                      <w:color w:val="auto"/>
                      <w:sz w:val="21"/>
                      <w:szCs w:val="21"/>
                      <w:vertAlign w:val="baseline"/>
                      <w:lang w:val="en-US" w:eastAsia="zh-CN"/>
                    </w:rPr>
                    <w:t>用水量</w:t>
                  </w:r>
                </w:p>
              </w:tc>
              <w:tc>
                <w:tcPr>
                  <w:tcW w:w="108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损耗量</w:t>
                  </w:r>
                </w:p>
              </w:tc>
              <w:tc>
                <w:tcPr>
                  <w:tcW w:w="900"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排放量</w:t>
                  </w:r>
                </w:p>
              </w:tc>
              <w:tc>
                <w:tcPr>
                  <w:tcW w:w="1261" w:type="dxa"/>
                  <w:vMerge w:val="restart"/>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i w:val="0"/>
                      <w:iCs w:val="0"/>
                      <w:color w:val="auto"/>
                      <w:kern w:val="0"/>
                      <w:sz w:val="21"/>
                      <w:szCs w:val="21"/>
                      <w:u w:val="none"/>
                      <w:lang w:val="en-US"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新鲜水</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回用水</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合计</w:t>
                  </w:r>
                </w:p>
              </w:tc>
              <w:tc>
                <w:tcPr>
                  <w:tcW w:w="10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9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c>
                <w:tcPr>
                  <w:tcW w:w="126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cs="宋体"/>
                      <w:i w:val="0"/>
                      <w:iCs w:val="0"/>
                      <w:color w:val="auto"/>
                      <w:kern w:val="0"/>
                      <w:sz w:val="21"/>
                      <w:szCs w:val="21"/>
                      <w:u w:val="none"/>
                      <w:lang w:val="en-US" w:eastAsia="zh-CN" w:bidi="ar"/>
                    </w:rPr>
                    <w:t>喷雾降尘</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用于厂区抑尘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车辆冲洗洗</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270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1350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270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回用于车辆清洗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拌合用水</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37500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产品用水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合计</w:t>
                  </w:r>
                </w:p>
              </w:tc>
              <w:tc>
                <w:tcPr>
                  <w:tcW w:w="11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38370</w:t>
                  </w:r>
                </w:p>
              </w:tc>
              <w:tc>
                <w:tcPr>
                  <w:tcW w:w="85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0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39450</w:t>
                  </w:r>
                </w:p>
              </w:tc>
              <w:tc>
                <w:tcPr>
                  <w:tcW w:w="1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38370</w:t>
                  </w:r>
                </w:p>
              </w:tc>
              <w:tc>
                <w:tcPr>
                  <w:tcW w:w="90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1080</w:t>
                  </w:r>
                </w:p>
              </w:tc>
              <w:tc>
                <w:tcPr>
                  <w:tcW w:w="126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r>
          </w:tbl>
          <w:p>
            <w:pPr>
              <w:autoSpaceDE/>
              <w:autoSpaceDN/>
              <w:spacing w:line="400" w:lineRule="exact"/>
              <w:ind w:left="110" w:leftChars="50" w:firstLine="420" w:firstLineChars="200"/>
              <w:rPr>
                <w:color w:val="auto"/>
                <w:sz w:val="21"/>
                <w:szCs w:val="21"/>
                <w:lang w:bidi="ar"/>
              </w:rPr>
            </w:pPr>
            <w:r>
              <w:rPr>
                <w:rFonts w:ascii="Times New Roman" w:hAnsi="Times New Roman" w:cs="Times New Roman"/>
                <w:color w:val="auto"/>
                <w:sz w:val="21"/>
                <w:szCs w:val="21"/>
                <w:lang w:val="en-US" w:bidi="ar-SA"/>
              </w:rPr>
              <mc:AlternateContent>
                <mc:Choice Requires="wpc">
                  <w:drawing>
                    <wp:anchor distT="0" distB="0" distL="114300" distR="114300" simplePos="0" relativeHeight="251669504" behindDoc="0" locked="0" layoutInCell="1" allowOverlap="1">
                      <wp:simplePos x="0" y="0"/>
                      <wp:positionH relativeFrom="column">
                        <wp:posOffset>229870</wp:posOffset>
                      </wp:positionH>
                      <wp:positionV relativeFrom="paragraph">
                        <wp:posOffset>25400</wp:posOffset>
                      </wp:positionV>
                      <wp:extent cx="5342255" cy="3902710"/>
                      <wp:effectExtent l="0" t="0" r="0" b="0"/>
                      <wp:wrapTopAndBottom/>
                      <wp:docPr id="13" name="画布 1087"/>
                      <wp:cNvGraphicFramePr/>
                      <a:graphic xmlns:a="http://schemas.openxmlformats.org/drawingml/2006/main">
                        <a:graphicData uri="http://schemas.microsoft.com/office/word/2010/wordprocessingCanvas">
                          <wpc:wpc>
                            <wpc:bg>
                              <a:noFill/>
                            </wpc:bg>
                            <wpc:whole>
                              <a:ln>
                                <a:noFill/>
                              </a:ln>
                            </wpc:whole>
                            <wps:wsp>
                              <wps:cNvPr id="213" name="文本框 1089"/>
                              <wps:cNvSpPr txBox="true"/>
                              <wps:spPr>
                                <a:xfrm>
                                  <a:off x="9525" y="821055"/>
                                  <a:ext cx="609600" cy="304800"/>
                                </a:xfrm>
                                <a:prstGeom prst="rect">
                                  <a:avLst/>
                                </a:prstGeom>
                                <a:solidFill>
                                  <a:srgbClr val="FFFFFF"/>
                                </a:solidFill>
                                <a:ln>
                                  <a:noFill/>
                                </a:ln>
                              </wps:spPr>
                              <wps:txbx>
                                <w:txbxContent>
                                  <w:p>
                                    <w:pPr>
                                      <w:rPr>
                                        <w:lang w:val="en-US"/>
                                      </w:rPr>
                                    </w:pPr>
                                    <w:r>
                                      <w:rPr>
                                        <w:rFonts w:hint="eastAsia"/>
                                        <w:lang w:val="en-US"/>
                                      </w:rPr>
                                      <w:t>新鲜水</w:t>
                                    </w:r>
                                  </w:p>
                                </w:txbxContent>
                              </wps:txbx>
                              <wps:bodyPr upright="true"/>
                            </wps:wsp>
                            <wps:wsp>
                              <wps:cNvPr id="214"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215" name="文本框 1091"/>
                              <wps:cNvSpPr txBox="true"/>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车辆冲洗</w:t>
                                    </w:r>
                                  </w:p>
                                </w:txbxContent>
                              </wps:txbx>
                              <wps:bodyPr upright="true"/>
                            </wps:wsp>
                            <wps:wsp>
                              <wps:cNvPr id="216" name="自选图形 1094"/>
                              <wps:cNvCnPr/>
                              <wps:spPr>
                                <a:xfrm flipV="true">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217" name="文本框 1093"/>
                              <wps:cNvSpPr txBox="true"/>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沉淀池</w:t>
                                    </w:r>
                                  </w:p>
                                </w:txbxContent>
                              </wps:txbx>
                              <wps:bodyPr upright="true"/>
                            </wps:wsp>
                            <wps:wsp>
                              <wps:cNvPr id="218"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219" name="自选图形 1427"/>
                              <wps:cNvCnPr/>
                              <wps:spPr>
                                <a:xfrm rot="5400000" flipH="true">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220" name="文本框 1429"/>
                              <wps:cNvSpPr txBox="true"/>
                              <wps:spPr>
                                <a:xfrm>
                                  <a:off x="2668905" y="1043305"/>
                                  <a:ext cx="776605" cy="24765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wps:txbx>
                              <wps:bodyPr upright="true"/>
                            </wps:wsp>
                            <wps:wsp>
                              <wps:cNvPr id="221" name="文本框 1432"/>
                              <wps:cNvSpPr txBox="true"/>
                              <wps:spPr>
                                <a:xfrm>
                                  <a:off x="1264285" y="1071245"/>
                                  <a:ext cx="43180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wps:txbx>
                              <wps:bodyPr upright="true"/>
                            </wps:wsp>
                            <wps:wsp>
                              <wps:cNvPr id="222" name="文本框 1433"/>
                              <wps:cNvSpPr txBox="true"/>
                              <wps:spPr>
                                <a:xfrm>
                                  <a:off x="1941830" y="915670"/>
                                  <a:ext cx="50927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wps:txbx>
                              <wps:bodyPr upright="true"/>
                            </wps:wsp>
                            <wps:wsp>
                              <wps:cNvPr id="223" name="文本框 1434"/>
                              <wps:cNvSpPr txBox="true"/>
                              <wps:spPr>
                                <a:xfrm>
                                  <a:off x="473710" y="715645"/>
                                  <a:ext cx="741045" cy="27686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39432.5</w:t>
                                    </w:r>
                                  </w:p>
                                </w:txbxContent>
                              </wps:txbx>
                              <wps:bodyPr upright="true"/>
                            </wps:wsp>
                            <wps:wsp>
                              <wps:cNvPr id="224" name="文本框 78"/>
                              <wps:cNvSpPr txBox="true"/>
                              <wps:spPr>
                                <a:xfrm>
                                  <a:off x="786765" y="3492500"/>
                                  <a:ext cx="3975100" cy="304800"/>
                                </a:xfrm>
                                <a:prstGeom prst="rect">
                                  <a:avLst/>
                                </a:prstGeom>
                                <a:noFill/>
                                <a:ln w="9525">
                                  <a:noFill/>
                                </a:ln>
                                <a:effectLst/>
                              </wps:spPr>
                              <wps:txbx>
                                <w:txbxContent>
                                  <w:p>
                                    <w:pPr>
                                      <w:jc w:val="center"/>
                                      <w:rPr>
                                        <w:rFonts w:ascii="Times New Roman" w:hAnsi="Times New Roman" w:cs="Times New Roman"/>
                                        <w:b/>
                                        <w:bCs/>
                                        <w:sz w:val="21"/>
                                        <w:szCs w:val="21"/>
                                        <w:lang w:val="en-US"/>
                                      </w:rPr>
                                    </w:pPr>
                                    <w:r>
                                      <w:rPr>
                                        <w:rFonts w:ascii="Times New Roman" w:hAnsi="Times New Roman" w:cs="Times New Roman"/>
                                        <w:b/>
                                        <w:bCs/>
                                        <w:sz w:val="21"/>
                                        <w:szCs w:val="21"/>
                                      </w:rPr>
                                      <w:t>图</w:t>
                                    </w:r>
                                    <w:r>
                                      <w:rPr>
                                        <w:rFonts w:ascii="Times New Roman" w:hAnsi="Times New Roman" w:cs="Times New Roman"/>
                                        <w:b/>
                                        <w:bCs/>
                                        <w:sz w:val="21"/>
                                        <w:szCs w:val="21"/>
                                        <w:lang w:val="en-US"/>
                                      </w:rPr>
                                      <w:t>2.</w:t>
                                    </w:r>
                                    <w:r>
                                      <w:rPr>
                                        <w:rFonts w:hint="eastAsia" w:ascii="Times New Roman" w:hAnsi="Times New Roman" w:cs="Times New Roman"/>
                                        <w:b/>
                                        <w:bCs/>
                                        <w:sz w:val="21"/>
                                        <w:szCs w:val="21"/>
                                        <w:lang w:val="en-US"/>
                                      </w:rPr>
                                      <w:t>1</w:t>
                                    </w:r>
                                    <w:r>
                                      <w:rPr>
                                        <w:rFonts w:ascii="Times New Roman" w:hAnsi="Times New Roman" w:cs="Times New Roman"/>
                                        <w:b/>
                                        <w:bCs/>
                                        <w:sz w:val="21"/>
                                        <w:szCs w:val="21"/>
                                        <w:lang w:val="en-US"/>
                                      </w:rPr>
                                      <w:t xml:space="preserve">  </w:t>
                                    </w:r>
                                    <w:r>
                                      <w:rPr>
                                        <w:rFonts w:hint="eastAsia" w:ascii="Times New Roman" w:hAnsi="Times New Roman" w:cs="Times New Roman"/>
                                        <w:b/>
                                        <w:bCs/>
                                        <w:sz w:val="21"/>
                                        <w:szCs w:val="21"/>
                                        <w:lang w:val="en-US"/>
                                      </w:rPr>
                                      <w:t>扩建后全厂</w:t>
                                    </w:r>
                                    <w:r>
                                      <w:rPr>
                                        <w:rFonts w:ascii="Times New Roman" w:hAnsi="Times New Roman" w:cs="Times New Roman"/>
                                        <w:b/>
                                        <w:bCs/>
                                        <w:sz w:val="21"/>
                                        <w:szCs w:val="21"/>
                                        <w:lang w:val="en-US"/>
                                      </w:rPr>
                                      <w:t>给排水平衡图</w:t>
                                    </w:r>
                                    <w:r>
                                      <w:rPr>
                                        <w:rFonts w:hint="eastAsia"/>
                                        <w:b/>
                                        <w:bCs/>
                                        <w:lang w:val="en-US"/>
                                      </w:rPr>
                                      <w:t>（</w:t>
                                    </w:r>
                                    <w:r>
                                      <w:rPr>
                                        <w:rFonts w:hint="eastAsia" w:ascii="Times New Roman" w:hAnsi="Times New Roman" w:cs="Times New Roman"/>
                                        <w:b/>
                                        <w:bCs/>
                                        <w:sz w:val="21"/>
                                        <w:szCs w:val="21"/>
                                        <w:lang w:val="en-US"/>
                                      </w:rPr>
                                      <w:t>t</w:t>
                                    </w:r>
                                    <w:r>
                                      <w:rPr>
                                        <w:rFonts w:ascii="Times New Roman" w:hAnsi="Times New Roman" w:cs="Times New Roman"/>
                                        <w:b/>
                                        <w:bCs/>
                                        <w:sz w:val="21"/>
                                        <w:szCs w:val="21"/>
                                        <w:lang w:val="en-US"/>
                                      </w:rPr>
                                      <w:t>/</w:t>
                                    </w:r>
                                    <w:r>
                                      <w:rPr>
                                        <w:rFonts w:hint="eastAsia" w:ascii="Times New Roman" w:hAnsi="Times New Roman" w:cs="Times New Roman"/>
                                        <w:b/>
                                        <w:bCs/>
                                        <w:sz w:val="21"/>
                                        <w:szCs w:val="21"/>
                                        <w:lang w:val="en-US"/>
                                      </w:rPr>
                                      <w:t>a）</w:t>
                                    </w:r>
                                  </w:p>
                                </w:txbxContent>
                              </wps:txbx>
                              <wps:bodyPr upright="true"/>
                            </wps:wsp>
                            <wps:wsp>
                              <wps:cNvPr id="225" name="文本框 1429"/>
                              <wps:cNvSpPr txBox="true"/>
                              <wps:spPr>
                                <a:xfrm>
                                  <a:off x="2714625" y="1322705"/>
                                  <a:ext cx="503555" cy="24765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wps:txbx>
                              <wps:bodyPr upright="true"/>
                            </wps:wsp>
                            <wps:wsp>
                              <wps:cNvPr id="226" name="文本框 1091"/>
                              <wps:cNvSpPr txBox="true"/>
                              <wps:spPr>
                                <a:xfrm>
                                  <a:off x="1798955" y="186563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lang w:val="en-US"/>
                                      </w:rPr>
                                      <w:t>拌合用水</w:t>
                                    </w:r>
                                  </w:p>
                                </w:txbxContent>
                              </wps:txbx>
                              <wps:bodyPr upright="true"/>
                            </wps:wsp>
                            <wps:wsp>
                              <wps:cNvPr id="227" name="自选图形 1413"/>
                              <wps:cNvCnPr/>
                              <wps:spPr>
                                <a:xfrm>
                                  <a:off x="619125" y="973455"/>
                                  <a:ext cx="1179830" cy="1035050"/>
                                </a:xfrm>
                                <a:prstGeom prst="bentConnector3">
                                  <a:avLst>
                                    <a:gd name="adj1" fmla="val 42734"/>
                                  </a:avLst>
                                </a:prstGeom>
                                <a:ln w="9525" cap="flat" cmpd="sng">
                                  <a:solidFill>
                                    <a:srgbClr val="000000"/>
                                  </a:solidFill>
                                  <a:prstDash val="solid"/>
                                  <a:miter/>
                                  <a:headEnd type="none" w="med" len="med"/>
                                  <a:tailEnd type="triangle" w="med" len="med"/>
                                </a:ln>
                              </wps:spPr>
                              <wps:bodyPr/>
                            </wps:wsp>
                            <wps:wsp>
                              <wps:cNvPr id="228" name="文本框 1091"/>
                              <wps:cNvSpPr txBox="true"/>
                              <wps:spPr>
                                <a:xfrm>
                                  <a:off x="1722755" y="3056255"/>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ascii="Times New Roman" w:hAnsi="Times New Roman" w:cs="Times New Roman"/>
                                        <w:sz w:val="21"/>
                                        <w:szCs w:val="21"/>
                                        <w:lang w:val="en-US"/>
                                      </w:rPr>
                                      <w:t>生活用水</w:t>
                                    </w:r>
                                  </w:p>
                                </w:txbxContent>
                              </wps:txbx>
                              <wps:bodyPr upright="true"/>
                            </wps:wsp>
                            <wps:wsp>
                              <wps:cNvPr id="229" name="文本框 1091"/>
                              <wps:cNvSpPr txBox="true"/>
                              <wps:spPr>
                                <a:xfrm>
                                  <a:off x="1757680" y="2443480"/>
                                  <a:ext cx="12255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 w:val="20"/>
                                        <w:szCs w:val="20"/>
                                        <w:lang w:val="en-US"/>
                                      </w:rPr>
                                    </w:pPr>
                                    <w:r>
                                      <w:rPr>
                                        <w:rFonts w:hint="eastAsia"/>
                                        <w:sz w:val="20"/>
                                        <w:szCs w:val="20"/>
                                        <w:lang w:val="en-US"/>
                                      </w:rPr>
                                      <w:t>原有项目喷淋抑尘</w:t>
                                    </w:r>
                                  </w:p>
                                </w:txbxContent>
                              </wps:txbx>
                              <wps:bodyPr upright="true"/>
                            </wps:wsp>
                            <wps:wsp>
                              <wps:cNvPr id="230" name="自选图形 1413"/>
                              <wps:cNvCnPr/>
                              <wps:spPr>
                                <a:xfrm>
                                  <a:off x="619125" y="973455"/>
                                  <a:ext cx="1103630" cy="2225675"/>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231" name="自选图形 1413"/>
                              <wps:cNvCnPr/>
                              <wps:spPr>
                                <a:xfrm>
                                  <a:off x="619125" y="973455"/>
                                  <a:ext cx="1122680" cy="16256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232" name="文本框 1432"/>
                              <wps:cNvSpPr txBox="true"/>
                              <wps:spPr>
                                <a:xfrm>
                                  <a:off x="1254760" y="2951480"/>
                                  <a:ext cx="509270" cy="292735"/>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462.5</w:t>
                                    </w:r>
                                  </w:p>
                                </w:txbxContent>
                              </wps:txbx>
                              <wps:bodyPr upright="true"/>
                            </wps:wsp>
                            <wps:wsp>
                              <wps:cNvPr id="233" name="文本框 1432"/>
                              <wps:cNvSpPr txBox="true"/>
                              <wps:spPr>
                                <a:xfrm>
                                  <a:off x="1211580" y="2360930"/>
                                  <a:ext cx="498475"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4" name="文本框 1433"/>
                              <wps:cNvSpPr txBox="true"/>
                              <wps:spPr>
                                <a:xfrm>
                                  <a:off x="1932305" y="313055"/>
                                  <a:ext cx="548640" cy="2794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5" name="文本框 1433"/>
                              <wps:cNvSpPr txBox="true"/>
                              <wps:spPr>
                                <a:xfrm>
                                  <a:off x="1284605" y="455930"/>
                                  <a:ext cx="431800" cy="333375"/>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wps:txbx>
                              <wps:bodyPr upright="true"/>
                            </wps:wsp>
                            <wps:wsp>
                              <wps:cNvPr id="236" name="自选图形 1094"/>
                              <wps:cNvCnPr/>
                              <wps:spPr>
                                <a:xfrm flipV="true">
                                  <a:off x="2170430" y="1656080"/>
                                  <a:ext cx="256540" cy="200660"/>
                                </a:xfrm>
                                <a:prstGeom prst="straightConnector1">
                                  <a:avLst/>
                                </a:prstGeom>
                                <a:ln w="9525" cap="flat" cmpd="sng">
                                  <a:solidFill>
                                    <a:srgbClr val="000000"/>
                                  </a:solidFill>
                                  <a:prstDash val="dash"/>
                                  <a:headEnd type="none" w="med" len="med"/>
                                  <a:tailEnd type="triangle" w="med" len="med"/>
                                </a:ln>
                              </wps:spPr>
                              <wps:bodyPr/>
                            </wps:wsp>
                            <wps:wsp>
                              <wps:cNvPr id="237" name="自选图形 1094"/>
                              <wps:cNvCnPr/>
                              <wps:spPr>
                                <a:xfrm flipV="true">
                                  <a:off x="2199005" y="2256155"/>
                                  <a:ext cx="256540" cy="200660"/>
                                </a:xfrm>
                                <a:prstGeom prst="straightConnector1">
                                  <a:avLst/>
                                </a:prstGeom>
                                <a:ln w="9525" cap="flat" cmpd="sng">
                                  <a:solidFill>
                                    <a:srgbClr val="000000"/>
                                  </a:solidFill>
                                  <a:prstDash val="dash"/>
                                  <a:headEnd type="none" w="med" len="med"/>
                                  <a:tailEnd type="triangle" w="med" len="med"/>
                                </a:ln>
                              </wps:spPr>
                              <wps:bodyPr/>
                            </wps:wsp>
                            <wps:wsp>
                              <wps:cNvPr id="239" name="文本框 1433"/>
                              <wps:cNvSpPr txBox="true"/>
                              <wps:spPr>
                                <a:xfrm>
                                  <a:off x="1789430" y="1627505"/>
                                  <a:ext cx="150749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    产品带走</w:t>
                                    </w:r>
                                  </w:p>
                                </w:txbxContent>
                              </wps:txbx>
                              <wps:bodyPr upright="true"/>
                            </wps:wsp>
                            <wps:wsp>
                              <wps:cNvPr id="242" name="文本框 1432"/>
                              <wps:cNvSpPr txBox="true"/>
                              <wps:spPr>
                                <a:xfrm>
                                  <a:off x="1237615" y="1751330"/>
                                  <a:ext cx="72644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w:t>
                                    </w:r>
                                  </w:p>
                                </w:txbxContent>
                              </wps:txbx>
                              <wps:bodyPr upright="true"/>
                            </wps:wsp>
                            <wps:wsp>
                              <wps:cNvPr id="243" name="文本框 1091"/>
                              <wps:cNvSpPr txBox="true"/>
                              <wps:spPr>
                                <a:xfrm>
                                  <a:off x="1808480" y="551180"/>
                                  <a:ext cx="113601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喷雾降尘</w:t>
                                    </w:r>
                                  </w:p>
                                </w:txbxContent>
                              </wps:txbx>
                              <wps:bodyPr upright="true"/>
                            </wps:wsp>
                            <wps:wsp>
                              <wps:cNvPr id="244" name="自选图形 1094"/>
                              <wps:cNvCnPr/>
                              <wps:spPr>
                                <a:xfrm flipV="true">
                                  <a:off x="2256155" y="360680"/>
                                  <a:ext cx="256540" cy="200660"/>
                                </a:xfrm>
                                <a:prstGeom prst="straightConnector1">
                                  <a:avLst/>
                                </a:prstGeom>
                                <a:ln w="9525" cap="flat" cmpd="sng">
                                  <a:solidFill>
                                    <a:srgbClr val="000000"/>
                                  </a:solidFill>
                                  <a:prstDash val="dash"/>
                                  <a:headEnd type="none" w="med" len="med"/>
                                  <a:tailEnd type="triangle" w="med" len="med"/>
                                </a:ln>
                              </wps:spPr>
                              <wps:bodyPr/>
                            </wps:wsp>
                            <wps:wsp>
                              <wps:cNvPr id="245" name="自选图形 1413"/>
                              <wps:cNvCnPr/>
                              <wps:spPr>
                                <a:xfrm flipV="true">
                                  <a:off x="619125" y="694055"/>
                                  <a:ext cx="1189355" cy="279400"/>
                                </a:xfrm>
                                <a:prstGeom prst="bentConnector3">
                                  <a:avLst>
                                    <a:gd name="adj1" fmla="val 42819"/>
                                  </a:avLst>
                                </a:prstGeom>
                                <a:ln w="9525" cap="flat" cmpd="sng">
                                  <a:solidFill>
                                    <a:srgbClr val="000000"/>
                                  </a:solidFill>
                                  <a:prstDash val="solid"/>
                                  <a:miter/>
                                  <a:headEnd type="none" w="med" len="med"/>
                                  <a:tailEnd type="triangle" w="med" len="med"/>
                                </a:ln>
                              </wps:spPr>
                              <wps:bodyPr/>
                            </wps:wsp>
                            <wps:wsp>
                              <wps:cNvPr id="251" name="文本框 1091"/>
                              <wps:cNvSpPr txBox="true"/>
                              <wps:spPr>
                                <a:xfrm>
                                  <a:off x="3265805" y="3037205"/>
                                  <a:ext cx="889000" cy="285750"/>
                                </a:xfrm>
                                <a:prstGeom prst="rect">
                                  <a:avLst/>
                                </a:prstGeom>
                                <a:solidFill>
                                  <a:srgbClr val="FFFFFF"/>
                                </a:solidFill>
                                <a:ln w="9525" cap="flat" cmpd="sng">
                                  <a:noFill/>
                                  <a:prstDash val="solid"/>
                                  <a:miter/>
                                  <a:headEnd type="none" w="med" len="med"/>
                                  <a:tailEnd type="none" w="med" len="med"/>
                                </a:ln>
                              </wps:spPr>
                              <wps:txbx>
                                <w:txbxContent>
                                  <w:p>
                                    <w:pPr>
                                      <w:jc w:val="center"/>
                                      <w:rPr>
                                        <w:lang w:val="en-US"/>
                                      </w:rPr>
                                    </w:pPr>
                                    <w:r>
                                      <w:rPr>
                                        <w:rFonts w:hint="eastAsia"/>
                                        <w:lang w:val="en-US"/>
                                      </w:rPr>
                                      <w:t>泼洒抑尘</w:t>
                                    </w:r>
                                  </w:p>
                                </w:txbxContent>
                              </wps:txbx>
                              <wps:bodyPr upright="true"/>
                            </wps:wsp>
                            <wps:wsp>
                              <wps:cNvPr id="252" name="自选图形 1094"/>
                              <wps:cNvCnPr/>
                              <wps:spPr>
                                <a:xfrm flipV="true">
                                  <a:off x="2764155" y="3218180"/>
                                  <a:ext cx="482600" cy="9525"/>
                                </a:xfrm>
                                <a:prstGeom prst="straightConnector1">
                                  <a:avLst/>
                                </a:prstGeom>
                                <a:ln w="9525" cap="flat" cmpd="sng">
                                  <a:solidFill>
                                    <a:srgbClr val="000000"/>
                                  </a:solidFill>
                                  <a:prstDash val="dash"/>
                                  <a:headEnd type="none" w="med" len="med"/>
                                  <a:tailEnd type="triangle" w="med" len="med"/>
                                </a:ln>
                              </wps:spPr>
                              <wps:bodyPr/>
                            </wps:wsp>
                            <wps:wsp>
                              <wps:cNvPr id="254" name="文本框 1433"/>
                              <wps:cNvSpPr txBox="true"/>
                              <wps:spPr>
                                <a:xfrm>
                                  <a:off x="2722880" y="2999105"/>
                                  <a:ext cx="68580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370</w:t>
                                    </w:r>
                                  </w:p>
                                </w:txbxContent>
                              </wps:txbx>
                              <wps:bodyPr upright="true"/>
                            </wps:wsp>
                            <wps:wsp>
                              <wps:cNvPr id="256" name="文本框 1433"/>
                              <wps:cNvSpPr txBox="true"/>
                              <wps:spPr>
                                <a:xfrm>
                                  <a:off x="1849755" y="2828290"/>
                                  <a:ext cx="588645"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92.5</w:t>
                                    </w:r>
                                  </w:p>
                                </w:txbxContent>
                              </wps:txbx>
                              <wps:bodyPr upright="true"/>
                            </wps:wsp>
                            <wps:wsp>
                              <wps:cNvPr id="257" name="自选图形 1094"/>
                              <wps:cNvCnPr/>
                              <wps:spPr>
                                <a:xfrm flipV="true">
                                  <a:off x="2214880" y="2867660"/>
                                  <a:ext cx="256540" cy="200660"/>
                                </a:xfrm>
                                <a:prstGeom prst="straightConnector1">
                                  <a:avLst/>
                                </a:prstGeom>
                                <a:ln w="9525" cap="flat" cmpd="sng">
                                  <a:solidFill>
                                    <a:srgbClr val="000000"/>
                                  </a:solidFill>
                                  <a:prstDash val="dash"/>
                                  <a:headEnd type="none" w="med" len="med"/>
                                  <a:tailEnd type="triangle" w="med" len="med"/>
                                </a:ln>
                              </wps:spPr>
                              <wps:bodyPr/>
                            </wps:wsp>
                            <wps:wsp>
                              <wps:cNvPr id="259" name="文本框 1433"/>
                              <wps:cNvSpPr txBox="true"/>
                              <wps:spPr>
                                <a:xfrm>
                                  <a:off x="1950720" y="2220595"/>
                                  <a:ext cx="1507490" cy="2667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600     </w:t>
                                    </w:r>
                                  </w:p>
                                </w:txbxContent>
                              </wps:txbx>
                              <wps:bodyPr upright="true"/>
                            </wps:wsp>
                          </wpc:wpc>
                        </a:graphicData>
                      </a:graphic>
                    </wp:anchor>
                  </w:drawing>
                </mc:Choice>
                <mc:Fallback>
                  <w:pict>
                    <v:group id="画布 1087" o:spid="_x0000_s1026" o:spt="203" style="position:absolute;left:0pt;margin-left:18.1pt;margin-top:2pt;height:307.3pt;width:420.65pt;mso-wrap-distance-bottom:0pt;mso-wrap-distance-top:0pt;z-index:251669504;mso-width-relative:page;mso-height-relative:page;" coordsize="5342255,3902710" editas="canvas" o:gfxdata="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FgAAAGRycy9QSwECFAAUAAAACACHTuJA&#10;8Jrd3dkAAAAIAQAADwAAAAAAAAABACAAAAA4AAAAZHJzL2Rvd25yZXYueG1sUEsBAhQAFAAAAAgA&#10;h07iQNhotucRCAAAWEkAAA4AAAAAAAAAAQAgAAAAPgEAAGRycy9lMm9Eb2MueG1sUEsFBgAAAAAG&#10;AAYAWQEAAMELAAAAAA==&#10;">
                      <o:lock v:ext="edit" aspectratio="f"/>
                      <v:shape id="画布 1087" o:spid="_x0000_s1026" style="position:absolute;left:0;top:0;height:3902710;width:5342255;" filled="f" stroked="f" coordsize="21600,21600" o:gfxdata="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BYAAABkcnMvUEsBAhQAFAAAAAgAh07iQPCa3d3ZAAAACAEAAA8AAAAA&#10;AAAAAQAgAAAAOAAAAGRycy9kb3ducmV2LnhtbFBLAQIUABQAAAAIAIdO4kCXMFUKxwcAANFIAAAO&#10;AAAAAAAAAAEAIAAAAD4BAABkcnMvZTJvRG9jLnhtbFBLBQYAAAAABgAGAFkBAAB3CwAAAAA=&#10;">
                        <v:fill on="f" focussize="0,0"/>
                        <v:stroke on="f"/>
                        <v:imagedata o:title=""/>
                        <o:lock v:ext="edit" aspectratio="f"/>
                      </v:shape>
                      <v:shape id="文本框 1089" o:spid="_x0000_s1026" o:spt="202" type="#_x0000_t202" style="position:absolute;left:9525;top:821055;height:304800;width:609600;" fillcolor="#FFFFFF" filled="t" stroked="f" coordsize="21600,21600" o:gfxdata="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l9Fny1wAAAAgBAAAPAAAAAAAAAAEAIAAAADgAAABkcnMv&#10;ZG93bnJldi54bWxQSwECFAAUAAAACACHTuJAq2honrUBAAA7AwAADgAAAAAAAAABACAAAAA8AQAA&#10;ZHJzL2Uyb0RvYy54bWxQSwUGAAAAAAYABgBZAQAAYwUAAAAA&#10;">
                        <v:fill on="t" focussize="0,0"/>
                        <v:stroke on="f"/>
                        <v:imagedata o:title=""/>
                        <o:lock v:ext="edit" aspectratio="f"/>
                        <v:textbox>
                          <w:txbxContent>
                            <w:p>
                              <w:pPr>
                                <w:rPr>
                                  <w:lang w:val="en-US"/>
                                </w:rPr>
                              </w:pPr>
                              <w:r>
                                <w:rPr>
                                  <w:rFonts w:hint="eastAsia"/>
                                  <w:lang w:val="en-US"/>
                                </w:rPr>
                                <w:t>新鲜水</w:t>
                              </w:r>
                            </w:p>
                          </w:txbxContent>
                        </v:textbox>
                      </v:shape>
                      <v:shape id="自选图形 1413" o:spid="_x0000_s1026" o:spt="34" type="#_x0000_t34" style="position:absolute;left:619125;top:973456;height:327660;width:1179830;" filled="f" stroked="t" coordsize="21600,21600" o:gfxdata="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h&#10;U46q1wAAAAgBAAAPAAAAAAAAAAEAIAAAADgAAABkcnMvZG93bnJldi54bWxQSwECFAAUAAAACACH&#10;TuJADAM8sQ8CAADgAwAADgAAAAAAAAABACAAAAA8AQAAZHJzL2Uyb0RvYy54bWxQSwUGAAAAAAYA&#10;BgBZAQAAvQU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lm/ID2AAAAAgB&#10;AAAPAAAAAAAAAAEAIAAAADgAAABkcnMvZG93bnJldi54bWxQSwECFAAUAAAACACHTuJALJrUYgUC&#10;AAD+AwAADgAAAAAAAAABACAAAAA9AQAAZHJzL2Uyb0RvYy54bWxQSwUGAAAAAAYABgBZAQAAtAUA&#10;AAAA&#10;">
                        <v:fill on="t" focussize="0,0"/>
                        <v:stroke color="#000000" joinstyle="miter"/>
                        <v:imagedata o:title=""/>
                        <o:lock v:ext="edit" aspectratio="f"/>
                        <v:textbox>
                          <w:txbxContent>
                            <w:p>
                              <w:pPr>
                                <w:jc w:val="center"/>
                                <w:rPr>
                                  <w:lang w:val="en-US"/>
                                </w:rPr>
                              </w:pPr>
                              <w:r>
                                <w:rPr>
                                  <w:rFonts w:hint="eastAsia"/>
                                  <w:lang w:val="en-US"/>
                                </w:rPr>
                                <w:t>车辆冲洗</w:t>
                              </w:r>
                            </w:p>
                          </w:txbxContent>
                        </v:textbox>
                      </v:shape>
                      <v:shape id="自选图形 1094" o:spid="_x0000_s1026" o:spt="32" type="#_x0000_t32" style="position:absolute;left:2243455;top:953136;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gy5PB1AAAAAgBAAAPAAAAAAAAAAEA&#10;IAAAADgAAABkcnMvZG93bnJldi54bWxQSwECFAAUAAAACACHTuJA/79Vb/0BAAC5AwAADgAAAAAA&#10;AAABACAAAAA5AQAAZHJzL2Uyb0RvYy54bWxQSwUGAAAAAAYABgBZAQAAqAU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ZvyA9gAAAAI&#10;AQAADwAAAAAAAAABACAAAAA4AAAAZHJzL2Rvd25yZXYueG1sUEsBAhQAFAAAAAgAh07iQAx2XfMG&#10;AgAA/gMAAA4AAAAAAAAAAQAgAAAAPQEAAGRycy9lMm9Eb2MueG1sUEsFBgAAAAAGAAYAWQEAALUF&#10;AAAAAA==&#10;">
                        <v:fill on="t" focussize="0,0"/>
                        <v:stroke color="#000000" joinstyle="miter"/>
                        <v:imagedata o:title=""/>
                        <o:lock v:ext="edit" aspectratio="f"/>
                        <v:textbox>
                          <w:txbxContent>
                            <w:p>
                              <w:pPr>
                                <w:jc w:val="center"/>
                                <w:rPr>
                                  <w:lang w:val="en-US"/>
                                </w:rPr>
                              </w:pPr>
                              <w:r>
                                <w:rPr>
                                  <w:rFonts w:hint="eastAsia"/>
                                  <w:lang w:val="en-US"/>
                                </w:rPr>
                                <w:t>沉淀池</w:t>
                              </w:r>
                            </w:p>
                          </w:txbxContent>
                        </v:textbox>
                      </v:shape>
                      <v:shape id="自选图形 1425" o:spid="_x0000_s1026" o:spt="32" type="#_x0000_t32" style="position:absolute;left:2687955;top:1296671;height:1270;width:482600;" filled="f" stroked="t" coordsize="21600,21600" o:gfxdata="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s56VNkAAAAIAQAADwAAAAAAAAABACAAAAA4&#10;AAAAZHJzL2Rvd25yZXYueG1sUEsBAhQAFAAAAAgAh07iQIih72jzAQAArAMAAA4AAAAAAAAAAQAg&#10;AAAAPgEAAGRycy9lMm9Eb2MueG1sUEsFBgAAAAAGAAYAWQEAAKMFA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6BAtMNgAAAAIAQAADwAAAAAAAAABACAAAAA4AAAAZHJzL2Rv&#10;d25yZXYueG1sUEsBAhQAFAAAAAgAh07iQMgelh4kAgAA/QMAAA4AAAAAAAAAAQAgAAAAPQEAAGRy&#10;cy9lMm9Eb2MueG1sUEsFBgAAAAAGAAYAWQEAANMFAAAAAA==&#10;" adj="0">
                        <v:fill on="f" focussize="0,0"/>
                        <v:stroke color="#000000" joinstyle="miter" endarrow="block"/>
                        <v:imagedata o:title=""/>
                        <o:lock v:ext="edit" aspectratio="f"/>
                      </v:shape>
                      <v:shape id="文本框 1429" o:spid="_x0000_s1026" o:spt="202" type="#_x0000_t202" style="position:absolute;left:2668905;top:1043305;height:247650;width:77660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7yNtr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v:textbox>
                      </v:shape>
                      <v:shape id="文本框 1432" o:spid="_x0000_s1026" o:spt="202" type="#_x0000_t202" style="position:absolute;left:1264285;top:1071245;height:266700;width:431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u1XXv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v:textbox>
                      </v:shape>
                      <v:shape id="文本框 1433" o:spid="_x0000_s1026" o:spt="202" type="#_x0000_t202" style="position:absolute;left:1941830;top:915670;height:266700;width:50927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EkpoQaEBAAAV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270</w:t>
                              </w:r>
                            </w:p>
                          </w:txbxContent>
                        </v:textbox>
                      </v:shape>
                      <v:shape id="文本框 1434" o:spid="_x0000_s1026" o:spt="202" type="#_x0000_t202" style="position:absolute;left:473710;top:715645;height:276860;width:74104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Ui6LwowEAABQ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39432.5</w:t>
                              </w:r>
                            </w:p>
                          </w:txbxContent>
                        </v:textbox>
                      </v:shape>
                      <v:shape id="文本框 78" o:spid="_x0000_s1026" o:spt="202" type="#_x0000_t202" style="position:absolute;left:786765;top:3492500;height:304800;width:39751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vqNcUtYAAAAIAQAADwAAAAAAAAABACAAAAA4AAAAZHJzL2Rvd25yZXYu&#10;eG1sUEsBAhQAFAAAAAgAh07iQBSmrzyuAQAAKwMAAA4AAAAAAAAAAQAgAAAAOwEAAGRycy9lMm9E&#10;b2MueG1sUEsFBgAAAAAGAAYAWQEAAFsFAAAAAA==&#10;">
                        <v:fill on="f" focussize="0,0"/>
                        <v:stroke on="f"/>
                        <v:imagedata o:title=""/>
                        <o:lock v:ext="edit" aspectratio="f"/>
                        <v:textbox>
                          <w:txbxContent>
                            <w:p>
                              <w:pPr>
                                <w:jc w:val="center"/>
                                <w:rPr>
                                  <w:rFonts w:ascii="Times New Roman" w:hAnsi="Times New Roman" w:cs="Times New Roman"/>
                                  <w:b/>
                                  <w:bCs/>
                                  <w:sz w:val="21"/>
                                  <w:szCs w:val="21"/>
                                  <w:lang w:val="en-US"/>
                                </w:rPr>
                              </w:pPr>
                              <w:r>
                                <w:rPr>
                                  <w:rFonts w:ascii="Times New Roman" w:hAnsi="Times New Roman" w:cs="Times New Roman"/>
                                  <w:b/>
                                  <w:bCs/>
                                  <w:sz w:val="21"/>
                                  <w:szCs w:val="21"/>
                                </w:rPr>
                                <w:t>图</w:t>
                              </w:r>
                              <w:r>
                                <w:rPr>
                                  <w:rFonts w:ascii="Times New Roman" w:hAnsi="Times New Roman" w:cs="Times New Roman"/>
                                  <w:b/>
                                  <w:bCs/>
                                  <w:sz w:val="21"/>
                                  <w:szCs w:val="21"/>
                                  <w:lang w:val="en-US"/>
                                </w:rPr>
                                <w:t>2.</w:t>
                              </w:r>
                              <w:r>
                                <w:rPr>
                                  <w:rFonts w:hint="eastAsia" w:ascii="Times New Roman" w:hAnsi="Times New Roman" w:cs="Times New Roman"/>
                                  <w:b/>
                                  <w:bCs/>
                                  <w:sz w:val="21"/>
                                  <w:szCs w:val="21"/>
                                  <w:lang w:val="en-US"/>
                                </w:rPr>
                                <w:t>1</w:t>
                              </w:r>
                              <w:r>
                                <w:rPr>
                                  <w:rFonts w:ascii="Times New Roman" w:hAnsi="Times New Roman" w:cs="Times New Roman"/>
                                  <w:b/>
                                  <w:bCs/>
                                  <w:sz w:val="21"/>
                                  <w:szCs w:val="21"/>
                                  <w:lang w:val="en-US"/>
                                </w:rPr>
                                <w:t xml:space="preserve">  </w:t>
                              </w:r>
                              <w:r>
                                <w:rPr>
                                  <w:rFonts w:hint="eastAsia" w:ascii="Times New Roman" w:hAnsi="Times New Roman" w:cs="Times New Roman"/>
                                  <w:b/>
                                  <w:bCs/>
                                  <w:sz w:val="21"/>
                                  <w:szCs w:val="21"/>
                                  <w:lang w:val="en-US"/>
                                </w:rPr>
                                <w:t>扩建后全厂</w:t>
                              </w:r>
                              <w:r>
                                <w:rPr>
                                  <w:rFonts w:ascii="Times New Roman" w:hAnsi="Times New Roman" w:cs="Times New Roman"/>
                                  <w:b/>
                                  <w:bCs/>
                                  <w:sz w:val="21"/>
                                  <w:szCs w:val="21"/>
                                  <w:lang w:val="en-US"/>
                                </w:rPr>
                                <w:t>给排水平衡图</w:t>
                              </w:r>
                              <w:r>
                                <w:rPr>
                                  <w:rFonts w:hint="eastAsia"/>
                                  <w:b/>
                                  <w:bCs/>
                                  <w:lang w:val="en-US"/>
                                </w:rPr>
                                <w:t>（</w:t>
                              </w:r>
                              <w:r>
                                <w:rPr>
                                  <w:rFonts w:hint="eastAsia" w:ascii="Times New Roman" w:hAnsi="Times New Roman" w:cs="Times New Roman"/>
                                  <w:b/>
                                  <w:bCs/>
                                  <w:sz w:val="21"/>
                                  <w:szCs w:val="21"/>
                                  <w:lang w:val="en-US"/>
                                </w:rPr>
                                <w:t>t</w:t>
                              </w:r>
                              <w:r>
                                <w:rPr>
                                  <w:rFonts w:ascii="Times New Roman" w:hAnsi="Times New Roman" w:cs="Times New Roman"/>
                                  <w:b/>
                                  <w:bCs/>
                                  <w:sz w:val="21"/>
                                  <w:szCs w:val="21"/>
                                  <w:lang w:val="en-US"/>
                                </w:rPr>
                                <w:t>/</w:t>
                              </w:r>
                              <w:r>
                                <w:rPr>
                                  <w:rFonts w:hint="eastAsia" w:ascii="Times New Roman" w:hAnsi="Times New Roman" w:cs="Times New Roman"/>
                                  <w:b/>
                                  <w:bCs/>
                                  <w:sz w:val="21"/>
                                  <w:szCs w:val="21"/>
                                  <w:lang w:val="en-US"/>
                                </w:rPr>
                                <w:t>a）</w:t>
                              </w:r>
                            </w:p>
                          </w:txbxContent>
                        </v:textbox>
                      </v:shape>
                      <v:shape id="文本框 1429" o:spid="_x0000_s1026" o:spt="202" type="#_x0000_t202" style="position:absolute;left:2714625;top:1322705;height:247650;width:50355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DMEFQc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1080</w:t>
                              </w:r>
                            </w:p>
                          </w:txbxContent>
                        </v:textbox>
                      </v:shape>
                      <v:shape id="文本框 1091" o:spid="_x0000_s1026" o:spt="202" type="#_x0000_t202" style="position:absolute;left:1798955;top:1865630;height:285750;width:88900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Wb8gPYAAAACAEA&#10;AA8AAAAAAAAAAQAgAAAAOAAAAGRycy9kb3ducmV2LnhtbFBLAQIUABQAAAAIAIdO4kAJ+b0GBAIA&#10;AP4DAAAOAAAAAAAAAAEAIAAAAD0BAABkcnMvZTJvRG9jLnhtbFBLBQYAAAAABgAGAFkBAACzBQAA&#10;AAA=&#10;">
                        <v:fill on="t" focussize="0,0"/>
                        <v:stroke color="#000000" joinstyle="miter"/>
                        <v:imagedata o:title=""/>
                        <o:lock v:ext="edit" aspectratio="f"/>
                        <v:textbox>
                          <w:txbxContent>
                            <w:p>
                              <w:pPr>
                                <w:jc w:val="center"/>
                                <w:rPr>
                                  <w:lang w:val="en-US"/>
                                </w:rPr>
                              </w:pPr>
                              <w:r>
                                <w:rPr>
                                  <w:rFonts w:hint="eastAsia"/>
                                  <w:lang w:val="en-US"/>
                                </w:rPr>
                                <w:t>拌合用水</w:t>
                              </w:r>
                            </w:p>
                          </w:txbxContent>
                        </v:textbox>
                      </v:shape>
                      <v:shape id="自选图形 1413" o:spid="_x0000_s1026" o:spt="34" type="#_x0000_t34" style="position:absolute;left:619125;top:973455;height:1035050;width:1179830;" filled="f" stroked="t" coordsize="21600,21600" o:gfxdata="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IVOO&#10;qtcAAAAIAQAADwAAAAAAAAABACAAAAA4AAAAZHJzL2Rvd25yZXYueG1sUEsBAhQAFAAAAAgAh07i&#10;QDEoXxoNAgAA4QMAAA4AAAAAAAAAAQAgAAAAPAEAAGRycy9lMm9Eb2MueG1sUEsFBgAAAAAGAAYA&#10;WQEAALsFAAAAAA==&#10;" adj="9231">
                        <v:fill on="f" focussize="0,0"/>
                        <v:stroke color="#000000" joinstyle="miter" endarrow="block"/>
                        <v:imagedata o:title=""/>
                        <o:lock v:ext="edit" aspectratio="f"/>
                      </v:shape>
                      <v:shape id="文本框 1091" o:spid="_x0000_s1026" o:spt="202" type="#_x0000_t202" style="position:absolute;left:1722755;top:3056255;height:285750;width:1030605;"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ZvyA9gAAAAIAQAA&#10;DwAAAAAAAAABACAAAAA4AAAAZHJzL2Rvd25yZXYueG1sUEsBAhQAFAAAAAgAh07iQFFOMsYDAgAA&#10;/wMAAA4AAAAAAAAAAQAgAAAAPQEAAGRycy9lMm9Eb2MueG1sUEsFBgAAAAAGAAYAWQEAALIFAAAA&#10;AA==&#10;">
                        <v:fill on="t" focussize="0,0"/>
                        <v:stroke color="#000000" joinstyle="miter"/>
                        <v:imagedata o:title=""/>
                        <o:lock v:ext="edit" aspectratio="f"/>
                        <v:textbox>
                          <w:txbxContent>
                            <w:p>
                              <w:pPr>
                                <w:jc w:val="center"/>
                                <w:rPr>
                                  <w:lang w:val="en-US"/>
                                </w:rPr>
                              </w:pPr>
                              <w:r>
                                <w:rPr>
                                  <w:rFonts w:hint="eastAsia" w:ascii="Times New Roman" w:hAnsi="Times New Roman" w:cs="Times New Roman"/>
                                  <w:sz w:val="21"/>
                                  <w:szCs w:val="21"/>
                                  <w:lang w:val="en-US"/>
                                </w:rPr>
                                <w:t>生活用水</w:t>
                              </w:r>
                            </w:p>
                          </w:txbxContent>
                        </v:textbox>
                      </v:shape>
                      <v:shape id="文本框 1091" o:spid="_x0000_s1026" o:spt="202" type="#_x0000_t202" style="position:absolute;left:1757680;top:2443480;height:285750;width:1225550;"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ZvyA9gAAAAIAQAADwAA&#10;AAAAAAABACAAAAA4AAAAZHJzL2Rvd25yZXYueG1sUEsBAhQAFAAAAAgAh07iQGdFJf4AAgAA/wMA&#10;AA4AAAAAAAAAAQAgAAAAPQEAAGRycy9lMm9Eb2MueG1sUEsFBgAAAAAGAAYAWQEAAK8FAAAAAA==&#10;">
                        <v:fill on="t" focussize="0,0"/>
                        <v:stroke color="#000000" joinstyle="miter"/>
                        <v:imagedata o:title=""/>
                        <o:lock v:ext="edit" aspectratio="f"/>
                        <v:textbox>
                          <w:txbxContent>
                            <w:p>
                              <w:pPr>
                                <w:jc w:val="both"/>
                                <w:rPr>
                                  <w:sz w:val="20"/>
                                  <w:szCs w:val="20"/>
                                  <w:lang w:val="en-US"/>
                                </w:rPr>
                              </w:pPr>
                              <w:r>
                                <w:rPr>
                                  <w:rFonts w:hint="eastAsia"/>
                                  <w:sz w:val="20"/>
                                  <w:szCs w:val="20"/>
                                  <w:lang w:val="en-US"/>
                                </w:rPr>
                                <w:t>原有项目喷淋抑尘</w:t>
                              </w:r>
                            </w:p>
                          </w:txbxContent>
                        </v:textbox>
                      </v:shape>
                      <v:shape id="自选图形 1413" o:spid="_x0000_s1026" o:spt="34" type="#_x0000_t34" style="position:absolute;left:619125;top:973455;height:2225675;width:1103630;" filled="f" stroked="t" coordsize="21600,21600" o:gfxdata="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6&#10;187y2AAAAAgBAAAPAAAAAAAAAAEAIAAAADgAAABkcnMvZG93bnJldi54bWxQSwECFAAUAAAACACH&#10;TuJAE4Rurw4CAADhAwAADgAAAAAAAAABACAAAAA9AQAAZHJzL2Uyb0RvYy54bWxQSwUGAAAAAAYA&#10;BgBZAQAAvQUAAAAA&#10;" adj="9868">
                        <v:fill on="f" focussize="0,0"/>
                        <v:stroke color="#000000" joinstyle="miter" endarrow="block"/>
                        <v:imagedata o:title=""/>
                        <o:lock v:ext="edit" aspectratio="f"/>
                      </v:shape>
                      <v:shape id="自选图形 1413" o:spid="_x0000_s1026" o:spt="34" type="#_x0000_t34" style="position:absolute;left:619125;top:973455;height:1625600;width:1122680;" filled="f" stroked="t" coordsize="21600,21600" o:gfxdata="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ZI8e&#10;XtYAAAAIAQAADwAAAAAAAAABACAAAAA4AAAAZHJzL2Rvd25yZXYueG1sUEsBAhQAFAAAAAgAh07i&#10;QGyT84YOAgAA4QMAAA4AAAAAAAAAAQAgAAAAOwEAAGRycy9lMm9Eb2MueG1sUEsFBgAAAAAGAAYA&#10;WQEAALsFAAAAAA==&#10;" adj="9700">
                        <v:fill on="f" focussize="0,0"/>
                        <v:stroke color="#000000" joinstyle="miter" endarrow="block"/>
                        <v:imagedata o:title=""/>
                        <o:lock v:ext="edit" aspectratio="f"/>
                      </v:shape>
                      <v:shape id="文本框 1432" o:spid="_x0000_s1026" o:spt="202" type="#_x0000_t202" style="position:absolute;left:1254760;top:2951480;height:292735;width:50927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vECAJ6EBAAAW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462.5</w:t>
                              </w:r>
                            </w:p>
                          </w:txbxContent>
                        </v:textbox>
                      </v:shape>
                      <v:shape id="文本框 1432" o:spid="_x0000_s1026" o:spt="202" type="#_x0000_t202" style="position:absolute;left:1211580;top:2360930;height:266700;width:49847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H7sjY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文本框 1433" o:spid="_x0000_s1026" o:spt="202" type="#_x0000_t202" style="position:absolute;left:1932305;top:313055;height:279400;width:54864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CupU2CowEAABU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文本框 1433" o:spid="_x0000_s1026" o:spt="202" type="#_x0000_t202" style="position:absolute;left:1284605;top:455930;height:333375;width:431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o1xS1gAAAAgBAAAPAAAAAAAAAAEAIAAAADgAAABkcnMvZG93bnJldi54bWxQSwECFAAUAAAA&#10;CACHTuJAawPcraEBAAAVAwAADgAAAAAAAAABACAAAAA7AQAAZHJzL2Uyb0RvYy54bWxQSwUGAAAA&#10;AAYABgBZAQAATgU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xbxContent>
                        </v:textbox>
                      </v:shape>
                      <v:shape id="自选图形 1094" o:spid="_x0000_s1026" o:spt="32" type="#_x0000_t32" style="position:absolute;left:2170430;top:165608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CKPEHr/wEAALoDAAAOAAAA&#10;AAAAAAEAIAAAADkBAABkcnMvZTJvRG9jLnhtbFBLBQYAAAAABgAGAFkBAACqBQAAAAA=&#10;">
                        <v:fill on="f" focussize="0,0"/>
                        <v:stroke color="#000000" joinstyle="round" dashstyle="dash" endarrow="block"/>
                        <v:imagedata o:title=""/>
                        <o:lock v:ext="edit" aspectratio="f"/>
                      </v:shape>
                      <v:shape id="自选图形 1094" o:spid="_x0000_s1026" o:spt="32" type="#_x0000_t32" style="position:absolute;left:2199005;top:2256155;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Dy+PaH/wEAALoDAAAOAAAA&#10;AAAAAAEAIAAAADkBAABkcnMvZTJvRG9jLnhtbFBLBQYAAAAABgAGAFkBAACqBQAAAAA=&#10;">
                        <v:fill on="f" focussize="0,0"/>
                        <v:stroke color="#000000" joinstyle="round" dashstyle="dash" endarrow="block"/>
                        <v:imagedata o:title=""/>
                        <o:lock v:ext="edit" aspectratio="f"/>
                      </v:shape>
                      <v:shape id="文本框 1433" o:spid="_x0000_s1026" o:spt="202" type="#_x0000_t202" style="position:absolute;left:1789430;top:1627505;height:266700;width:150749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vqNcUtYAAAAIAQAADwAAAAAAAAABACAAAAA4AAAAZHJzL2Rvd25yZXYueG1sUEsBAhQA&#10;FAAAAAgAh07iQGHw1C+lAQAAFwMAAA4AAAAAAAAAAQAgAAAAOw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    产品带走</w:t>
                              </w:r>
                            </w:p>
                          </w:txbxContent>
                        </v:textbox>
                      </v:shape>
                      <v:shape id="文本框 1432" o:spid="_x0000_s1026" o:spt="202" type="#_x0000_t202" style="position:absolute;left:1237615;top:1751330;height:266700;width:72644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eyFae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37500</w:t>
                              </w:r>
                            </w:p>
                          </w:txbxContent>
                        </v:textbox>
                      </v:shape>
                      <v:shape id="文本框 1091" o:spid="_x0000_s1026" o:spt="202" type="#_x0000_t202" style="position:absolute;left:1808480;top:551180;height:285750;width:1136015;" fillcolor="#FFFFFF" filled="t" stroked="t" coordsize="21600,21600" o:gfxdata="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ZvyA9gAAAAIAQAA&#10;DwAAAAAAAAABACAAAAA4AAAAZHJzL2Rvd25yZXYueG1sUEsBAhQAFAAAAAgAh07iQBLM29IDAgAA&#10;/gMAAA4AAAAAAAAAAQAgAAAAPQEAAGRycy9lMm9Eb2MueG1sUEsFBgAAAAAGAAYAWQEAALIFAAAA&#10;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喷雾降尘</w:t>
                              </w:r>
                            </w:p>
                          </w:txbxContent>
                        </v:textbox>
                      </v:shape>
                      <v:shape id="自选图形 1094" o:spid="_x0000_s1026" o:spt="32" type="#_x0000_t32" style="position:absolute;left:2256155;top:36068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DLk8HUAAAACAEAAA8AAAAAAAAA&#10;AQAgAAAAOAAAAGRycy9kb3ducmV2LnhtbFBLAQIUABQAAAAIAIdO4kCgQblz/wEAALkDAAAOAAAA&#10;AAAAAAEAIAAAADkBAABkcnMvZTJvRG9jLnhtbFBLBQYAAAAABgAGAFkBAACqBQAAAAA=&#10;">
                        <v:fill on="f" focussize="0,0"/>
                        <v:stroke color="#000000" joinstyle="round" dashstyle="dash" endarrow="block"/>
                        <v:imagedata o:title=""/>
                        <o:lock v:ext="edit" aspectratio="f"/>
                      </v:shape>
                      <v:shape id="自选图形 1413" o:spid="_x0000_s1026" o:spt="34" type="#_x0000_t34" style="position:absolute;left:619125;top:694055;flip:y;height:279400;width:1189355;" filled="f" stroked="t" coordsize="21600,21600" o:gfxdata="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3kSy9oAAAAIAQAADwAAAAAAAAABACAAAAA4AAAAZHJzL2Rvd25yZXYueG1sUEsB&#10;AhQAFAAAAAgAh07iQMUqcVYWAgAA7QMAAA4AAAAAAAAAAQAgAAAAPwEAAGRycy9lMm9Eb2MueG1s&#10;UEsFBgAAAAAGAAYAWQEAAMcFAAAAAA==&#10;" adj="9249">
                        <v:fill on="f" focussize="0,0"/>
                        <v:stroke color="#000000" joinstyle="miter" endarrow="block"/>
                        <v:imagedata o:title=""/>
                        <o:lock v:ext="edit" aspectratio="f"/>
                      </v:shape>
                      <v:shape id="文本框 1091" o:spid="_x0000_s1026" o:spt="202" type="#_x0000_t202" style="position:absolute;left:3265805;top:3037205;height:285750;width:889000;" fillcolor="#FFFFFF" filled="t" stroked="f" coordsize="21600,21600" o:gfxdata="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9Fny1wAAAAgBAAAPAAAAAAAA&#10;AAEAIAAAADgAAABkcnMvZG93bnJldi54bWxQSwECFAAUAAAACACHTuJAD1vBf/0BAADVAwAADgAA&#10;AAAAAAABACAAAAA8AQAAZHJzL2Uyb0RvYy54bWxQSwUGAAAAAAYABgBZAQAAqwUAAAAA&#10;">
                        <v:fill on="t" focussize="0,0"/>
                        <v:stroke on="f" joinstyle="miter"/>
                        <v:imagedata o:title=""/>
                        <o:lock v:ext="edit" aspectratio="f"/>
                        <v:textbox>
                          <w:txbxContent>
                            <w:p>
                              <w:pPr>
                                <w:jc w:val="center"/>
                                <w:rPr>
                                  <w:lang w:val="en-US"/>
                                </w:rPr>
                              </w:pPr>
                              <w:r>
                                <w:rPr>
                                  <w:rFonts w:hint="eastAsia"/>
                                  <w:lang w:val="en-US"/>
                                </w:rPr>
                                <w:t>泼洒抑尘</w:t>
                              </w:r>
                            </w:p>
                          </w:txbxContent>
                        </v:textbox>
                      </v:shape>
                      <v:shape id="自选图形 1094" o:spid="_x0000_s1026" o:spt="32" type="#_x0000_t32" style="position:absolute;left:2764155;top:3218180;flip:y;height:9525;width:48260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MuTwdQAAAAIAQAADwAAAAAAAAABACAA&#10;AAA4AAAAZHJzL2Rvd25yZXYueG1sUEsBAhQAFAAAAAgAh07iQJt7erT7AQAAuAMAAA4AAAAAAAAA&#10;AQAgAAAAOQEAAGRycy9lMm9Eb2MueG1sUEsFBgAAAAAGAAYAWQEAAKYFAAAAAA==&#10;">
                        <v:fill on="f" focussize="0,0"/>
                        <v:stroke color="#000000" joinstyle="round" dashstyle="dash" endarrow="block"/>
                        <v:imagedata o:title=""/>
                        <o:lock v:ext="edit" aspectratio="f"/>
                      </v:shape>
                      <v:shape id="文本框 1433" o:spid="_x0000_s1026" o:spt="202" type="#_x0000_t202" style="position:absolute;left:2722880;top:2999105;height:266700;width:68580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AR3lHM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370</w:t>
                              </w:r>
                            </w:p>
                          </w:txbxContent>
                        </v:textbox>
                      </v:shape>
                      <v:shape id="文本框 1433" o:spid="_x0000_s1026" o:spt="202" type="#_x0000_t202" style="position:absolute;left:1849755;top:2828290;height:266700;width:588645;"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BUZLrPowEAABY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92.5</w:t>
                              </w:r>
                            </w:p>
                          </w:txbxContent>
                        </v:textbox>
                      </v:shape>
                      <v:shape id="自选图形 1094" o:spid="_x0000_s1026" o:spt="32" type="#_x0000_t32" style="position:absolute;left:2214880;top:2867660;flip:y;height:200660;width:256540;" filled="f" stroked="t" coordsize="21600,21600" o:gfxdata="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oMuTwdQAAAAIAQAADwAAAAAAAAAB&#10;ACAAAAA4AAAAZHJzL2Rvd25yZXYueG1sUEsBAhQAFAAAAAgAh07iQM4eDxL+AQAAugMAAA4AAAAA&#10;AAAAAQAgAAAAOQEAAGRycy9lMm9Eb2MueG1sUEsFBgAAAAAGAAYAWQEAAKkFAAAAAA==&#10;">
                        <v:fill on="f" focussize="0,0"/>
                        <v:stroke color="#000000" joinstyle="round" dashstyle="dash" endarrow="block"/>
                        <v:imagedata o:title=""/>
                        <o:lock v:ext="edit" aspectratio="f"/>
                      </v:shape>
                      <v:shape id="文本框 1433" o:spid="_x0000_s1026" o:spt="202" type="#_x0000_t202" style="position:absolute;left:1950720;top:2220595;height:266700;width:1507490;" filled="f" stroked="f" coordsize="21600,21600" o:gfxdata="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6jXFLWAAAACAEAAA8AAAAAAAAAAQAgAAAAOAAAAGRycy9kb3ducmV2LnhtbFBLAQIUABQA&#10;AAAIAIdO4kBvz9Z5owEAABcDAAAOAAAAAAAAAAEAIAAAADsBAABkcnMvZTJvRG9jLnhtbFBLBQYA&#10;AAAABgAGAFkBAABQ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600     </w:t>
                              </w:r>
                            </w:p>
                          </w:txbxContent>
                        </v:textbox>
                      </v:shape>
                      <w10:wrap type="topAndBottom"/>
                    </v:group>
                  </w:pict>
                </mc:Fallback>
              </mc:AlternateContent>
            </w:r>
            <w:r>
              <w:rPr>
                <w:rFonts w:hint="eastAsia" w:cs="Times New Roman"/>
                <w:color w:val="auto"/>
                <w:sz w:val="21"/>
                <w:szCs w:val="21"/>
                <w:lang w:val="en-US"/>
              </w:rPr>
              <w:t>综上</w:t>
            </w:r>
            <w:r>
              <w:rPr>
                <w:rFonts w:ascii="Times New Roman" w:hAnsi="Times New Roman" w:cs="Times New Roman"/>
                <w:color w:val="auto"/>
                <w:sz w:val="21"/>
                <w:szCs w:val="21"/>
                <w:lang w:val="en-US"/>
              </w:rPr>
              <w:t>，项目给排水平衡。</w:t>
            </w:r>
            <w:r>
              <w:rPr>
                <w:rFonts w:hint="eastAsia" w:cs="Times New Roman"/>
                <w:color w:val="auto"/>
                <w:sz w:val="21"/>
                <w:szCs w:val="21"/>
                <w:lang w:val="en-US"/>
              </w:rPr>
              <w:t>项目用水由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w:t>
            </w:r>
            <w:r>
              <w:rPr>
                <w:rFonts w:hint="eastAsia"/>
                <w:color w:val="auto"/>
                <w:sz w:val="21"/>
                <w:szCs w:val="21"/>
                <w:lang w:bidi="ar"/>
              </w:rPr>
              <w:t>水管网提供，管网已铺设到位。</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rPr>
              <w:t>供电</w:t>
            </w:r>
          </w:p>
          <w:p>
            <w:pPr>
              <w:pStyle w:val="41"/>
              <w:autoSpaceDE/>
              <w:autoSpaceDN/>
              <w:adjustRightInd/>
              <w:snapToGrid/>
              <w:spacing w:line="400" w:lineRule="exact"/>
              <w:ind w:left="110" w:leftChars="50" w:firstLine="420"/>
              <w:rPr>
                <w:rFonts w:ascii="Times New Roman" w:hAnsi="Times New Roman" w:cs="Times New Roman"/>
                <w:color w:val="auto"/>
                <w:sz w:val="21"/>
                <w:szCs w:val="21"/>
              </w:rPr>
            </w:pPr>
            <w:r>
              <w:rPr>
                <w:rFonts w:hint="eastAsia" w:ascii="Times New Roman" w:hAnsi="Times New Roman" w:cs="Times New Roman"/>
                <w:color w:val="auto"/>
                <w:sz w:val="21"/>
                <w:szCs w:val="21"/>
              </w:rPr>
              <w:t>项目用电</w:t>
            </w:r>
            <w:r>
              <w:rPr>
                <w:color w:val="auto"/>
                <w:sz w:val="21"/>
                <w:szCs w:val="21"/>
                <w:lang w:bidi="ar"/>
              </w:rPr>
              <w:t>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，利用现有变压器可以满足本项目用电要求</w:t>
            </w:r>
            <w:r>
              <w:rPr>
                <w:rFonts w:ascii="Times New Roman" w:hAnsi="Times New Roman" w:cs="Times New Roman"/>
                <w:color w:val="auto"/>
                <w:sz w:val="21"/>
                <w:szCs w:val="21"/>
              </w:rPr>
              <w:t>，年用电量</w:t>
            </w:r>
            <w:r>
              <w:rPr>
                <w:rFonts w:hint="eastAsia" w:ascii="Times New Roman" w:hAnsi="Times New Roman" w:cs="Times New Roman"/>
                <w:color w:val="auto"/>
                <w:sz w:val="21"/>
                <w:szCs w:val="21"/>
              </w:rPr>
              <w:t>35</w:t>
            </w:r>
            <w:r>
              <w:rPr>
                <w:rFonts w:ascii="Times New Roman" w:hAnsi="Times New Roman" w:cs="Times New Roman"/>
                <w:color w:val="auto"/>
                <w:sz w:val="21"/>
                <w:szCs w:val="21"/>
              </w:rPr>
              <w:t>万kWh。</w:t>
            </w:r>
          </w:p>
          <w:p>
            <w:pPr>
              <w:pStyle w:val="52"/>
              <w:spacing w:line="400" w:lineRule="exact"/>
              <w:ind w:left="110" w:leftChars="50" w:firstLine="421" w:firstLineChars="200"/>
              <w:rPr>
                <w:rFonts w:ascii="Times New Roman" w:hAnsi="Times New Roman" w:cs="Times New Roman"/>
                <w:b/>
                <w:bCs/>
                <w:color w:val="auto"/>
                <w:sz w:val="21"/>
              </w:rPr>
            </w:pPr>
            <w:r>
              <w:rPr>
                <w:rFonts w:ascii="Times New Roman" w:hAnsi="Times New Roman" w:cs="Times New Roman"/>
                <w:b/>
                <w:bCs/>
                <w:color w:val="auto"/>
                <w:sz w:val="21"/>
              </w:rPr>
              <w:t>（</w:t>
            </w:r>
            <w:r>
              <w:rPr>
                <w:rFonts w:ascii="Times New Roman" w:hAnsi="Times New Roman" w:cs="Times New Roman"/>
                <w:b/>
                <w:bCs/>
                <w:color w:val="auto"/>
                <w:sz w:val="21"/>
                <w:lang w:val="en-US"/>
              </w:rPr>
              <w:t>3</w:t>
            </w:r>
            <w:r>
              <w:rPr>
                <w:rFonts w:ascii="Times New Roman" w:hAnsi="Times New Roman" w:cs="Times New Roman"/>
                <w:b/>
                <w:bCs/>
                <w:color w:val="auto"/>
                <w:sz w:val="21"/>
              </w:rPr>
              <w:t>）制冷、供热</w:t>
            </w:r>
          </w:p>
          <w:p>
            <w:pPr>
              <w:pStyle w:val="52"/>
              <w:spacing w:line="400" w:lineRule="exact"/>
              <w:ind w:left="110" w:leftChars="50" w:firstLine="420" w:firstLineChars="200"/>
              <w:rPr>
                <w:rFonts w:ascii="Times New Roman" w:hAnsi="Times New Roman" w:cs="Times New Roman"/>
                <w:color w:val="auto"/>
                <w:sz w:val="21"/>
                <w:lang w:val="en-US"/>
              </w:rPr>
            </w:pPr>
            <w:r>
              <w:rPr>
                <w:rFonts w:ascii="Times New Roman" w:hAnsi="Times New Roman" w:cs="Times New Roman"/>
                <w:color w:val="auto"/>
                <w:sz w:val="21"/>
                <w:szCs w:val="21"/>
                <w:lang w:val="en-US"/>
              </w:rPr>
              <w:t>本项目办公冬季采暖及夏季制冷由分体空调提供</w:t>
            </w:r>
            <w:r>
              <w:rPr>
                <w:rFonts w:hint="eastAsia"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bCs/>
                <w:color w:val="auto"/>
                <w:lang w:val="en-US"/>
              </w:rPr>
            </w:pPr>
            <w:r>
              <w:rPr>
                <w:rFonts w:hint="eastAsia" w:ascii="Times New Roman" w:hAnsi="Times New Roman" w:cs="Times New Roman"/>
                <w:b/>
                <w:bCs/>
                <w:color w:val="auto"/>
                <w:sz w:val="21"/>
                <w:lang w:val="en-US"/>
              </w:rPr>
              <w:t>四</w:t>
            </w:r>
            <w:r>
              <w:rPr>
                <w:rFonts w:ascii="Times New Roman" w:hAnsi="Times New Roman" w:cs="Times New Roman"/>
                <w:b/>
                <w:bCs/>
                <w:color w:val="auto"/>
                <w:sz w:val="21"/>
                <w:lang w:val="en-US"/>
              </w:rPr>
              <w:t>、</w:t>
            </w:r>
            <w:r>
              <w:rPr>
                <w:rFonts w:ascii="Times New Roman" w:hAnsi="Times New Roman" w:cs="Times New Roman"/>
                <w:b/>
                <w:bCs/>
                <w:color w:val="auto"/>
                <w:sz w:val="21"/>
                <w:szCs w:val="21"/>
                <w:lang w:val="en-US"/>
              </w:rPr>
              <w:t>厂区平面布局</w:t>
            </w:r>
          </w:p>
          <w:p>
            <w:pPr>
              <w:widowControl/>
              <w:autoSpaceDE/>
              <w:autoSpaceDN/>
              <w:spacing w:line="400" w:lineRule="exact"/>
              <w:ind w:left="110" w:leftChars="50" w:firstLine="420" w:firstLineChars="200"/>
              <w:rPr>
                <w:rFonts w:ascii="Times New Roman" w:hAnsi="Times New Roman" w:cs="Times New Roman"/>
                <w:b/>
                <w:color w:val="auto"/>
                <w:sz w:val="21"/>
                <w:szCs w:val="21"/>
                <w:lang w:val="en-US"/>
              </w:rPr>
            </w:pPr>
            <w:r>
              <w:rPr>
                <w:rFonts w:ascii="Times New Roman" w:hAnsi="Times New Roman" w:cs="Times New Roman"/>
                <w:color w:val="auto"/>
                <w:kern w:val="44"/>
                <w:sz w:val="21"/>
                <w:szCs w:val="21"/>
              </w:rPr>
              <w:t>根据《工业企业总平面设计规范》（</w:t>
            </w:r>
            <w:r>
              <w:rPr>
                <w:rFonts w:ascii="Times New Roman" w:hAnsi="Times New Roman" w:cs="Times New Roman"/>
                <w:color w:val="auto"/>
                <w:kern w:val="44"/>
                <w:sz w:val="21"/>
                <w:szCs w:val="21"/>
                <w:lang w:val="en-US"/>
              </w:rPr>
              <w:t>GB50187-2012</w:t>
            </w:r>
            <w:r>
              <w:rPr>
                <w:rFonts w:ascii="Times New Roman" w:hAnsi="Times New Roman" w:cs="Times New Roman"/>
                <w:color w:val="auto"/>
                <w:kern w:val="44"/>
                <w:sz w:val="21"/>
                <w:szCs w:val="21"/>
              </w:rPr>
              <w:t>）的相关规定，按照“合理分区，物流便捷，突出环保，和谐统一”的原则，结合场地的用地条件及生产工艺，综合考虑了生产、环保、绿化、劳动卫生要求，对厂区进行了统筹安排。</w:t>
            </w:r>
          </w:p>
          <w:p>
            <w:pPr>
              <w:widowControl/>
              <w:autoSpaceDE/>
              <w:autoSpaceDN/>
              <w:spacing w:line="400" w:lineRule="exact"/>
              <w:ind w:left="110" w:leftChars="50" w:firstLine="420" w:firstLineChars="200"/>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项目紧邻干混砂浆生产线，位于其西侧，新建</w:t>
            </w:r>
            <w:r>
              <w:rPr>
                <w:rFonts w:hint="eastAsia" w:ascii="Times New Roman" w:hAnsi="Times New Roman" w:cs="Times New Roman"/>
                <w:color w:val="auto"/>
                <w:sz w:val="21"/>
                <w:szCs w:val="21"/>
                <w:lang w:val="en-US"/>
              </w:rPr>
              <w:t>封闭式原料料场</w:t>
            </w:r>
            <w:r>
              <w:rPr>
                <w:rFonts w:hint="eastAsia" w:ascii="Times New Roman" w:hAnsi="Times New Roman" w:cs="Times New Roman"/>
                <w:bCs/>
                <w:color w:val="auto"/>
                <w:sz w:val="21"/>
                <w:szCs w:val="21"/>
                <w:lang w:val="en-US"/>
              </w:rPr>
              <w:t>位于项目占地南侧，搅拌楼位于料场北侧，</w:t>
            </w:r>
            <w:r>
              <w:rPr>
                <w:rFonts w:ascii="Times New Roman" w:hAnsi="Times New Roman" w:cs="Times New Roman"/>
                <w:color w:val="auto"/>
                <w:sz w:val="21"/>
                <w:szCs w:val="21"/>
                <w:lang w:val="en-US" w:bidi="ar-SA"/>
              </w:rPr>
              <w:t>项目职工出入、原料和成品运输出入口位于</w:t>
            </w:r>
            <w:r>
              <w:rPr>
                <w:rFonts w:hint="eastAsia" w:ascii="Times New Roman" w:hAnsi="Times New Roman" w:cs="Times New Roman"/>
                <w:color w:val="auto"/>
                <w:sz w:val="21"/>
                <w:szCs w:val="21"/>
                <w:lang w:val="en-US" w:bidi="ar-SA"/>
              </w:rPr>
              <w:t>厂区西南侧</w:t>
            </w:r>
            <w:r>
              <w:rPr>
                <w:rFonts w:hint="eastAsia" w:ascii="Times New Roman" w:hAnsi="Times New Roman" w:cs="Times New Roman"/>
                <w:bCs/>
                <w:color w:val="auto"/>
                <w:sz w:val="21"/>
                <w:szCs w:val="21"/>
                <w:lang w:val="en-US"/>
              </w:rPr>
              <w:t>。</w:t>
            </w:r>
          </w:p>
          <w:p>
            <w:pPr>
              <w:widowControl/>
              <w:autoSpaceDE/>
              <w:autoSpaceDN/>
              <w:spacing w:line="400" w:lineRule="exact"/>
              <w:ind w:left="110" w:leftChars="50" w:firstLine="420" w:firstLineChars="200"/>
              <w:rPr>
                <w:rFonts w:ascii="Times New Roman" w:hAnsi="Times New Roman" w:cs="Times New Roman"/>
                <w:color w:val="auto"/>
                <w:kern w:val="44"/>
                <w:sz w:val="21"/>
                <w:szCs w:val="21"/>
              </w:rPr>
            </w:pPr>
            <w:r>
              <w:rPr>
                <w:rFonts w:ascii="Times New Roman" w:hAnsi="Times New Roman" w:cs="Times New Roman"/>
                <w:bCs/>
                <w:color w:val="auto"/>
                <w:sz w:val="21"/>
                <w:szCs w:val="21"/>
                <w:lang w:val="en-US"/>
              </w:rPr>
              <w:t>本项目</w:t>
            </w:r>
            <w:r>
              <w:rPr>
                <w:rFonts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ascii="Times New Roman" w:hAnsi="Times New Roman" w:cs="Times New Roman"/>
                <w:color w:val="auto"/>
                <w:kern w:val="44"/>
                <w:sz w:val="21"/>
                <w:szCs w:val="21"/>
                <w:lang w:val="en-US"/>
              </w:rPr>
              <w:t>规范</w:t>
            </w:r>
            <w:r>
              <w:rPr>
                <w:rFonts w:ascii="Times New Roman" w:hAnsi="Times New Roman" w:cs="Times New Roman"/>
                <w:color w:val="auto"/>
                <w:kern w:val="44"/>
                <w:sz w:val="21"/>
                <w:szCs w:val="21"/>
              </w:rPr>
              <w:t>要求</w:t>
            </w:r>
            <w:r>
              <w:rPr>
                <w:rFonts w:hint="eastAsia" w:ascii="Times New Roman" w:hAnsi="Times New Roman" w:cs="Times New Roman"/>
                <w:color w:val="auto"/>
                <w:kern w:val="44"/>
                <w:sz w:val="21"/>
                <w:szCs w:val="21"/>
              </w:rPr>
              <w:t>。</w:t>
            </w:r>
          </w:p>
          <w:p>
            <w:pPr>
              <w:widowControl/>
              <w:autoSpaceDE/>
              <w:autoSpaceDN/>
              <w:spacing w:line="400" w:lineRule="exact"/>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2" w:hRule="atLeast"/>
          <w:jc w:val="center"/>
        </w:trPr>
        <w:tc>
          <w:tcPr>
            <w:tcW w:w="446" w:type="dxa"/>
            <w:tcBorders>
              <w:top w:val="single" w:color="000000" w:sz="4" w:space="0"/>
              <w:bottom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tcPr>
          <w:p>
            <w:pPr>
              <w:autoSpaceDE/>
              <w:autoSpaceDN/>
              <w:spacing w:line="440" w:lineRule="exact"/>
              <w:ind w:left="110" w:leftChars="50" w:firstLine="421" w:firstLineChars="200"/>
              <w:outlineLvl w:val="1"/>
              <w:rPr>
                <w:rFonts w:ascii="Times New Roman" w:hAnsi="Times New Roman" w:cs="Times New Roman"/>
                <w:color w:val="auto"/>
                <w:sz w:val="21"/>
                <w:szCs w:val="21"/>
              </w:rPr>
            </w:pPr>
            <w:r>
              <w:rPr>
                <w:rFonts w:ascii="Times New Roman" w:hAnsi="Times New Roman" w:cs="Times New Roman"/>
                <w:b/>
                <w:bCs/>
                <w:color w:val="auto"/>
                <w:sz w:val="21"/>
                <w:szCs w:val="21"/>
                <w:lang w:val="en-US"/>
              </w:rPr>
              <w:t>1、施工</w:t>
            </w:r>
            <w:r>
              <w:rPr>
                <w:rFonts w:ascii="Times New Roman" w:hAnsi="Times New Roman" w:cs="Times New Roman"/>
                <w:b/>
                <w:bCs/>
                <w:color w:val="auto"/>
                <w:sz w:val="21"/>
                <w:szCs w:val="21"/>
              </w:rPr>
              <w:t>期</w:t>
            </w:r>
            <w:r>
              <w:rPr>
                <w:rFonts w:ascii="Times New Roman" w:hAnsi="Times New Roman" w:cs="Times New Roman"/>
                <w:color w:val="auto"/>
                <w:sz w:val="21"/>
                <w:szCs w:val="21"/>
              </w:rPr>
              <w:t xml:space="preserve">                 </w:t>
            </w:r>
          </w:p>
          <w:p>
            <w:pPr>
              <w:autoSpaceDE/>
              <w:autoSpaceDN/>
              <w:spacing w:line="400" w:lineRule="exact"/>
              <w:ind w:left="110" w:leftChars="50" w:firstLine="630" w:firstLineChars="300"/>
              <w:rPr>
                <w:rFonts w:ascii="Times New Roman" w:hAnsi="Times New Roman" w:cs="Times New Roman"/>
                <w:color w:val="auto"/>
                <w:sz w:val="21"/>
                <w:szCs w:val="21"/>
              </w:rPr>
            </w:pPr>
            <w:r>
              <w:rPr>
                <w:rFonts w:hint="eastAsia" w:ascii="Times New Roman" w:hAnsi="Times New Roman" w:cs="Times New Roman"/>
                <w:color w:val="auto"/>
                <w:sz w:val="21"/>
                <w:szCs w:val="21"/>
              </w:rPr>
              <w:t>本项目占地现为空地，</w:t>
            </w:r>
            <w:r>
              <w:rPr>
                <w:rFonts w:ascii="Times New Roman" w:hAnsi="Times New Roman" w:cs="Times New Roman"/>
                <w:color w:val="auto"/>
                <w:sz w:val="21"/>
                <w:szCs w:val="21"/>
              </w:rPr>
              <w:t>施工期主要为</w:t>
            </w:r>
            <w:r>
              <w:rPr>
                <w:rFonts w:hint="eastAsia" w:ascii="Times New Roman" w:hAnsi="Times New Roman" w:cs="Times New Roman"/>
                <w:color w:val="auto"/>
                <w:sz w:val="21"/>
                <w:szCs w:val="21"/>
              </w:rPr>
              <w:t>建设厂房、危废间等建构筑物、</w:t>
            </w:r>
            <w:r>
              <w:rPr>
                <w:rFonts w:ascii="Times New Roman" w:hAnsi="Times New Roman" w:cs="Times New Roman"/>
                <w:color w:val="auto"/>
                <w:sz w:val="21"/>
                <w:szCs w:val="21"/>
              </w:rPr>
              <w:t>设备的安装和调试</w:t>
            </w:r>
            <w:r>
              <w:rPr>
                <w:rFonts w:hint="eastAsia" w:ascii="Times New Roman" w:hAnsi="Times New Roman" w:cs="Times New Roman"/>
                <w:color w:val="auto"/>
                <w:sz w:val="21"/>
                <w:szCs w:val="21"/>
              </w:rPr>
              <w:t>、建筑材料运输、堆放，</w:t>
            </w:r>
            <w:r>
              <w:rPr>
                <w:rFonts w:ascii="Times New Roman" w:hAnsi="Times New Roman" w:cs="Times New Roman"/>
                <w:color w:val="auto"/>
                <w:sz w:val="21"/>
                <w:szCs w:val="21"/>
              </w:rPr>
              <w:t>随着设备安装完成，污染随之消失，不会对周围环境产生明显不利影响</w:t>
            </w:r>
            <w:r>
              <w:rPr>
                <w:rFonts w:hint="eastAsia" w:ascii="Times New Roman" w:hAnsi="Times New Roman" w:cs="Times New Roman"/>
                <w:color w:val="auto"/>
                <w:sz w:val="21"/>
                <w:szCs w:val="21"/>
              </w:rPr>
              <w:t>。</w:t>
            </w:r>
            <w:r>
              <w:rPr>
                <w:rFonts w:ascii="Times New Roman" w:hAnsi="Times New Roman" w:cs="Times New Roman"/>
                <w:color w:val="auto"/>
                <w:sz w:val="21"/>
                <w:szCs w:val="21"/>
              </w:rPr>
              <w:t>本项目施工期</w:t>
            </w:r>
            <w:r>
              <w:rPr>
                <w:rFonts w:ascii="Times New Roman" w:hAnsi="Times New Roman" w:cs="Times New Roman"/>
                <w:color w:val="auto"/>
                <w:sz w:val="21"/>
                <w:szCs w:val="21"/>
                <w:lang w:val="en-US"/>
              </w:rPr>
              <w:t>的工艺</w:t>
            </w:r>
            <w:r>
              <w:rPr>
                <w:rFonts w:ascii="Times New Roman" w:hAnsi="Times New Roman" w:cs="Times New Roman"/>
                <w:color w:val="auto"/>
                <w:sz w:val="21"/>
                <w:szCs w:val="21"/>
              </w:rPr>
              <w:t>主要为</w:t>
            </w:r>
            <w:r>
              <w:rPr>
                <w:rFonts w:hint="eastAsia" w:ascii="Times New Roman" w:hAnsi="Times New Roman" w:cs="Times New Roman"/>
                <w:color w:val="auto"/>
                <w:sz w:val="21"/>
                <w:szCs w:val="21"/>
              </w:rPr>
              <w:t>厂房建设、</w:t>
            </w:r>
            <w:r>
              <w:rPr>
                <w:rFonts w:ascii="Times New Roman" w:hAnsi="Times New Roman" w:cs="Times New Roman"/>
                <w:color w:val="auto"/>
                <w:sz w:val="21"/>
                <w:szCs w:val="21"/>
              </w:rPr>
              <w:t>设备的安装、调试</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。施工期工艺流程及排污节点见</w:t>
            </w:r>
            <w:r>
              <w:rPr>
                <w:rFonts w:hint="eastAsia" w:ascii="Times New Roman" w:hAnsi="Times New Roman" w:cs="Times New Roman"/>
                <w:color w:val="auto"/>
                <w:sz w:val="21"/>
                <w:szCs w:val="21"/>
              </w:rPr>
              <w:t>下</w:t>
            </w:r>
            <w:r>
              <w:rPr>
                <w:rFonts w:ascii="Times New Roman" w:hAnsi="Times New Roman" w:cs="Times New Roman"/>
                <w:color w:val="auto"/>
                <w:sz w:val="21"/>
                <w:szCs w:val="21"/>
              </w:rPr>
              <w:t>图。</w:t>
            </w:r>
          </w:p>
          <w:p>
            <w:pPr>
              <w:ind w:firstLine="480"/>
              <w:rPr>
                <w:color w:val="auto"/>
              </w:rPr>
            </w:pPr>
            <w:r>
              <w:rPr>
                <w:rFonts w:ascii="Times New Roman" w:hAnsi="Times New Roman" w:cs="Times New Roman"/>
                <w:b/>
                <w:bCs/>
                <w:color w:val="auto"/>
                <w:sz w:val="24"/>
                <w:szCs w:val="28"/>
                <w:lang w:val="en-US" w:bidi="ar-SA"/>
              </w:rPr>
              <mc:AlternateContent>
                <mc:Choice Requires="wpg">
                  <w:drawing>
                    <wp:anchor distT="0" distB="0" distL="114300" distR="114300" simplePos="0" relativeHeight="251667456" behindDoc="0" locked="0" layoutInCell="1" allowOverlap="1">
                      <wp:simplePos x="0" y="0"/>
                      <wp:positionH relativeFrom="column">
                        <wp:posOffset>471170</wp:posOffset>
                      </wp:positionH>
                      <wp:positionV relativeFrom="page">
                        <wp:posOffset>1501775</wp:posOffset>
                      </wp:positionV>
                      <wp:extent cx="4886960" cy="2043430"/>
                      <wp:effectExtent l="4445" t="4445" r="0" b="9525"/>
                      <wp:wrapTopAndBottom/>
                      <wp:docPr id="19" name="组合 19"/>
                      <wp:cNvGraphicFramePr/>
                      <a:graphic xmlns:a="http://schemas.openxmlformats.org/drawingml/2006/main">
                        <a:graphicData uri="http://schemas.microsoft.com/office/word/2010/wordprocessingGroup">
                          <wpg:wgp>
                            <wpg:cNvGrpSpPr/>
                            <wpg:grpSpPr>
                              <a:xfrm>
                                <a:off x="0" y="0"/>
                                <a:ext cx="4886960" cy="2043430"/>
                                <a:chOff x="0" y="0"/>
                                <a:chExt cx="7696" cy="3218"/>
                              </a:xfrm>
                              <a:effectLst/>
                            </wpg:grpSpPr>
                            <wps:wsp>
                              <wps:cNvPr id="145" name="Line 1152"/>
                              <wps:cNvCnPr>
                                <a:cxnSpLocks noChangeShapeType="true"/>
                              </wps:cNvCnPr>
                              <wps:spPr bwMode="auto">
                                <a:xfrm flipH="true" flipV="true">
                                  <a:off x="1759" y="357"/>
                                  <a:ext cx="4471" cy="1201"/>
                                </a:xfrm>
                                <a:prstGeom prst="line">
                                  <a:avLst/>
                                </a:prstGeom>
                                <a:noFill/>
                                <a:ln w="9525">
                                  <a:solidFill>
                                    <a:srgbClr val="000000"/>
                                  </a:solidFill>
                                  <a:round/>
                                  <a:tailEnd type="triangle" w="med" len="med"/>
                                </a:ln>
                                <a:effectLst/>
                              </wps:spPr>
                              <wps:bodyPr/>
                            </wps:wsp>
                            <wps:wsp>
                              <wps:cNvPr id="147" name="Line 1030"/>
                              <wps:cNvCnPr>
                                <a:cxnSpLocks noChangeShapeType="true"/>
                              </wps:cNvCnPr>
                              <wps:spPr bwMode="auto">
                                <a:xfrm flipV="true">
                                  <a:off x="1235" y="402"/>
                                  <a:ext cx="1472" cy="1171"/>
                                </a:xfrm>
                                <a:prstGeom prst="line">
                                  <a:avLst/>
                                </a:prstGeom>
                                <a:noFill/>
                                <a:ln w="9525">
                                  <a:solidFill>
                                    <a:srgbClr val="000000"/>
                                  </a:solidFill>
                                  <a:round/>
                                  <a:tailEnd type="stealth" w="med" len="lg"/>
                                </a:ln>
                                <a:effectLst/>
                              </wps:spPr>
                              <wps:bodyPr/>
                            </wps:wsp>
                            <wps:wsp>
                              <wps:cNvPr id="148" name="Line 1022"/>
                              <wps:cNvCnPr>
                                <a:cxnSpLocks noChangeShapeType="true"/>
                              </wps:cNvCnPr>
                              <wps:spPr bwMode="auto">
                                <a:xfrm flipH="true">
                                  <a:off x="4320" y="244"/>
                                  <a:ext cx="900" cy="1"/>
                                </a:xfrm>
                                <a:prstGeom prst="line">
                                  <a:avLst/>
                                </a:prstGeom>
                                <a:noFill/>
                                <a:ln w="9525">
                                  <a:solidFill>
                                    <a:srgbClr val="000000"/>
                                  </a:solidFill>
                                  <a:round/>
                                  <a:tailEnd type="stealth" w="med" len="lg"/>
                                </a:ln>
                                <a:effectLst/>
                              </wps:spPr>
                              <wps:bodyPr/>
                            </wps:wsp>
                            <wps:wsp>
                              <wps:cNvPr id="149" name="Rectangle 1010"/>
                              <wps:cNvSpPr>
                                <a:spLocks noChangeArrowheads="true"/>
                              </wps:cNvSpPr>
                              <wps:spPr bwMode="auto">
                                <a:xfrm>
                                  <a:off x="5221" y="0"/>
                                  <a:ext cx="198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50" name="Text Box 1009"/>
                              <wps:cNvSpPr txBox="true">
                                <a:spLocks noChangeArrowheads="true"/>
                              </wps:cNvSpPr>
                              <wps:spPr bwMode="auto">
                                <a:xfrm>
                                  <a:off x="3015"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 w:val="21"/>
                                        <w:szCs w:val="20"/>
                                      </w:rPr>
                                      <w:t>扬尘</w:t>
                                    </w:r>
                                    <w:r>
                                      <w:rPr>
                                        <w:rFonts w:hint="eastAsia"/>
                                        <w:szCs w:val="21"/>
                                      </w:rPr>
                                      <w:t xml:space="preserve"> </w:t>
                                    </w:r>
                                  </w:p>
                                  <w:p/>
                                  <w:p/>
                                  <w:p/>
                                </w:txbxContent>
                              </wps:txbx>
                              <wps:bodyPr rot="0" vert="horz" wrap="square" lIns="91439" tIns="45719" rIns="91439" bIns="45719" anchor="t" anchorCtr="false" upright="true">
                                <a:noAutofit/>
                              </wps:bodyPr>
                            </wps:wsp>
                            <wps:wsp>
                              <wps:cNvPr id="153" name="Oval 1008"/>
                              <wps:cNvSpPr>
                                <a:spLocks noChangeArrowheads="true"/>
                              </wps:cNvSpPr>
                              <wps:spPr bwMode="auto">
                                <a:xfrm>
                                  <a:off x="252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4" name="Text Box 1007"/>
                              <wps:cNvSpPr txBox="true">
                                <a:spLocks noChangeArrowheads="true"/>
                              </wps:cNvSpPr>
                              <wps:spPr bwMode="auto">
                                <a:xfrm>
                                  <a:off x="540" y="28"/>
                                  <a:ext cx="900" cy="468"/>
                                </a:xfrm>
                                <a:prstGeom prst="rect">
                                  <a:avLst/>
                                </a:prstGeom>
                                <a:solidFill>
                                  <a:srgbClr val="FFFFFF">
                                    <a:alpha val="0"/>
                                  </a:srgbClr>
                                </a:solidFill>
                                <a:ln>
                                  <a:noFill/>
                                </a:ln>
                                <a:effectLst/>
                              </wps:spPr>
                              <wps:txbx>
                                <w:txbxContent>
                                  <w:p>
                                    <w:pPr>
                                      <w:spacing w:line="300" w:lineRule="exact"/>
                                      <w:rPr>
                                        <w:sz w:val="21"/>
                                        <w:szCs w:val="20"/>
                                      </w:rPr>
                                    </w:pPr>
                                    <w:r>
                                      <w:rPr>
                                        <w:rFonts w:hint="eastAsia"/>
                                        <w:sz w:val="21"/>
                                        <w:szCs w:val="20"/>
                                      </w:rPr>
                                      <w:t>噪 声</w:t>
                                    </w:r>
                                  </w:p>
                                </w:txbxContent>
                              </wps:txbx>
                              <wps:bodyPr rot="0" vert="horz" wrap="square" lIns="91439" tIns="45719" rIns="91439" bIns="45719" anchor="t" anchorCtr="false" upright="true">
                                <a:noAutofit/>
                              </wps:bodyPr>
                            </wps:wsp>
                            <wps:wsp>
                              <wps:cNvPr id="155" name="Oval 1006"/>
                              <wps:cNvSpPr>
                                <a:spLocks noChangeArrowheads="true"/>
                              </wps:cNvSpPr>
                              <wps:spPr bwMode="auto">
                                <a:xfrm>
                                  <a:off x="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6" name="Text Box 1004"/>
                              <wps:cNvSpPr txBox="true">
                                <a:spLocks noChangeArrowheads="true"/>
                              </wps:cNvSpPr>
                              <wps:spPr bwMode="auto">
                                <a:xfrm>
                                  <a:off x="4996" y="30"/>
                                  <a:ext cx="2700" cy="468"/>
                                </a:xfrm>
                                <a:prstGeom prst="rect">
                                  <a:avLst/>
                                </a:prstGeom>
                                <a:solidFill>
                                  <a:srgbClr val="FFFFFF">
                                    <a:alpha val="0"/>
                                  </a:srgbClr>
                                </a:solidFill>
                                <a:ln>
                                  <a:noFill/>
                                </a:ln>
                                <a:effectLst/>
                              </wps:spPr>
                              <wps:txbx>
                                <w:txbxContent>
                                  <w:p>
                                    <w:pPr>
                                      <w:spacing w:line="300" w:lineRule="exact"/>
                                      <w:ind w:firstLine="315" w:firstLineChars="150"/>
                                      <w:rPr>
                                        <w:sz w:val="21"/>
                                        <w:szCs w:val="20"/>
                                      </w:rPr>
                                    </w:pPr>
                                    <w:r>
                                      <w:rPr>
                                        <w:rFonts w:hint="eastAsia"/>
                                        <w:sz w:val="21"/>
                                        <w:szCs w:val="20"/>
                                      </w:rPr>
                                      <w:t>物料堆放、运输</w:t>
                                    </w:r>
                                  </w:p>
                                </w:txbxContent>
                              </wps:txbx>
                              <wps:bodyPr rot="0" vert="horz" wrap="square" lIns="91439" tIns="45719" rIns="91439" bIns="45719" anchor="t" anchorCtr="false" upright="true">
                                <a:noAutofit/>
                              </wps:bodyPr>
                            </wps:wsp>
                            <wps:wsp>
                              <wps:cNvPr id="157" name="Line 1031"/>
                              <wps:cNvCnPr>
                                <a:cxnSpLocks noChangeShapeType="true"/>
                              </wps:cNvCnPr>
                              <wps:spPr bwMode="auto">
                                <a:xfrm flipH="true" flipV="true">
                                  <a:off x="3695" y="448"/>
                                  <a:ext cx="1007" cy="1130"/>
                                </a:xfrm>
                                <a:prstGeom prst="line">
                                  <a:avLst/>
                                </a:prstGeom>
                                <a:noFill/>
                                <a:ln w="9525">
                                  <a:solidFill>
                                    <a:srgbClr val="000000"/>
                                  </a:solidFill>
                                  <a:round/>
                                  <a:tailEnd type="stealth" w="med" len="lg"/>
                                </a:ln>
                                <a:effectLst/>
                              </wps:spPr>
                              <wps:bodyPr/>
                            </wps:wsp>
                            <wps:wsp>
                              <wps:cNvPr id="158" name="Line 1029"/>
                              <wps:cNvCnPr>
                                <a:cxnSpLocks noChangeShapeType="true"/>
                              </wps:cNvCnPr>
                              <wps:spPr bwMode="auto">
                                <a:xfrm flipH="true" flipV="true">
                                  <a:off x="900" y="495"/>
                                  <a:ext cx="350" cy="1048"/>
                                </a:xfrm>
                                <a:prstGeom prst="line">
                                  <a:avLst/>
                                </a:prstGeom>
                                <a:noFill/>
                                <a:ln w="9525">
                                  <a:solidFill>
                                    <a:srgbClr val="000000"/>
                                  </a:solidFill>
                                  <a:round/>
                                  <a:tailEnd type="stealth" w="med" len="lg"/>
                                </a:ln>
                                <a:effectLst/>
                              </wps:spPr>
                              <wps:bodyPr/>
                            </wps:wsp>
                            <wps:wsp>
                              <wps:cNvPr id="159" name="Line 1027"/>
                              <wps:cNvCnPr>
                                <a:cxnSpLocks noChangeShapeType="true"/>
                              </wps:cNvCnPr>
                              <wps:spPr bwMode="auto">
                                <a:xfrm flipH="true" flipV="true">
                                  <a:off x="1080" y="496"/>
                                  <a:ext cx="1980" cy="1077"/>
                                </a:xfrm>
                                <a:prstGeom prst="line">
                                  <a:avLst/>
                                </a:prstGeom>
                                <a:noFill/>
                                <a:ln w="9525">
                                  <a:solidFill>
                                    <a:srgbClr val="000000"/>
                                  </a:solidFill>
                                  <a:round/>
                                  <a:tailEnd type="stealth" w="med" len="lg"/>
                                </a:ln>
                                <a:effectLst/>
                              </wps:spPr>
                              <wps:bodyPr/>
                            </wps:wsp>
                            <wps:wsp>
                              <wps:cNvPr id="162" name="Line 1026"/>
                              <wps:cNvCnPr>
                                <a:cxnSpLocks noChangeShapeType="true"/>
                              </wps:cNvCnPr>
                              <wps:spPr bwMode="auto">
                                <a:xfrm flipV="true">
                                  <a:off x="3050" y="496"/>
                                  <a:ext cx="369" cy="1092"/>
                                </a:xfrm>
                                <a:prstGeom prst="line">
                                  <a:avLst/>
                                </a:prstGeom>
                                <a:noFill/>
                                <a:ln w="9525">
                                  <a:solidFill>
                                    <a:srgbClr val="000000"/>
                                  </a:solidFill>
                                  <a:round/>
                                  <a:tailEnd type="stealth" w="med" len="lg"/>
                                </a:ln>
                                <a:effectLst/>
                              </wps:spPr>
                              <wps:bodyPr/>
                            </wps:wsp>
                            <wps:wsp>
                              <wps:cNvPr id="164" name="Line 1025"/>
                              <wps:cNvCnPr>
                                <a:cxnSpLocks noChangeShapeType="true"/>
                              </wps:cNvCnPr>
                              <wps:spPr bwMode="auto">
                                <a:xfrm flipH="true" flipV="true">
                                  <a:off x="1440" y="481"/>
                                  <a:ext cx="3240" cy="1092"/>
                                </a:xfrm>
                                <a:prstGeom prst="line">
                                  <a:avLst/>
                                </a:prstGeom>
                                <a:noFill/>
                                <a:ln w="9525">
                                  <a:solidFill>
                                    <a:srgbClr val="000000"/>
                                  </a:solidFill>
                                  <a:round/>
                                  <a:tailEnd type="stealth" w="med" len="lg"/>
                                </a:ln>
                                <a:effectLst/>
                              </wps:spPr>
                              <wps:bodyPr/>
                            </wps:wsp>
                            <wps:wsp>
                              <wps:cNvPr id="169" name="Line 1034"/>
                              <wps:cNvCnPr>
                                <a:cxnSpLocks noChangeShapeType="true"/>
                              </wps:cNvCnPr>
                              <wps:spPr bwMode="auto">
                                <a:xfrm>
                                  <a:off x="1115" y="2038"/>
                                  <a:ext cx="1164" cy="665"/>
                                </a:xfrm>
                                <a:prstGeom prst="line">
                                  <a:avLst/>
                                </a:prstGeom>
                                <a:noFill/>
                                <a:ln w="9525">
                                  <a:solidFill>
                                    <a:srgbClr val="000000"/>
                                  </a:solidFill>
                                  <a:round/>
                                  <a:tailEnd type="stealth" w="med" len="lg"/>
                                </a:ln>
                                <a:effectLst/>
                              </wps:spPr>
                              <wps:bodyPr/>
                            </wps:wsp>
                            <wps:wsp>
                              <wps:cNvPr id="173" name="Line 1035"/>
                              <wps:cNvCnPr>
                                <a:cxnSpLocks noChangeShapeType="true"/>
                              </wps:cNvCnPr>
                              <wps:spPr bwMode="auto">
                                <a:xfrm>
                                  <a:off x="3071" y="2058"/>
                                  <a:ext cx="103" cy="630"/>
                                </a:xfrm>
                                <a:prstGeom prst="line">
                                  <a:avLst/>
                                </a:prstGeom>
                                <a:noFill/>
                                <a:ln w="9525">
                                  <a:solidFill>
                                    <a:srgbClr val="000000"/>
                                  </a:solidFill>
                                  <a:round/>
                                  <a:tailEnd type="stealth" w="med" len="lg"/>
                                </a:ln>
                                <a:effectLst/>
                              </wps:spPr>
                              <wps:bodyPr/>
                            </wps:wsp>
                            <wps:wsp>
                              <wps:cNvPr id="174" name="Line 1037"/>
                              <wps:cNvCnPr>
                                <a:cxnSpLocks noChangeShapeType="true"/>
                              </wps:cNvCnPr>
                              <wps:spPr bwMode="auto">
                                <a:xfrm flipH="true">
                                  <a:off x="5325" y="2052"/>
                                  <a:ext cx="686" cy="591"/>
                                </a:xfrm>
                                <a:prstGeom prst="line">
                                  <a:avLst/>
                                </a:prstGeom>
                                <a:noFill/>
                                <a:ln w="9525">
                                  <a:solidFill>
                                    <a:srgbClr val="000000"/>
                                  </a:solidFill>
                                  <a:round/>
                                  <a:tailEnd type="stealth" w="med" len="lg"/>
                                </a:ln>
                                <a:effectLst/>
                              </wps:spPr>
                              <wps:bodyPr/>
                            </wps:wsp>
                            <wps:wsp>
                              <wps:cNvPr id="175" name="Line 1036"/>
                              <wps:cNvCnPr>
                                <a:cxnSpLocks noChangeShapeType="true"/>
                              </wps:cNvCnPr>
                              <wps:spPr bwMode="auto">
                                <a:xfrm flipH="true">
                                  <a:off x="4522" y="2054"/>
                                  <a:ext cx="196" cy="665"/>
                                </a:xfrm>
                                <a:prstGeom prst="line">
                                  <a:avLst/>
                                </a:prstGeom>
                                <a:noFill/>
                                <a:ln w="9525">
                                  <a:solidFill>
                                    <a:srgbClr val="000000"/>
                                  </a:solidFill>
                                  <a:round/>
                                  <a:tailEnd type="stealth" w="med" len="lg"/>
                                </a:ln>
                                <a:effectLst/>
                              </wps:spPr>
                              <wps:bodyPr/>
                            </wps:wsp>
                            <wps:wsp>
                              <wps:cNvPr id="176" name="Text Box 1012"/>
                              <wps:cNvSpPr txBox="true">
                                <a:spLocks noChangeArrowheads="true"/>
                              </wps:cNvSpPr>
                              <wps:spPr bwMode="auto">
                                <a:xfrm>
                                  <a:off x="738" y="1573"/>
                                  <a:ext cx="1260" cy="468"/>
                                </a:xfrm>
                                <a:prstGeom prst="rect">
                                  <a:avLst/>
                                </a:prstGeom>
                                <a:noFill/>
                                <a:ln>
                                  <a:noFill/>
                                </a:ln>
                                <a:effectLst/>
                              </wps:spPr>
                              <wps:txbx>
                                <w:txbxContent>
                                  <w:p>
                                    <w:pPr>
                                      <w:spacing w:line="300" w:lineRule="exact"/>
                                      <w:rPr>
                                        <w:sz w:val="21"/>
                                        <w:szCs w:val="20"/>
                                      </w:rPr>
                                    </w:pPr>
                                    <w:r>
                                      <w:rPr>
                                        <w:rFonts w:hint="eastAsia"/>
                                        <w:sz w:val="21"/>
                                        <w:szCs w:val="20"/>
                                      </w:rPr>
                                      <w:t>场地施工</w:t>
                                    </w:r>
                                  </w:p>
                                  <w:p/>
                                </w:txbxContent>
                              </wps:txbx>
                              <wps:bodyPr rot="0" vert="horz" wrap="square" lIns="91439" tIns="45719" rIns="91439" bIns="45719" anchor="t" anchorCtr="false" upright="true">
                                <a:noAutofit/>
                              </wps:bodyPr>
                            </wps:wsp>
                            <wps:wsp>
                              <wps:cNvPr id="180" name="Rectangle 1013"/>
                              <wps:cNvSpPr>
                                <a:spLocks noChangeArrowheads="true"/>
                              </wps:cNvSpPr>
                              <wps:spPr bwMode="auto">
                                <a:xfrm>
                                  <a:off x="558" y="1573"/>
                                  <a:ext cx="144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1" name="Text Box 1014"/>
                              <wps:cNvSpPr txBox="true">
                                <a:spLocks noChangeArrowheads="true"/>
                              </wps:cNvSpPr>
                              <wps:spPr bwMode="auto">
                                <a:xfrm>
                                  <a:off x="2478" y="1573"/>
                                  <a:ext cx="1260" cy="468"/>
                                </a:xfrm>
                                <a:prstGeom prst="rect">
                                  <a:avLst/>
                                </a:prstGeom>
                                <a:noFill/>
                                <a:ln>
                                  <a:noFill/>
                                </a:ln>
                                <a:effectLst/>
                              </wps:spPr>
                              <wps:txbx>
                                <w:txbxContent>
                                  <w:p>
                                    <w:pPr>
                                      <w:spacing w:line="300" w:lineRule="exact"/>
                                      <w:rPr>
                                        <w:sz w:val="21"/>
                                        <w:szCs w:val="20"/>
                                      </w:rPr>
                                    </w:pPr>
                                    <w:r>
                                      <w:rPr>
                                        <w:rFonts w:hint="eastAsia"/>
                                        <w:sz w:val="21"/>
                                        <w:szCs w:val="20"/>
                                      </w:rPr>
                                      <w:t>主体施工</w:t>
                                    </w:r>
                                  </w:p>
                                </w:txbxContent>
                              </wps:txbx>
                              <wps:bodyPr rot="0" vert="horz" wrap="square" lIns="91439" tIns="45719" rIns="91439" bIns="45719" anchor="t" anchorCtr="false" upright="true">
                                <a:noAutofit/>
                              </wps:bodyPr>
                            </wps:wsp>
                            <wps:wsp>
                              <wps:cNvPr id="182" name="Text Box 1015"/>
                              <wps:cNvSpPr txBox="true">
                                <a:spLocks noChangeArrowheads="true"/>
                              </wps:cNvSpPr>
                              <wps:spPr bwMode="auto">
                                <a:xfrm>
                                  <a:off x="4098" y="1573"/>
                                  <a:ext cx="1260" cy="468"/>
                                </a:xfrm>
                                <a:prstGeom prst="rect">
                                  <a:avLst/>
                                </a:prstGeom>
                                <a:noFill/>
                                <a:ln>
                                  <a:noFill/>
                                </a:ln>
                                <a:effectLst/>
                              </wps:spPr>
                              <wps:txbx>
                                <w:txbxContent>
                                  <w:p>
                                    <w:pPr>
                                      <w:spacing w:line="300" w:lineRule="exact"/>
                                      <w:rPr>
                                        <w:sz w:val="21"/>
                                        <w:szCs w:val="20"/>
                                      </w:rPr>
                                    </w:pPr>
                                    <w:r>
                                      <w:rPr>
                                        <w:rFonts w:hint="eastAsia"/>
                                        <w:sz w:val="21"/>
                                        <w:szCs w:val="20"/>
                                      </w:rPr>
                                      <w:t>道路修筑</w:t>
                                    </w:r>
                                  </w:p>
                                </w:txbxContent>
                              </wps:txbx>
                              <wps:bodyPr rot="0" vert="horz" wrap="square" lIns="91439" tIns="45719" rIns="91439" bIns="45719" anchor="t" anchorCtr="false" upright="true">
                                <a:noAutofit/>
                              </wps:bodyPr>
                            </wps:wsp>
                            <wps:wsp>
                              <wps:cNvPr id="183" name="Text Box 1016"/>
                              <wps:cNvSpPr txBox="true">
                                <a:spLocks noChangeArrowheads="true"/>
                              </wps:cNvSpPr>
                              <wps:spPr bwMode="auto">
                                <a:xfrm>
                                  <a:off x="5718" y="1573"/>
                                  <a:ext cx="1260" cy="468"/>
                                </a:xfrm>
                                <a:prstGeom prst="rect">
                                  <a:avLst/>
                                </a:prstGeom>
                                <a:noFill/>
                                <a:ln>
                                  <a:noFill/>
                                </a:ln>
                                <a:effectLst/>
                              </wps:spPr>
                              <wps:txbx>
                                <w:txbxContent>
                                  <w:p>
                                    <w:pPr>
                                      <w:spacing w:line="300" w:lineRule="exact"/>
                                      <w:rPr>
                                        <w:sz w:val="21"/>
                                        <w:szCs w:val="20"/>
                                      </w:rPr>
                                    </w:pPr>
                                    <w:r>
                                      <w:rPr>
                                        <w:rFonts w:hint="eastAsia"/>
                                        <w:sz w:val="21"/>
                                        <w:szCs w:val="20"/>
                                      </w:rPr>
                                      <w:t>设备安装</w:t>
                                    </w:r>
                                  </w:p>
                                </w:txbxContent>
                              </wps:txbx>
                              <wps:bodyPr rot="0" vert="horz" wrap="square" lIns="91439" tIns="45719" rIns="91439" bIns="45719" anchor="t" anchorCtr="false" upright="true">
                                <a:noAutofit/>
                              </wps:bodyPr>
                            </wps:wsp>
                            <wps:wsp>
                              <wps:cNvPr id="185" name="Rectangle 1019"/>
                              <wps:cNvSpPr>
                                <a:spLocks noChangeArrowheads="true"/>
                              </wps:cNvSpPr>
                              <wps:spPr bwMode="auto">
                                <a:xfrm>
                                  <a:off x="565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7" name="Rectangle 1020"/>
                              <wps:cNvSpPr>
                                <a:spLocks noChangeArrowheads="true"/>
                              </wps:cNvSpPr>
                              <wps:spPr bwMode="auto">
                                <a:xfrm>
                                  <a:off x="403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9" name="Rectangle 1021"/>
                              <wps:cNvSpPr>
                                <a:spLocks noChangeArrowheads="true"/>
                              </wps:cNvSpPr>
                              <wps:spPr bwMode="auto">
                                <a:xfrm>
                                  <a:off x="2418" y="157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90" name="Line 1038"/>
                              <wps:cNvCnPr>
                                <a:cxnSpLocks noChangeShapeType="true"/>
                              </wps:cNvCnPr>
                              <wps:spPr bwMode="auto">
                                <a:xfrm>
                                  <a:off x="1998" y="1789"/>
                                  <a:ext cx="425" cy="1"/>
                                </a:xfrm>
                                <a:prstGeom prst="line">
                                  <a:avLst/>
                                </a:prstGeom>
                                <a:noFill/>
                                <a:ln w="12700" cap="rnd">
                                  <a:solidFill>
                                    <a:srgbClr val="000000"/>
                                  </a:solidFill>
                                  <a:prstDash val="sysDot"/>
                                  <a:round/>
                                  <a:tailEnd type="triangle" w="med" len="med"/>
                                </a:ln>
                                <a:effectLst/>
                              </wps:spPr>
                              <wps:bodyPr/>
                            </wps:wsp>
                            <wps:wsp>
                              <wps:cNvPr id="191" name="Line 1039"/>
                              <wps:cNvCnPr>
                                <a:cxnSpLocks noChangeShapeType="true"/>
                              </wps:cNvCnPr>
                              <wps:spPr bwMode="auto">
                                <a:xfrm>
                                  <a:off x="3670" y="1804"/>
                                  <a:ext cx="369" cy="1"/>
                                </a:xfrm>
                                <a:prstGeom prst="line">
                                  <a:avLst/>
                                </a:prstGeom>
                                <a:noFill/>
                                <a:ln w="12700" cap="rnd">
                                  <a:solidFill>
                                    <a:srgbClr val="000000"/>
                                  </a:solidFill>
                                  <a:prstDash val="sysDot"/>
                                  <a:round/>
                                  <a:tailEnd type="triangle" w="med" len="med"/>
                                </a:ln>
                                <a:effectLst/>
                              </wps:spPr>
                              <wps:bodyPr/>
                            </wps:wsp>
                            <wps:wsp>
                              <wps:cNvPr id="192" name="Line 1040"/>
                              <wps:cNvCnPr>
                                <a:cxnSpLocks noChangeShapeType="true"/>
                              </wps:cNvCnPr>
                              <wps:spPr bwMode="auto">
                                <a:xfrm>
                                  <a:off x="5283" y="1789"/>
                                  <a:ext cx="369" cy="1"/>
                                </a:xfrm>
                                <a:prstGeom prst="line">
                                  <a:avLst/>
                                </a:prstGeom>
                                <a:noFill/>
                                <a:ln w="12700" cap="rnd">
                                  <a:solidFill>
                                    <a:srgbClr val="000000"/>
                                  </a:solidFill>
                                  <a:prstDash val="sysDot"/>
                                  <a:round/>
                                  <a:tailEnd type="triangle" w="med" len="med"/>
                                </a:ln>
                                <a:effectLst/>
                              </wps:spPr>
                              <wps:bodyPr/>
                            </wps:wsp>
                            <wps:wsp>
                              <wps:cNvPr id="193" name="Text Box 1033"/>
                              <wps:cNvSpPr txBox="true">
                                <a:spLocks noChangeArrowheads="true"/>
                              </wps:cNvSpPr>
                              <wps:spPr bwMode="auto">
                                <a:xfrm>
                                  <a:off x="672" y="2746"/>
                                  <a:ext cx="6248" cy="468"/>
                                </a:xfrm>
                                <a:prstGeom prst="rect">
                                  <a:avLst/>
                                </a:prstGeom>
                                <a:solidFill>
                                  <a:srgbClr val="FFFFFF">
                                    <a:alpha val="0"/>
                                  </a:srgbClr>
                                </a:solidFill>
                                <a:ln>
                                  <a:noFill/>
                                </a:ln>
                                <a:effectLst/>
                              </wps:spPr>
                              <wps:txbx>
                                <w:txbxContent>
                                  <w:p>
                                    <w:pPr>
                                      <w:spacing w:line="300" w:lineRule="exact"/>
                                      <w:ind w:firstLine="315" w:firstLineChars="150"/>
                                      <w:rPr>
                                        <w:szCs w:val="21"/>
                                      </w:rPr>
                                    </w:pPr>
                                    <w:r>
                                      <w:rPr>
                                        <w:rFonts w:hint="eastAsia"/>
                                        <w:sz w:val="21"/>
                                        <w:szCs w:val="20"/>
                                      </w:rPr>
                                      <w:t>建筑垃圾、施工废水、生活垃圾、生活污水、冲洗废水</w:t>
                                    </w:r>
                                  </w:p>
                                </w:txbxContent>
                              </wps:txbx>
                              <wps:bodyPr rot="0" vert="horz" wrap="square" lIns="91439" tIns="45719" rIns="91439" bIns="45719" anchor="t" anchorCtr="false" upright="true">
                                <a:noAutofit/>
                              </wps:bodyPr>
                            </wps:wsp>
                            <wps:wsp>
                              <wps:cNvPr id="197" name="Rectangle 1032"/>
                              <wps:cNvSpPr>
                                <a:spLocks noChangeArrowheads="true"/>
                              </wps:cNvSpPr>
                              <wps:spPr bwMode="auto">
                                <a:xfrm>
                                  <a:off x="969" y="2750"/>
                                  <a:ext cx="5374" cy="468"/>
                                </a:xfrm>
                                <a:prstGeom prst="rect">
                                  <a:avLst/>
                                </a:prstGeom>
                                <a:solidFill>
                                  <a:srgbClr val="FFFFFF">
                                    <a:alpha val="0"/>
                                  </a:srgbClr>
                                </a:solidFill>
                                <a:ln w="9525">
                                  <a:solidFill>
                                    <a:srgbClr val="000000"/>
                                  </a:solidFill>
                                  <a:miter lim="800000"/>
                                </a:ln>
                                <a:effectLst/>
                              </wps:spPr>
                              <wps:bodyPr rot="0" vert="horz" wrap="square" lIns="91439" tIns="45719" rIns="91439" bIns="45719" anchor="t" anchorCtr="false" upright="true">
                                <a:noAutofit/>
                              </wps:bodyPr>
                            </wps:wsp>
                          </wpg:wgp>
                        </a:graphicData>
                      </a:graphic>
                    </wp:anchor>
                  </w:drawing>
                </mc:Choice>
                <mc:Fallback>
                  <w:pict>
                    <v:group id="_x0000_s1026" o:spid="_x0000_s1026" o:spt="203" style="position:absolute;left:0pt;margin-left:37.1pt;margin-top:118.25pt;height:160.9pt;width:384.8pt;mso-position-vertical-relative:page;mso-wrap-distance-bottom:0pt;mso-wrap-distance-top:0pt;z-index:251667456;mso-width-relative:page;mso-height-relative:page;" coordsize="7696,3218" o:gfxdata="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BYAAABkcnMv&#10;UEsBAhQAFAAAAAgAh07iQJs4RKTbAAAACgEAAA8AAAAAAAAAAQAgAAAAOAAAAGRycy9kb3ducmV2&#10;LnhtbFBLAQIUABQAAAAIAIdO4kDVtpmWdAcAAINKAAAOAAAAAAAAAAEAIAAAAEABAABkcnMvZTJv&#10;RG9jLnhtbFBLBQYAAAAABgAGAFkBAAAmCwAAAAA=&#10;">
                      <o:lock v:ext="edit" aspectratio="f"/>
                      <v:line id="Line 1152" o:spid="_x0000_s1026" o:spt="20" style="position:absolute;left:1759;top:357;flip:x y;height:1201;width:4471;" filled="f" stroked="t" coordsize="21600,21600" o:gfxdata="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T1cO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DFYM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a7MQsAAAADcAAAADwAAAAAAAAABACAAAAA4AAAAZHJzL2Rvd25y&#10;ZXYueG1sUEsBAhQAFAAAAAgAh07iQDMvBZ47AAAAOQAAABAAAAAAAAAAAQAgAAAAJQEAAGRycy9z&#10;aGFwZXhtbC54bWxQSwUGAAAAAAYABgBbAQAAzwM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&#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ecFKr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shape id="Text Box 1009" o:spid="_x0000_s1026" o:spt="202" type="#_x0000_t202" style="position:absolute;left:3015;top:28;height:468;width:900;" fillcolor="#FFFFFF" filled="t" stroked="f" coordsize="21600,21600" o:gfxdata="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agTu+AAAA3AAAAA8AAAAAAAAAAQAgAAAAOAAAAGRycy9kb3ducmV2&#10;LnhtbFBLAQIUABQAAAAIAIdO4kAzLwWeOwAAADkAAAAQAAAAAAAAAAEAIAAAACMBAABkcnMvc2hh&#10;cGV4bWwueG1sUEsFBgAAAAAGAAYAWwEAAM0DA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 w:val="21"/>
                                  <w:szCs w:val="20"/>
                                </w:rPr>
                                <w:t>扬尘</w:t>
                              </w:r>
                              <w:r>
                                <w:rPr>
                                  <w:rFonts w:hint="eastAsia"/>
                                  <w:szCs w:val="21"/>
                                </w:rPr>
                                <w:t xml:space="preserve"> </w:t>
                              </w:r>
                            </w:p>
                            <w:p/>
                            <w:p/>
                            <w:p/>
                          </w:txbxContent>
                        </v:textbox>
                      </v:shape>
                      <v:shape id="Oval 1008" o:spid="_x0000_s1026" o:spt="3" type="#_x0000_t3" style="position:absolute;left:2520;top:28;height:468;width:1800;" filled="f" stroked="t" coordsize="21600,21600" o:gfxdata="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YWR7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7" o:spid="_x0000_s1026" o:spt="202" type="#_x0000_t202" style="position:absolute;left:540;top:28;height:468;width:900;" fillcolor="#FFFFFF" filled="t" stroked="f" coordsize="21600,21600" o:gfxdata="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yGHOL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噪 声</w:t>
                              </w:r>
                            </w:p>
                          </w:txbxContent>
                        </v:textbox>
                      </v:shape>
                      <v:shape id="Oval 1006" o:spid="_x0000_s1026" o:spt="3" type="#_x0000_t3" style="position:absolute;left:0;top:28;height:468;width:1800;" filled="f" stroked="t" coordsize="21600,21600" o:gfxdata="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lMrqL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4" o:spid="_x0000_s1026" o:spt="202" type="#_x0000_t202" style="position:absolute;left:4996;top:30;height:468;width:2700;" fillcolor="#FFFFFF" filled="t" stroked="f" coordsize="21600,21600" o:gfxdata="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v7zUvAAAANwAAAAPAAAAAAAAAAEAIAAAADgAAABkcnMvZG93bnJldi54&#10;bWxQSwECFAAUAAAACACHTuJAMy8FnjsAAAA5AAAAEAAAAAAAAAABACAAAAAhAQAAZHJzL3NoYXBl&#10;eG1sLnhtbFBLBQYAAAAABgAGAFsBAADLAw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 w:val="21"/>
                                  <w:szCs w:val="20"/>
                                </w:rPr>
                              </w:pPr>
                              <w:r>
                                <w:rPr>
                                  <w:rFonts w:hint="eastAsia"/>
                                  <w:sz w:val="21"/>
                                  <w:szCs w:val="20"/>
                                </w:rPr>
                                <w:t>物料堆放、运输</w:t>
                              </w:r>
                            </w:p>
                          </w:txbxContent>
                        </v:textbox>
                      </v:shape>
                      <v:line id="Line 1031" o:spid="_x0000_s1026" o:spt="20" style="position:absolute;left:3695;top:448;flip:x y;height:1130;width:1007;" filled="f" stroked="t" coordsize="21600,21600" o:gfxdata="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sCUG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9" o:spid="_x0000_s1026" o:spt="20" style="position:absolute;left:900;top:495;flip:x y;height:1048;width:350;" filled="f" stroked="t" coordsize="21600,21600" o:gfxdata="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vsXS+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line id="Line 1027" o:spid="_x0000_s1026" o:spt="20" style="position:absolute;left:1080;top:496;flip:x y;height:1077;width:1980;" filled="f" stroked="t" coordsize="21600,21600" o:gfxdata="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YxTv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26" o:spid="_x0000_s1026" o:spt="20" style="position:absolute;left:3050;top:496;flip:y;height:1092;width:369;" filled="f" stroked="t" coordsize="21600,21600" o:gfxdata="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Ony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5" o:spid="_x0000_s1026" o:spt="20" style="position:absolute;left:1440;top:481;flip:x y;height:1092;width:3240;" filled="f" stroked="t" coordsize="21600,21600" o:gfxdata="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nHM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tIpk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5" o:spid="_x0000_s1026" o:spt="20" style="position:absolute;left:3071;top:2058;height:630;width:103;" filled="f" stroked="t" coordsize="21600,21600" o:gfxdata="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&#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hStT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line id="Line 1037" o:spid="_x0000_s1026" o:spt="20" style="position:absolute;left:5325;top:2052;flip:x;height:591;width:686;" filled="f" stroked="t" coordsize="21600,21600" o:gfxdata="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8M+r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36" o:spid="_x0000_s1026" o:spt="20" style="position:absolute;left:4522;top:2054;flip:x;height:665;width:196;" filled="f" stroked="t" coordsize="21600,21600" o:gfxdata="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nDqWG+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shape id="Text Box 1012" o:spid="_x0000_s1026" o:spt="202" type="#_x0000_t202" style="position:absolute;left:738;top:1573;height:468;width:1260;" filled="f" stroked="f" coordsize="21600,21600" o:gfxdata="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fK9a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场地施工</w:t>
                              </w:r>
                            </w:p>
                            <w:p/>
                          </w:txbxContent>
                        </v:textbox>
                      </v:shape>
                      <v:rect id="Rectangle 1013" o:spid="_x0000_s1026" o:spt="1" style="position:absolute;left:558;top:1573;height:468;width:1440;" filled="f" stroked="t" coordsize="21600,21600" o:gfxdata="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kFi2+AAAA3AAAAA8AAAAAAAAAAQAgAAAAOAAAAGRycy9kb3ducmV2&#10;LnhtbFBLAQIUABQAAAAIAIdO4kAzLwWeOwAAADkAAAAQAAAAAAAAAAEAIAAAACMBAABkcnMvc2hh&#10;cGV4bWwueG1sUEsFBgAAAAAGAAYAWwEAAM0DAAAAAA==&#10;">
                        <v:fill on="f" focussize="0,0"/>
                        <v:stroke color="#000000" miterlimit="8" joinstyle="miter"/>
                        <v:imagedata o:title=""/>
                        <o:lock v:ext="edit" aspectratio="f"/>
                        <v:textbox inset="7.19992125984252pt,3.59992125984252pt,7.19992125984252pt,3.59992125984252pt"/>
                      </v:rect>
                      <v:shape id="Text Box 1014" o:spid="_x0000_s1026" o:spt="202" type="#_x0000_t202" style="position:absolute;left:2478;top:1573;height:468;width:1260;" filled="f" stroked="f" coordsize="21600,21600" o:gfxdata="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jw4W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主体施工</w:t>
                              </w:r>
                            </w:p>
                          </w:txbxContent>
                        </v:textbox>
                      </v:shape>
                      <v:shape id="Text Box 1015" o:spid="_x0000_s1026" o:spt="202" type="#_x0000_t202" style="position:absolute;left:4098;top:1573;height:468;width:1260;" filled="f" stroked="f" coordsize="21600,21600" o:gfxdata="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xXfK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道路修筑</w:t>
                              </w:r>
                            </w:p>
                          </w:txbxContent>
                        </v:textbox>
                      </v:shape>
                      <v:shape id="Text Box 1016" o:spid="_x0000_s1026" o:spt="202" type="#_x0000_t202" style="position:absolute;left:5718;top:1573;height:468;width:1260;" filled="f" stroked="f" coordsize="21600,21600" o:gfxdata="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&#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9+Gm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设备安装</w:t>
                              </w:r>
                            </w:p>
                          </w:txbxContent>
                        </v:textbox>
                      </v:shape>
                      <v:rect id="Rectangle 1019" o:spid="_x0000_s1026" o:spt="1" style="position:absolute;left:5658;top:1573;height:468;width:1260;" filled="f" stroked="t" coordsize="21600,21600" o:gfxdata="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xO1tb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rect id="Rectangle 1020" o:spid="_x0000_s1026" o:spt="1" style="position:absolute;left:4038;top:1573;height:468;width:1260;" filled="f" stroked="t" coordsize="21600,21600" o:gfxdata="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&#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SNjlm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rect id="Rectangle 1021" o:spid="_x0000_s1026" o:spt="1" style="position:absolute;left:2418;top:1573;height:468;width:1260;" filled="f" stroked="t" coordsize="21600,21600" o:gfxdata="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pev7C7AAAA3AAAAA8AAAAAAAAAAQAgAAAAOAAAAGRycy9kb3ducmV2Lnht&#10;bFBLAQIUABQAAAAIAIdO4kAzLwWeOwAAADkAAAAQAAAAAAAAAAEAIAAAACABAABkcnMvc2hhcGV4&#10;bWwueG1sUEsFBgAAAAAGAAYAWwEAAMoDAAAAAA==&#10;">
                        <v:fill on="f" focussize="0,0"/>
                        <v:stroke color="#000000" miterlimit="8" joinstyle="miter"/>
                        <v:imagedata o:title=""/>
                        <o:lock v:ext="edit" aspectratio="f"/>
                        <v:textbox inset="7.19992125984252pt,3.59992125984252pt,7.19992125984252pt,3.59992125984252pt"/>
                      </v:rect>
                      <v:line id="Line 1038" o:spid="_x0000_s1026" o:spt="20" style="position:absolute;left:1998;top:1789;height:1;width:425;" filled="f" stroked="t" coordsize="21600,21600" o:gfxdata="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OFMTUwgAAANwAAAAPAAAAAAAAAAEAIAAAADgAAABkcnMvZG93&#10;bnJldi54bWxQSwECFAAUAAAACACHTuJAMy8FnjsAAAA5AAAAEAAAAAAAAAABACAAAAAnAQAAZHJz&#10;L3NoYXBleG1sLnhtbFBLBQYAAAAABgAGAFsBAADRAwAAAAA=&#10;">
                        <v:fill on="f" focussize="0,0"/>
                        <v:stroke weight="1pt" color="#000000" joinstyle="round" dashstyle="1 1" endcap="round" endarrow="block"/>
                        <v:imagedata o:title=""/>
                        <o:lock v:ext="edit" aspectratio="f"/>
                      </v:line>
                      <v:line id="Line 1039" o:spid="_x0000_s1026" o:spt="20" style="position:absolute;left:3670;top:1804;height:1;width:369;" filled="f" stroked="t" coordsize="21600,21600" o:gfxdata="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WGFPvwAAANwAAAAPAAAAAAAAAAEAIAAAADgAAABkcnMvZG93bnJl&#10;di54bWxQSwECFAAUAAAACACHTuJAMy8FnjsAAAA5AAAAEAAAAAAAAAABACAAAAAkAQAAZHJzL3No&#10;YXBleG1sLnhtbFBLBQYAAAAABgAGAFsBAADOAwAAAAA=&#10;">
                        <v:fill on="f" focussize="0,0"/>
                        <v:stroke weight="1pt" color="#000000" joinstyle="round" dashstyle="1 1" endcap="round" endarrow="block"/>
                        <v:imagedata o:title=""/>
                        <o:lock v:ext="edit" aspectratio="f"/>
                      </v:line>
                      <v:line id="Line 1040" o:spid="_x0000_s1026" o:spt="20" style="position:absolute;left:5283;top:1789;height:1;width:369;" filled="f" stroked="t" coordsize="21600,21600" o:gfxdata="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GK/zi+AAAA3AAAAA8AAAAAAAAAAQAgAAAAOAAAAGRycy9kb3ducmV2&#10;LnhtbFBLAQIUABQAAAAIAIdO4kAzLwWeOwAAADkAAAAQAAAAAAAAAAEAIAAAACMBAABkcnMvc2hh&#10;cGV4bWwueG1sUEsFBgAAAAAGAAYAWwEAAM0DA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3Gl1r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Cs w:val="21"/>
                                </w:rPr>
                              </w:pPr>
                              <w:r>
                                <w:rPr>
                                  <w:rFonts w:hint="eastAsia"/>
                                  <w:sz w:val="21"/>
                                  <w:szCs w:val="20"/>
                                </w:rPr>
                                <w:t>建筑垃圾、施工废水、生活垃圾、生活污水、冲洗废水</w:t>
                              </w:r>
                            </w:p>
                          </w:txbxContent>
                        </v:textbox>
                      </v:shape>
                      <v:rect id="Rectangle 1032" o:spid="_x0000_s1026" o:spt="1" style="position:absolute;left:969;top:2750;height:468;width:5374;" fillcolor="#FFFFFF" filled="t" stroked="t" coordsize="21600,21600" o:gfxdata="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7U42LoAAADcAAAADwAAAAAAAAABACAAAAA4AAAAZHJzL2Rvd25yZXYueG1s&#10;UEsBAhQAFAAAAAgAh07iQDMvBZ47AAAAOQAAABAAAAAAAAAAAQAgAAAAHwEAAGRycy9zaGFwZXht&#10;bC54bWxQSwUGAAAAAAYABgBbAQAAyQMAAAAA&#10;">
                        <v:fill on="t" opacity="0f" focussize="0,0"/>
                        <v:stroke color="#000000" miterlimit="8" joinstyle="miter"/>
                        <v:imagedata o:title=""/>
                        <o:lock v:ext="edit" aspectratio="f"/>
                        <v:textbox inset="7.19992125984252pt,3.59992125984252pt,7.19992125984252pt,3.59992125984252pt"/>
                      </v:rect>
                      <w10:wrap type="topAndBottom"/>
                    </v:group>
                  </w:pict>
                </mc:Fallback>
              </mc:AlternateContent>
            </w:r>
            <w:r>
              <w:rPr>
                <w:rFonts w:ascii="Times New Roman" w:hAnsi="Times New Roman" w:cs="Times New Roman"/>
                <w:color w:val="auto"/>
                <w:sz w:val="24"/>
                <w:lang w:val="en-US" w:bidi="ar-SA"/>
              </w:rPr>
              <mc:AlternateContent>
                <mc:Choice Requires="wps">
                  <w:drawing>
                    <wp:anchor distT="0" distB="0" distL="114300" distR="114300" simplePos="0" relativeHeight="251666432" behindDoc="0" locked="0" layoutInCell="1" allowOverlap="1">
                      <wp:simplePos x="0" y="0"/>
                      <wp:positionH relativeFrom="column">
                        <wp:posOffset>908685</wp:posOffset>
                      </wp:positionH>
                      <wp:positionV relativeFrom="paragraph">
                        <wp:posOffset>2242820</wp:posOffset>
                      </wp:positionV>
                      <wp:extent cx="3895725" cy="533400"/>
                      <wp:effectExtent l="0" t="0" r="9525" b="0"/>
                      <wp:wrapTopAndBottom/>
                      <wp:docPr id="21" name="文本框 21"/>
                      <wp:cNvGraphicFramePr/>
                      <a:graphic xmlns:a="http://schemas.openxmlformats.org/drawingml/2006/main">
                        <a:graphicData uri="http://schemas.microsoft.com/office/word/2010/wordprocessingShape">
                          <wps:wsp>
                            <wps:cNvSpPr txBox="true"/>
                            <wps:spPr>
                              <a:xfrm>
                                <a:off x="0" y="0"/>
                                <a:ext cx="3895725" cy="533400"/>
                              </a:xfrm>
                              <a:prstGeom prst="rect">
                                <a:avLst/>
                              </a:prstGeom>
                              <a:solidFill>
                                <a:srgbClr val="FFFFFF"/>
                              </a:solidFill>
                              <a:ln>
                                <a:noFill/>
                              </a:ln>
                              <a:effectLst/>
                            </wps:spPr>
                            <wps:txb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.3</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wps:txbx>
                            <wps:bodyPr upright="true"/>
                          </wps:wsp>
                        </a:graphicData>
                      </a:graphic>
                    </wp:anchor>
                  </w:drawing>
                </mc:Choice>
                <mc:Fallback>
                  <w:pict>
                    <v:shape id="_x0000_s1026" o:spid="_x0000_s1026" o:spt="202" type="#_x0000_t202" style="position:absolute;left:0pt;margin-left:71.55pt;margin-top:176.6pt;height:42pt;width:306.75pt;mso-wrap-distance-bottom:0pt;mso-wrap-distance-top:0pt;z-index:251666432;mso-width-relative:page;mso-height-relative:page;" fillcolor="#FFFFFF" filled="t" stroked="f" coordsize="21600,21600" o:gfxdata="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0QLpX9cAAAALAQAADwAAAAAAAAABACAAAAA4AAAAZHJzL2Rvd25y&#10;ZXYueG1sUEsBAhQAFAAAAAgAh07iQMm0pe6wAQAAPwMAAA4AAAAAAAAAAQAgAAAAPAEAAGRycy9l&#10;Mm9Eb2MueG1sUEsFBgAAAAAGAAYAWQEAAF4FAAAAAA==&#10;">
                      <v:fill on="t" focussize="0,0"/>
                      <v:stroke on="f"/>
                      <v:imagedata o:title=""/>
                      <o:lock v:ext="edit" aspectratio="f"/>
                      <v:textbo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.3</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v:textbox>
                      <w10:wrap type="topAndBottom"/>
                    </v:shape>
                  </w:pict>
                </mc:Fallback>
              </mc:AlternateContent>
            </w:r>
          </w:p>
          <w:p>
            <w:pPr>
              <w:pStyle w:val="5"/>
              <w:spacing w:before="120" w:after="120"/>
              <w:rPr>
                <w:rFonts w:ascii="Times New Roman" w:hAnsi="Times New Roman" w:eastAsia="宋体" w:cs="Times New Roman"/>
                <w:color w:val="auto"/>
                <w:sz w:val="21"/>
                <w:szCs w:val="21"/>
              </w:rPr>
            </w:pP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41"/>
              <w:ind w:firstLine="420"/>
              <w:rPr>
                <w:rFonts w:ascii="Times New Roman" w:hAnsi="Times New Roman" w:cs="Times New Roman"/>
                <w:color w:val="auto"/>
                <w:sz w:val="21"/>
                <w:szCs w:val="21"/>
              </w:rPr>
            </w:pP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lang w:val="en-US"/>
              </w:rPr>
            </w:pP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rPr>
            </w:pPr>
            <w:r>
              <w:rPr>
                <w:rFonts w:ascii="Times New Roman" w:hAnsi="Times New Roman" w:cs="Times New Roman"/>
                <w:b/>
                <w:bCs/>
                <w:color w:val="auto"/>
                <w:kern w:val="44"/>
                <w:sz w:val="21"/>
                <w:szCs w:val="21"/>
                <w:lang w:val="en-US"/>
              </w:rPr>
              <w:t>2、</w:t>
            </w:r>
            <w:r>
              <w:rPr>
                <w:rFonts w:ascii="Times New Roman" w:hAnsi="Times New Roman" w:cs="Times New Roman"/>
                <w:b/>
                <w:bCs/>
                <w:color w:val="auto"/>
                <w:kern w:val="44"/>
                <w:sz w:val="21"/>
                <w:szCs w:val="21"/>
              </w:rPr>
              <w:t>营运期</w:t>
            </w: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lang w:val="en-US"/>
              </w:rPr>
            </w:pPr>
            <w:r>
              <w:rPr>
                <w:rFonts w:ascii="Times New Roman" w:hAnsi="Times New Roman" w:cs="Times New Roman"/>
                <w:b/>
                <w:bCs/>
                <w:color w:val="auto"/>
                <w:kern w:val="44"/>
                <w:sz w:val="21"/>
                <w:szCs w:val="21"/>
                <w:lang w:val="en-US"/>
              </w:rPr>
              <w:t>（1）</w:t>
            </w:r>
            <w:r>
              <w:rPr>
                <w:rFonts w:hint="eastAsia" w:ascii="Times New Roman" w:hAnsi="Times New Roman" w:cs="Times New Roman"/>
                <w:b/>
                <w:bCs/>
                <w:color w:val="auto"/>
                <w:kern w:val="44"/>
                <w:sz w:val="21"/>
                <w:szCs w:val="21"/>
                <w:lang w:val="en-US"/>
              </w:rPr>
              <w:t>湿拌</w:t>
            </w:r>
            <w:r>
              <w:rPr>
                <w:rFonts w:ascii="Times New Roman" w:hAnsi="Times New Roman" w:cs="Times New Roman"/>
                <w:b/>
                <w:bCs/>
                <w:color w:val="auto"/>
                <w:kern w:val="44"/>
                <w:sz w:val="21"/>
                <w:szCs w:val="21"/>
                <w:lang w:val="en-US"/>
              </w:rPr>
              <w:t>砂浆生产线工艺流程</w:t>
            </w:r>
            <w:r>
              <w:rPr>
                <w:rFonts w:hint="eastAsia" w:ascii="Times New Roman" w:hAnsi="Times New Roman" w:cs="Times New Roman"/>
                <w:b/>
                <w:bCs/>
                <w:color w:val="auto"/>
                <w:kern w:val="44"/>
                <w:sz w:val="21"/>
                <w:szCs w:val="21"/>
                <w:lang w:val="en-US"/>
              </w:rPr>
              <w:t>及排污节点</w:t>
            </w:r>
          </w:p>
          <w:p>
            <w:pPr>
              <w:jc w:val="center"/>
              <w:rPr>
                <w:rFonts w:ascii="Times New Roman" w:hAnsi="Times New Roman"/>
                <w:color w:val="auto"/>
                <w:kern w:val="2"/>
                <w:sz w:val="21"/>
                <w:szCs w:val="21"/>
                <w:lang w:val="en-US" w:bidi="ar-SA"/>
              </w:rPr>
            </w:pPr>
            <w:r>
              <w:rPr>
                <w:rFonts w:hint="eastAsia" w:ascii="Times New Roman" w:hAnsi="Times New Roman" w:cs="Times New Roman"/>
                <w:b/>
                <w:bCs/>
                <w:color w:val="auto"/>
                <w:sz w:val="21"/>
                <w:szCs w:val="21"/>
                <w:lang w:val="en-US" w:bidi="ar-SA"/>
              </w:rPr>
              <mc:AlternateContent>
                <mc:Choice Requires="wpc">
                  <w:drawing>
                    <wp:anchor distT="0" distB="0" distL="114300" distR="114300" simplePos="0" relativeHeight="251665408" behindDoc="0" locked="0" layoutInCell="1" allowOverlap="1">
                      <wp:simplePos x="0" y="0"/>
                      <wp:positionH relativeFrom="column">
                        <wp:posOffset>558800</wp:posOffset>
                      </wp:positionH>
                      <wp:positionV relativeFrom="paragraph">
                        <wp:posOffset>85090</wp:posOffset>
                      </wp:positionV>
                      <wp:extent cx="4737100" cy="2788285"/>
                      <wp:effectExtent l="0" t="0" r="2540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261" name="矩形 4"/>
                              <wps:cNvSpPr/>
                              <wps:spPr>
                                <a:xfrm>
                                  <a:off x="2951480" y="21590"/>
                                  <a:ext cx="1100455" cy="356235"/>
                                </a:xfrm>
                                <a:prstGeom prst="rect">
                                  <a:avLst/>
                                </a:prstGeom>
                                <a:noFill/>
                                <a:ln w="9525" cap="flat" cmpd="sng">
                                  <a:solidFill>
                                    <a:schemeClr val="tx1"/>
                                  </a:solidFill>
                                  <a:prstDash val="dash"/>
                                  <a:miter/>
                                  <a:headEnd type="none" w="med" len="med"/>
                                  <a:tailEnd type="none" w="med" len="med"/>
                                </a:ln>
                              </wps:spPr>
                              <wps:txbx>
                                <w:txbxContent>
                                  <w:p>
                                    <w:pPr>
                                      <w:jc w:val="center"/>
                                      <w:rPr>
                                        <w:sz w:val="21"/>
                                        <w:szCs w:val="21"/>
                                      </w:rPr>
                                    </w:pPr>
                                  </w:p>
                                  <w:p>
                                    <w:pPr>
                                      <w:jc w:val="both"/>
                                      <w:rPr>
                                        <w:sz w:val="18"/>
                                        <w:szCs w:val="18"/>
                                      </w:rPr>
                                    </w:pPr>
                                    <w:r>
                                      <w:rPr>
                                        <w:rFonts w:hint="eastAsia"/>
                                        <w:sz w:val="16"/>
                                        <w:szCs w:val="16"/>
                                      </w:rPr>
                                      <w:t>封闭式厂房</w:t>
                                    </w:r>
                                  </w:p>
                                </w:txbxContent>
                              </wps:txbx>
                              <wps:bodyPr lIns="0" tIns="18000" rIns="0" bIns="18000" upright="true"/>
                            </wps:wsp>
                            <wps:wsp>
                              <wps:cNvPr id="513" name="矩形 513"/>
                              <wps:cNvSpPr/>
                              <wps:spPr>
                                <a:xfrm>
                                  <a:off x="3291205" y="41275"/>
                                  <a:ext cx="473710" cy="197485"/>
                                </a:xfrm>
                                <a:prstGeom prst="rect">
                                  <a:avLst/>
                                </a:prstGeom>
                                <a:noFill/>
                                <a:ln>
                                  <a:noFill/>
                                </a:ln>
                              </wps:spPr>
                              <wps:txbx>
                                <w:txbxContent>
                                  <w:p>
                                    <w:pPr>
                                      <w:jc w:val="center"/>
                                    </w:pPr>
                                    <w:r>
                                      <w:rPr>
                                        <w:rFonts w:hint="eastAsia"/>
                                      </w:rPr>
                                      <w:t>细骨料</w:t>
                                    </w:r>
                                  </w:p>
                                </w:txbxContent>
                              </wps:txbx>
                              <wps:bodyPr lIns="0" tIns="18000" rIns="0" bIns="18000" upright="true"/>
                            </wps:wsp>
                            <wps:wsp>
                              <wps:cNvPr id="515" name="矩形 515"/>
                              <wps:cNvSpPr/>
                              <wps:spPr>
                                <a:xfrm>
                                  <a:off x="1765935" y="76200"/>
                                  <a:ext cx="1020445" cy="248285"/>
                                </a:xfrm>
                                <a:prstGeom prst="rect">
                                  <a:avLst/>
                                </a:prstGeom>
                                <a:noFill/>
                                <a:ln>
                                  <a:noFill/>
                                </a:ln>
                              </wps:spPr>
                              <wps:txbx>
                                <w:txbxContent>
                                  <w:p>
                                    <w:pPr>
                                      <w:jc w:val="center"/>
                                    </w:pPr>
                                    <w:r>
                                      <w:rPr>
                                        <w:rFonts w:hint="eastAsia"/>
                                        <w:lang w:eastAsia="zh-CN"/>
                                      </w:rPr>
                                      <w:t>外加</w:t>
                                    </w:r>
                                    <w:r>
                                      <w:rPr>
                                        <w:rFonts w:hint="eastAsia"/>
                                      </w:rPr>
                                      <w:t>剂</w:t>
                                    </w:r>
                                  </w:p>
                                </w:txbxContent>
                              </wps:txbx>
                              <wps:bodyPr lIns="0" tIns="18000" rIns="0" bIns="18000" upright="true"/>
                            </wps:wsp>
                            <wps:wsp>
                              <wps:cNvPr id="517" name="矩形 517"/>
                              <wps:cNvSpPr/>
                              <wps:spPr>
                                <a:xfrm>
                                  <a:off x="1046480" y="41275"/>
                                  <a:ext cx="428625" cy="207010"/>
                                </a:xfrm>
                                <a:prstGeom prst="rect">
                                  <a:avLst/>
                                </a:prstGeom>
                                <a:noFill/>
                                <a:ln>
                                  <a:noFill/>
                                </a:ln>
                              </wps:spPr>
                              <wps:txbx>
                                <w:txbxContent>
                                  <w:p>
                                    <w:pPr>
                                      <w:jc w:val="center"/>
                                    </w:pPr>
                                    <w:r>
                                      <w:rPr>
                                        <w:rFonts w:hint="eastAsia"/>
                                      </w:rPr>
                                      <w:t>粉煤灰</w:t>
                                    </w:r>
                                  </w:p>
                                </w:txbxContent>
                              </wps:txbx>
                              <wps:bodyPr lIns="0" tIns="18000" rIns="0" bIns="18000" upright="true"/>
                            </wps:wsp>
                            <wps:wsp>
                              <wps:cNvPr id="518" name="矩形 518"/>
                              <wps:cNvSpPr/>
                              <wps:spPr>
                                <a:xfrm>
                                  <a:off x="88900" y="41275"/>
                                  <a:ext cx="631190" cy="207010"/>
                                </a:xfrm>
                                <a:prstGeom prst="rect">
                                  <a:avLst/>
                                </a:prstGeom>
                                <a:noFill/>
                                <a:ln>
                                  <a:noFill/>
                                </a:ln>
                              </wps:spPr>
                              <wps:txbx>
                                <w:txbxContent>
                                  <w:p>
                                    <w:pPr>
                                      <w:jc w:val="center"/>
                                    </w:pPr>
                                    <w:r>
                                      <w:rPr>
                                        <w:rFonts w:hint="eastAsia"/>
                                      </w:rPr>
                                      <w:t>水泥</w:t>
                                    </w:r>
                                  </w:p>
                                </w:txbxContent>
                              </wps:txbx>
                              <wps:bodyPr lIns="0" tIns="18000" rIns="0" bIns="18000" upright="true"/>
                            </wps:wsp>
                            <wps:wsp>
                              <wps:cNvPr id="519" name="矩形 519"/>
                              <wps:cNvSpPr/>
                              <wps:spPr>
                                <a:xfrm>
                                  <a:off x="4261485" y="82550"/>
                                  <a:ext cx="321310" cy="179070"/>
                                </a:xfrm>
                                <a:prstGeom prst="rect">
                                  <a:avLst/>
                                </a:prstGeom>
                                <a:noFill/>
                                <a:ln>
                                  <a:noFill/>
                                </a:ln>
                              </wps:spPr>
                              <wps:txbx>
                                <w:txbxContent>
                                  <w:p>
                                    <w:pPr>
                                      <w:jc w:val="center"/>
                                    </w:pPr>
                                    <w:r>
                                      <w:rPr>
                                        <w:rFonts w:hint="eastAsia"/>
                                      </w:rPr>
                                      <w:t>水</w:t>
                                    </w:r>
                                  </w:p>
                                  <w:p>
                                    <w:pPr>
                                      <w:jc w:val="center"/>
                                    </w:pPr>
                                  </w:p>
                                </w:txbxContent>
                              </wps:txbx>
                              <wps:bodyPr lIns="0" tIns="18000" rIns="0" bIns="18000" upright="true"/>
                            </wps:wsp>
                            <wps:wsp>
                              <wps:cNvPr id="520" name="文本框 520"/>
                              <wps:cNvSpPr txBox="true"/>
                              <wps:spPr>
                                <a:xfrm>
                                  <a:off x="4147820" y="333375"/>
                                  <a:ext cx="32639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wps:txbx>
                              <wps:bodyPr upright="true"/>
                            </wps:wsp>
                            <wps:wsp>
                              <wps:cNvPr id="521" name="文本框 521"/>
                              <wps:cNvSpPr txBox="true"/>
                              <wps:spPr>
                                <a:xfrm>
                                  <a:off x="2320290" y="901065"/>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522" name="文本框 522"/>
                              <wps:cNvSpPr txBox="true"/>
                              <wps:spPr>
                                <a:xfrm>
                                  <a:off x="411480" y="321310"/>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524" name="文本框 524"/>
                              <wps:cNvSpPr txBox="true"/>
                              <wps:spPr>
                                <a:xfrm>
                                  <a:off x="2992755" y="6985"/>
                                  <a:ext cx="44069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wps:txbx>
                              <wps:bodyPr upright="true"/>
                            </wps:wsp>
                            <wps:wsp>
                              <wps:cNvPr id="525" name="直接连接符 525"/>
                              <wps:cNvCnPr/>
                              <wps:spPr>
                                <a:xfrm>
                                  <a:off x="4431030" y="309880"/>
                                  <a:ext cx="0" cy="268605"/>
                                </a:xfrm>
                                <a:prstGeom prst="line">
                                  <a:avLst/>
                                </a:prstGeom>
                                <a:ln w="9525" cap="flat" cmpd="sng">
                                  <a:solidFill>
                                    <a:srgbClr val="000000"/>
                                  </a:solidFill>
                                  <a:prstDash val="solid"/>
                                  <a:headEnd type="none" w="med" len="med"/>
                                  <a:tailEnd type="triangle" w="med" len="med"/>
                                </a:ln>
                              </wps:spPr>
                              <wps:bodyPr/>
                            </wps:wsp>
                            <wps:wsp>
                              <wps:cNvPr id="526" name="直接连接符 526"/>
                              <wps:cNvCnPr/>
                              <wps:spPr>
                                <a:xfrm>
                                  <a:off x="3528060" y="238760"/>
                                  <a:ext cx="8255" cy="377190"/>
                                </a:xfrm>
                                <a:prstGeom prst="line">
                                  <a:avLst/>
                                </a:prstGeom>
                                <a:ln w="9525" cap="flat" cmpd="sng">
                                  <a:solidFill>
                                    <a:srgbClr val="000000"/>
                                  </a:solidFill>
                                  <a:prstDash val="solid"/>
                                  <a:headEnd type="none" w="med" len="med"/>
                                  <a:tailEnd type="triangle" w="med" len="med"/>
                                </a:ln>
                              </wps:spPr>
                              <wps:bodyPr/>
                            </wps:wsp>
                            <wps:wsp>
                              <wps:cNvPr id="527" name="直接连接符 527"/>
                              <wps:cNvCnPr/>
                              <wps:spPr>
                                <a:xfrm>
                                  <a:off x="2291080" y="353695"/>
                                  <a:ext cx="0" cy="268605"/>
                                </a:xfrm>
                                <a:prstGeom prst="line">
                                  <a:avLst/>
                                </a:prstGeom>
                                <a:ln w="9525" cap="flat" cmpd="sng">
                                  <a:solidFill>
                                    <a:srgbClr val="000000"/>
                                  </a:solidFill>
                                  <a:prstDash val="solid"/>
                                  <a:headEnd type="none" w="med" len="med"/>
                                  <a:tailEnd type="triangle" w="med" len="med"/>
                                </a:ln>
                              </wps:spPr>
                              <wps:bodyPr/>
                            </wps:wsp>
                            <wps:wsp>
                              <wps:cNvPr id="529" name="直接连接符 529"/>
                              <wps:cNvCnPr/>
                              <wps:spPr>
                                <a:xfrm>
                                  <a:off x="1251585" y="309880"/>
                                  <a:ext cx="0" cy="268605"/>
                                </a:xfrm>
                                <a:prstGeom prst="line">
                                  <a:avLst/>
                                </a:prstGeom>
                                <a:ln w="9525" cap="flat" cmpd="sng">
                                  <a:solidFill>
                                    <a:srgbClr val="000000"/>
                                  </a:solidFill>
                                  <a:prstDash val="solid"/>
                                  <a:headEnd type="none" w="med" len="med"/>
                                  <a:tailEnd type="triangle" w="med" len="med"/>
                                </a:ln>
                              </wps:spPr>
                              <wps:bodyPr/>
                            </wps:wsp>
                            <wps:wsp>
                              <wps:cNvPr id="530" name="直接连接符 530"/>
                              <wps:cNvCnPr/>
                              <wps:spPr>
                                <a:xfrm>
                                  <a:off x="363855" y="309880"/>
                                  <a:ext cx="0" cy="268605"/>
                                </a:xfrm>
                                <a:prstGeom prst="line">
                                  <a:avLst/>
                                </a:prstGeom>
                                <a:ln w="9525" cap="flat" cmpd="sng">
                                  <a:solidFill>
                                    <a:srgbClr val="000000"/>
                                  </a:solidFill>
                                  <a:prstDash val="solid"/>
                                  <a:headEnd type="none" w="med" len="med"/>
                                  <a:tailEnd type="triangle" w="med" len="med"/>
                                </a:ln>
                              </wps:spPr>
                              <wps:bodyPr/>
                            </wps:wsp>
                            <wps:wsp>
                              <wps:cNvPr id="531" name="矩形 531"/>
                              <wps:cNvSpPr/>
                              <wps:spPr>
                                <a:xfrm>
                                  <a:off x="4222750" y="612140"/>
                                  <a:ext cx="467360"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水槽</w:t>
                                    </w:r>
                                  </w:p>
                                </w:txbxContent>
                              </wps:txbx>
                              <wps:bodyPr lIns="0" tIns="18000" rIns="0" bIns="18000" upright="true"/>
                            </wps:wsp>
                            <wps:wsp>
                              <wps:cNvPr id="532" name="矩形 532"/>
                              <wps:cNvSpPr/>
                              <wps:spPr>
                                <a:xfrm>
                                  <a:off x="2917190" y="612140"/>
                                  <a:ext cx="111061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骨料配料仓</w:t>
                                    </w:r>
                                  </w:p>
                                </w:txbxContent>
                              </wps:txbx>
                              <wps:bodyPr lIns="0" tIns="18000" rIns="0" bIns="18000" upright="true"/>
                            </wps:wsp>
                            <wps:wsp>
                              <wps:cNvPr id="534" name="矩形 534"/>
                              <wps:cNvSpPr/>
                              <wps:spPr>
                                <a:xfrm>
                                  <a:off x="982980" y="620395"/>
                                  <a:ext cx="535940"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煤灰仓</w:t>
                                    </w:r>
                                  </w:p>
                                </w:txbxContent>
                              </wps:txbx>
                              <wps:bodyPr lIns="0" tIns="18000" rIns="0" bIns="18000" upright="true"/>
                            </wps:wsp>
                            <wps:wsp>
                              <wps:cNvPr id="535" name="矩形 535"/>
                              <wps:cNvSpPr/>
                              <wps:spPr>
                                <a:xfrm>
                                  <a:off x="149225"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水泥仓</w:t>
                                    </w:r>
                                  </w:p>
                                </w:txbxContent>
                              </wps:txbx>
                              <wps:bodyPr lIns="0" tIns="18000" rIns="0" bIns="18000" upright="true"/>
                            </wps:wsp>
                            <wps:wsp>
                              <wps:cNvPr id="536" name="矩形 536"/>
                              <wps:cNvSpPr/>
                              <wps:spPr>
                                <a:xfrm>
                                  <a:off x="1951990" y="655955"/>
                                  <a:ext cx="688975"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储罐</w:t>
                                    </w:r>
                                  </w:p>
                                </w:txbxContent>
                              </wps:txbx>
                              <wps:bodyPr lIns="0" tIns="18000" rIns="0" bIns="18000" upright="true"/>
                            </wps:wsp>
                            <wps:wsp>
                              <wps:cNvPr id="537" name="文本框 537"/>
                              <wps:cNvSpPr txBox="true"/>
                              <wps:spPr>
                                <a:xfrm>
                                  <a:off x="2914015" y="371475"/>
                                  <a:ext cx="46990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538" name="直接连接符 538"/>
                              <wps:cNvCnPr/>
                              <wps:spPr>
                                <a:xfrm>
                                  <a:off x="4436745" y="866140"/>
                                  <a:ext cx="635" cy="297180"/>
                                </a:xfrm>
                                <a:prstGeom prst="line">
                                  <a:avLst/>
                                </a:prstGeom>
                                <a:ln w="9525" cap="flat" cmpd="sng">
                                  <a:solidFill>
                                    <a:srgbClr val="000000"/>
                                  </a:solidFill>
                                  <a:prstDash val="solid"/>
                                  <a:headEnd type="none" w="med" len="med"/>
                                  <a:tailEnd type="triangle" w="med" len="med"/>
                                </a:ln>
                              </wps:spPr>
                              <wps:bodyPr/>
                            </wps:wsp>
                            <wps:wsp>
                              <wps:cNvPr id="539" name="直接连接符 539"/>
                              <wps:cNvCnPr/>
                              <wps:spPr>
                                <a:xfrm>
                                  <a:off x="3526790" y="873125"/>
                                  <a:ext cx="1270" cy="306705"/>
                                </a:xfrm>
                                <a:prstGeom prst="line">
                                  <a:avLst/>
                                </a:prstGeom>
                                <a:ln w="9525" cap="flat" cmpd="sng">
                                  <a:solidFill>
                                    <a:srgbClr val="000000"/>
                                  </a:solidFill>
                                  <a:prstDash val="solid"/>
                                  <a:headEnd type="none" w="med" len="med"/>
                                  <a:tailEnd type="triangle" w="med" len="med"/>
                                </a:ln>
                              </wps:spPr>
                              <wps:bodyPr/>
                            </wps:wsp>
                            <wps:wsp>
                              <wps:cNvPr id="541" name="直接连接符 541"/>
                              <wps:cNvCnPr/>
                              <wps:spPr>
                                <a:xfrm>
                                  <a:off x="2342515" y="909320"/>
                                  <a:ext cx="0" cy="268605"/>
                                </a:xfrm>
                                <a:prstGeom prst="line">
                                  <a:avLst/>
                                </a:prstGeom>
                                <a:ln w="9525" cap="flat" cmpd="sng">
                                  <a:solidFill>
                                    <a:srgbClr val="000000"/>
                                  </a:solidFill>
                                  <a:prstDash val="solid"/>
                                  <a:headEnd type="none" w="med" len="med"/>
                                  <a:tailEnd type="triangle" w="med" len="med"/>
                                </a:ln>
                              </wps:spPr>
                              <wps:bodyPr/>
                            </wps:wsp>
                            <wps:wsp>
                              <wps:cNvPr id="543" name="直接连接符 543"/>
                              <wps:cNvCnPr/>
                              <wps:spPr>
                                <a:xfrm>
                                  <a:off x="1275715" y="922020"/>
                                  <a:ext cx="0" cy="268605"/>
                                </a:xfrm>
                                <a:prstGeom prst="line">
                                  <a:avLst/>
                                </a:prstGeom>
                                <a:ln w="9525" cap="flat" cmpd="sng">
                                  <a:solidFill>
                                    <a:srgbClr val="000000"/>
                                  </a:solidFill>
                                  <a:prstDash val="solid"/>
                                  <a:headEnd type="none" w="med" len="med"/>
                                  <a:tailEnd type="triangle" w="med" len="med"/>
                                </a:ln>
                              </wps:spPr>
                              <wps:bodyPr/>
                            </wps:wsp>
                            <wps:wsp>
                              <wps:cNvPr id="544" name="直接连接符 544"/>
                              <wps:cNvCnPr/>
                              <wps:spPr>
                                <a:xfrm>
                                  <a:off x="363855" y="878205"/>
                                  <a:ext cx="0" cy="268605"/>
                                </a:xfrm>
                                <a:prstGeom prst="line">
                                  <a:avLst/>
                                </a:prstGeom>
                                <a:ln w="9525" cap="flat" cmpd="sng">
                                  <a:solidFill>
                                    <a:srgbClr val="000000"/>
                                  </a:solidFill>
                                  <a:prstDash val="solid"/>
                                  <a:headEnd type="none" w="med" len="med"/>
                                  <a:tailEnd type="triangle" w="med" len="med"/>
                                </a:ln>
                              </wps:spPr>
                              <wps:bodyPr/>
                            </wps:wsp>
                            <wps:wsp>
                              <wps:cNvPr id="545" name="矩形 545"/>
                              <wps:cNvSpPr/>
                              <wps:spPr>
                                <a:xfrm>
                                  <a:off x="4213860"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txbxContent>
                              </wps:txbx>
                              <wps:bodyPr lIns="0" tIns="18000" rIns="0" bIns="18000" upright="true"/>
                            </wps:wsp>
                            <wps:wsp>
                              <wps:cNvPr id="549" name="矩形 549"/>
                              <wps:cNvSpPr/>
                              <wps:spPr>
                                <a:xfrm>
                                  <a:off x="1060450" y="1189355"/>
                                  <a:ext cx="428625" cy="2165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pPr>
                                      <w:jc w:val="center"/>
                                    </w:pPr>
                                  </w:p>
                                </w:txbxContent>
                              </wps:txbx>
                              <wps:bodyPr lIns="0" tIns="18000" rIns="0" bIns="18000" upright="true"/>
                            </wps:wsp>
                            <wps:wsp>
                              <wps:cNvPr id="550" name="矩形 550"/>
                              <wps:cNvSpPr/>
                              <wps:spPr>
                                <a:xfrm>
                                  <a:off x="149225" y="1143000"/>
                                  <a:ext cx="42862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551" name="矩形 551"/>
                              <wps:cNvSpPr/>
                              <wps:spPr>
                                <a:xfrm>
                                  <a:off x="2122170" y="1207770"/>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552" name="直接连接符 552"/>
                              <wps:cNvCnPr/>
                              <wps:spPr>
                                <a:xfrm>
                                  <a:off x="3528060" y="1386840"/>
                                  <a:ext cx="8255" cy="334010"/>
                                </a:xfrm>
                                <a:prstGeom prst="line">
                                  <a:avLst/>
                                </a:prstGeom>
                                <a:ln w="9525" cap="flat" cmpd="sng">
                                  <a:solidFill>
                                    <a:srgbClr val="000000"/>
                                  </a:solidFill>
                                  <a:prstDash val="solid"/>
                                  <a:headEnd type="none" w="med" len="med"/>
                                  <a:tailEnd type="none" w="med" len="med"/>
                                </a:ln>
                              </wps:spPr>
                              <wps:bodyPr/>
                            </wps:wsp>
                            <wps:wsp>
                              <wps:cNvPr id="553" name="直接连接符 553"/>
                              <wps:cNvCnPr/>
                              <wps:spPr>
                                <a:xfrm>
                                  <a:off x="4436745" y="1430655"/>
                                  <a:ext cx="635" cy="306705"/>
                                </a:xfrm>
                                <a:prstGeom prst="line">
                                  <a:avLst/>
                                </a:prstGeom>
                                <a:ln w="9525" cap="flat" cmpd="sng">
                                  <a:solidFill>
                                    <a:srgbClr val="000000"/>
                                  </a:solidFill>
                                  <a:prstDash val="solid"/>
                                  <a:headEnd type="none" w="med" len="med"/>
                                  <a:tailEnd type="none" w="med" len="med"/>
                                </a:ln>
                              </wps:spPr>
                              <wps:bodyPr/>
                            </wps:wsp>
                            <wps:wsp>
                              <wps:cNvPr id="555" name="直接连接符 555"/>
                              <wps:cNvCnPr/>
                              <wps:spPr>
                                <a:xfrm>
                                  <a:off x="2310130" y="1414780"/>
                                  <a:ext cx="1270" cy="323215"/>
                                </a:xfrm>
                                <a:prstGeom prst="line">
                                  <a:avLst/>
                                </a:prstGeom>
                                <a:ln w="9525" cap="flat" cmpd="sng">
                                  <a:solidFill>
                                    <a:srgbClr val="000000"/>
                                  </a:solidFill>
                                  <a:prstDash val="solid"/>
                                  <a:headEnd type="none" w="med" len="med"/>
                                  <a:tailEnd type="none" w="med" len="med"/>
                                </a:ln>
                              </wps:spPr>
                              <wps:bodyPr/>
                            </wps:wsp>
                            <wps:wsp>
                              <wps:cNvPr id="557" name="直接连接符 557"/>
                              <wps:cNvCnPr/>
                              <wps:spPr>
                                <a:xfrm flipH="true">
                                  <a:off x="1288415" y="1397635"/>
                                  <a:ext cx="4445" cy="332740"/>
                                </a:xfrm>
                                <a:prstGeom prst="line">
                                  <a:avLst/>
                                </a:prstGeom>
                                <a:ln w="9525" cap="flat" cmpd="sng">
                                  <a:solidFill>
                                    <a:srgbClr val="000000"/>
                                  </a:solidFill>
                                  <a:prstDash val="solid"/>
                                  <a:headEnd type="none" w="med" len="med"/>
                                  <a:tailEnd type="none" w="med" len="med"/>
                                </a:ln>
                              </wps:spPr>
                              <wps:bodyPr/>
                            </wps:wsp>
                            <wps:wsp>
                              <wps:cNvPr id="558" name="直接连接符 558"/>
                              <wps:cNvCnPr/>
                              <wps:spPr>
                                <a:xfrm flipH="true">
                                  <a:off x="354965" y="1402080"/>
                                  <a:ext cx="8890" cy="334645"/>
                                </a:xfrm>
                                <a:prstGeom prst="line">
                                  <a:avLst/>
                                </a:prstGeom>
                                <a:ln w="9525" cap="flat" cmpd="sng">
                                  <a:solidFill>
                                    <a:srgbClr val="000000"/>
                                  </a:solidFill>
                                  <a:prstDash val="solid"/>
                                  <a:headEnd type="none" w="med" len="med"/>
                                  <a:tailEnd type="none" w="med" len="med"/>
                                </a:ln>
                              </wps:spPr>
                              <wps:bodyPr/>
                            </wps:wsp>
                            <wps:wsp>
                              <wps:cNvPr id="559" name="直接连接符 559"/>
                              <wps:cNvCnPr/>
                              <wps:spPr>
                                <a:xfrm>
                                  <a:off x="2447925" y="1732916"/>
                                  <a:ext cx="0" cy="268605"/>
                                </a:xfrm>
                                <a:prstGeom prst="line">
                                  <a:avLst/>
                                </a:prstGeom>
                                <a:ln w="9525" cap="flat" cmpd="sng">
                                  <a:solidFill>
                                    <a:srgbClr val="000000"/>
                                  </a:solidFill>
                                  <a:prstDash val="solid"/>
                                  <a:headEnd type="none" w="med" len="med"/>
                                  <a:tailEnd type="triangle" w="med" len="med"/>
                                </a:ln>
                              </wps:spPr>
                              <wps:bodyPr/>
                            </wps:wsp>
                            <wps:wsp>
                              <wps:cNvPr id="560" name="文本框 560"/>
                              <wps:cNvSpPr txBox="true"/>
                              <wps:spPr>
                                <a:xfrm>
                                  <a:off x="708660" y="1990090"/>
                                  <a:ext cx="946785" cy="252095"/>
                                </a:xfrm>
                                <a:prstGeom prst="rect">
                                  <a:avLst/>
                                </a:prstGeom>
                                <a:noFill/>
                                <a:ln w="9525" cap="flat" cmpd="sng">
                                  <a:solidFill>
                                    <a:srgbClr val="000000"/>
                                  </a:solid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561" name="直接连接符 561"/>
                              <wps:cNvCnPr/>
                              <wps:spPr>
                                <a:xfrm>
                                  <a:off x="363855" y="1732915"/>
                                  <a:ext cx="4070985" cy="0"/>
                                </a:xfrm>
                                <a:prstGeom prst="line">
                                  <a:avLst/>
                                </a:prstGeom>
                                <a:ln w="9525" cap="flat" cmpd="sng">
                                  <a:solidFill>
                                    <a:srgbClr val="000000"/>
                                  </a:solidFill>
                                  <a:prstDash val="solid"/>
                                  <a:headEnd type="none" w="med" len="med"/>
                                  <a:tailEnd type="none" w="med" len="med"/>
                                </a:ln>
                              </wps:spPr>
                              <wps:bodyPr/>
                            </wps:wsp>
                            <wps:wsp>
                              <wps:cNvPr id="562" name="直接连接符 562"/>
                              <wps:cNvCnPr/>
                              <wps:spPr>
                                <a:xfrm>
                                  <a:off x="2446655" y="2237106"/>
                                  <a:ext cx="0" cy="268605"/>
                                </a:xfrm>
                                <a:prstGeom prst="line">
                                  <a:avLst/>
                                </a:prstGeom>
                                <a:ln w="9525" cap="flat" cmpd="sng">
                                  <a:solidFill>
                                    <a:srgbClr val="000000"/>
                                  </a:solidFill>
                                  <a:prstDash val="solid"/>
                                  <a:headEnd type="none" w="med" len="med"/>
                                  <a:tailEnd type="triangle" w="med" len="med"/>
                                </a:ln>
                              </wps:spPr>
                              <wps:bodyPr/>
                            </wps:wsp>
                            <wps:wsp>
                              <wps:cNvPr id="563" name="矩形 563"/>
                              <wps:cNvSpPr/>
                              <wps:spPr>
                                <a:xfrm>
                                  <a:off x="2024380" y="2007871"/>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搅拌机</w:t>
                                    </w:r>
                                  </w:p>
                                </w:txbxContent>
                              </wps:txbx>
                              <wps:bodyPr lIns="0" tIns="18000" rIns="0" bIns="18000" upright="true"/>
                            </wps:wsp>
                            <wps:wsp>
                              <wps:cNvPr id="565" name="矩形 565"/>
                              <wps:cNvSpPr/>
                              <wps:spPr>
                                <a:xfrm>
                                  <a:off x="1857375" y="2520950"/>
                                  <a:ext cx="1307465" cy="226060"/>
                                </a:xfrm>
                                <a:prstGeom prst="rect">
                                  <a:avLst/>
                                </a:prstGeom>
                                <a:noFill/>
                                <a:ln w="9525" cap="flat" cmpd="sng">
                                  <a:noFill/>
                                  <a:prstDash val="solid"/>
                                  <a:miter/>
                                  <a:headEnd type="none" w="med" len="med"/>
                                  <a:tailEnd type="none" w="med" len="med"/>
                                </a:ln>
                              </wps:spPr>
                              <wps:txbx>
                                <w:txbxContent>
                                  <w:p>
                                    <w:pPr>
                                      <w:jc w:val="center"/>
                                    </w:pPr>
                                    <w:r>
                                      <w:rPr>
                                        <w:rFonts w:hint="eastAsia"/>
                                      </w:rPr>
                                      <w:t>湿拌砂浆（外运）</w:t>
                                    </w:r>
                                  </w:p>
                                </w:txbxContent>
                              </wps:txbx>
                              <wps:bodyPr lIns="0" tIns="18000" rIns="0" bIns="18000" upright="true"/>
                            </wps:wsp>
                            <pic:pic xmlns:pic="http://schemas.openxmlformats.org/drawingml/2006/picture">
                              <pic:nvPicPr>
                                <pic:cNvPr id="568" name="图片 57"/>
                                <pic:cNvPicPr>
                                  <a:picLocks noChangeAspect="true"/>
                                </pic:cNvPicPr>
                              </pic:nvPicPr>
                              <pic:blipFill>
                                <a:blip r:embed="rId12"/>
                                <a:stretch>
                                  <a:fillRect/>
                                </a:stretch>
                              </pic:blipFill>
                              <pic:spPr>
                                <a:xfrm>
                                  <a:off x="3339465" y="1791970"/>
                                  <a:ext cx="1333500" cy="673100"/>
                                </a:xfrm>
                                <a:prstGeom prst="rect">
                                  <a:avLst/>
                                </a:prstGeom>
                                <a:noFill/>
                                <a:ln>
                                  <a:noFill/>
                                </a:ln>
                              </pic:spPr>
                            </pic:pic>
                            <wps:wsp>
                              <wps:cNvPr id="571" name="直接连接符 571"/>
                              <wps:cNvCnPr>
                                <a:stCxn id="563" idx="1"/>
                                <a:endCxn id="560" idx="3"/>
                              </wps:cNvCnPr>
                              <wps:spPr>
                                <a:xfrm flipH="true" flipV="true">
                                  <a:off x="1655445" y="2116455"/>
                                  <a:ext cx="368935" cy="8890"/>
                                </a:xfrm>
                                <a:prstGeom prst="line">
                                  <a:avLst/>
                                </a:prstGeom>
                                <a:ln w="9525" cap="flat" cmpd="sng">
                                  <a:solidFill>
                                    <a:srgbClr val="000000"/>
                                  </a:solidFill>
                                  <a:prstDash val="dash"/>
                                  <a:headEnd type="none" w="med" len="med"/>
                                  <a:tailEnd type="triangle" w="med" len="med"/>
                                </a:ln>
                              </wps:spPr>
                              <wps:bodyPr/>
                            </wps:wsp>
                            <wps:wsp>
                              <wps:cNvPr id="685" name="文本框 685"/>
                              <wps:cNvSpPr txBox="true"/>
                              <wps:spPr>
                                <a:xfrm>
                                  <a:off x="1266825" y="330835"/>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260" name="矩形 2"/>
                              <wps:cNvSpPr/>
                              <wps:spPr>
                                <a:xfrm>
                                  <a:off x="3313430" y="1179830"/>
                                  <a:ext cx="428625" cy="207010"/>
                                </a:xfrm>
                                <a:prstGeom prst="rect">
                                  <a:avLst/>
                                </a:prstGeom>
                                <a:noFill/>
                                <a:ln w="9525" cap="flat" cmpd="sng">
                                  <a:solidFill>
                                    <a:srgbClr val="000000"/>
                                  </a:solidFill>
                                  <a:prstDash val="solid"/>
                                  <a:miter/>
                                  <a:headEnd type="none" w="med" len="med"/>
                                  <a:tailEnd type="none" w="med" len="med"/>
                                </a:ln>
                              </wps:spPr>
                              <wps:txbx>
                                <w:txbxContent>
                                  <w:p>
                                    <w:r>
                                      <w:rPr>
                                        <w:rFonts w:hint="eastAsia" w:ascii="Times New Roman" w:hAnsi="Times New Roman" w:cs="Times New Roman"/>
                                        <w:sz w:val="21"/>
                                        <w:szCs w:val="21"/>
                                        <w:lang w:val="en-US"/>
                                      </w:rPr>
                                      <w:t>称料斗</w:t>
                                    </w:r>
                                  </w:p>
                                </w:txbxContent>
                              </wps:txbx>
                              <wps:bodyPr lIns="0" tIns="18000" rIns="0" bIns="18000" upright="true"/>
                            </wps:wsp>
                            <wps:wsp>
                              <wps:cNvPr id="262" name="文本框 70"/>
                              <wps:cNvSpPr txBox="true"/>
                              <wps:spPr>
                                <a:xfrm>
                                  <a:off x="340360" y="88519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269" name="文本框 71"/>
                              <wps:cNvSpPr txBox="true"/>
                              <wps:spPr>
                                <a:xfrm>
                                  <a:off x="1197610" y="909955"/>
                                  <a:ext cx="547370" cy="267970"/>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285" name="文本框 79"/>
                              <wps:cNvSpPr txBox="true"/>
                              <wps:spPr>
                                <a:xfrm>
                                  <a:off x="4427855" y="913130"/>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286" name="文本框 81"/>
                              <wps:cNvSpPr txBox="true"/>
                              <wps:spPr>
                                <a:xfrm>
                                  <a:off x="2903855" y="91313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wps:txbx>
                              <wps:bodyPr upright="true"/>
                            </wps:wsp>
                          </wpc:wpc>
                        </a:graphicData>
                      </a:graphic>
                    </wp:anchor>
                  </w:drawing>
                </mc:Choice>
                <mc:Fallback>
                  <w:pict>
                    <v:group id="_x0000_s1026" o:spid="_x0000_s1026" o:spt="203" style="position:absolute;left:0pt;margin-left:44pt;margin-top:6.7pt;height:219.55pt;width:373pt;mso-wrap-distance-bottom:0pt;mso-wrap-distance-top:0pt;z-index:251665408;mso-width-relative:page;mso-height-relative:page;" coordsize="4737100,2788285" editas="canvas"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">
                      <o:lock v:ext="edit" aspectratio="f"/>
                      <v:shape id="_x0000_s1026" o:spid="_x0000_s1026" style="position:absolute;left:0;top:0;height:2788285;width:4737100;" filled="f" stroked="f" coordsize="21600,21600"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">
                        <v:fill on="f" focussize="0,0"/>
                        <v:stroke on="f"/>
                        <v:imagedata o:title=""/>
                        <o:lock v:ext="edit" aspectratio="f"/>
                      </v:shape>
                      <v:rect id="矩形 4" o:spid="_x0000_s1026" o:spt="1" style="position:absolute;left:2951480;top:21590;height:356235;width:1100455;" filled="f" stroked="t" coordsize="21600,21600" o:gfxdata="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SV3/R1QAAAAkBAAAPAAAA&#10;AAAAAAEAIAAAADgAAABkcnMvZG93bnJldi54bWxQSwECFAAUAAAACACHTuJAqgDvqwICAADsAwAA&#10;DgAAAAAAAAABACAAAAA6AQAAZHJzL2Uyb0RvYy54bWxQSwUGAAAAAAYABgBZAQAArgUAAAAA&#10;">
                        <v:fill on="f" focussize="0,0"/>
                        <v:stroke color="#000000 [3213]" joinstyle="miter" dashstyle="dash"/>
                        <v:imagedata o:title=""/>
                        <o:lock v:ext="edit" aspectratio="f"/>
                        <v:textbox inset="0mm,0.5mm,0mm,0.5mm">
                          <w:txbxContent>
                            <w:p>
                              <w:pPr>
                                <w:jc w:val="center"/>
                                <w:rPr>
                                  <w:sz w:val="21"/>
                                  <w:szCs w:val="21"/>
                                </w:rPr>
                              </w:pPr>
                            </w:p>
                            <w:p>
                              <w:pPr>
                                <w:jc w:val="both"/>
                                <w:rPr>
                                  <w:sz w:val="18"/>
                                  <w:szCs w:val="18"/>
                                </w:rPr>
                              </w:pPr>
                              <w:r>
                                <w:rPr>
                                  <w:rFonts w:hint="eastAsia"/>
                                  <w:sz w:val="16"/>
                                  <w:szCs w:val="16"/>
                                </w:rPr>
                                <w:t>封闭式厂房</w:t>
                              </w:r>
                            </w:p>
                          </w:txbxContent>
                        </v:textbox>
                      </v:rect>
                      <v:rect id="_x0000_s1026" o:spid="_x0000_s1026" o:spt="1" style="position:absolute;left:3291205;top:41275;height:197485;width:4737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AidsqZpwEAAC8DAAAOAAAAAAAAAAEAIAAAAD0BAABkcnMvZTJvRG9jLnht&#10;bFBLBQYAAAAABgAGAFkBAABWBQAAAAA=&#10;">
                        <v:fill on="f" focussize="0,0"/>
                        <v:stroke on="f"/>
                        <v:imagedata o:title=""/>
                        <o:lock v:ext="edit" aspectratio="f"/>
                        <v:textbox inset="0mm,0.5mm,0mm,0.5mm">
                          <w:txbxContent>
                            <w:p>
                              <w:pPr>
                                <w:jc w:val="center"/>
                              </w:pPr>
                              <w:r>
                                <w:rPr>
                                  <w:rFonts w:hint="eastAsia"/>
                                </w:rPr>
                                <w:t>细骨料</w:t>
                              </w:r>
                            </w:p>
                          </w:txbxContent>
                        </v:textbox>
                      </v:rect>
                      <v:rect id="_x0000_s1026" o:spid="_x0000_s1026" o:spt="1" style="position:absolute;left:1765935;top:76200;height:248285;width:102044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8XZ9/2AAAAAkBAAAPAAAAAAAAAAEAIAAAADgAAABkcnMvZG93bnJldi54bWxQ&#10;SwECFAAUAAAACACHTuJAv+CHr6gBAAAwAwAADgAAAAAAAAABACAAAAA9AQAAZHJzL2Uyb0RvYy54&#10;bWxQSwUGAAAAAAYABgBZAQAAVwUAAAAA&#10;">
                        <v:fill on="f" focussize="0,0"/>
                        <v:stroke on="f"/>
                        <v:imagedata o:title=""/>
                        <o:lock v:ext="edit" aspectratio="f"/>
                        <v:textbox inset="0mm,0.5mm,0mm,0.5mm">
                          <w:txbxContent>
                            <w:p>
                              <w:pPr>
                                <w:jc w:val="center"/>
                              </w:pPr>
                              <w:r>
                                <w:rPr>
                                  <w:rFonts w:hint="eastAsia"/>
                                  <w:lang w:eastAsia="zh-CN"/>
                                </w:rPr>
                                <w:t>外加</w:t>
                              </w:r>
                              <w:r>
                                <w:rPr>
                                  <w:rFonts w:hint="eastAsia"/>
                                </w:rPr>
                                <w:t>剂</w:t>
                              </w:r>
                            </w:p>
                          </w:txbxContent>
                        </v:textbox>
                      </v:rect>
                      <v:rect id="_x0000_s1026" o:spid="_x0000_s1026" o:spt="1" style="position:absolute;left:1046480;top:41275;height:207010;width:42862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A2uwFjpwEAAC8DAAAOAAAAAAAAAAEAIAAAAD0BAABkcnMvZTJvRG9jLnht&#10;bFBLBQYAAAAABgAGAFkBAABWBQAAAAA=&#10;">
                        <v:fill on="f" focussize="0,0"/>
                        <v:stroke on="f"/>
                        <v:imagedata o:title=""/>
                        <o:lock v:ext="edit" aspectratio="f"/>
                        <v:textbox inset="0mm,0.5mm,0mm,0.5mm">
                          <w:txbxContent>
                            <w:p>
                              <w:pPr>
                                <w:jc w:val="center"/>
                              </w:pPr>
                              <w:r>
                                <w:rPr>
                                  <w:rFonts w:hint="eastAsia"/>
                                </w:rPr>
                                <w:t>粉煤灰</w:t>
                              </w:r>
                            </w:p>
                          </w:txbxContent>
                        </v:textbox>
                      </v:rect>
                      <v:rect id="_x0000_s1026" o:spid="_x0000_s1026" o:spt="1" style="position:absolute;left:88900;top:41275;height:207010;width:63119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8XZ9/2AAAAAkBAAAPAAAAAAAAAAEAIAAAADgAAABkcnMvZG93bnJldi54bWxQSwEC&#10;FAAUAAAACACHTuJAOELNu6UBAAAtAwAADgAAAAAAAAABACAAAAA9AQAAZHJzL2Uyb0RvYy54bWxQ&#10;SwUGAAAAAAYABgBZAQAAVAUAAAAA&#10;">
                        <v:fill on="f" focussize="0,0"/>
                        <v:stroke on="f"/>
                        <v:imagedata o:title=""/>
                        <o:lock v:ext="edit" aspectratio="f"/>
                        <v:textbox inset="0mm,0.5mm,0mm,0.5mm">
                          <w:txbxContent>
                            <w:p>
                              <w:pPr>
                                <w:jc w:val="center"/>
                              </w:pPr>
                              <w:r>
                                <w:rPr>
                                  <w:rFonts w:hint="eastAsia"/>
                                </w:rPr>
                                <w:t>水泥</w:t>
                              </w:r>
                            </w:p>
                          </w:txbxContent>
                        </v:textbox>
                      </v:rect>
                      <v:rect id="_x0000_s1026" o:spid="_x0000_s1026" o:spt="1" style="position:absolute;left:4261485;top:82550;height:179070;width:3213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DD7IKrpwEAAC8DAAAOAAAAAAAAAAEAIAAAAD0BAABkcnMvZTJvRG9jLnht&#10;bFBLBQYAAAAABgAGAFkBAABWBQAAAAA=&#10;">
                        <v:fill on="f" focussize="0,0"/>
                        <v:stroke on="f"/>
                        <v:imagedata o:title=""/>
                        <o:lock v:ext="edit" aspectratio="f"/>
                        <v:textbox inset="0mm,0.5mm,0mm,0.5mm">
                          <w:txbxContent>
                            <w:p>
                              <w:pPr>
                                <w:jc w:val="center"/>
                              </w:pPr>
                              <w:r>
                                <w:rPr>
                                  <w:rFonts w:hint="eastAsia"/>
                                </w:rPr>
                                <w:t>水</w:t>
                              </w:r>
                            </w:p>
                            <w:p>
                              <w:pPr>
                                <w:jc w:val="center"/>
                              </w:pPr>
                            </w:p>
                          </w:txbxContent>
                        </v:textbox>
                      </v:rect>
                      <v:shape id="_x0000_s1026" o:spid="_x0000_s1026" o:spt="202" type="#_x0000_t202" style="position:absolute;left:4147820;top:333375;height:252095;width:3263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Aez2dX5gEAAKkDAAAOAAAAAAAAAAEAIAAAADoBAABkcnMvZTJvRG9j&#10;LnhtbFBLBQYAAAAABgAGAFkBAACSBQAAAAA=&#10;">
                        <v:fill on="f" focussize="0,0"/>
                        <v:stroke on="f" joinstyle="miter" dashstyle="dash"/>
                        <v:imagedata o:title=""/>
                        <o:lock v:ext="edit" aspectratio="f"/>
                        <v:textbo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v:textbox>
                      </v:shape>
                      <v:shape id="_x0000_s1026" o:spid="_x0000_s1026" o:spt="202" type="#_x0000_t202" style="position:absolute;left:2320290;top:901065;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AYQJks5gEAAKkDAAAOAAAAAAAAAAEAIAAAADoBAABkcnMvZTJvRG9j&#10;LnhtbFBLBQYAAAAABgAGAFkBAACSBQ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_x0000_s1026" o:spid="_x0000_s1026" o:spt="202" type="#_x0000_t202" style="position:absolute;left:411480;top:321310;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JApjzVAAAACQEAAA8AAAAAAAAAAQAgAAAAOAAAAGRycy9kb3ducmV2LnhtbFBL&#10;AQIUABQAAAAIAIdO4kCukkYm4wEAAKgDAAAOAAAAAAAAAAEAIAAAADoBAABkcnMvZTJvRG9jLnht&#10;bFBLBQYAAAAABgAGAFkBAACPBQ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shape id="_x0000_s1026" o:spid="_x0000_s1026" o:spt="202" type="#_x0000_t202" style="position:absolute;left:2992755;top:6985;height:252095;width:4406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Dl03Jg5gEAAKcDAAAOAAAAAAAAAAEAIAAAADoBAABkcnMvZTJvRG9j&#10;LnhtbFBLBQYAAAAABgAGAFkBAACSBQAAAAA=&#10;">
                        <v:fill on="f" focussize="0,0"/>
                        <v:stroke on="f" joinstyle="miter" dashstyle="dash"/>
                        <v:imagedata o:title=""/>
                        <o:lock v:ext="edit" aspectratio="f"/>
                        <v:textbo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v:textbox>
                      </v:shape>
                      <v:line id="_x0000_s1026" o:spid="_x0000_s1026" o:spt="20" style="position:absolute;left:4431030;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Dgv4HTnAQAAnAMAAA4AAAAAAAAAAQAgAAAAPgEAAGRycy9l&#10;Mm9Eb2MueG1sUEsFBgAAAAAGAAYAWQEAAJcFAAAAAA==&#10;">
                        <v:fill on="f" focussize="0,0"/>
                        <v:stroke color="#000000" joinstyle="round" endarrow="block"/>
                        <v:imagedata o:title=""/>
                        <o:lock v:ext="edit" aspectratio="f"/>
                      </v:line>
                      <v:line id="_x0000_s1026" o:spid="_x0000_s1026" o:spt="20" style="position:absolute;left:3528060;top:238760;height:377190;width:825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AyyF8o6AEAAJ8DAAAOAAAAAAAAAAEAIAAAAD4BAABkcnMv&#10;ZTJvRG9jLnhtbFBLBQYAAAAABgAGAFkBAACYBQAAAAA=&#10;">
                        <v:fill on="f" focussize="0,0"/>
                        <v:stroke color="#000000" joinstyle="round" endarrow="block"/>
                        <v:imagedata o:title=""/>
                        <o:lock v:ext="edit" aspectratio="f"/>
                      </v:line>
                      <v:line id="_x0000_s1026" o:spid="_x0000_s1026" o:spt="20" style="position:absolute;left:2291080;top:35369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ELFQnfnAQAAnAMAAA4AAAAAAAAAAQAgAAAAPgEAAGRycy9l&#10;Mm9Eb2MueG1sUEsFBgAAAAAGAAYAWQEAAJcFAAAAAA==&#10;">
                        <v:fill on="f" focussize="0,0"/>
                        <v:stroke color="#000000" joinstyle="round" endarrow="block"/>
                        <v:imagedata o:title=""/>
                        <o:lock v:ext="edit" aspectratio="f"/>
                      </v:line>
                      <v:line id="_x0000_s1026" o:spid="_x0000_s1026" o:spt="20" style="position:absolute;left:125158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D+YQVXkAQAAnAMAAA4AAAAAAAAAAQAgAAAAPgEAAGRycy9lMm9E&#10;b2MueG1sUEsFBgAAAAAGAAYAWQEAAJQFAAAAAA==&#10;">
                        <v:fill on="f" focussize="0,0"/>
                        <v:stroke color="#000000" joinstyle="round" endarrow="block"/>
                        <v:imagedata o:title=""/>
                        <o:lock v:ext="edit" aspectratio="f"/>
                      </v:line>
                      <v:line id="_x0000_s1026" o:spid="_x0000_s1026" o:spt="20" style="position:absolute;left:36385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eOwh32QAAAAkBAAAPAAAAAAAAAAEAIAAAADgAAABkcnMvZG93bnJldi54&#10;bWxQSwECFAAUAAAACACHTuJAn/srsOMBAACbAwAADgAAAAAAAAABACAAAAA+AQAAZHJzL2Uyb0Rv&#10;Yy54bWxQSwUGAAAAAAYABgBZAQAAkwUAAAAA&#10;">
                        <v:fill on="f" focussize="0,0"/>
                        <v:stroke color="#000000" joinstyle="round" endarrow="block"/>
                        <v:imagedata o:title=""/>
                        <o:lock v:ext="edit" aspectratio="f"/>
                      </v:line>
                      <v:rect id="_x0000_s1026" o:spid="_x0000_s1026" o:spt="1" style="position:absolute;left:4222750;top:612140;height:245110;width:46736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BnVvBCBAIA&#10;AO8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水槽</w:t>
                              </w:r>
                            </w:p>
                          </w:txbxContent>
                        </v:textbox>
                      </v:rect>
                      <v:rect id="_x0000_s1026" o:spid="_x0000_s1026" o:spt="1" style="position:absolute;left:2917190;top:612140;height:254635;width:111061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6DVKIAUC&#10;AADw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sz w:val="21"/>
                                  <w:szCs w:val="21"/>
                                </w:rPr>
                                <w:t>骨料配料仓</w:t>
                              </w:r>
                            </w:p>
                          </w:txbxContent>
                        </v:textbox>
                      </v:rect>
                      <v:rect id="_x0000_s1026" o:spid="_x0000_s1026" o:spt="1" style="position:absolute;left:982980;top:620395;height:254635;width:53594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6+llqAUC&#10;AADu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rPr>
                                <w:t>煤灰仓</w:t>
                              </w:r>
                            </w:p>
                          </w:txbxContent>
                        </v:textbox>
                      </v:rect>
                      <v:rect id="_x0000_s1026" o:spid="_x0000_s1026" o:spt="1" style="position:absolute;left:149225;top:612140;height:2451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9N9nHYAAAACQEAAA8A&#10;AAAAAAAAAQAgAAAAOAAAAGRycy9kb3ducmV2LnhtbFBLAQIUABQAAAAIAIdO4kBXj1wPAQIAAO4D&#10;AAAOAAAAAAAAAAEAIAAAAD0BAABkcnMvZTJvRG9jLnhtbFBLBQYAAAAABgAGAFkBAACwBQAAAAA=&#10;">
                        <v:fill on="f" focussize="0,0"/>
                        <v:stroke color="#000000" joinstyle="miter"/>
                        <v:imagedata o:title=""/>
                        <o:lock v:ext="edit" aspectratio="f"/>
                        <v:textbox inset="0mm,0.5mm,0mm,0.5mm">
                          <w:txbxContent>
                            <w:p>
                              <w:pPr>
                                <w:jc w:val="center"/>
                              </w:pPr>
                              <w:r>
                                <w:rPr>
                                  <w:rFonts w:hint="eastAsia"/>
                                </w:rPr>
                                <w:t>水泥仓</w:t>
                              </w:r>
                            </w:p>
                          </w:txbxContent>
                        </v:textbox>
                      </v:rect>
                      <v:rect id="_x0000_s1026" o:spid="_x0000_s1026" o:spt="1" style="position:absolute;left:1951990;top:655955;height:234950;width:68897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032cdgAAAAJ&#10;AQAADwAAAAAAAAABACAAAAA4AAAAZHJzL2Rvd25yZXYueG1sUEsBAhQAFAAAAAgAh07iQIj7gKgG&#10;AgAA7wMAAA4AAAAAAAAAAQAgAAAAPQEAAGRycy9lMm9Eb2MueG1sUEsFBgAAAAAGAAYAWQEAALUF&#10;AAAAAA==&#10;">
                        <v:fill on="f" focussize="0,0"/>
                        <v:stroke color="#000000" joinstyle="miter"/>
                        <v:imagedata o:title=""/>
                        <o:lock v:ext="edit" aspectratio="f"/>
                        <v:textbox inset="0mm,0.5mm,0mm,0.5mm">
                          <w:txbxContent>
                            <w:p>
                              <w:pPr>
                                <w:jc w:val="center"/>
                              </w:pPr>
                              <w:r>
                                <w:rPr>
                                  <w:rFonts w:hint="eastAsia"/>
                                </w:rPr>
                                <w:t>储罐</w:t>
                              </w:r>
                            </w:p>
                          </w:txbxContent>
                        </v:textbox>
                      </v:rect>
                      <v:shape id="_x0000_s1026" o:spid="_x0000_s1026" o:spt="202" type="#_x0000_t202" style="position:absolute;left:2914015;top:371475;height:252095;width:46990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JApjzVAAAACQEAAA8AAAAAAAAAAQAgAAAAOAAAAGRycy9kb3ducmV2&#10;LnhtbFBLAQIUABQAAAAIAIdO4kAot8Zo6QEAAKkDAAAOAAAAAAAAAAEAIAAAADoBAABkcnMvZTJv&#10;RG9jLnhtbFBLBQYAAAAABgAGAFkBAACVBQAAAAA=&#10;">
                        <v:fill on="f" focussize="0,0"/>
                        <v:stroke on="f" joinstyle="miter" dashstyle="dash"/>
                        <v:imagedata o:title=""/>
                        <o:lock v:ext="edit" aspectratio="f"/>
                        <v:textbo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line id="_x0000_s1026" o:spid="_x0000_s1026" o:spt="20" style="position:absolute;left:4436745;top:866140;height:297180;width:63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BxQAzB6AEAAJ4DAAAOAAAAAAAAAAEAIAAAAD4BAABkcnMv&#10;ZTJvRG9jLnhtbFBLBQYAAAAABgAGAFkBAACYBQAAAAA=&#10;">
                        <v:fill on="f" focussize="0,0"/>
                        <v:stroke color="#000000" joinstyle="round" endarrow="block"/>
                        <v:imagedata o:title=""/>
                        <o:lock v:ext="edit" aspectratio="f"/>
                      </v:line>
                      <v:line id="_x0000_s1026" o:spid="_x0000_s1026" o:spt="20" style="position:absolute;left:3526790;top:873125;height:306705;width:127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jsId9kAAAAJAQAADwAAAAAAAAABACAAAAA4AAAAZHJzL2Rv&#10;d25yZXYueG1sUEsBAhQAFAAAAAgAh07iQNwOsGrqAQAAnwMAAA4AAAAAAAAAAQAgAAAAPgEAAGRy&#10;cy9lMm9Eb2MueG1sUEsFBgAAAAAGAAYAWQEAAJoFAAAAAA==&#10;">
                        <v:fill on="f" focussize="0,0"/>
                        <v:stroke color="#000000" joinstyle="round" endarrow="block"/>
                        <v:imagedata o:title=""/>
                        <o:lock v:ext="edit" aspectratio="f"/>
                      </v:line>
                      <v:line id="_x0000_s1026" o:spid="_x0000_s1026" o:spt="20" style="position:absolute;left:2342515;top:90932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Owh32QAAAAkBAAAPAAAAAAAAAAEAIAAAADgAAABkcnMvZG93bnJl&#10;di54bWxQSwECFAAUAAAACACHTuJAY/m+pOYBAACcAwAADgAAAAAAAAABACAAAAA+AQAAZHJzL2Uy&#10;b0RvYy54bWxQSwUGAAAAAAYABgBZAQAAlgUAAAAA&#10;">
                        <v:fill on="f" focussize="0,0"/>
                        <v:stroke color="#000000" joinstyle="round" endarrow="block"/>
                        <v:imagedata o:title=""/>
                        <o:lock v:ext="edit" aspectratio="f"/>
                      </v:line>
                      <v:line id="_x0000_s1026" o:spid="_x0000_s1026" o:spt="20" style="position:absolute;left:1275715;top:92202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HRKpP/kAQAAnAMAAA4AAAAAAAAAAQAgAAAAPgEAAGRycy9lMm9E&#10;b2MueG1sUEsFBgAAAAAGAAYAWQEAAJQFAAAAAA==&#10;">
                        <v:fill on="f" focussize="0,0"/>
                        <v:stroke color="#000000" joinstyle="round" endarrow="block"/>
                        <v:imagedata o:title=""/>
                        <o:lock v:ext="edit" aspectratio="f"/>
                      </v:line>
                      <v:line id="_x0000_s1026" o:spid="_x0000_s1026" o:spt="20" style="position:absolute;left:363855;top:87820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BafN1+6AEAAJsDAAAOAAAAAAAAAAEAIAAAAD4BAABkcnMv&#10;ZTJvRG9jLnhtbFBLBQYAAAAABgAGAFkBAACYBQAAAAA=&#10;">
                        <v:fill on="f" focussize="0,0"/>
                        <v:stroke color="#000000" joinstyle="round" endarrow="block"/>
                        <v:imagedata o:title=""/>
                        <o:lock v:ext="edit" aspectratio="f"/>
                      </v:line>
                      <v:rect id="_x0000_s1026" o:spid="_x0000_s1026" o:spt="1" style="position:absolute;left:4213860;top:1190625;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4CqkdAICAADw&#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计量斗</w:t>
                              </w:r>
                            </w:p>
                          </w:txbxContent>
                        </v:textbox>
                      </v:rect>
                      <v:rect id="_x0000_s1026" o:spid="_x0000_s1026" o:spt="1" style="position:absolute;left:1060450;top:1189355;height:2165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QGSptgUC&#10;AADw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rPr>
                                <w:t>计量斗</w:t>
                              </w:r>
                            </w:p>
                            <w:p>
                              <w:pPr>
                                <w:jc w:val="center"/>
                              </w:pPr>
                            </w:p>
                          </w:txbxContent>
                        </v:textbox>
                      </v:rect>
                      <v:rect id="_x0000_s1026" o:spid="_x0000_s1026" o:spt="1" style="position:absolute;left:149225;top:1143000;height:2546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eUv/IAICAADv&#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计量斗</w:t>
                              </w:r>
                            </w:p>
                            <w:p/>
                          </w:txbxContent>
                        </v:textbox>
                      </v:rect>
                      <v:rect id="_x0000_s1026" o:spid="_x0000_s1026" o:spt="1" style="position:absolute;left:2122170;top:1207770;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032cdgAAAAJAQAADwAA&#10;AAAAAAABACAAAAA4AAAAZHJzL2Rvd25yZXYueG1sUEsBAhQAFAAAAAgAh07iQLKWPhwAAgAA8AMA&#10;AA4AAAAAAAAAAQAgAAAAPQEAAGRycy9lMm9Eb2MueG1sUEsFBgAAAAAGAAYAWQEAAK8FAAAAAA==&#10;">
                        <v:fill on="f" focussize="0,0"/>
                        <v:stroke color="#000000" joinstyle="miter"/>
                        <v:imagedata o:title=""/>
                        <o:lock v:ext="edit" aspectratio="f"/>
                        <v:textbox inset="0mm,0.5mm,0mm,0.5mm">
                          <w:txbxContent>
                            <w:p>
                              <w:pPr>
                                <w:jc w:val="center"/>
                              </w:pPr>
                              <w:r>
                                <w:rPr>
                                  <w:rFonts w:hint="eastAsia"/>
                                </w:rPr>
                                <w:t>计量斗</w:t>
                              </w:r>
                            </w:p>
                            <w:p/>
                          </w:txbxContent>
                        </v:textbox>
                      </v:rect>
                      <v:line id="_x0000_s1026" o:spid="_x0000_s1026" o:spt="20" style="position:absolute;left:3528060;top:1386840;height:334010;width:825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yL2DtcAAAAJAQAADwAAAAAAAAABACAAAAA4AAAAZHJzL2Rvd25yZXYueG1sUEsB&#10;AhQAFAAAAAgAh07iQNjneRzgAQAAnAMAAA4AAAAAAAAAAQAgAAAAPAEAAGRycy9lMm9Eb2MueG1s&#10;UEsFBgAAAAAGAAYAWQEAAI4FAAAAAA==&#10;">
                        <v:fill on="f" focussize="0,0"/>
                        <v:stroke color="#000000" joinstyle="round"/>
                        <v:imagedata o:title=""/>
                        <o:lock v:ext="edit" aspectratio="f"/>
                      </v:line>
                      <v:line id="_x0000_s1026" o:spid="_x0000_s1026" o:spt="20" style="position:absolute;left:4436745;top:1430655;height:306705;width:63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OcAR6/jAQAAmwMAAA4AAAAAAAAAAQAgAAAAPAEAAGRycy9lMm9Eb2Mu&#10;eG1sUEsFBgAAAAAGAAYAWQEAAJEFAAAAAA==&#10;">
                        <v:fill on="f" focussize="0,0"/>
                        <v:stroke color="#000000" joinstyle="round"/>
                        <v:imagedata o:title=""/>
                        <o:lock v:ext="edit" aspectratio="f"/>
                      </v:line>
                      <v:line id="_x0000_s1026" o:spid="_x0000_s1026" o:spt="20" style="position:absolute;left:2310130;top:1414780;height:323215;width:1270;"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FHWaSnjAQAAnAMAAA4AAAAAAAAAAQAgAAAAPAEAAGRycy9lMm9Eb2Mu&#10;eG1sUEsFBgAAAAAGAAYAWQEAAJEFAAAAAA==&#10;">
                        <v:fill on="f" focussize="0,0"/>
                        <v:stroke color="#000000" joinstyle="round"/>
                        <v:imagedata o:title=""/>
                        <o:lock v:ext="edit" aspectratio="f"/>
                      </v:line>
                      <v:line id="_x0000_s1026" o:spid="_x0000_s1026" o:spt="20" style="position:absolute;left:1288415;top:1397635;flip:x;height:332740;width:4445;"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VljDS1wAAAAkBAAAPAAAAAAAAAAEAIAAAADgAAABkcnMv&#10;ZG93bnJldi54bWxQSwECFAAUAAAACACHTuJAcOprru4BAACpAwAADgAAAAAAAAABACAAAAA8AQAA&#10;ZHJzL2Uyb0RvYy54bWxQSwUGAAAAAAYABgBZAQAAnAUAAAAA&#10;">
                        <v:fill on="f" focussize="0,0"/>
                        <v:stroke color="#000000" joinstyle="round"/>
                        <v:imagedata o:title=""/>
                        <o:lock v:ext="edit" aspectratio="f"/>
                      </v:line>
                      <v:line id="_x0000_s1026" o:spid="_x0000_s1026" o:spt="20" style="position:absolute;left:354965;top:1402080;flip:x;height:334645;width:8890;"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ljDS1wAAAAkBAAAPAAAAAAAAAAEAIAAAADgAAABkcnMvZG93&#10;bnJldi54bWxQSwECFAAUAAAACACHTuJAoKJSROsBAACoAwAADgAAAAAAAAABACAAAAA8AQAAZHJz&#10;L2Uyb0RvYy54bWxQSwUGAAAAAAYABgBZAQAAmQUAAAAA&#10;">
                        <v:fill on="f" focussize="0,0"/>
                        <v:stroke color="#000000" joinstyle="round"/>
                        <v:imagedata o:title=""/>
                        <o:lock v:ext="edit" aspectratio="f"/>
                      </v:line>
                      <v:line id="_x0000_s1026" o:spid="_x0000_s1026" o:spt="20" style="position:absolute;left:2447925;top:173291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GdAfWznAQAAnQMAAA4AAAAAAAAAAQAgAAAAPgEAAGRycy9l&#10;Mm9Eb2MueG1sUEsFBgAAAAAGAAYAWQEAAJcFAAAAAA==&#10;">
                        <v:fill on="f" focussize="0,0"/>
                        <v:stroke color="#000000" joinstyle="round" endarrow="block"/>
                        <v:imagedata o:title=""/>
                        <o:lock v:ext="edit" aspectratio="f"/>
                      </v:line>
                      <v:shape id="_x0000_s1026" o:spid="_x0000_s1026" o:spt="202" type="#_x0000_t202" style="position:absolute;left:708660;top:1990090;height:252095;width:946785;" filled="f" stroked="t" coordsize="21600,21600" o:gfxdata="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cvzI72QAAAAkBAAAPAAAAAAAAAAEA&#10;IAAAADgAAABkcnMvZG93bnJldi54bWxQSwECFAAUAAAACACHTuJA2DhMEvgBAADSAwAADgAAAAAA&#10;AAABACAAAAA+AQAAZHJzL2Uyb0RvYy54bWxQSwUGAAAAAAYABgBZAQAAqAUAAAAA&#10;">
                        <v:fill on="f" focussize="0,0"/>
                        <v:stroke color="#000000"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v:textbox>
                      </v:shape>
                      <v:line id="_x0000_s1026" o:spid="_x0000_s1026" o:spt="20" style="position:absolute;left:363855;top:1732915;height:0;width:407098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CFWyTTjAQAAmQMAAA4AAAAAAAAAAQAgAAAAPAEAAGRycy9lMm9Eb2Mu&#10;eG1sUEsFBgAAAAAGAAYAWQEAAJEFAAAAAA==&#10;">
                        <v:fill on="f" focussize="0,0"/>
                        <v:stroke color="#000000" joinstyle="round"/>
                        <v:imagedata o:title=""/>
                        <o:lock v:ext="edit" aspectratio="f"/>
                      </v:line>
                      <v:line id="_x0000_s1026" o:spid="_x0000_s1026" o:spt="20" style="position:absolute;left:2446655;top:223710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47CHfZAAAACQEAAA8AAAAAAAAAAQAgAAAAOAAAAGRycy9kb3ducmV2&#10;LnhtbFBLAQIUABQAAAAIAIdO4kAnugIF5QEAAJ0DAAAOAAAAAAAAAAEAIAAAAD4BAABkcnMvZTJv&#10;RG9jLnhtbFBLBQYAAAAABgAGAFkBAACVBQAAAAA=&#10;">
                        <v:fill on="f" focussize="0,0"/>
                        <v:stroke color="#000000" joinstyle="round" endarrow="block"/>
                        <v:imagedata o:title=""/>
                        <o:lock v:ext="edit" aspectratio="f"/>
                      </v:line>
                      <v:rect id="_x0000_s1026" o:spid="_x0000_s1026" o:spt="1" style="position:absolute;left:2024380;top:2007871;height:234950;width:85725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032cdgAAAAJAQAA&#10;DwAAAAAAAAABACAAAAA4AAAAZHJzL2Rvd25yZXYueG1sUEsBAhQAFAAAAAgAh07iQKnRiJ4DAgAA&#10;8AMAAA4AAAAAAAAAAQAgAAAAPQEAAGRycy9lMm9Eb2MueG1sUEsFBgAAAAAGAAYAWQEAALIFAAAA&#10;AA==&#10;">
                        <v:fill on="f" focussize="0,0"/>
                        <v:stroke color="#000000" joinstyle="miter"/>
                        <v:imagedata o:title=""/>
                        <o:lock v:ext="edit" aspectratio="f"/>
                        <v:textbox inset="0mm,0.5mm,0mm,0.5mm">
                          <w:txbxContent>
                            <w:p>
                              <w:pPr>
                                <w:jc w:val="center"/>
                              </w:pPr>
                              <w:r>
                                <w:rPr>
                                  <w:rFonts w:hint="eastAsia"/>
                                </w:rPr>
                                <w:t>搅拌机</w:t>
                              </w:r>
                            </w:p>
                          </w:txbxContent>
                        </v:textbox>
                      </v:rect>
                      <v:rect id="_x0000_s1026" o:spid="_x0000_s1026" o:spt="1" style="position:absolute;left:1857375;top:2520950;height:226060;width:130746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&#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2ff9gAAAAJAQAADwAAAAAAAAABACAAAAA4AAAA&#10;ZHJzL2Rvd25yZXYueG1sUEsBAhQAFAAAAAgAh07iQNN1437xAQAAyAMAAA4AAAAAAAAAAQAgAAAA&#10;PQEAAGRycy9lMm9Eb2MueG1sUEsFBgAAAAAGAAYAWQEAAKAFAAAAAA==&#10;">
                        <v:fill on="f" focussize="0,0"/>
                        <v:stroke on="f" joinstyle="miter"/>
                        <v:imagedata o:title=""/>
                        <o:lock v:ext="edit" aspectratio="f"/>
                        <v:textbox inset="0mm,0.5mm,0mm,0.5mm">
                          <w:txbxContent>
                            <w:p>
                              <w:pPr>
                                <w:jc w:val="center"/>
                              </w:pPr>
                              <w:r>
                                <w:rPr>
                                  <w:rFonts w:hint="eastAsia"/>
                                </w:rPr>
                                <w:t>湿拌砂浆（外运）</w:t>
                              </w:r>
                            </w:p>
                          </w:txbxContent>
                        </v:textbox>
                      </v:rect>
                      <v:shape id="图片 57" o:spid="_x0000_s1026" o:spt="75" type="#_x0000_t75" style="position:absolute;left:3339465;top:1791970;height:673100;width:1333500;" filled="f" o:preferrelative="t" stroked="f" coordsize="21600,21600" o:gfxdata="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">
                        <v:fill on="f" focussize="0,0"/>
                        <v:stroke on="f"/>
                        <v:imagedata r:id="rId12" o:title=""/>
                        <o:lock v:ext="edit" aspectratio="t"/>
                      </v:shape>
                      <v:line id="_x0000_s1026" o:spid="_x0000_s1026" o:spt="20" style="position:absolute;left:1655445;top:2116455;flip:x y;height:8890;width:368935;" filled="f" stroked="t" coordsize="21600,21600" o:gfxdata="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24A03NcAAAAJAQAADwAAAAAAAAABACAAAAA4AAAAZHJzL2Rvd25yZXYueG1sUEsBAhQAFAAA&#10;AAgAh07iQLf4edETAgAA/QMAAA4AAAAAAAAAAQAgAAAAPAEAAGRycy9lMm9Eb2MueG1sUEsFBgAA&#10;AAAGAAYAWQEAAMEFAAAAAA==&#10;">
                        <v:fill on="f" focussize="0,0"/>
                        <v:stroke color="#000000" joinstyle="round" dashstyle="dash" endarrow="block"/>
                        <v:imagedata o:title=""/>
                        <o:lock v:ext="edit" aspectratio="f"/>
                      </v:line>
                      <v:shape id="_x0000_s1026" o:spid="_x0000_s1026" o:spt="202" type="#_x0000_t202" style="position:absolute;left:1266825;top:330835;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Gg6GTOcBAACpAwAADgAAAAAAAAABACAAAAA6AQAAZHJzL2Uyb0Rv&#10;Yy54bWxQSwUGAAAAAAYABgBZAQAAkwU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rect id="矩形 2" o:spid="_x0000_s1026" o:spt="1" style="position:absolute;left:3313430;top:1179830;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9N9nHYAAAACQEAAA8A&#10;AAAAAAAAAQAgAAAAOAAAAGRycy9kb3ducmV2LnhtbFBLAQIUABQAAAAIAIdO4kADYM13AQIAAO4D&#10;AAAOAAAAAAAAAAEAIAAAAD0BAABkcnMvZTJvRG9jLnhtbFBLBQYAAAAABgAGAFkBAACwBQAAAAA=&#10;">
                        <v:fill on="f" focussize="0,0"/>
                        <v:stroke color="#000000" joinstyle="miter"/>
                        <v:imagedata o:title=""/>
                        <o:lock v:ext="edit" aspectratio="f"/>
                        <v:textbox inset="0mm,0.5mm,0mm,0.5mm">
                          <w:txbxContent>
                            <w:p>
                              <w:r>
                                <w:rPr>
                                  <w:rFonts w:hint="eastAsia" w:ascii="Times New Roman" w:hAnsi="Times New Roman" w:cs="Times New Roman"/>
                                  <w:sz w:val="21"/>
                                  <w:szCs w:val="21"/>
                                  <w:lang w:val="en-US"/>
                                </w:rPr>
                                <w:t>称料斗</w:t>
                              </w:r>
                            </w:p>
                          </w:txbxContent>
                        </v:textbox>
                      </v:rect>
                      <v:shape id="文本框 70" o:spid="_x0000_s1026" o:spt="202" type="#_x0000_t202" style="position:absolute;left:340360;top:88519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CmPNUAAAAJAQAADwAAAAAAAAABACAAAAA4AAAAZHJzL2Rvd25yZXYueG1s&#10;UEsBAhQAFAAAAAgAh07iQELVDYrlAQAApwMAAA4AAAAAAAAAAQAgAAAAOgEAAGRycy9lMm9Eb2Mu&#10;eG1sUEsFBgAAAAAGAAYAWQEAAJEFA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1" o:spid="_x0000_s1026" o:spt="202" type="#_x0000_t202" style="position:absolute;left:1197610;top:909955;height:267970;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CHnpA+cBAACoAwAADgAAAAAAAAABACAAAAA6AQAAZHJzL2Uyb0Rv&#10;Yy54bWxQSwUGAAAAAAYABgBZAQAAkwU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9" o:spid="_x0000_s1026" o:spt="202" type="#_x0000_t202" style="position:absolute;left:4427855;top:913130;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x0dPvucBAACoAwAADgAAAAAAAAABACAAAAA6AQAAZHJzL2Uyb0Rv&#10;Yy54bWxQSwUGAAAAAAYABgBZAQAAkwU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文本框 81" o:spid="_x0000_s1026" o:spt="202" type="#_x0000_t202" style="position:absolute;left:2903855;top:91313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CqHs/OcBAACoAwAADgAAAAAAAAABACAAAAA6AQAAZHJzL2Uyb0Rv&#10;Yy54bWxQSwUGAAAAAAYABgBZAQAAkwU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v:textbox>
                      </v:shape>
                      <w10:wrap type="topAndBottom"/>
                    </v:group>
                  </w:pict>
                </mc:Fallback>
              </mc:AlternateContent>
            </w:r>
            <w:r>
              <w:rPr>
                <w:rFonts w:ascii="Times New Roman" w:hAnsi="Times New Roman" w:cs="Times New Roman"/>
                <w:b/>
                <w:bCs/>
                <w:color w:val="auto"/>
                <w:kern w:val="2"/>
                <w:sz w:val="21"/>
                <w:szCs w:val="21"/>
                <w:lang w:bidi="ar-SA"/>
              </w:rPr>
              <w:t>图</w:t>
            </w:r>
            <w:r>
              <w:rPr>
                <w:rFonts w:hint="eastAsia" w:ascii="Times New Roman" w:hAnsi="Times New Roman" w:cs="Times New Roman"/>
                <w:b/>
                <w:bCs/>
                <w:color w:val="auto"/>
                <w:kern w:val="2"/>
                <w:sz w:val="21"/>
                <w:szCs w:val="21"/>
                <w:lang w:val="en-US" w:bidi="ar-SA"/>
              </w:rPr>
              <w:t>2.4</w:t>
            </w:r>
            <w:r>
              <w:rPr>
                <w:rFonts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bidi="ar-SA"/>
              </w:rPr>
              <w:t>生产工艺流程图</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w:t>
            </w:r>
            <w:r>
              <w:rPr>
                <w:rFonts w:ascii="Times New Roman" w:hAnsi="Times New Roman" w:cs="Times New Roman"/>
                <w:b/>
                <w:bCs/>
                <w:color w:val="auto"/>
                <w:sz w:val="21"/>
                <w:szCs w:val="21"/>
                <w:lang w:val="en-US"/>
              </w:rPr>
              <w:t>原料储运：</w:t>
            </w:r>
            <w:r>
              <w:rPr>
                <w:rFonts w:ascii="Times New Roman" w:hAnsi="Times New Roman" w:cs="Times New Roman"/>
                <w:color w:val="auto"/>
                <w:sz w:val="21"/>
                <w:szCs w:val="21"/>
                <w:lang w:val="en-US"/>
              </w:rPr>
              <w:t>本项目外购</w:t>
            </w:r>
            <w:r>
              <w:rPr>
                <w:rFonts w:hint="eastAsia" w:ascii="Times New Roman" w:hAnsi="Times New Roman" w:cs="Times New Roman"/>
                <w:color w:val="auto"/>
                <w:sz w:val="21"/>
                <w:szCs w:val="21"/>
                <w:lang w:val="en-US"/>
              </w:rPr>
              <w:t>水泥、粉煤灰由专用罐车</w:t>
            </w:r>
            <w:r>
              <w:rPr>
                <w:rFonts w:ascii="Times New Roman" w:hAnsi="Times New Roman" w:cs="Times New Roman"/>
                <w:color w:val="auto"/>
                <w:sz w:val="21"/>
                <w:szCs w:val="21"/>
                <w:lang w:val="en-US"/>
              </w:rPr>
              <w:t>直接泵入料仓储存</w:t>
            </w:r>
            <w:r>
              <w:rPr>
                <w:rFonts w:hint="eastAsia" w:ascii="Times New Roman" w:hAnsi="Times New Roman" w:cs="Times New Roman"/>
                <w:color w:val="auto"/>
                <w:sz w:val="21"/>
                <w:szCs w:val="21"/>
                <w:lang w:val="en-US"/>
              </w:rPr>
              <w:t>，向料仓泵送粉料时会产生粉尘，粉尘主要集中在顶部呼吸口位置，本项目粉料仓顶配套建有仓顶布袋除尘器，过滤的除尘灰直接落至料仓中；细骨料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料场上方设喷雾降尘装置，可有效降低风蚀扬尘、动力扬尘的产生</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外加剂</w:t>
            </w:r>
            <w:r>
              <w:rPr>
                <w:rFonts w:hint="eastAsia" w:ascii="Times New Roman" w:hAnsi="Times New Roman" w:cs="Times New Roman"/>
                <w:color w:val="auto"/>
                <w:sz w:val="21"/>
                <w:szCs w:val="21"/>
                <w:lang w:val="en-US"/>
              </w:rPr>
              <w:t>储存于储液罐中</w:t>
            </w:r>
            <w:r>
              <w:rPr>
                <w:rFonts w:ascii="Times New Roman" w:hAnsi="Times New Roman" w:cs="Times New Roman"/>
                <w:color w:val="auto"/>
                <w:sz w:val="21"/>
                <w:szCs w:val="21"/>
                <w:lang w:val="en-US"/>
              </w:rPr>
              <w:t>。</w:t>
            </w:r>
          </w:p>
          <w:p>
            <w:pPr>
              <w:pStyle w:val="41"/>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w:t>
            </w:r>
            <w:r>
              <w:rPr>
                <w:rFonts w:hint="eastAsia" w:ascii="Times New Roman" w:hAnsi="Times New Roman" w:cs="Times New Roman"/>
                <w:b/>
                <w:bCs/>
                <w:color w:val="auto"/>
                <w:sz w:val="21"/>
                <w:szCs w:val="21"/>
              </w:rPr>
              <w:t>料场</w:t>
            </w:r>
            <w:r>
              <w:rPr>
                <w:rFonts w:ascii="Times New Roman" w:hAnsi="Times New Roman" w:cs="Times New Roman"/>
                <w:b/>
                <w:bCs/>
                <w:color w:val="auto"/>
                <w:sz w:val="21"/>
                <w:szCs w:val="21"/>
              </w:rPr>
              <w:t>粉尘（G</w:t>
            </w:r>
            <w:r>
              <w:rPr>
                <w:rFonts w:ascii="Times New Roman" w:hAnsi="Times New Roman" w:cs="Times New Roman"/>
                <w:b/>
                <w:bCs/>
                <w:color w:val="auto"/>
                <w:sz w:val="21"/>
                <w:szCs w:val="21"/>
                <w:vertAlign w:val="subscript"/>
              </w:rPr>
              <w:t>0</w:t>
            </w:r>
            <w:r>
              <w:rPr>
                <w:rFonts w:ascii="Times New Roman" w:hAnsi="Times New Roman" w:cs="Times New Roman"/>
                <w:b/>
                <w:bCs/>
                <w:color w:val="auto"/>
                <w:sz w:val="21"/>
                <w:szCs w:val="21"/>
              </w:rPr>
              <w:t>）、水泥仓粉尘（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1</w:t>
            </w:r>
            <w:r>
              <w:rPr>
                <w:rFonts w:ascii="Times New Roman" w:hAnsi="Times New Roman" w:cs="Times New Roman"/>
                <w:b/>
                <w:bCs/>
                <w:color w:val="auto"/>
                <w:sz w:val="21"/>
                <w:szCs w:val="21"/>
              </w:rPr>
              <w:t>）和设备噪声（N）。</w:t>
            </w:r>
          </w:p>
          <w:p>
            <w:pPr>
              <w:pStyle w:val="41"/>
              <w:autoSpaceDE/>
              <w:autoSpaceDN/>
              <w:adjustRightInd/>
              <w:snapToGrid/>
              <w:spacing w:line="400" w:lineRule="exact"/>
              <w:ind w:left="110" w:leftChars="50" w:right="110" w:rightChars="50" w:firstLine="422"/>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配料：</w:t>
            </w:r>
            <w:r>
              <w:rPr>
                <w:rFonts w:ascii="Times New Roman" w:hAnsi="Times New Roman" w:cs="Times New Roman"/>
                <w:color w:val="auto"/>
                <w:sz w:val="21"/>
                <w:szCs w:val="21"/>
              </w:rPr>
              <w:t>项目</w:t>
            </w:r>
            <w:r>
              <w:rPr>
                <w:rFonts w:hint="eastAsia" w:ascii="Times New Roman" w:hAnsi="Times New Roman" w:cs="Times New Roman"/>
                <w:color w:val="auto"/>
                <w:sz w:val="21"/>
                <w:szCs w:val="21"/>
              </w:rPr>
              <w:t>设湿拌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1条</w:t>
            </w:r>
            <w:r>
              <w:rPr>
                <w:rFonts w:ascii="Times New Roman" w:hAnsi="Times New Roman" w:cs="Times New Roman"/>
                <w:color w:val="auto"/>
                <w:sz w:val="21"/>
                <w:szCs w:val="21"/>
              </w:rPr>
              <w:t>，</w:t>
            </w:r>
            <w:r>
              <w:rPr>
                <w:rFonts w:hint="eastAsia" w:ascii="Times New Roman" w:hAnsi="Times New Roman" w:cs="Times New Roman"/>
                <w:color w:val="auto"/>
                <w:sz w:val="21"/>
                <w:szCs w:val="21"/>
              </w:rPr>
              <w:t>共设4个</w:t>
            </w:r>
            <w:r>
              <w:rPr>
                <w:rFonts w:ascii="Times New Roman" w:hAnsi="Times New Roman" w:cs="Times New Roman"/>
                <w:color w:val="auto"/>
                <w:sz w:val="21"/>
                <w:szCs w:val="21"/>
              </w:rPr>
              <w:t>骨料配料</w:t>
            </w:r>
            <w:r>
              <w:rPr>
                <w:rFonts w:hint="eastAsia" w:ascii="Times New Roman" w:hAnsi="Times New Roman" w:cs="Times New Roman"/>
                <w:color w:val="auto"/>
                <w:sz w:val="21"/>
                <w:szCs w:val="21"/>
              </w:rPr>
              <w:t>仓，配料仓下端设称料斗对细骨料进行称量，骨料每条生产线骨料配料仓</w:t>
            </w:r>
            <w:r>
              <w:rPr>
                <w:rFonts w:hint="eastAsia" w:ascii="Times New Roman" w:hAnsi="Times New Roman" w:cs="Times New Roman"/>
                <w:color w:val="auto"/>
                <w:kern w:val="21"/>
                <w:sz w:val="21"/>
                <w:szCs w:val="21"/>
              </w:rPr>
              <w:t>成一字并排设置</w:t>
            </w:r>
            <w:r>
              <w:rPr>
                <w:rFonts w:hint="eastAsia" w:ascii="Times New Roman" w:hAnsi="Times New Roman" w:cs="Times New Roman"/>
                <w:color w:val="auto"/>
                <w:sz w:val="21"/>
                <w:szCs w:val="21"/>
              </w:rPr>
              <w:t>，细骨料</w:t>
            </w:r>
            <w:r>
              <w:rPr>
                <w:rFonts w:ascii="Times New Roman" w:hAnsi="Times New Roman" w:cs="Times New Roman"/>
                <w:color w:val="auto"/>
                <w:sz w:val="21"/>
                <w:szCs w:val="21"/>
              </w:rPr>
              <w:t>经装载机运至骨料配料仓</w:t>
            </w:r>
            <w:r>
              <w:rPr>
                <w:rFonts w:hint="eastAsia" w:ascii="Times New Roman" w:hAnsi="Times New Roman" w:cs="Times New Roman"/>
                <w:color w:val="auto"/>
                <w:sz w:val="21"/>
                <w:szCs w:val="21"/>
              </w:rPr>
              <w:t>，</w:t>
            </w:r>
            <w:r>
              <w:rPr>
                <w:rFonts w:ascii="Times New Roman" w:hAnsi="Times New Roman" w:cs="Times New Roman"/>
                <w:color w:val="auto"/>
                <w:sz w:val="21"/>
                <w:szCs w:val="21"/>
              </w:rPr>
              <w:t>采用装载机向骨料配料仓中上料，该工序由于物料落差会产生粉尘。</w:t>
            </w:r>
          </w:p>
          <w:p>
            <w:pPr>
              <w:pStyle w:val="41"/>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该工序产生的污染物主要为：骨料配料粉尘（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2</w:t>
            </w:r>
            <w:r>
              <w:rPr>
                <w:rFonts w:ascii="Times New Roman" w:hAnsi="Times New Roman" w:cs="Times New Roman"/>
                <w:b/>
                <w:bCs/>
                <w:color w:val="auto"/>
                <w:sz w:val="21"/>
                <w:szCs w:val="21"/>
              </w:rPr>
              <w:t>）和设备噪声（N）。</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③计量、</w:t>
            </w:r>
            <w:r>
              <w:rPr>
                <w:rFonts w:ascii="Times New Roman" w:hAnsi="Times New Roman" w:cs="Times New Roman"/>
                <w:b/>
                <w:bCs/>
                <w:color w:val="auto"/>
                <w:sz w:val="21"/>
                <w:szCs w:val="21"/>
                <w:lang w:val="en-US"/>
              </w:rPr>
              <w:t>搅拌：</w:t>
            </w:r>
            <w:r>
              <w:rPr>
                <w:rFonts w:hint="eastAsia" w:ascii="Times New Roman" w:hAnsi="Times New Roman" w:cs="Times New Roman"/>
                <w:color w:val="auto"/>
                <w:sz w:val="21"/>
                <w:szCs w:val="21"/>
                <w:lang w:val="en-US"/>
              </w:rPr>
              <w:t>细骨料通过粒料</w:t>
            </w:r>
            <w:r>
              <w:rPr>
                <w:rFonts w:ascii="Times New Roman" w:hAnsi="Times New Roman" w:cs="Times New Roman"/>
                <w:color w:val="auto"/>
                <w:sz w:val="21"/>
                <w:szCs w:val="21"/>
                <w:lang w:val="en-US"/>
              </w:rPr>
              <w:t>计量设备计量后，</w:t>
            </w:r>
            <w:r>
              <w:rPr>
                <w:rFonts w:hint="eastAsia" w:ascii="Times New Roman" w:hAnsi="Times New Roman" w:cs="Times New Roman"/>
                <w:color w:val="auto"/>
                <w:sz w:val="21"/>
                <w:szCs w:val="21"/>
                <w:lang w:val="en-US"/>
              </w:rPr>
              <w:t>通过斗提机输送</w:t>
            </w:r>
            <w:r>
              <w:rPr>
                <w:rFonts w:ascii="Times New Roman" w:hAnsi="Times New Roman" w:cs="Times New Roman"/>
                <w:color w:val="auto"/>
                <w:sz w:val="21"/>
                <w:szCs w:val="21"/>
                <w:lang w:val="en-US"/>
              </w:rPr>
              <w:t>进入搅拌机</w:t>
            </w:r>
            <w:r>
              <w:rPr>
                <w:rFonts w:hint="eastAsia" w:ascii="Times New Roman" w:hAnsi="Times New Roman" w:cs="Times New Roman"/>
                <w:color w:val="auto"/>
                <w:sz w:val="21"/>
                <w:szCs w:val="21"/>
                <w:lang w:val="en-US"/>
              </w:rPr>
              <w:t>，采用密闭输送</w:t>
            </w:r>
            <w:r>
              <w:rPr>
                <w:rFonts w:ascii="Times New Roman" w:hAnsi="Times New Roman" w:cs="Times New Roman"/>
                <w:color w:val="auto"/>
                <w:sz w:val="21"/>
                <w:szCs w:val="21"/>
                <w:lang w:val="en-US"/>
              </w:rPr>
              <w:t>；水泥</w:t>
            </w:r>
            <w:r>
              <w:rPr>
                <w:rFonts w:hint="eastAsia" w:ascii="Times New Roman" w:hAnsi="Times New Roman" w:cs="Times New Roman"/>
                <w:color w:val="auto"/>
                <w:sz w:val="21"/>
                <w:szCs w:val="21"/>
                <w:lang w:val="en-US"/>
              </w:rPr>
              <w:t>、粉煤灰存放于粉料仓</w:t>
            </w:r>
            <w:r>
              <w:rPr>
                <w:rFonts w:ascii="Times New Roman" w:hAnsi="Times New Roman" w:cs="Times New Roman"/>
                <w:color w:val="auto"/>
                <w:sz w:val="21"/>
                <w:szCs w:val="21"/>
                <w:lang w:val="en-US"/>
              </w:rPr>
              <w:t>通过密闭螺旋输送设备输送到粉料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通过粉料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进行计量后，利用重力从秤斗底部进入搅拌机；添加水通过潜水泵送至计量设备计量后，按照所需配合比往搅拌机内添加水；</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通过水泵送至计量设备计量后，按照所需配合比往搅拌机内添加</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进入搅拌机的料不断地进行相互翻转搅拌，各种物料搅拌均匀后即成成品。</w:t>
            </w:r>
            <w:r>
              <w:rPr>
                <w:rFonts w:hint="eastAsia" w:ascii="Times New Roman" w:hAnsi="Times New Roman" w:cs="Times New Roman"/>
                <w:color w:val="auto"/>
                <w:sz w:val="21"/>
                <w:szCs w:val="21"/>
                <w:lang w:val="en-US"/>
              </w:rPr>
              <w:t>搅拌过程中</w:t>
            </w:r>
            <w:r>
              <w:rPr>
                <w:rFonts w:ascii="Times New Roman" w:hAnsi="Times New Roman" w:cs="Times New Roman"/>
                <w:color w:val="auto"/>
                <w:sz w:val="21"/>
                <w:szCs w:val="21"/>
                <w:lang w:val="en-US"/>
              </w:rPr>
              <w:t>所需水通过水泵输送至加水器，均匀地喷洒在搅拌装置内，</w:t>
            </w:r>
            <w:r>
              <w:rPr>
                <w:rFonts w:hint="eastAsia" w:ascii="Times New Roman" w:hAnsi="Times New Roman" w:cs="Times New Roman"/>
                <w:color w:val="auto"/>
                <w:sz w:val="21"/>
                <w:szCs w:val="21"/>
                <w:lang w:val="en-US"/>
              </w:rPr>
              <w:t>可有效减少粉尘的产生。</w:t>
            </w:r>
            <w:r>
              <w:rPr>
                <w:rFonts w:ascii="Times New Roman" w:hAnsi="Times New Roman" w:cs="Times New Roman"/>
                <w:color w:val="auto"/>
                <w:sz w:val="21"/>
                <w:szCs w:val="21"/>
                <w:lang w:val="en-US"/>
              </w:rPr>
              <w:t>为防止</w:t>
            </w:r>
            <w:r>
              <w:rPr>
                <w:rFonts w:hint="eastAsia" w:ascii="Times New Roman" w:hAnsi="Times New Roman" w:cs="Times New Roman"/>
                <w:color w:val="auto"/>
                <w:sz w:val="21"/>
                <w:szCs w:val="21"/>
                <w:lang w:val="en-US"/>
              </w:rPr>
              <w:t>搅拌</w:t>
            </w:r>
            <w:r>
              <w:rPr>
                <w:rFonts w:ascii="Times New Roman" w:hAnsi="Times New Roman" w:cs="Times New Roman"/>
                <w:color w:val="auto"/>
                <w:sz w:val="21"/>
                <w:szCs w:val="21"/>
                <w:lang w:val="en-US"/>
              </w:rPr>
              <w:t>设备内部存在残存物料而影响产品配合比，需定期对设备进行冲洗，设备冲洗水</w:t>
            </w:r>
            <w:r>
              <w:rPr>
                <w:rFonts w:hint="eastAsia" w:ascii="Times New Roman" w:hAnsi="Times New Roman" w:cs="Times New Roman"/>
                <w:color w:val="auto"/>
                <w:sz w:val="21"/>
                <w:szCs w:val="21"/>
                <w:lang w:val="en-US"/>
              </w:rPr>
              <w:t>循环使用</w:t>
            </w:r>
            <w:r>
              <w:rPr>
                <w:rFonts w:ascii="Times New Roman" w:hAnsi="Times New Roman" w:cs="Times New Roman"/>
                <w:color w:val="auto"/>
                <w:sz w:val="21"/>
                <w:szCs w:val="21"/>
                <w:lang w:val="en-US"/>
              </w:rPr>
              <w:t>。粉料计量设备</w:t>
            </w:r>
            <w:r>
              <w:rPr>
                <w:rFonts w:hint="eastAsia" w:ascii="Times New Roman" w:hAnsi="Times New Roman" w:cs="Times New Roman"/>
                <w:color w:val="auto"/>
                <w:sz w:val="21"/>
                <w:szCs w:val="21"/>
                <w:lang w:val="en-US"/>
              </w:rPr>
              <w:t>、搅拌设备</w:t>
            </w:r>
            <w:r>
              <w:rPr>
                <w:rFonts w:ascii="Times New Roman" w:hAnsi="Times New Roman" w:cs="Times New Roman"/>
                <w:color w:val="auto"/>
                <w:sz w:val="21"/>
                <w:szCs w:val="21"/>
                <w:lang w:val="en-US"/>
              </w:rPr>
              <w:t>为</w:t>
            </w:r>
            <w:r>
              <w:rPr>
                <w:rFonts w:hint="eastAsia" w:ascii="Times New Roman" w:hAnsi="Times New Roman" w:cs="Times New Roman"/>
                <w:color w:val="auto"/>
                <w:sz w:val="21"/>
                <w:szCs w:val="21"/>
                <w:lang w:val="en-US"/>
              </w:rPr>
              <w:t>一体式</w:t>
            </w:r>
            <w:r>
              <w:rPr>
                <w:rFonts w:ascii="Times New Roman" w:hAnsi="Times New Roman" w:cs="Times New Roman"/>
                <w:color w:val="auto"/>
                <w:sz w:val="21"/>
                <w:szCs w:val="21"/>
                <w:lang w:val="en-US"/>
              </w:rPr>
              <w:t>封闭式设备，粉尘主要产生于搅拌机投料阶段设备呼吸孔位置。</w:t>
            </w:r>
          </w:p>
          <w:p>
            <w:pPr>
              <w:autoSpaceDE/>
              <w:autoSpaceDN/>
              <w:spacing w:line="440" w:lineRule="exact"/>
              <w:ind w:left="110" w:leftChars="50" w:right="110" w:righ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该工序产生的污染物主要为：计量粉尘（G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w:t>
            </w:r>
            <w:r>
              <w:rPr>
                <w:rFonts w:ascii="Times New Roman" w:hAnsi="Times New Roman" w:cs="Times New Roman"/>
                <w:b/>
                <w:bCs/>
                <w:color w:val="auto"/>
                <w:sz w:val="21"/>
                <w:szCs w:val="21"/>
                <w:lang w:val="en-US"/>
              </w:rPr>
              <w:t>搅拌粉尘（</w:t>
            </w:r>
            <w:r>
              <w:rPr>
                <w:rFonts w:hint="eastAsia" w:ascii="Times New Roman" w:hAnsi="Times New Roman" w:cs="Times New Roman"/>
                <w:b/>
                <w:bCs/>
                <w:color w:val="auto"/>
                <w:sz w:val="21"/>
                <w:szCs w:val="21"/>
                <w:lang w:val="en-US"/>
              </w:rPr>
              <w:t>G</w:t>
            </w:r>
            <w:r>
              <w:rPr>
                <w:rFonts w:hint="eastAsia"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）、设备噪声（N）。</w:t>
            </w:r>
          </w:p>
          <w:p>
            <w:pPr>
              <w:spacing w:line="440" w:lineRule="exact"/>
              <w:ind w:left="110" w:leftChars="50" w:right="110" w:righ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外运：</w:t>
            </w:r>
            <w:r>
              <w:rPr>
                <w:rFonts w:ascii="Times New Roman" w:hAnsi="Times New Roman" w:cs="Times New Roman"/>
                <w:color w:val="auto"/>
                <w:sz w:val="21"/>
                <w:szCs w:val="21"/>
                <w:lang w:val="en-US"/>
              </w:rPr>
              <w:t>成品</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从卸料斗卸料到专用</w:t>
            </w:r>
            <w:r>
              <w:rPr>
                <w:rFonts w:hint="eastAsia" w:ascii="Times New Roman" w:hAnsi="Times New Roman" w:cs="Times New Roman"/>
                <w:color w:val="auto"/>
                <w:sz w:val="21"/>
                <w:szCs w:val="21"/>
                <w:lang w:val="en-US"/>
              </w:rPr>
              <w:t>罐车</w:t>
            </w:r>
            <w:r>
              <w:rPr>
                <w:rFonts w:ascii="Times New Roman" w:hAnsi="Times New Roman" w:cs="Times New Roman"/>
                <w:color w:val="auto"/>
                <w:sz w:val="21"/>
                <w:szCs w:val="21"/>
                <w:lang w:val="en-US"/>
              </w:rPr>
              <w:t>中，</w:t>
            </w:r>
            <w:r>
              <w:rPr>
                <w:rFonts w:hint="eastAsia" w:ascii="Times New Roman" w:hAnsi="Times New Roman" w:cs="Times New Roman"/>
                <w:color w:val="auto"/>
                <w:sz w:val="21"/>
                <w:szCs w:val="21"/>
                <w:lang w:val="en-US"/>
              </w:rPr>
              <w:t>运输出厂</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为湿料，卸料过程不会产生粉尘。</w:t>
            </w:r>
          </w:p>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主要污染工序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①</w:t>
            </w:r>
            <w:r>
              <w:rPr>
                <w:rFonts w:ascii="Times New Roman" w:hAnsi="Times New Roman" w:cs="Times New Roman"/>
                <w:b/>
                <w:bCs/>
                <w:color w:val="auto"/>
                <w:sz w:val="21"/>
                <w:szCs w:val="21"/>
              </w:rPr>
              <w:t>废气：</w:t>
            </w:r>
            <w:r>
              <w:rPr>
                <w:rFonts w:ascii="Times New Roman" w:hAnsi="Times New Roman" w:cs="Times New Roman"/>
                <w:color w:val="auto"/>
                <w:sz w:val="21"/>
                <w:szCs w:val="21"/>
              </w:rPr>
              <w:t>主要为</w:t>
            </w:r>
            <w:r>
              <w:rPr>
                <w:rFonts w:hint="eastAsia" w:ascii="Times New Roman" w:hAnsi="Times New Roman" w:cs="Times New Roman"/>
                <w:color w:val="auto"/>
                <w:sz w:val="21"/>
                <w:lang w:val="en-US"/>
              </w:rPr>
              <w:t>料场</w:t>
            </w:r>
            <w:r>
              <w:rPr>
                <w:rFonts w:ascii="Times New Roman" w:hAnsi="Times New Roman" w:cs="Times New Roman"/>
                <w:color w:val="auto"/>
                <w:sz w:val="21"/>
                <w:lang w:val="en-US"/>
              </w:rPr>
              <w:t>粉尘（G</w:t>
            </w:r>
            <w:r>
              <w:rPr>
                <w:rFonts w:ascii="Times New Roman" w:hAnsi="Times New Roman" w:cs="Times New Roman"/>
                <w:color w:val="auto"/>
                <w:sz w:val="21"/>
                <w:vertAlign w:val="subscript"/>
                <w:lang w:val="en-US"/>
              </w:rPr>
              <w:t>0</w:t>
            </w:r>
            <w:r>
              <w:rPr>
                <w:rFonts w:ascii="Times New Roman" w:hAnsi="Times New Roman" w:cs="Times New Roman"/>
                <w:color w:val="auto"/>
                <w:sz w:val="21"/>
                <w:lang w:val="en-US"/>
              </w:rPr>
              <w:t>）、</w:t>
            </w:r>
            <w:r>
              <w:rPr>
                <w:rFonts w:ascii="Times New Roman" w:hAnsi="Times New Roman" w:cs="Times New Roman"/>
                <w:color w:val="auto"/>
                <w:sz w:val="21"/>
                <w:szCs w:val="21"/>
                <w:lang w:val="en-US"/>
              </w:rPr>
              <w:t>粉料仓粉尘（G</w:t>
            </w:r>
            <w:r>
              <w:rPr>
                <w:rFonts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）、骨料配料粉尘（G</w:t>
            </w:r>
            <w:r>
              <w:rPr>
                <w:rFonts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）、计量粉尘（G</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lang w:val="en-US"/>
              </w:rPr>
              <w:t>）、搅拌粉尘（G</w:t>
            </w:r>
            <w:r>
              <w:rPr>
                <w:rFonts w:ascii="Times New Roman" w:hAnsi="Times New Roman" w:cs="Times New Roman"/>
                <w:color w:val="auto"/>
                <w:sz w:val="21"/>
                <w:szCs w:val="21"/>
                <w:vertAlign w:val="subscript"/>
                <w:lang w:val="en-US"/>
              </w:rPr>
              <w:t>4</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③</w:t>
            </w:r>
            <w:r>
              <w:rPr>
                <w:rFonts w:ascii="Times New Roman" w:hAnsi="Times New Roman" w:cs="Times New Roman"/>
                <w:b/>
                <w:bCs/>
                <w:color w:val="auto"/>
                <w:sz w:val="21"/>
                <w:szCs w:val="21"/>
              </w:rPr>
              <w:t>噪音：</w:t>
            </w:r>
            <w:r>
              <w:rPr>
                <w:rFonts w:ascii="Times New Roman" w:hAnsi="Times New Roman" w:cs="Times New Roman"/>
                <w:color w:val="auto"/>
                <w:sz w:val="21"/>
                <w:szCs w:val="21"/>
              </w:rPr>
              <w:t>噪音主要是生产设备及配套设备运行时产生的噪音，声级值在</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5~</w:t>
            </w:r>
            <w:r>
              <w:rPr>
                <w:rFonts w:ascii="Times New Roman" w:hAnsi="Times New Roman" w:cs="Times New Roman"/>
                <w:color w:val="auto"/>
                <w:sz w:val="21"/>
                <w:szCs w:val="21"/>
                <w:lang w:val="en-US"/>
              </w:rPr>
              <w:t>8</w:t>
            </w:r>
            <w:r>
              <w:rPr>
                <w:rFonts w:ascii="Times New Roman" w:hAnsi="Times New Roman" w:cs="Times New Roman"/>
                <w:color w:val="auto"/>
                <w:sz w:val="21"/>
                <w:szCs w:val="21"/>
              </w:rPr>
              <w:t>5dB(A)之间；</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④</w:t>
            </w:r>
            <w:r>
              <w:rPr>
                <w:rFonts w:ascii="Times New Roman" w:hAnsi="Times New Roman" w:cs="Times New Roman"/>
                <w:b/>
                <w:bCs/>
                <w:color w:val="auto"/>
                <w:sz w:val="21"/>
                <w:szCs w:val="21"/>
              </w:rPr>
              <w:t>固废：</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w:t>
            </w:r>
            <w:r>
              <w:rPr>
                <w:rFonts w:hint="eastAsia"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w:t>
            </w:r>
            <w:r>
              <w:rPr>
                <w:rFonts w:hint="eastAsia" w:ascii="Times New Roman" w:hAnsi="Times New Roman" w:cs="Times New Roman"/>
                <w:color w:val="auto"/>
                <w:sz w:val="21"/>
                <w:szCs w:val="21"/>
              </w:rPr>
              <w:t>废油桶</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p>
          <w:p>
            <w:pPr>
              <w:pStyle w:val="18"/>
              <w:autoSpaceDE/>
              <w:autoSpaceDN/>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本项目运营期污染源及污染物产生情况见下表。</w:t>
            </w:r>
          </w:p>
          <w:p>
            <w:pPr>
              <w:pStyle w:val="18"/>
              <w:autoSpaceDE/>
              <w:autoSpaceDN/>
              <w:spacing w:line="440" w:lineRule="exact"/>
              <w:ind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2.8</w:t>
            </w:r>
            <w:r>
              <w:rPr>
                <w:rFonts w:ascii="Times New Roman" w:hAnsi="Times New Roman" w:cs="Times New Roman"/>
                <w:b/>
                <w:bCs/>
                <w:color w:val="auto"/>
                <w:sz w:val="21"/>
                <w:szCs w:val="21"/>
                <w:lang w:val="en-US"/>
              </w:rPr>
              <w:t xml:space="preserve">  本项目污染源及污染物产生情况</w:t>
            </w:r>
          </w:p>
          <w:tbl>
            <w:tblPr>
              <w:tblStyle w:val="33"/>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2"/>
              <w:gridCol w:w="753"/>
              <w:gridCol w:w="1605"/>
              <w:gridCol w:w="279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类别</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污染源</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序号</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主要污染物</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治理方法</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料场</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G0</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颗粒物</w:t>
                  </w:r>
                </w:p>
              </w:tc>
              <w:tc>
                <w:tcPr>
                  <w:tcW w:w="2799"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粉料仓废气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w:t>
                  </w:r>
                  <w:r>
                    <w:rPr>
                      <w:rFonts w:hint="eastAsia" w:ascii="Times New Roman" w:hAnsi="Times New Roman" w:cs="Times New Roman"/>
                      <w:color w:val="auto"/>
                      <w:kern w:val="21"/>
                      <w:sz w:val="21"/>
                      <w:szCs w:val="21"/>
                      <w:lang w:val="en-US" w:eastAsia="zh-CN"/>
                    </w:rPr>
                    <w:t>20</w:t>
                  </w:r>
                  <w:r>
                    <w:rPr>
                      <w:rFonts w:hint="eastAsia" w:ascii="Times New Roman" w:hAnsi="Times New Roman" w:cs="Times New Roman"/>
                      <w:color w:val="auto"/>
                      <w:kern w:val="21"/>
                      <w:sz w:val="21"/>
                      <w:szCs w:val="21"/>
                      <w:lang w:val="en-US"/>
                    </w:rPr>
                    <w:t>m）</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骨料配料废气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G2</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Merge w:val="restart"/>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集气罩/密闭风管+布袋除尘器+15m高排气筒</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计量废气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G3</w:t>
                  </w:r>
                </w:p>
              </w:tc>
              <w:tc>
                <w:tcPr>
                  <w:tcW w:w="1605"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Merge w:val="continue"/>
                  <w:vAlign w:val="center"/>
                </w:tcPr>
                <w:p>
                  <w:pPr>
                    <w:adjustRightInd w:val="0"/>
                    <w:snapToGrid w:val="0"/>
                    <w:jc w:val="center"/>
                    <w:rPr>
                      <w:rFonts w:ascii="Times New Roman" w:hAnsi="Times New Roman" w:cs="Times New Roman"/>
                      <w:color w:val="auto"/>
                      <w:sz w:val="21"/>
                      <w:szCs w:val="21"/>
                      <w:lang w:val="en-US"/>
                    </w:rPr>
                  </w:pP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搅拌废气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G4</w:t>
                  </w:r>
                </w:p>
              </w:tc>
              <w:tc>
                <w:tcPr>
                  <w:tcW w:w="1605"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2799"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911"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车辆冲洗废水</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SS</w:t>
                  </w:r>
                </w:p>
              </w:tc>
              <w:tc>
                <w:tcPr>
                  <w:tcW w:w="2799"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经车辆冲洗沉淀池沉淀后回用于车辆冲洗</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噪声</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设备运行</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N</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Leq</w:t>
                  </w:r>
                  <w:r>
                    <w:rPr>
                      <w:rFonts w:ascii="Times New Roman" w:hAnsi="Times New Roman" w:cs="Times New Roman"/>
                      <w:color w:val="auto"/>
                      <w:sz w:val="21"/>
                      <w:szCs w:val="21"/>
                      <w:vertAlign w:val="subscript"/>
                      <w:lang w:val="en-US"/>
                    </w:rPr>
                    <w:t>(A)</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选用低噪声设备、减振、隔声</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布袋除尘器</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79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集中收集后外售</w:t>
                  </w: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物料包装</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废油桶</w:t>
                  </w:r>
                </w:p>
              </w:tc>
              <w:tc>
                <w:tcPr>
                  <w:tcW w:w="2799"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rPr>
                    <w:t>暂存危废间，定期由资质单位处置</w:t>
                  </w: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753"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废机油</w:t>
                  </w:r>
                </w:p>
              </w:tc>
              <w:tc>
                <w:tcPr>
                  <w:tcW w:w="2799"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bl>
          <w:p>
            <w:pPr>
              <w:pStyle w:val="19"/>
              <w:rPr>
                <w:color w:val="auto"/>
                <w:lang w:val="en-US"/>
              </w:rPr>
            </w:pPr>
          </w:p>
          <w:p>
            <w:pPr>
              <w:pStyle w:val="20"/>
              <w:rPr>
                <w:color w:val="auto"/>
                <w:lang w:val="en-US"/>
              </w:rPr>
            </w:pPr>
          </w:p>
          <w:p>
            <w:pPr>
              <w:rPr>
                <w:color w:val="auto"/>
                <w:lang w:val="en-US"/>
              </w:rPr>
            </w:pPr>
          </w:p>
          <w:p>
            <w:pPr>
              <w:pStyle w:val="52"/>
              <w:spacing w:line="400" w:lineRule="exact"/>
              <w:ind w:left="110" w:leftChars="50" w:firstLine="481" w:firstLineChars="200"/>
              <w:rPr>
                <w:rFonts w:ascii="Times New Roman" w:hAnsi="Times New Roman" w:cs="Times New Roman"/>
                <w:b/>
                <w:bCs/>
                <w:color w:val="auto"/>
                <w:sz w:val="24"/>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3" w:hRule="atLeast"/>
          <w:jc w:val="center"/>
        </w:trPr>
        <w:tc>
          <w:tcPr>
            <w:tcW w:w="446" w:type="dxa"/>
            <w:tcBorders>
              <w:top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一、相关环评文件执行情况</w:t>
            </w:r>
          </w:p>
          <w:p>
            <w:pPr>
              <w:pStyle w:val="41"/>
              <w:ind w:left="110" w:leftChars="50" w:firstLine="420"/>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魏县顺驰商砼加工有限公司于2019年1月委托遵义天力环境工程有限责任公司编制了《魏县顺驰商砼加工有限公司商砼升级改造及干混砂浆生产线建设项目环境影响报告表》，并于2019年4月19日取得了邯郸市生态环境局魏县分局出示的批复（魏环审[2019]号）（见附件）</w:t>
            </w:r>
            <w:r>
              <w:rPr>
                <w:rFonts w:hint="eastAsia" w:ascii="Times New Roman" w:hAnsi="Times New Roman" w:cs="Times New Roman"/>
                <w:color w:val="auto"/>
                <w:sz w:val="21"/>
                <w:szCs w:val="21"/>
                <w:lang w:eastAsia="zh-CN"/>
              </w:rPr>
              <w:t>及邯郸市建设项目主要污染物总量指标确认书（邯总量确认</w:t>
            </w:r>
            <w:r>
              <w:rPr>
                <w:rFonts w:hint="eastAsia" w:ascii="Times New Roman" w:hAnsi="Times New Roman" w:cs="Times New Roman"/>
                <w:color w:val="auto"/>
                <w:sz w:val="21"/>
                <w:szCs w:val="21"/>
                <w:lang w:val="en-US" w:eastAsia="zh-CN"/>
              </w:rPr>
              <w:t>2019/0385号</w:t>
            </w:r>
            <w:r>
              <w:rPr>
                <w:rFonts w:hint="eastAsia" w:ascii="Times New Roman" w:hAnsi="Times New Roman" w:cs="Times New Roman"/>
                <w:color w:val="auto"/>
                <w:sz w:val="21"/>
                <w:szCs w:val="21"/>
                <w:lang w:eastAsia="zh-CN"/>
              </w:rPr>
              <w:t>）（见附件）</w:t>
            </w:r>
            <w:r>
              <w:rPr>
                <w:rFonts w:hint="eastAsia" w:ascii="Times New Roman" w:hAnsi="Times New Roman" w:cs="Times New Roman"/>
                <w:color w:val="auto"/>
                <w:sz w:val="21"/>
                <w:szCs w:val="21"/>
              </w:rPr>
              <w:t>。魏县顺驰商砼加工有限公司商砼升级改造及干混砂浆生产线建设项目于2019年6月28日通过竣工环境保护验收。2023年11月1日，魏县顺驰商砼加工有限公司将商砼升级改造及干混砂浆生产线建设项目中的干混砂浆生产线（包括设备、生产工艺、原材料、土地等所有与此项目有关的事宜）全部转让给</w:t>
            </w:r>
            <w:r>
              <w:rPr>
                <w:rFonts w:ascii="Times New Roman" w:hAnsi="Times New Roman" w:cs="Times New Roman"/>
                <w:color w:val="auto"/>
                <w:sz w:val="21"/>
                <w:szCs w:val="21"/>
              </w:rPr>
              <w:t>魏县顺驰商砼加工有限公司鑫磊分公司</w:t>
            </w:r>
            <w:r>
              <w:rPr>
                <w:rFonts w:hint="eastAsia" w:ascii="Times New Roman" w:hAnsi="Times New Roman" w:cs="Times New Roman"/>
                <w:color w:val="auto"/>
                <w:sz w:val="21"/>
                <w:szCs w:val="21"/>
              </w:rPr>
              <w:t>。</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二、与本项目有关的现有污染情况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1、现有工程污染及治理情况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（1）废气</w:t>
            </w:r>
            <w:r>
              <w:rPr>
                <w:rFonts w:hint="eastAsia" w:ascii="Times New Roman" w:hAnsi="Times New Roman" w:cs="Times New Roman"/>
                <w:b/>
                <w:color w:val="auto"/>
                <w:sz w:val="21"/>
                <w:szCs w:val="21"/>
                <w:lang w:val="en-US"/>
              </w:rPr>
              <w:t>：</w:t>
            </w:r>
          </w:p>
          <w:p>
            <w:pPr>
              <w:pStyle w:val="41"/>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rPr>
              <w:t>根据</w:t>
            </w:r>
            <w:r>
              <w:rPr>
                <w:rFonts w:hint="eastAsia" w:ascii="Times New Roman" w:hAnsi="Times New Roman" w:cs="Times New Roman"/>
                <w:color w:val="auto"/>
                <w:sz w:val="21"/>
                <w:szCs w:val="21"/>
              </w:rPr>
              <w:t>商砼升级改造及干混砂浆生产线建设项目</w:t>
            </w:r>
            <w:r>
              <w:rPr>
                <w:rFonts w:hint="eastAsia" w:ascii="Times New Roman" w:hAnsi="Times New Roman" w:cs="Times New Roman"/>
                <w:bCs/>
                <w:color w:val="auto"/>
                <w:sz w:val="21"/>
                <w:szCs w:val="21"/>
              </w:rPr>
              <w:t>验收报告中监测数据可得，项目烘干工序使用天然气为燃料，燃烧废气由15米高排气筒排放；原料仓仓顶排放的含尘废气引入地面1套袋式除尘器处理后，由15m高排气筒排放；落料口及上料口产生的含尘废气经集气罩收集后，引入原料仓地面袋式除尘器处理后，由15m高排气筒排放；搅拌工序产生的含尘废气收集后，通过袋式除尘器处理，由15m高排气筒排放；原料仓库粉尘无组织</w:t>
            </w:r>
            <w:r>
              <w:rPr>
                <w:rFonts w:hint="eastAsia" w:ascii="Times New Roman" w:hAnsi="Times New Roman" w:cs="Times New Roman"/>
                <w:bCs/>
                <w:color w:val="auto"/>
                <w:sz w:val="21"/>
                <w:szCs w:val="21"/>
                <w:lang w:eastAsia="zh-CN"/>
              </w:rPr>
              <w:t>排放</w:t>
            </w:r>
            <w:r>
              <w:rPr>
                <w:rFonts w:hint="eastAsia" w:ascii="Times New Roman" w:hAnsi="Times New Roman" w:cs="Times New Roman"/>
                <w:bCs/>
                <w:color w:val="auto"/>
                <w:sz w:val="21"/>
                <w:szCs w:val="21"/>
              </w:rPr>
              <w:t>；成品仓排放的含尘废气引入搅拌工序袋式除尘器处理，由15m高排气简排放；原料车间密闭，顶部安装喷淋装置，洒水抑尘。</w:t>
            </w:r>
          </w:p>
          <w:p>
            <w:pPr>
              <w:pStyle w:val="41"/>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根据验收报告监测数据，</w:t>
            </w:r>
            <w:r>
              <w:rPr>
                <w:rFonts w:hint="eastAsia" w:ascii="Times New Roman" w:hAnsi="Times New Roman" w:cs="Times New Roman"/>
                <w:bCs/>
                <w:color w:val="auto"/>
                <w:sz w:val="21"/>
                <w:szCs w:val="21"/>
              </w:rPr>
              <w:t>项目原料仓、落料口及上料口袋式除尘器排气筒出口颗粒物最高排放浓度为4.2mg/m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，成品仓、搅拌工序袋式除尘器排气筒出口颗粒物最高排放浓度为3.7mg/m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，烘干工序排气筒出口颗粒物最高排放浓度为1.8mg/m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、二氧化硫最高排放浓度为28.6mg/m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、氮氧化物最高排放浓度为4.1mg/m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，均</w:t>
            </w:r>
            <w:r>
              <w:rPr>
                <w:rFonts w:hint="eastAsia" w:ascii="Times New Roman" w:hAnsi="Times New Roman" w:cs="Times New Roman"/>
                <w:bCs/>
                <w:color w:val="auto"/>
                <w:sz w:val="21"/>
                <w:szCs w:val="21"/>
                <w:lang w:eastAsia="zh-CN"/>
              </w:rPr>
              <w:t>满足</w:t>
            </w:r>
            <w:r>
              <w:rPr>
                <w:rFonts w:hint="eastAsia" w:ascii="Times New Roman" w:hAnsi="Times New Roman" w:cs="Times New Roman"/>
                <w:bCs/>
                <w:color w:val="auto"/>
                <w:sz w:val="21"/>
                <w:szCs w:val="21"/>
              </w:rPr>
              <w:t>河北省《水泥工业大气污染物超低排放标准》（DB13/2167-2020）表1中水泥制造标准要求。厂界无组织颗粒物下风向最大值与上风向差值最大值为0.366mg/m</w:t>
            </w:r>
            <w:r>
              <w:rPr>
                <w:rFonts w:hint="eastAsia" w:ascii="Times New Roman" w:hAnsi="Times New Roman" w:cs="Times New Roman"/>
                <w:bCs/>
                <w:color w:val="auto"/>
                <w:sz w:val="21"/>
                <w:szCs w:val="21"/>
                <w:vertAlign w:val="superscript"/>
              </w:rPr>
              <w:t>2</w:t>
            </w:r>
            <w:r>
              <w:rPr>
                <w:rFonts w:hint="eastAsia" w:ascii="Times New Roman" w:hAnsi="Times New Roman" w:cs="Times New Roman"/>
                <w:bCs/>
                <w:color w:val="auto"/>
                <w:sz w:val="21"/>
                <w:szCs w:val="21"/>
              </w:rPr>
              <w:t>，满足河北省《水泥工业大气污染物超低排放标准》（DB13/2167-2020）表2标准要求，即颗粒物最大值与上风向差值≤0.5mg/m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。该项目共有3个废气排放口，年排废气量为4556万m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，年排放颗粒物0.</w:t>
            </w:r>
            <w:r>
              <w:rPr>
                <w:rFonts w:hint="eastAsia" w:ascii="Times New Roman" w:hAnsi="Times New Roman" w:cs="Times New Roman"/>
                <w:bCs/>
                <w:color w:val="auto"/>
                <w:sz w:val="21"/>
                <w:szCs w:val="21"/>
                <w:lang w:val="en-US" w:eastAsia="zh-CN"/>
              </w:rPr>
              <w:t>1093</w:t>
            </w:r>
            <w:r>
              <w:rPr>
                <w:rFonts w:hint="eastAsia" w:ascii="Times New Roman" w:hAnsi="Times New Roman" w:cs="Times New Roman"/>
                <w:bCs/>
                <w:color w:val="auto"/>
                <w:sz w:val="21"/>
                <w:szCs w:val="21"/>
              </w:rPr>
              <w:t>t、氮氧化物0.0815t、二氧化硫0.6605t、烟尘0.0458t</w:t>
            </w:r>
            <w:r>
              <w:rPr>
                <w:rFonts w:ascii="Times New Roman" w:hAnsi="Times New Roman" w:cs="Times New Roman"/>
                <w:bCs/>
                <w:color w:val="auto"/>
                <w:sz w:val="21"/>
                <w:szCs w:val="21"/>
              </w:rPr>
              <w:t>。</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（2）</w:t>
            </w:r>
            <w:r>
              <w:rPr>
                <w:rFonts w:ascii="Times New Roman" w:hAnsi="Times New Roman" w:cs="Times New Roman"/>
                <w:b/>
                <w:color w:val="auto"/>
                <w:sz w:val="21"/>
                <w:szCs w:val="21"/>
              </w:rPr>
              <w:t>废水</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项目</w:t>
            </w:r>
            <w:r>
              <w:rPr>
                <w:rFonts w:hint="eastAsia" w:ascii="Times New Roman" w:hAnsi="Times New Roman" w:cs="Times New Roman"/>
                <w:bCs/>
                <w:color w:val="auto"/>
                <w:sz w:val="21"/>
                <w:szCs w:val="21"/>
              </w:rPr>
              <w:t>无</w:t>
            </w:r>
            <w:r>
              <w:rPr>
                <w:rFonts w:ascii="Times New Roman" w:hAnsi="Times New Roman" w:cs="Times New Roman"/>
                <w:bCs/>
                <w:color w:val="auto"/>
                <w:sz w:val="21"/>
                <w:szCs w:val="21"/>
              </w:rPr>
              <w:t>外排废水。</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（3）</w:t>
            </w:r>
            <w:r>
              <w:rPr>
                <w:rFonts w:ascii="Times New Roman" w:hAnsi="Times New Roman" w:cs="Times New Roman"/>
                <w:b/>
                <w:color w:val="auto"/>
                <w:sz w:val="21"/>
                <w:szCs w:val="21"/>
              </w:rPr>
              <w:t>噪声</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监测期间该企业厂界昼间噪声最高值为5</w:t>
            </w:r>
            <w:r>
              <w:rPr>
                <w:rFonts w:hint="eastAsia" w:ascii="Times New Roman" w:hAnsi="Times New Roman" w:cs="Times New Roman"/>
                <w:bCs/>
                <w:color w:val="auto"/>
                <w:sz w:val="21"/>
                <w:szCs w:val="21"/>
              </w:rPr>
              <w:t>8.7</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（A）、夜间噪声最高值为49.5</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，符合《工业企业厂界环境噪声排放标准》</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GB12348-2008</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表1中2类标准昼间≤60dB</w:t>
            </w:r>
            <w:r>
              <w:rPr>
                <w:rFonts w:hint="eastAsia" w:ascii="Times New Roman" w:hAnsi="Times New Roman" w:cs="Times New Roman"/>
                <w:bCs/>
                <w:color w:val="auto"/>
                <w:sz w:val="21"/>
                <w:szCs w:val="21"/>
              </w:rPr>
              <w:t>（A）、夜间</w:t>
            </w:r>
            <w:r>
              <w:rPr>
                <w:rFonts w:ascii="Times New Roman" w:hAnsi="Times New Roman" w:cs="Times New Roman"/>
                <w:bCs/>
                <w:color w:val="auto"/>
                <w:sz w:val="21"/>
                <w:szCs w:val="21"/>
              </w:rPr>
              <w:t>≤</w:t>
            </w:r>
            <w:r>
              <w:rPr>
                <w:rFonts w:hint="eastAsia" w:ascii="Times New Roman" w:hAnsi="Times New Roman" w:cs="Times New Roman"/>
                <w:bCs/>
                <w:color w:val="auto"/>
                <w:sz w:val="21"/>
                <w:szCs w:val="21"/>
              </w:rPr>
              <w:t>50</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的要求。</w:t>
            </w:r>
          </w:p>
          <w:p>
            <w:pPr>
              <w:pStyle w:val="41"/>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（4）</w:t>
            </w:r>
            <w:r>
              <w:rPr>
                <w:rFonts w:ascii="Times New Roman" w:hAnsi="Times New Roman" w:cs="Times New Roman"/>
                <w:b/>
                <w:color w:val="auto"/>
                <w:sz w:val="21"/>
                <w:szCs w:val="21"/>
              </w:rPr>
              <w:t>固体废弃物</w:t>
            </w:r>
            <w:r>
              <w:rPr>
                <w:rFonts w:hint="eastAsia" w:ascii="Times New Roman" w:hAnsi="Times New Roman" w:cs="Times New Roman"/>
                <w:b/>
                <w:color w:val="auto"/>
                <w:sz w:val="21"/>
                <w:szCs w:val="21"/>
              </w:rPr>
              <w:t>：</w:t>
            </w:r>
          </w:p>
          <w:p>
            <w:pPr>
              <w:pStyle w:val="41"/>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本项目产生的固体废物主要有布袋除尘器收集的除尘灰以及职工办公产生的生活垃圾</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交由环卫部门处理。</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2、污染物排放量</w:t>
            </w:r>
          </w:p>
          <w:p>
            <w:pPr>
              <w:autoSpaceDE/>
              <w:autoSpaceDN/>
              <w:adjustRightInd w:val="0"/>
              <w:snapToGrid w:val="0"/>
              <w:spacing w:line="400" w:lineRule="exact"/>
              <w:ind w:firstLine="420" w:firstLineChars="200"/>
              <w:jc w:val="both"/>
              <w:rPr>
                <w:rFonts w:ascii="Times New Roman" w:hAnsi="Times New Roman" w:cs="Times New Roman"/>
                <w:bCs/>
                <w:color w:val="auto"/>
                <w:sz w:val="21"/>
                <w:szCs w:val="21"/>
                <w:lang w:val="en-US"/>
              </w:rPr>
            </w:pPr>
            <w:r>
              <w:rPr>
                <w:rFonts w:hint="eastAsia"/>
                <w:color w:val="auto"/>
                <w:sz w:val="21"/>
                <w:szCs w:val="21"/>
              </w:rPr>
              <w:t>根据现有环评核算可得在建工程排放量，</w:t>
            </w:r>
            <w:r>
              <w:rPr>
                <w:rFonts w:ascii="Times New Roman" w:hAnsi="Times New Roman" w:cs="Times New Roman"/>
                <w:bCs/>
                <w:color w:val="auto"/>
                <w:sz w:val="21"/>
                <w:szCs w:val="21"/>
                <w:lang w:val="en-US"/>
              </w:rPr>
              <w:t>污染物排放量情况一览表如下。</w:t>
            </w:r>
          </w:p>
          <w:p>
            <w:pPr>
              <w:autoSpaceDE/>
              <w:autoSpaceDN/>
              <w:adjustRightInd w:val="0"/>
              <w:snapToGrid w:val="0"/>
              <w:spacing w:line="400" w:lineRule="exact"/>
              <w:jc w:val="center"/>
              <w:rPr>
                <w:rFonts w:ascii="Times New Roman" w:hAnsi="Times New Roman" w:cs="Times New Roman"/>
                <w:b/>
                <w:color w:val="auto"/>
                <w:sz w:val="21"/>
                <w:szCs w:val="21"/>
                <w:lang w:val="en-US"/>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rPr>
              <w:t>9</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污染物排放情况一览表   单位：t/a</w:t>
            </w:r>
          </w:p>
          <w:tbl>
            <w:tblPr>
              <w:tblStyle w:val="32"/>
              <w:tblW w:w="49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9"/>
              <w:gridCol w:w="1481"/>
              <w:gridCol w:w="1451"/>
              <w:gridCol w:w="928"/>
              <w:gridCol w:w="928"/>
              <w:gridCol w:w="1065"/>
              <w:gridCol w:w="1148"/>
              <w:gridCol w:w="1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1592"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560"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原有工程</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p>
              </w:tc>
              <w:tc>
                <w:tcPr>
                  <w:tcW w:w="990" w:type="dxa"/>
                  <w:vAlign w:val="center"/>
                </w:tcPr>
                <w:p>
                  <w:pPr>
                    <w:pStyle w:val="52"/>
                    <w:jc w:val="center"/>
                    <w:rPr>
                      <w:rFonts w:ascii="Times New Roman" w:hAnsi="Times New Roman" w:cs="Times New Roman"/>
                      <w:b/>
                      <w:bCs/>
                      <w:color w:val="auto"/>
                      <w:sz w:val="21"/>
                      <w:szCs w:val="21"/>
                    </w:rPr>
                  </w:pPr>
                  <w:r>
                    <w:rPr>
                      <w:rFonts w:hint="eastAsia"/>
                      <w:b/>
                      <w:bCs/>
                      <w:color w:val="auto"/>
                      <w:sz w:val="21"/>
                    </w:rPr>
                    <w:t>现有工程许可排放量</w:t>
                  </w:r>
                </w:p>
              </w:tc>
              <w:tc>
                <w:tcPr>
                  <w:tcW w:w="990"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本工程</w:t>
                  </w:r>
                  <w:r>
                    <w:rPr>
                      <w:rFonts w:hint="eastAsia" w:cs="Times New Roman"/>
                      <w:b/>
                      <w:bCs/>
                      <w:color w:val="auto"/>
                      <w:sz w:val="21"/>
                      <w:szCs w:val="21"/>
                    </w:rPr>
                    <w:t>排放</w:t>
                  </w:r>
                  <w:r>
                    <w:rPr>
                      <w:rFonts w:hint="eastAsia" w:ascii="Times New Roman" w:hAnsi="Times New Roman" w:cs="Times New Roman"/>
                      <w:b/>
                      <w:bCs/>
                      <w:color w:val="auto"/>
                      <w:sz w:val="21"/>
                      <w:szCs w:val="21"/>
                    </w:rPr>
                    <w:t>量</w:t>
                  </w:r>
                </w:p>
              </w:tc>
              <w:tc>
                <w:tcPr>
                  <w:tcW w:w="1140" w:type="dxa"/>
                  <w:vAlign w:val="center"/>
                </w:tcPr>
                <w:p>
                  <w:pPr>
                    <w:widowControl/>
                    <w:spacing w:line="24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全厂排放量</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以新带老</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削减量</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排放增减量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restart"/>
                  <w:vAlign w:val="center"/>
                </w:tcPr>
                <w:p>
                  <w:pPr>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废气</w:t>
                  </w: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烟尘</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0.0458</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0.0458</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二氧化硫</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0.6605</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1.962</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0.6605</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氮氧化物</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0.0815</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1.472</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0.0815</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748" w:type="dxa"/>
                  <w:vMerge w:val="continue"/>
                  <w:vAlign w:val="center"/>
                </w:tcPr>
                <w:p>
                  <w:pPr>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56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8111</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3593</w:t>
                  </w:r>
                </w:p>
              </w:tc>
              <w:tc>
                <w:tcPr>
                  <w:tcW w:w="114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0.9816</w:t>
                  </w:r>
                </w:p>
              </w:tc>
              <w:tc>
                <w:tcPr>
                  <w:tcW w:w="1230"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0.1890</w:t>
                  </w:r>
                </w:p>
              </w:tc>
              <w:tc>
                <w:tcPr>
                  <w:tcW w:w="1286" w:type="dxa"/>
                  <w:tcMar>
                    <w:top w:w="0" w:type="dxa"/>
                    <w:left w:w="108" w:type="dxa"/>
                    <w:bottom w:w="0" w:type="dxa"/>
                    <w:right w:w="108" w:type="dxa"/>
                  </w:tcMar>
                  <w:vAlign w:val="center"/>
                </w:tcPr>
                <w:p>
                  <w:pPr>
                    <w:widowControl/>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1705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restart"/>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废水</w:t>
                  </w: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COD</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90" w:type="dxa"/>
                  <w:tcMar>
                    <w:top w:w="0" w:type="dxa"/>
                    <w:left w:w="108" w:type="dxa"/>
                    <w:bottom w:w="0" w:type="dxa"/>
                    <w:right w:w="108" w:type="dxa"/>
                  </w:tcMar>
                  <w:vAlign w:val="center"/>
                </w:tcPr>
                <w:p>
                  <w:pPr>
                    <w:widowControl/>
                    <w:spacing w:line="240" w:lineRule="exact"/>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氨氮</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ind w:left="-264" w:leftChars="-120" w:firstLine="252" w:firstLineChars="12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BOD</w:t>
                  </w:r>
                  <w:r>
                    <w:rPr>
                      <w:rFonts w:ascii="Times New Roman" w:hAnsi="Times New Roman" w:cs="Times New Roman"/>
                      <w:color w:val="auto"/>
                      <w:kern w:val="2"/>
                      <w:sz w:val="21"/>
                      <w:szCs w:val="21"/>
                      <w:vertAlign w:val="subscript"/>
                      <w:lang w:val="en-US" w:bidi="ar"/>
                    </w:rPr>
                    <w:t>5</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748" w:type="dxa"/>
                  <w:vMerge w:val="continue"/>
                  <w:vAlign w:val="center"/>
                </w:tcPr>
                <w:p>
                  <w:pPr>
                    <w:widowControl/>
                    <w:spacing w:line="240" w:lineRule="exact"/>
                    <w:jc w:val="center"/>
                    <w:rPr>
                      <w:rFonts w:ascii="Times New Roman" w:hAnsi="Times New Roman" w:cs="Times New Roman"/>
                      <w:color w:val="auto"/>
                      <w:sz w:val="21"/>
                      <w:szCs w:val="21"/>
                    </w:rPr>
                  </w:pPr>
                </w:p>
              </w:tc>
              <w:tc>
                <w:tcPr>
                  <w:tcW w:w="1592"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
                    </w:rPr>
                    <w:t>SS</w:t>
                  </w:r>
                </w:p>
              </w:tc>
              <w:tc>
                <w:tcPr>
                  <w:tcW w:w="156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9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230"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286"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bl>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以新带老工程</w:t>
            </w:r>
          </w:p>
          <w:p>
            <w:pPr>
              <w:autoSpaceDE/>
              <w:autoSpaceDN/>
              <w:adjustRightInd w:val="0"/>
              <w:snapToGrid w:val="0"/>
              <w:spacing w:line="400" w:lineRule="exact"/>
              <w:ind w:left="110" w:leftChars="50" w:firstLine="420" w:firstLineChars="200"/>
              <w:jc w:val="both"/>
              <w:rPr>
                <w:rFonts w:hint="default" w:ascii="Times New Roman" w:hAnsi="Times New Roman" w:cs="Times New Roman"/>
                <w:bCs/>
                <w:color w:val="auto"/>
                <w:sz w:val="21"/>
                <w:szCs w:val="21"/>
                <w:lang w:val="en-US" w:eastAsia="zh-CN"/>
              </w:rPr>
            </w:pPr>
            <w:r>
              <w:rPr>
                <w:rFonts w:ascii="Times New Roman" w:hAnsi="Times New Roman" w:cs="Times New Roman"/>
                <w:bCs/>
                <w:color w:val="auto"/>
                <w:sz w:val="21"/>
                <w:szCs w:val="21"/>
                <w:lang w:val="en-US"/>
              </w:rPr>
              <w:t>本</w:t>
            </w:r>
            <w:r>
              <w:rPr>
                <w:rFonts w:hint="eastAsia" w:ascii="Times New Roman" w:hAnsi="Times New Roman" w:cs="Times New Roman"/>
                <w:bCs/>
                <w:color w:val="auto"/>
                <w:sz w:val="21"/>
                <w:szCs w:val="21"/>
                <w:lang w:val="en-US" w:eastAsia="zh-CN"/>
              </w:rPr>
              <w:t>扩建工程建成后，完善排污手续相关执行情况，规范企业管理规章制度，整改现场环境，加强设备密闭性，可以有效减少无组织粉尘产生。</w:t>
            </w:r>
          </w:p>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现有工程主要环境问题及整改方案</w:t>
            </w:r>
          </w:p>
          <w:p>
            <w:pPr>
              <w:keepNext w:val="0"/>
              <w:keepLines w:val="0"/>
              <w:pageBreakBefore w:val="0"/>
              <w:widowControl w:val="0"/>
              <w:kinsoku/>
              <w:wordWrap/>
              <w:overflowPunct/>
              <w:topLinePunct w:val="0"/>
              <w:autoSpaceDE/>
              <w:autoSpaceDN/>
              <w:bidi w:val="0"/>
              <w:adjustRightInd w:val="0"/>
              <w:snapToGrid w:val="0"/>
              <w:spacing w:line="400" w:lineRule="exact"/>
              <w:ind w:left="110" w:leftChars="50" w:firstLine="420" w:firstLineChars="200"/>
              <w:jc w:val="both"/>
              <w:textAlignment w:val="auto"/>
              <w:rPr>
                <w:rFonts w:hint="eastAsia"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（1）存在问题：现场环境脏乱；</w:t>
            </w:r>
          </w:p>
          <w:p>
            <w:pPr>
              <w:pStyle w:val="41"/>
              <w:keepNext w:val="0"/>
              <w:keepLines w:val="0"/>
              <w:pageBreakBefore w:val="0"/>
              <w:widowControl w:val="0"/>
              <w:kinsoku/>
              <w:wordWrap/>
              <w:overflowPunct/>
              <w:topLinePunct w:val="0"/>
              <w:bidi w:val="0"/>
              <w:adjustRightInd w:val="0"/>
              <w:snapToGrid w:val="0"/>
              <w:spacing w:line="400" w:lineRule="exact"/>
              <w:ind w:left="110" w:leftChars="50" w:firstLine="420"/>
              <w:jc w:val="both"/>
              <w:textAlignment w:val="auto"/>
              <w:rPr>
                <w:rFonts w:hint="eastAsia"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整改措施：对现场进行整改，保持环境整洁。</w:t>
            </w:r>
          </w:p>
          <w:p>
            <w:pPr>
              <w:pStyle w:val="4"/>
              <w:autoSpaceDE/>
              <w:autoSpaceDN/>
              <w:spacing w:beforeAutospacing="0" w:afterAutospacing="0" w:line="400" w:lineRule="exact"/>
              <w:ind w:left="110" w:leftChars="50" w:firstLine="420" w:firstLineChars="200"/>
              <w:rPr>
                <w:rFonts w:hint="eastAsia" w:ascii="Times New Roman" w:hAnsi="Times New Roman" w:eastAsia="宋体"/>
                <w:b w:val="0"/>
                <w:bCs w:val="0"/>
                <w:color w:val="auto"/>
                <w:sz w:val="21"/>
                <w:lang w:eastAsia="zh-CN"/>
              </w:rPr>
            </w:pPr>
            <w:r>
              <w:rPr>
                <w:rFonts w:hint="eastAsia" w:ascii="Times New Roman" w:hAnsi="Times New Roman" w:cs="Times New Roman"/>
                <w:b w:val="0"/>
                <w:bCs w:val="0"/>
                <w:color w:val="auto"/>
                <w:sz w:val="21"/>
                <w:szCs w:val="21"/>
              </w:rPr>
              <w:t>（2）存在问题：</w:t>
            </w:r>
            <w:r>
              <w:rPr>
                <w:rFonts w:hint="eastAsia" w:ascii="Times New Roman" w:hAnsi="Times New Roman" w:eastAsia="宋体"/>
                <w:b w:val="0"/>
                <w:bCs w:val="0"/>
                <w:color w:val="auto"/>
                <w:sz w:val="21"/>
                <w:lang w:val="en-US" w:eastAsia="zh-CN"/>
              </w:rPr>
              <w:t>原有环评未识别废机油、废油桶等危险废物，未建设危废间，</w:t>
            </w:r>
            <w:r>
              <w:rPr>
                <w:rFonts w:hint="eastAsia" w:ascii="Times New Roman" w:hAnsi="Times New Roman" w:eastAsia="宋体"/>
                <w:b w:val="0"/>
                <w:bCs w:val="0"/>
                <w:color w:val="auto"/>
                <w:sz w:val="21"/>
              </w:rPr>
              <w:t>未完善环境管理台账信息</w:t>
            </w:r>
            <w:r>
              <w:rPr>
                <w:rFonts w:hint="eastAsia" w:ascii="Times New Roman" w:hAnsi="Times New Roman" w:eastAsia="宋体"/>
                <w:b w:val="0"/>
                <w:bCs w:val="0"/>
                <w:color w:val="auto"/>
                <w:sz w:val="21"/>
                <w:lang w:eastAsia="zh-CN"/>
              </w:rPr>
              <w:t>；</w:t>
            </w:r>
          </w:p>
          <w:p>
            <w:pPr>
              <w:pStyle w:val="41"/>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jc w:val="both"/>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整改措施：识别原有项目废机油、废油桶，与本项目共计产生0.05t/a废油桶、0.2t/a废机油，在新建危废间中存放，完善台账、标识等相关内容。</w:t>
            </w:r>
          </w:p>
          <w:p>
            <w:pPr>
              <w:pStyle w:val="4"/>
              <w:autoSpaceDE/>
              <w:autoSpaceDN/>
              <w:spacing w:beforeAutospacing="0" w:afterAutospacing="0" w:line="400" w:lineRule="exact"/>
              <w:ind w:left="110" w:leftChars="50" w:firstLine="420" w:firstLineChars="200"/>
              <w:rPr>
                <w:rFonts w:hint="default" w:ascii="Times New Roman" w:hAnsi="Times New Roman"/>
                <w:b w:val="0"/>
                <w:bCs w:val="0"/>
                <w:color w:val="auto"/>
                <w:sz w:val="21"/>
              </w:rPr>
            </w:pPr>
            <w:r>
              <w:rPr>
                <w:rFonts w:hint="default" w:ascii="Times New Roman" w:hAnsi="Times New Roman" w:eastAsia="宋体"/>
                <w:b w:val="0"/>
                <w:bCs w:val="0"/>
                <w:color w:val="auto"/>
                <w:sz w:val="21"/>
              </w:rPr>
              <w:t>建立健全环境保护</w:t>
            </w:r>
            <w:r>
              <w:rPr>
                <w:rFonts w:hint="default" w:ascii="Times New Roman" w:hAnsi="Times New Roman"/>
                <w:b w:val="0"/>
                <w:bCs w:val="0"/>
                <w:color w:val="auto"/>
                <w:sz w:val="21"/>
              </w:rPr>
              <w:t>管理规章制度。加强生产设备运行维护，确保环保设施稳定运行和污染物达标稳定排放。</w:t>
            </w:r>
          </w:p>
          <w:p>
            <w:pPr>
              <w:pStyle w:val="41"/>
              <w:spacing w:line="400" w:lineRule="exact"/>
              <w:ind w:left="110" w:leftChars="50" w:firstLine="420"/>
              <w:jc w:val="both"/>
              <w:rPr>
                <w:rFonts w:ascii="Times New Roman" w:hAnsi="Times New Roman" w:cs="Times New Roman"/>
                <w:color w:val="auto"/>
                <w:sz w:val="21"/>
              </w:rPr>
            </w:pPr>
          </w:p>
          <w:p>
            <w:pPr>
              <w:pStyle w:val="41"/>
              <w:ind w:firstLine="420"/>
              <w:jc w:val="both"/>
              <w:rPr>
                <w:rFonts w:ascii="Times New Roman" w:hAnsi="Times New Roman" w:cs="Times New Roman"/>
                <w:color w:val="auto"/>
                <w:sz w:val="21"/>
              </w:rPr>
            </w:pPr>
          </w:p>
        </w:tc>
      </w:tr>
    </w:tbl>
    <w:p>
      <w:pPr>
        <w:rPr>
          <w:rFonts w:ascii="Times New Roman" w:hAnsi="Times New Roman" w:cs="Times New Roman"/>
          <w:color w:val="auto"/>
          <w:sz w:val="21"/>
        </w:rPr>
        <w:sectPr>
          <w:pgSz w:w="11910" w:h="16840"/>
          <w:pgMar w:top="1580" w:right="1320" w:bottom="1565" w:left="1340" w:header="0" w:footer="1043" w:gutter="0"/>
          <w:cols w:space="720" w:num="1"/>
        </w:sectPr>
      </w:pPr>
    </w:p>
    <w:p>
      <w:pPr>
        <w:pStyle w:val="2"/>
        <w:ind w:left="0" w:right="0"/>
        <w:rPr>
          <w:rFonts w:ascii="黑体" w:hAnsi="黑体" w:eastAsia="黑体" w:cs="黑体"/>
          <w:color w:val="auto"/>
          <w:sz w:val="30"/>
          <w:szCs w:val="30"/>
        </w:rPr>
      </w:pPr>
      <w:r>
        <w:rPr>
          <w:rFonts w:ascii="黑体" w:hAnsi="黑体" w:eastAsia="黑体" w:cs="黑体"/>
          <w:color w:val="auto"/>
          <w:sz w:val="30"/>
          <w:szCs w:val="30"/>
        </w:rPr>
        <w:t>三、区域环境质量现状、环境保护目标及评价标准</w:t>
      </w:r>
    </w:p>
    <w:tbl>
      <w:tblPr>
        <w:tblStyle w:val="32"/>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90"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质</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现</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52"/>
              <w:spacing w:line="400" w:lineRule="exact"/>
              <w:ind w:left="22" w:leftChars="1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1、大气环境</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（1）常规污染物</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eastAsia="宋体" w:cs="Times New Roman"/>
                <w:color w:val="auto"/>
                <w:sz w:val="21"/>
                <w:szCs w:val="21"/>
                <w:lang w:val="en-US" w:bidi="ar-SA"/>
              </w:rPr>
              <w:t>《建设项目环境影响报告表编制指南（污染环境类）》（试行）中的</w:t>
            </w:r>
            <w:r>
              <w:rPr>
                <w:rFonts w:hint="default" w:ascii="Times New Roman" w:hAnsi="Times New Roman" w:eastAsia="宋体" w:cs="Times New Roman"/>
                <w:color w:val="auto"/>
                <w:sz w:val="21"/>
                <w:szCs w:val="21"/>
                <w:lang w:val="en-US" w:bidi="ar-SA"/>
              </w:rPr>
              <w:t>相关规定，本</w:t>
            </w:r>
            <w:r>
              <w:rPr>
                <w:rFonts w:hint="eastAsia" w:ascii="Times New Roman" w:hAnsi="Times New Roman" w:eastAsia="宋体" w:cs="Times New Roman"/>
                <w:color w:val="auto"/>
                <w:sz w:val="21"/>
                <w:szCs w:val="21"/>
                <w:lang w:val="en-US" w:bidi="ar-SA"/>
              </w:rPr>
              <w:t>次</w:t>
            </w:r>
            <w:r>
              <w:rPr>
                <w:rFonts w:hint="default" w:ascii="Times New Roman" w:hAnsi="Times New Roman" w:eastAsia="宋体" w:cs="Times New Roman"/>
                <w:color w:val="auto"/>
                <w:sz w:val="21"/>
                <w:szCs w:val="21"/>
                <w:lang w:val="en-US" w:bidi="ar-SA"/>
              </w:rPr>
              <w:t>评价</w:t>
            </w:r>
            <w:r>
              <w:rPr>
                <w:rFonts w:hint="eastAsia" w:ascii="Times New Roman" w:hAnsi="Times New Roman" w:eastAsia="宋体" w:cs="Times New Roman"/>
                <w:color w:val="auto"/>
                <w:sz w:val="21"/>
                <w:szCs w:val="21"/>
                <w:lang w:val="en-US" w:bidi="ar-SA"/>
              </w:rPr>
              <w:t>大气常规污染物环境质量现状引用</w:t>
            </w:r>
            <w:r>
              <w:rPr>
                <w:rFonts w:hint="default" w:ascii="Times New Roman" w:hAnsi="Times New Roman" w:eastAsia="宋体" w:cs="Times New Roman"/>
                <w:color w:val="auto"/>
                <w:sz w:val="21"/>
                <w:szCs w:val="21"/>
                <w:lang w:val="en-US" w:bidi="ar-SA"/>
              </w:rPr>
              <w:t>邯郸市生态环境局</w:t>
            </w:r>
            <w:r>
              <w:rPr>
                <w:rFonts w:hint="eastAsia" w:ascii="Times New Roman" w:hAnsi="Times New Roman" w:eastAsia="宋体" w:cs="Times New Roman"/>
                <w:color w:val="auto"/>
                <w:sz w:val="21"/>
                <w:szCs w:val="21"/>
                <w:lang w:val="en-US" w:bidi="ar-SA"/>
              </w:rPr>
              <w:t>于202</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年9月</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日公布的《202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年度邯郸市环境质量公报》中相关数据作为基本污染物环境空气质量现状数据</w:t>
            </w:r>
            <w:r>
              <w:rPr>
                <w:rFonts w:hint="default" w:ascii="Times New Roman" w:hAnsi="Times New Roman" w:eastAsia="宋体" w:cs="Times New Roman"/>
                <w:color w:val="auto"/>
                <w:sz w:val="21"/>
                <w:szCs w:val="21"/>
                <w:lang w:val="en-US" w:bidi="ar-SA"/>
              </w:rPr>
              <w:t>，并对各</w:t>
            </w:r>
            <w:r>
              <w:rPr>
                <w:rFonts w:hint="eastAsia" w:ascii="Times New Roman" w:hAnsi="Times New Roman" w:eastAsia="宋体" w:cs="Times New Roman"/>
                <w:color w:val="auto"/>
                <w:sz w:val="21"/>
                <w:szCs w:val="21"/>
                <w:lang w:val="en-US" w:bidi="ar-SA"/>
              </w:rPr>
              <w:t>常规</w:t>
            </w:r>
            <w:r>
              <w:rPr>
                <w:rFonts w:hint="default" w:ascii="Times New Roman" w:hAnsi="Times New Roman" w:eastAsia="宋体" w:cs="Times New Roman"/>
                <w:color w:val="auto"/>
                <w:sz w:val="21"/>
                <w:szCs w:val="21"/>
                <w:lang w:val="en-US" w:bidi="ar-SA"/>
              </w:rPr>
              <w:t>污染物的年评价指标进行环境质量现状评价。</w:t>
            </w:r>
            <w:r>
              <w:rPr>
                <w:rFonts w:hint="eastAsia" w:ascii="Times New Roman" w:hAnsi="Times New Roman" w:eastAsia="宋体" w:cs="Times New Roman"/>
                <w:color w:val="auto"/>
                <w:sz w:val="21"/>
                <w:szCs w:val="21"/>
                <w:lang w:val="en-US" w:bidi="ar-SA"/>
              </w:rPr>
              <w:t>引用数据为3年内国家、地方生态环境主管部门公开发布的有效质量数据，引用可行。</w:t>
            </w:r>
          </w:p>
          <w:p>
            <w:pPr>
              <w:keepNext w:val="0"/>
              <w:keepLines w:val="0"/>
              <w:suppressLineNumbers w:val="0"/>
              <w:autoSpaceDE/>
              <w:autoSpaceDN/>
              <w:spacing w:beforeAutospacing="0" w:afterAutospacing="0" w:line="400" w:lineRule="exact"/>
              <w:ind w:left="110" w:leftChars="50" w:firstLine="420" w:firstLineChars="200"/>
              <w:rPr>
                <w:rFonts w:hint="default" w:ascii="Times New Roman" w:hAnsi="Times New Roman" w:eastAsia="宋体" w:cs="Times New Roman"/>
                <w:color w:val="auto"/>
                <w:sz w:val="21"/>
                <w:szCs w:val="21"/>
                <w:lang w:val="en-US" w:bidi="ar-SA"/>
              </w:rPr>
            </w:pPr>
            <w:r>
              <w:rPr>
                <w:rFonts w:hint="eastAsia" w:ascii="Times New Roman" w:hAnsi="Times New Roman" w:eastAsia="宋体" w:cs="Times New Roman"/>
                <w:color w:val="auto"/>
                <w:sz w:val="21"/>
                <w:szCs w:val="21"/>
                <w:lang w:val="en-US" w:bidi="ar-SA"/>
              </w:rPr>
              <w:t>202</w:t>
            </w:r>
            <w:r>
              <w:rPr>
                <w:rFonts w:hint="eastAsia" w:ascii="Times New Roman" w:hAnsi="Times New Roman" w:cs="Times New Roman"/>
                <w:color w:val="auto"/>
                <w:sz w:val="21"/>
                <w:szCs w:val="21"/>
                <w:lang w:val="en-US" w:eastAsia="zh-CN" w:bidi="ar-SA"/>
              </w:rPr>
              <w:t>3</w:t>
            </w:r>
            <w:r>
              <w:rPr>
                <w:rFonts w:hint="eastAsia" w:ascii="Times New Roman" w:hAnsi="Times New Roman" w:eastAsia="宋体" w:cs="Times New Roman"/>
                <w:color w:val="auto"/>
                <w:sz w:val="21"/>
                <w:szCs w:val="21"/>
                <w:lang w:val="en-US" w:bidi="ar-SA"/>
              </w:rPr>
              <w:t>年均浓度值情况：二氧化硫（SO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9</w:t>
            </w:r>
            <w:r>
              <w:rPr>
                <w:rFonts w:hint="eastAsia" w:ascii="Times New Roman" w:hAnsi="Times New Roman" w:eastAsia="宋体" w:cs="Times New Roman"/>
                <w:color w:val="auto"/>
                <w:sz w:val="21"/>
                <w:szCs w:val="21"/>
                <w:lang w:val="en-US" w:bidi="ar-SA"/>
              </w:rPr>
              <w:t>微克/立方米、二氧化氮（NO</w:t>
            </w:r>
            <w:r>
              <w:rPr>
                <w:rFonts w:hint="eastAsia" w:ascii="Times New Roman" w:hAnsi="Times New Roman" w:eastAsia="宋体" w:cs="Times New Roman"/>
                <w:color w:val="auto"/>
                <w:sz w:val="21"/>
                <w:szCs w:val="21"/>
                <w:vertAlign w:val="subscript"/>
                <w:lang w:val="en-US" w:bidi="ar-SA"/>
              </w:rPr>
              <w:t>2</w:t>
            </w:r>
            <w:r>
              <w:rPr>
                <w:rFonts w:hint="eastAsia" w:ascii="Times New Roman" w:hAnsi="Times New Roman" w:eastAsia="宋体" w:cs="Times New Roman"/>
                <w:color w:val="auto"/>
                <w:sz w:val="21"/>
                <w:szCs w:val="21"/>
                <w:lang w:val="en-US" w:bidi="ar-SA"/>
              </w:rPr>
              <w:t>）年平均浓度2</w:t>
            </w:r>
            <w:r>
              <w:rPr>
                <w:rFonts w:hint="eastAsia" w:ascii="Times New Roman" w:hAnsi="Times New Roman" w:cs="Times New Roman"/>
                <w:color w:val="auto"/>
                <w:sz w:val="21"/>
                <w:szCs w:val="21"/>
                <w:lang w:val="en-US" w:eastAsia="zh-CN" w:bidi="ar-SA"/>
              </w:rPr>
              <w:t>7</w:t>
            </w:r>
            <w:r>
              <w:rPr>
                <w:rFonts w:hint="eastAsia" w:ascii="Times New Roman" w:hAnsi="Times New Roman" w:eastAsia="宋体" w:cs="Times New Roman"/>
                <w:color w:val="auto"/>
                <w:sz w:val="21"/>
                <w:szCs w:val="21"/>
                <w:lang w:val="en-US" w:bidi="ar-SA"/>
              </w:rPr>
              <w:t>微克/立方米、一氧化碳（CO）24小时平均浓度第95百分位数1.</w:t>
            </w:r>
            <w:r>
              <w:rPr>
                <w:rFonts w:hint="eastAsia" w:ascii="Times New Roman" w:hAnsi="Times New Roman" w:cs="Times New Roman"/>
                <w:color w:val="auto"/>
                <w:sz w:val="21"/>
                <w:szCs w:val="21"/>
                <w:lang w:val="en-US" w:eastAsia="zh-CN" w:bidi="ar-SA"/>
              </w:rPr>
              <w:t>4</w:t>
            </w:r>
            <w:r>
              <w:rPr>
                <w:rFonts w:hint="eastAsia" w:ascii="Times New Roman" w:hAnsi="Times New Roman" w:eastAsia="宋体" w:cs="Times New Roman"/>
                <w:color w:val="auto"/>
                <w:sz w:val="21"/>
                <w:szCs w:val="21"/>
                <w:lang w:val="en-US" w:bidi="ar-SA"/>
              </w:rPr>
              <w:t>毫克/立方米，达到国家二级标准。臭氧（O</w:t>
            </w:r>
            <w:r>
              <w:rPr>
                <w:rFonts w:hint="eastAsia" w:ascii="Times New Roman" w:hAnsi="Times New Roman" w:eastAsia="宋体" w:cs="Times New Roman"/>
                <w:color w:val="auto"/>
                <w:sz w:val="21"/>
                <w:szCs w:val="21"/>
                <w:vertAlign w:val="subscript"/>
                <w:lang w:val="en-US" w:bidi="ar-SA"/>
              </w:rPr>
              <w:t>3</w:t>
            </w:r>
            <w:r>
              <w:rPr>
                <w:rFonts w:hint="eastAsia" w:ascii="Times New Roman" w:hAnsi="Times New Roman" w:eastAsia="宋体" w:cs="Times New Roman"/>
                <w:color w:val="auto"/>
                <w:sz w:val="21"/>
                <w:szCs w:val="21"/>
                <w:lang w:val="en-US" w:bidi="ar-SA"/>
              </w:rPr>
              <w:t>）日最大8小时平均浓度第90百分位数17</w:t>
            </w:r>
            <w:r>
              <w:rPr>
                <w:rFonts w:hint="eastAsia" w:ascii="Times New Roman" w:hAnsi="Times New Roman" w:cs="Times New Roman"/>
                <w:color w:val="auto"/>
                <w:sz w:val="21"/>
                <w:szCs w:val="21"/>
                <w:lang w:val="en-US" w:eastAsia="zh-CN" w:bidi="ar-SA"/>
              </w:rPr>
              <w:t>6</w:t>
            </w:r>
            <w:r>
              <w:rPr>
                <w:rFonts w:hint="eastAsia" w:ascii="Times New Roman" w:hAnsi="Times New Roman" w:eastAsia="宋体" w:cs="Times New Roman"/>
                <w:color w:val="auto"/>
                <w:sz w:val="21"/>
                <w:szCs w:val="21"/>
                <w:lang w:val="en-US" w:bidi="ar-SA"/>
              </w:rPr>
              <w:t>微克/立方米、可吸入颗粒物（PM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76</w:t>
            </w:r>
            <w:r>
              <w:rPr>
                <w:rFonts w:hint="eastAsia" w:ascii="Times New Roman" w:hAnsi="Times New Roman" w:eastAsia="宋体" w:cs="Times New Roman"/>
                <w:color w:val="auto"/>
                <w:sz w:val="21"/>
                <w:szCs w:val="21"/>
                <w:lang w:val="en-US" w:bidi="ar-SA"/>
              </w:rPr>
              <w:t>微克/立方米、细颗粒物（PM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）年平均浓度</w:t>
            </w:r>
            <w:r>
              <w:rPr>
                <w:rFonts w:hint="eastAsia" w:ascii="Times New Roman" w:hAnsi="Times New Roman" w:cs="Times New Roman"/>
                <w:color w:val="auto"/>
                <w:sz w:val="21"/>
                <w:szCs w:val="21"/>
                <w:lang w:val="en-US" w:eastAsia="zh-CN" w:bidi="ar-SA"/>
              </w:rPr>
              <w:t>47</w:t>
            </w:r>
            <w:r>
              <w:rPr>
                <w:rFonts w:hint="eastAsia" w:ascii="Times New Roman" w:hAnsi="Times New Roman" w:eastAsia="宋体" w:cs="Times New Roman"/>
                <w:color w:val="auto"/>
                <w:sz w:val="21"/>
                <w:szCs w:val="21"/>
                <w:lang w:val="en-US" w:bidi="ar-SA"/>
              </w:rPr>
              <w:t>微克/立方米，分别超标0.11倍、0.</w:t>
            </w:r>
            <w:r>
              <w:rPr>
                <w:rFonts w:hint="eastAsia" w:ascii="Times New Roman" w:hAnsi="Times New Roman" w:cs="Times New Roman"/>
                <w:color w:val="auto"/>
                <w:sz w:val="21"/>
                <w:szCs w:val="21"/>
                <w:lang w:val="en-US" w:eastAsia="zh-CN" w:bidi="ar-SA"/>
              </w:rPr>
              <w:t>09</w:t>
            </w:r>
            <w:r>
              <w:rPr>
                <w:rFonts w:hint="eastAsia" w:ascii="Times New Roman" w:hAnsi="Times New Roman" w:eastAsia="宋体" w:cs="Times New Roman"/>
                <w:color w:val="auto"/>
                <w:sz w:val="21"/>
                <w:szCs w:val="21"/>
                <w:lang w:val="en-US" w:bidi="ar-SA"/>
              </w:rPr>
              <w:t>倍、0.</w:t>
            </w:r>
            <w:r>
              <w:rPr>
                <w:rFonts w:hint="eastAsia" w:ascii="Times New Roman" w:hAnsi="Times New Roman" w:cs="Times New Roman"/>
                <w:color w:val="auto"/>
                <w:sz w:val="21"/>
                <w:szCs w:val="21"/>
                <w:lang w:val="en-US" w:eastAsia="zh-CN" w:bidi="ar-SA"/>
              </w:rPr>
              <w:t>34</w:t>
            </w:r>
            <w:r>
              <w:rPr>
                <w:rFonts w:hint="eastAsia" w:ascii="Times New Roman" w:hAnsi="Times New Roman" w:eastAsia="宋体" w:cs="Times New Roman"/>
                <w:color w:val="auto"/>
                <w:sz w:val="21"/>
                <w:szCs w:val="21"/>
                <w:lang w:val="en-US" w:bidi="ar-SA"/>
              </w:rPr>
              <w:t>倍。PM</w:t>
            </w:r>
            <w:r>
              <w:rPr>
                <w:rFonts w:hint="eastAsia" w:ascii="Times New Roman" w:hAnsi="Times New Roman" w:eastAsia="宋体" w:cs="Times New Roman"/>
                <w:color w:val="auto"/>
                <w:sz w:val="21"/>
                <w:szCs w:val="21"/>
                <w:vertAlign w:val="subscript"/>
                <w:lang w:val="en-US" w:bidi="ar-SA"/>
              </w:rPr>
              <w:t>2.5</w:t>
            </w:r>
            <w:r>
              <w:rPr>
                <w:rFonts w:hint="eastAsia" w:ascii="Times New Roman" w:hAnsi="Times New Roman" w:eastAsia="宋体" w:cs="Times New Roman"/>
                <w:color w:val="auto"/>
                <w:sz w:val="21"/>
                <w:szCs w:val="21"/>
                <w:lang w:val="en-US" w:bidi="ar-SA"/>
              </w:rPr>
              <w:t>和PM</w:t>
            </w:r>
            <w:r>
              <w:rPr>
                <w:rFonts w:hint="eastAsia" w:ascii="Times New Roman" w:hAnsi="Times New Roman" w:eastAsia="宋体" w:cs="Times New Roman"/>
                <w:color w:val="auto"/>
                <w:sz w:val="21"/>
                <w:szCs w:val="21"/>
                <w:vertAlign w:val="subscript"/>
                <w:lang w:val="en-US" w:bidi="ar-SA"/>
              </w:rPr>
              <w:t>10</w:t>
            </w:r>
            <w:r>
              <w:rPr>
                <w:rFonts w:hint="eastAsia" w:ascii="Times New Roman" w:hAnsi="Times New Roman" w:eastAsia="宋体" w:cs="Times New Roman"/>
                <w:color w:val="auto"/>
                <w:sz w:val="21"/>
                <w:szCs w:val="21"/>
                <w:lang w:val="en-US" w:bidi="ar-SA"/>
              </w:rPr>
              <w:t>是主要污染物</w:t>
            </w:r>
            <w:r>
              <w:rPr>
                <w:rFonts w:hint="default" w:ascii="Times New Roman" w:hAnsi="Times New Roman" w:eastAsia="宋体" w:cs="Times New Roman"/>
                <w:color w:val="auto"/>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color w:val="auto"/>
                <w:sz w:val="21"/>
                <w:szCs w:val="21"/>
                <w:lang w:val="en-US"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表3.1  区域环境空气质量现状评价表</w:t>
            </w:r>
          </w:p>
          <w:tbl>
            <w:tblPr>
              <w:tblStyle w:val="32"/>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859"/>
              <w:gridCol w:w="87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污染物</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现状浓度</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859"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b/>
                      <w:bCs/>
                      <w:color w:val="auto"/>
                      <w:sz w:val="21"/>
                      <w:szCs w:val="20"/>
                    </w:rPr>
                  </w:pPr>
                  <w:r>
                    <w:rPr>
                      <w:rFonts w:hint="default" w:ascii="Times New Roman" w:hAnsi="Times New Roman" w:eastAsia="宋体" w:cs="Times New Roman"/>
                      <w:b/>
                      <w:bCs/>
                      <w:color w:val="auto"/>
                      <w:sz w:val="21"/>
                      <w:szCs w:val="20"/>
                    </w:rPr>
                    <w:t>标准值</w:t>
                  </w:r>
                </w:p>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μg/m</w:t>
                  </w:r>
                  <w:r>
                    <w:rPr>
                      <w:rFonts w:hint="default" w:ascii="Times New Roman" w:hAnsi="Times New Roman" w:eastAsia="宋体" w:cs="Times New Roman"/>
                      <w:b/>
                      <w:bCs/>
                      <w:color w:val="auto"/>
                      <w:sz w:val="21"/>
                      <w:szCs w:val="20"/>
                      <w:vertAlign w:val="superscript"/>
                    </w:rPr>
                    <w:t>3</w:t>
                  </w:r>
                </w:p>
              </w:tc>
              <w:tc>
                <w:tcPr>
                  <w:tcW w:w="873" w:type="dxa"/>
                  <w:noWrap w:val="0"/>
                  <w:vAlign w:val="center"/>
                </w:tcPr>
                <w:p>
                  <w:pPr>
                    <w:keepNext w:val="0"/>
                    <w:keepLines w:val="0"/>
                    <w:widowControl/>
                    <w:suppressLineNumbers w:val="0"/>
                    <w:adjustRightInd w:val="0"/>
                    <w:snapToGrid w:val="0"/>
                    <w:spacing w:beforeAutospacing="0" w:afterAutospacing="0"/>
                    <w:ind w:left="-110" w:leftChars="-50" w:right="-110" w:rightChars="-5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1"/>
                    </w:rPr>
                    <w:t>占标率%</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sz w:val="21"/>
                      <w:szCs w:val="2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9</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27</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40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67.5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80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76</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108.6</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150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47</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35</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134.3</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75</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CO</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1400</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176</w:t>
                  </w:r>
                </w:p>
              </w:tc>
              <w:tc>
                <w:tcPr>
                  <w:tcW w:w="859"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w:t>
                  </w:r>
                </w:p>
              </w:tc>
              <w:tc>
                <w:tcPr>
                  <w:tcW w:w="873"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w:t>
                  </w:r>
                </w:p>
              </w:tc>
              <w:tc>
                <w:tcPr>
                  <w:tcW w:w="847" w:type="dxa"/>
                  <w:noWrap w:val="0"/>
                  <w:vAlign w:val="center"/>
                </w:tcPr>
                <w:p>
                  <w:pPr>
                    <w:keepNext w:val="0"/>
                    <w:keepLines w:val="0"/>
                    <w:widowControl/>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不达标</w:t>
                  </w:r>
                </w:p>
              </w:tc>
            </w:tr>
          </w:tbl>
          <w:p>
            <w:pPr>
              <w:keepNext w:val="0"/>
              <w:keepLines w:val="0"/>
              <w:suppressLineNumbers w:val="0"/>
              <w:autoSpaceDE/>
              <w:autoSpaceDN/>
              <w:spacing w:beforeAutospacing="0" w:afterAutospacing="0" w:line="400" w:lineRule="exact"/>
              <w:ind w:left="110" w:leftChars="50" w:firstLine="420" w:firstLineChars="200"/>
              <w:jc w:val="both"/>
              <w:rPr>
                <w:rFonts w:ascii="Times New Roman" w:hAnsi="Times New Roman" w:cs="Times New Roman"/>
                <w:color w:val="auto"/>
                <w:sz w:val="21"/>
                <w:szCs w:val="21"/>
                <w:lang w:bidi="ar-SA"/>
              </w:rPr>
            </w:pPr>
            <w:r>
              <w:rPr>
                <w:rFonts w:hint="default" w:ascii="Times New Roman" w:hAnsi="Times New Roman" w:eastAsia="宋体" w:cs="Times New Roman"/>
                <w:b w:val="0"/>
                <w:color w:val="auto"/>
                <w:kern w:val="0"/>
                <w:sz w:val="21"/>
                <w:szCs w:val="21"/>
                <w:lang w:val="en-US" w:eastAsia="zh-CN" w:bidi="ar-SA"/>
              </w:rPr>
              <w:t>上述</w:t>
            </w:r>
            <w:r>
              <w:rPr>
                <w:rFonts w:hint="default" w:ascii="Times New Roman" w:hAnsi="Times New Roman" w:eastAsia="宋体" w:cs="Times New Roman"/>
                <w:color w:val="auto"/>
                <w:sz w:val="21"/>
                <w:szCs w:val="21"/>
                <w:lang w:bidi="ar-SA"/>
              </w:rPr>
              <w:t>六项污染物全部达标即为城市环境空气质量达标。根据邯郸市生态环境局公布的生态环境状况公报结果，本区域为环境空气质量不达标区，不达标因子为PM</w:t>
            </w:r>
            <w:r>
              <w:rPr>
                <w:rFonts w:hint="default" w:ascii="Times New Roman" w:hAnsi="Times New Roman" w:eastAsia="宋体" w:cs="Times New Roman"/>
                <w:color w:val="auto"/>
                <w:sz w:val="21"/>
                <w:szCs w:val="21"/>
                <w:vertAlign w:val="subscript"/>
                <w:lang w:bidi="ar-SA"/>
              </w:rPr>
              <w:t>10</w:t>
            </w:r>
            <w:r>
              <w:rPr>
                <w:rFonts w:hint="default" w:ascii="Times New Roman" w:hAnsi="Times New Roman" w:eastAsia="宋体" w:cs="Times New Roman"/>
                <w:color w:val="auto"/>
                <w:sz w:val="21"/>
                <w:szCs w:val="21"/>
                <w:lang w:bidi="ar-SA"/>
              </w:rPr>
              <w:t>、PM</w:t>
            </w:r>
            <w:r>
              <w:rPr>
                <w:rFonts w:hint="default" w:ascii="Times New Roman" w:hAnsi="Times New Roman" w:eastAsia="宋体" w:cs="Times New Roman"/>
                <w:color w:val="auto"/>
                <w:sz w:val="21"/>
                <w:szCs w:val="21"/>
                <w:vertAlign w:val="subscript"/>
                <w:lang w:bidi="ar-SA"/>
              </w:rPr>
              <w:t>2.5</w:t>
            </w:r>
            <w:r>
              <w:rPr>
                <w:rFonts w:hint="default" w:ascii="Times New Roman" w:hAnsi="Times New Roman" w:eastAsia="宋体" w:cs="Times New Roman"/>
                <w:color w:val="auto"/>
                <w:sz w:val="21"/>
                <w:szCs w:val="21"/>
                <w:lang w:bidi="ar-SA"/>
              </w:rPr>
              <w:t>、O</w:t>
            </w:r>
            <w:r>
              <w:rPr>
                <w:rFonts w:hint="default" w:ascii="Times New Roman" w:hAnsi="Times New Roman" w:eastAsia="宋体" w:cs="Times New Roman"/>
                <w:color w:val="auto"/>
                <w:sz w:val="21"/>
                <w:szCs w:val="21"/>
                <w:vertAlign w:val="subscript"/>
                <w:lang w:bidi="ar-SA"/>
              </w:rPr>
              <w:t>3</w:t>
            </w:r>
            <w:r>
              <w:rPr>
                <w:rFonts w:hint="default" w:ascii="Times New Roman" w:hAnsi="Times New Roman" w:eastAsia="宋体" w:cs="Times New Roman"/>
                <w:color w:val="auto"/>
                <w:sz w:val="21"/>
                <w:szCs w:val="21"/>
                <w:lang w:bidi="ar-SA"/>
              </w:rPr>
              <w:t>。</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（2）特征污染物</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根据《建设项目环境影响报告表编制指南（污染环境类）》（试行）中的相关规定，本次评价大气特征</w:t>
            </w:r>
            <w:r>
              <w:rPr>
                <w:rFonts w:hint="eastAsia" w:ascii="Times New Roman" w:hAnsi="Times New Roman" w:cs="Times New Roman"/>
                <w:color w:val="auto"/>
                <w:sz w:val="21"/>
                <w:szCs w:val="21"/>
                <w:lang w:val="en-US" w:bidi="ar-SA"/>
              </w:rPr>
              <w:t>污染物</w:t>
            </w:r>
            <w:r>
              <w:rPr>
                <w:rFonts w:ascii="Times New Roman" w:hAnsi="Times New Roman" w:cs="Times New Roman"/>
                <w:color w:val="auto"/>
                <w:sz w:val="21"/>
                <w:szCs w:val="21"/>
                <w:lang w:val="en-US"/>
              </w:rPr>
              <w:t>TSP引用河北德普环境监测有限公司出具的《河北魏县经济开发区总体发展规划环境质量现状监测》（报告编号：HBDP〔2023〕第H0106号），采样日期为2023.7.31-2023.8.</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，监测点</w:t>
            </w:r>
            <w:r>
              <w:rPr>
                <w:rFonts w:hint="eastAsia" w:ascii="Times New Roman" w:hAnsi="Times New Roman" w:cs="Times New Roman"/>
                <w:color w:val="auto"/>
                <w:sz w:val="21"/>
                <w:szCs w:val="21"/>
                <w:lang w:val="en-US"/>
              </w:rPr>
              <w:t>德二</w:t>
            </w:r>
            <w:r>
              <w:rPr>
                <w:rFonts w:ascii="Times New Roman" w:hAnsi="Times New Roman" w:cs="Times New Roman"/>
                <w:color w:val="auto"/>
                <w:sz w:val="21"/>
                <w:szCs w:val="21"/>
                <w:lang w:val="en-US"/>
              </w:rPr>
              <w:t>村，位于本项目</w:t>
            </w:r>
            <w:r>
              <w:rPr>
                <w:rFonts w:hint="eastAsia" w:ascii="Times New Roman" w:hAnsi="Times New Roman" w:cs="Times New Roman"/>
                <w:color w:val="auto"/>
                <w:sz w:val="21"/>
                <w:szCs w:val="21"/>
                <w:lang w:val="en-US"/>
              </w:rPr>
              <w:t>东</w:t>
            </w:r>
            <w:r>
              <w:rPr>
                <w:rFonts w:ascii="Times New Roman" w:hAnsi="Times New Roman" w:cs="Times New Roman"/>
                <w:color w:val="auto"/>
                <w:sz w:val="21"/>
                <w:szCs w:val="21"/>
                <w:lang w:val="en-US"/>
              </w:rPr>
              <w:t>侧</w:t>
            </w:r>
            <w:r>
              <w:rPr>
                <w:rFonts w:hint="eastAsia" w:ascii="Times New Roman" w:hAnsi="Times New Roman" w:cs="Times New Roman"/>
                <w:color w:val="auto"/>
                <w:sz w:val="21"/>
                <w:szCs w:val="21"/>
                <w:lang w:val="en-US"/>
              </w:rPr>
              <w:t>319</w:t>
            </w:r>
            <w:r>
              <w:rPr>
                <w:rFonts w:ascii="Times New Roman" w:hAnsi="Times New Roman" w:cs="Times New Roman"/>
                <w:color w:val="auto"/>
                <w:sz w:val="21"/>
                <w:szCs w:val="21"/>
                <w:lang w:val="en-US"/>
              </w:rPr>
              <w:t>0m处，数据引用有效。</w:t>
            </w:r>
            <w:r>
              <w:rPr>
                <w:rFonts w:ascii="Times New Roman" w:hAnsi="Times New Roman" w:cs="Times New Roman"/>
                <w:color w:val="auto"/>
                <w:sz w:val="21"/>
                <w:szCs w:val="21"/>
                <w:lang w:val="en-US" w:bidi="ar-SA"/>
              </w:rPr>
              <w:t>引用数据为建设项目周边5km范围内近三年内的现有有效数据，引用可行。</w:t>
            </w:r>
            <w:r>
              <w:rPr>
                <w:rFonts w:hint="eastAsia" w:ascii="Times New Roman" w:hAnsi="Times New Roman" w:cs="Times New Roman"/>
                <w:color w:val="auto"/>
                <w:sz w:val="21"/>
                <w:szCs w:val="21"/>
                <w:lang w:val="en-US" w:bidi="ar-SA"/>
              </w:rPr>
              <w:t>检测情况见下表</w:t>
            </w:r>
          </w:p>
          <w:p>
            <w:pPr>
              <w:autoSpaceDE/>
              <w:autoSpaceDN/>
              <w:spacing w:line="400" w:lineRule="exact"/>
              <w:jc w:val="center"/>
              <w:rPr>
                <w:rFonts w:ascii="Times New Roman" w:hAnsi="Times New Roman" w:cs="Times New Roman"/>
                <w:color w:val="auto"/>
                <w:sz w:val="21"/>
                <w:szCs w:val="21"/>
                <w:lang w:val="en-US" w:bidi="ar-SA"/>
              </w:rPr>
            </w:pPr>
            <w:r>
              <w:rPr>
                <w:rFonts w:ascii="Times New Roman" w:hAnsi="Times New Roman" w:cs="Times New Roman"/>
                <w:b/>
                <w:bCs/>
                <w:color w:val="auto"/>
                <w:sz w:val="21"/>
                <w:szCs w:val="21"/>
                <w:lang w:val="en-US" w:bidi="ar-SA"/>
              </w:rPr>
              <w:t>表3.</w:t>
            </w:r>
            <w:r>
              <w:rPr>
                <w:rFonts w:hint="eastAsia" w:ascii="Times New Roman" w:hAnsi="Times New Roman" w:cs="Times New Roman"/>
                <w:b/>
                <w:bCs/>
                <w:color w:val="auto"/>
                <w:sz w:val="21"/>
                <w:szCs w:val="21"/>
                <w:lang w:val="en-US" w:bidi="ar-SA"/>
              </w:rPr>
              <w:t>2</w:t>
            </w:r>
            <w:r>
              <w:rPr>
                <w:rFonts w:ascii="Times New Roman" w:hAnsi="Times New Roman" w:cs="Times New Roman"/>
                <w:b/>
                <w:bCs/>
                <w:color w:val="auto"/>
                <w:sz w:val="21"/>
                <w:szCs w:val="21"/>
                <w:lang w:val="en-US" w:bidi="ar-SA"/>
              </w:rPr>
              <w:t xml:space="preserve">  </w:t>
            </w:r>
            <w:r>
              <w:rPr>
                <w:rFonts w:hint="eastAsia" w:ascii="Times New Roman" w:hAnsi="Times New Roman" w:cs="Times New Roman"/>
                <w:b/>
                <w:bCs/>
                <w:color w:val="auto"/>
                <w:sz w:val="21"/>
                <w:szCs w:val="21"/>
                <w:lang w:val="en-US" w:bidi="ar-SA"/>
              </w:rPr>
              <w:t>环境质量现状检测结果（单位：</w:t>
            </w:r>
            <w:r>
              <w:rPr>
                <w:rFonts w:ascii="Times New Roman" w:hAnsi="Times New Roman" w:cs="Times New Roman"/>
                <w:b/>
                <w:bCs/>
                <w:color w:val="auto"/>
                <w:sz w:val="21"/>
                <w:szCs w:val="21"/>
                <w:lang w:val="en-US" w:bidi="ar-SA"/>
              </w:rPr>
              <w:t>μg/m</w:t>
            </w:r>
            <w:r>
              <w:rPr>
                <w:rFonts w:ascii="Times New Roman" w:hAnsi="Times New Roman" w:cs="Times New Roman"/>
                <w:b/>
                <w:bCs/>
                <w:color w:val="auto"/>
                <w:sz w:val="21"/>
                <w:szCs w:val="21"/>
                <w:vertAlign w:val="superscript"/>
                <w:lang w:val="en-US" w:bidi="ar-SA"/>
              </w:rPr>
              <w:t>3</w:t>
            </w:r>
            <w:r>
              <w:rPr>
                <w:rFonts w:hint="eastAsia" w:ascii="Times New Roman" w:hAnsi="Times New Roman" w:cs="Times New Roman"/>
                <w:b/>
                <w:bCs/>
                <w:color w:val="auto"/>
                <w:sz w:val="21"/>
                <w:szCs w:val="21"/>
                <w:lang w:val="en-US" w:bidi="ar-SA"/>
              </w:rPr>
              <w:t>）</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506"/>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74" w:type="pct"/>
                  <w:gridSpan w:val="2"/>
                  <w:noWrap/>
                  <w:vAlign w:val="center"/>
                </w:tcPr>
                <w:p>
                  <w:pPr>
                    <w:pStyle w:val="81"/>
                    <w:tabs>
                      <w:tab w:val="center" w:pos="426"/>
                    </w:tabs>
                    <w:spacing w:before="0" w:after="0"/>
                    <w:ind w:firstLine="0" w:firstLineChars="0"/>
                    <w:jc w:val="right"/>
                    <w:rPr>
                      <w:color w:val="auto"/>
                      <w:sz w:val="21"/>
                      <w:szCs w:val="21"/>
                    </w:rPr>
                  </w:pPr>
                  <w:r>
                    <w:rPr>
                      <w:color w:val="auto"/>
                      <w:sz w:val="21"/>
                      <w:szCs w:val="21"/>
                    </w:rPr>
                    <mc:AlternateContent>
                      <mc:Choice Requires="wps">
                        <w:drawing>
                          <wp:anchor distT="0" distB="0" distL="114300" distR="114300" simplePos="0" relativeHeight="251670528" behindDoc="0" locked="0" layoutInCell="1" allowOverlap="1">
                            <wp:simplePos x="0" y="0"/>
                            <wp:positionH relativeFrom="column">
                              <wp:posOffset>-51435</wp:posOffset>
                            </wp:positionH>
                            <wp:positionV relativeFrom="paragraph">
                              <wp:posOffset>10160</wp:posOffset>
                            </wp:positionV>
                            <wp:extent cx="1950720" cy="356235"/>
                            <wp:effectExtent l="635" t="4445" r="10795" b="20320"/>
                            <wp:wrapNone/>
                            <wp:docPr id="5" name="直接连接符 5"/>
                            <wp:cNvGraphicFramePr/>
                            <a:graphic xmlns:a="http://schemas.openxmlformats.org/drawingml/2006/main">
                              <a:graphicData uri="http://schemas.microsoft.com/office/word/2010/wordprocessingShape">
                                <wps:wsp>
                                  <wps:cNvCnPr/>
                                  <wps:spPr>
                                    <a:xfrm>
                                      <a:off x="0" y="0"/>
                                      <a:ext cx="1950720" cy="3562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0.8pt;height:28.05pt;width:153.6pt;z-index:251670528;mso-width-relative:page;mso-height-relative:page;" filled="f" stroked="t" coordsize="21600,21600" o:gfxdata="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knfVI9QAAAAHAQAADwAAAAAAAAABACAAAAA4AAAAZHJzL2Rvd25yZXYueG1sUEsBAhQAFAAA&#10;AAgAh07iQMOptyjdAQAAnQMAAA4AAAAAAAAAAQAgAAAAOQEAAGRycy9lMm9Eb2MueG1sUEsFBgAA&#10;AAAGAAYAWQEAAIgFAAAAAA==&#10;">
                            <v:fill on="f" focussize="0,0"/>
                            <v:stroke color="#000000" joinstyle="round"/>
                            <v:imagedata o:title=""/>
                            <o:lock v:ext="edit" aspectratio="f"/>
                          </v:line>
                        </w:pict>
                      </mc:Fallback>
                    </mc:AlternateContent>
                  </w:r>
                  <w:r>
                    <w:rPr>
                      <w:color w:val="auto"/>
                      <w:sz w:val="21"/>
                      <w:szCs w:val="21"/>
                    </w:rPr>
                    <w:t xml:space="preserve">   采样点位及时间</w:t>
                  </w:r>
                </w:p>
                <w:p>
                  <w:pPr>
                    <w:pStyle w:val="81"/>
                    <w:tabs>
                      <w:tab w:val="center" w:pos="426"/>
                    </w:tabs>
                    <w:spacing w:before="0" w:after="0"/>
                    <w:ind w:firstLine="0" w:firstLineChars="0"/>
                    <w:rPr>
                      <w:color w:val="auto"/>
                      <w:sz w:val="21"/>
                      <w:szCs w:val="21"/>
                    </w:rPr>
                  </w:pPr>
                  <w:r>
                    <w:rPr>
                      <w:color w:val="auto"/>
                      <w:sz w:val="21"/>
                      <w:szCs w:val="21"/>
                    </w:rPr>
                    <w:t>检测项目</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德二村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总悬浮颗粒物（TSP）24小时平均浓度</w:t>
                  </w: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2023.07.31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2023.08.01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2023.08.02</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2023.08.03</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2023.08.04</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2023.08.05</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2023.08.06</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31</w:t>
                  </w:r>
                </w:p>
              </w:tc>
            </w:tr>
          </w:tbl>
          <w:p>
            <w:pPr>
              <w:pStyle w:val="52"/>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bidi="ar-SA"/>
              </w:rPr>
              <w:t>由</w:t>
            </w:r>
            <w:r>
              <w:rPr>
                <w:rFonts w:hint="eastAsia" w:ascii="Times New Roman" w:hAnsi="Times New Roman" w:cs="Times New Roman"/>
                <w:color w:val="auto"/>
                <w:sz w:val="21"/>
                <w:szCs w:val="21"/>
                <w:lang w:val="en-US" w:bidi="ar-SA"/>
              </w:rPr>
              <w:t>检测</w:t>
            </w:r>
            <w:r>
              <w:rPr>
                <w:rFonts w:ascii="Times New Roman" w:hAnsi="Times New Roman" w:cs="Times New Roman"/>
                <w:color w:val="auto"/>
                <w:sz w:val="21"/>
                <w:szCs w:val="21"/>
                <w:lang w:val="en-US" w:bidi="ar-SA"/>
              </w:rPr>
              <w:t>结果可知，</w:t>
            </w:r>
            <w:r>
              <w:rPr>
                <w:rFonts w:hint="eastAsia" w:ascii="Times New Roman" w:hAnsi="Times New Roman" w:cs="Times New Roman"/>
                <w:color w:val="auto"/>
                <w:sz w:val="21"/>
                <w:szCs w:val="21"/>
                <w:lang w:val="en-US" w:bidi="ar-SA"/>
              </w:rPr>
              <w:t>检测期间TSP日均值最大值为0.048</w:t>
            </w:r>
            <w:r>
              <w:rPr>
                <w:rFonts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bidi="ar-SA"/>
              </w:rPr>
              <w:t>，</w:t>
            </w:r>
            <w:r>
              <w:rPr>
                <w:rFonts w:hint="eastAsia" w:ascii="Times New Roman" w:hAnsi="Times New Roman" w:cs="Times New Roman"/>
                <w:color w:val="auto"/>
                <w:sz w:val="21"/>
                <w:szCs w:val="21"/>
                <w:lang w:val="en-US"/>
              </w:rPr>
              <w:t>满足</w:t>
            </w:r>
            <w:r>
              <w:rPr>
                <w:rFonts w:ascii="Times New Roman" w:hAnsi="Times New Roman" w:cs="Times New Roman"/>
                <w:color w:val="auto"/>
                <w:sz w:val="21"/>
                <w:szCs w:val="21"/>
              </w:rPr>
              <w:t>《环境空气质量标准》（GB 3095-2012）</w:t>
            </w:r>
            <w:r>
              <w:rPr>
                <w:rFonts w:ascii="Times New Roman" w:hAnsi="Times New Roman" w:cs="Times New Roman"/>
                <w:color w:val="auto"/>
                <w:sz w:val="21"/>
                <w:szCs w:val="21"/>
                <w:lang w:val="en-US"/>
              </w:rPr>
              <w:t>及修改单</w:t>
            </w:r>
            <w:r>
              <w:rPr>
                <w:rFonts w:hint="eastAsia" w:ascii="Times New Roman" w:hAnsi="Times New Roman" w:cs="Times New Roman"/>
                <w:color w:val="auto"/>
                <w:sz w:val="21"/>
                <w:szCs w:val="21"/>
                <w:lang w:val="en-US"/>
              </w:rPr>
              <w:t>中的</w:t>
            </w:r>
            <w:r>
              <w:rPr>
                <w:rFonts w:ascii="Times New Roman" w:hAnsi="Times New Roman" w:cs="Times New Roman"/>
                <w:color w:val="auto"/>
                <w:sz w:val="21"/>
                <w:szCs w:val="21"/>
                <w:lang w:val="en-US" w:bidi="ar-SA"/>
              </w:rPr>
              <w:t>二级标准</w:t>
            </w:r>
            <w:r>
              <w:rPr>
                <w:rFonts w:hint="eastAsia" w:ascii="Times New Roman" w:hAnsi="Times New Roman" w:cs="Times New Roman"/>
                <w:color w:val="auto"/>
                <w:sz w:val="21"/>
                <w:szCs w:val="21"/>
                <w:lang w:val="en-US"/>
              </w:rPr>
              <w:t>要求。</w:t>
            </w:r>
          </w:p>
          <w:p>
            <w:pPr>
              <w:pStyle w:val="52"/>
              <w:spacing w:line="400" w:lineRule="exact"/>
              <w:ind w:left="110" w:leftChars="50" w:firstLine="421" w:firstLineChars="200"/>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ascii="Times New Roman" w:hAnsi="Times New Roman" w:cs="Times New Roman"/>
                <w:color w:val="auto"/>
                <w:sz w:val="21"/>
                <w:szCs w:val="21"/>
                <w:lang w:val="en-US" w:bidi="ar-SA"/>
              </w:rPr>
            </w:pPr>
            <w:r>
              <w:rPr>
                <w:rFonts w:hint="default" w:ascii="Times New Roman" w:hAnsi="Times New Roman" w:eastAsia="宋体" w:cs="Times New Roman"/>
                <w:b w:val="0"/>
                <w:color w:val="auto"/>
                <w:kern w:val="0"/>
                <w:sz w:val="21"/>
                <w:szCs w:val="21"/>
                <w:lang w:val="en-US" w:eastAsia="zh-CN" w:bidi="ar-SA"/>
              </w:rPr>
              <w:t>根据邯郸市生态环境局于发布的《202</w:t>
            </w:r>
            <w:r>
              <w:rPr>
                <w:rFonts w:hint="eastAsia" w:ascii="Times New Roman" w:hAnsi="Times New Roman" w:cs="Times New Roman"/>
                <w:b w:val="0"/>
                <w:color w:val="auto"/>
                <w:kern w:val="0"/>
                <w:sz w:val="21"/>
                <w:szCs w:val="21"/>
                <w:lang w:val="en-US" w:eastAsia="zh-CN" w:bidi="ar-SA"/>
              </w:rPr>
              <w:t>3</w:t>
            </w:r>
            <w:r>
              <w:rPr>
                <w:rFonts w:hint="default" w:ascii="Times New Roman" w:hAnsi="Times New Roman" w:eastAsia="宋体" w:cs="Times New Roman"/>
                <w:b w:val="0"/>
                <w:color w:val="auto"/>
                <w:kern w:val="0"/>
                <w:sz w:val="21"/>
                <w:szCs w:val="21"/>
                <w:lang w:val="en-US" w:eastAsia="zh-CN" w:bidi="ar-SA"/>
              </w:rPr>
              <w:t>年度邯郸市环境质量公报》中相关数据可知，邯郸地区地表水共监测29个断面，8条河流，2个水库，全部达到规划水质类别，达标率为100%。对照《河流、流域水系水质定性评价分级表》，Ⅰ类水体1个，占3.4%；Ⅱ类水体10个，占34.5%，Ⅲ类水体18个，占62.1%；无Ⅳ类以下水体。地表水整体评价为优。</w:t>
            </w:r>
            <w:r>
              <w:rPr>
                <w:rFonts w:ascii="Times New Roman" w:hAnsi="Times New Roman" w:cs="Times New Roman"/>
                <w:color w:val="auto"/>
                <w:sz w:val="21"/>
                <w:szCs w:val="21"/>
                <w:lang w:val="en-US" w:bidi="ar-SA"/>
              </w:rPr>
              <w:t>参考检测报告（HBDP[2023]第H0106号）各监测点位监测数据结果表明，各污染因子均满足《地表水环境质量标准》（GB3838-2002）Ⅳ类标准要求。魏大馆渠位于魏县北部，西东流向，始成于 1954 年，为排水干渠，是魏县北部的主要排水渠道，输水每秒 56.5-157m³。魏大馆主要解决民有干渠以南，漳河以北各支、斗渠退水及灌区内的沥水，是魏县乃至邯郸市境内的一条重要排沥渠道。现状河道两侧以植草护坡为主，有 2 个排污口(魏县污水处理厂、魏县经济开发区污水处理厂)。根据《重点流域水污染防治规划（2016-2020 年）》魏大馆渠属于清凉江衡水市控制单元。根据河北省水利厅、河北省环境保护厅发布关于调整公布《河北省水功能区划》的通知（冀水资[2017]127 号），区划对老沙河邢台段划定为Ⅳ类水体，但对邢台上游邯郸广平段并未划定水质目标。因此，判定魏大馆渠水质标准为Ⅳ类</w:t>
            </w:r>
            <w:r>
              <w:rPr>
                <w:rFonts w:hint="eastAsia" w:ascii="Times New Roman" w:hAnsi="Times New Roman" w:cs="Times New Roman"/>
                <w:color w:val="auto"/>
                <w:sz w:val="21"/>
                <w:szCs w:val="21"/>
                <w:lang w:val="en-US" w:bidi="ar-SA"/>
              </w:rPr>
              <w:t>。</w:t>
            </w:r>
          </w:p>
          <w:p>
            <w:pPr>
              <w:pStyle w:val="52"/>
              <w:spacing w:line="400" w:lineRule="exact"/>
              <w:ind w:left="110" w:lef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3、声环境</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rPr>
              <w:t>厂区外50米范围内无</w:t>
            </w:r>
            <w:r>
              <w:rPr>
                <w:rFonts w:ascii="Times New Roman" w:hAnsi="Times New Roman" w:cs="Times New Roman"/>
                <w:color w:val="auto"/>
                <w:sz w:val="21"/>
                <w:szCs w:val="21"/>
                <w:lang w:val="en-US"/>
              </w:rPr>
              <w:t>声环境保护目标，</w:t>
            </w:r>
            <w:r>
              <w:rPr>
                <w:rFonts w:ascii="Times New Roman" w:hAnsi="Times New Roman" w:cs="Times New Roman"/>
                <w:color w:val="auto"/>
                <w:sz w:val="21"/>
                <w:szCs w:val="21"/>
              </w:rPr>
              <w:t>无需进行现状监测，</w:t>
            </w:r>
            <w:r>
              <w:rPr>
                <w:rFonts w:ascii="Times New Roman" w:hAnsi="Times New Roman" w:cs="Times New Roman"/>
                <w:color w:val="auto"/>
                <w:sz w:val="21"/>
                <w:szCs w:val="21"/>
                <w:lang w:val="en-US"/>
              </w:rPr>
              <w:t>声环境执行《声环境质量标准》（GB3096-2008）2类区标准</w:t>
            </w:r>
            <w:r>
              <w:rPr>
                <w:rFonts w:ascii="Times New Roman" w:hAnsi="Times New Roman" w:cs="Times New Roman"/>
                <w:color w:val="auto"/>
                <w:sz w:val="21"/>
                <w:szCs w:val="21"/>
              </w:rPr>
              <w:t>。</w:t>
            </w:r>
          </w:p>
          <w:p>
            <w:pPr>
              <w:pStyle w:val="52"/>
              <w:spacing w:line="400" w:lineRule="exact"/>
              <w:ind w:left="110" w:leftChars="50" w:firstLine="421" w:firstLineChars="200"/>
              <w:rPr>
                <w:b/>
                <w:bCs/>
                <w:color w:val="auto"/>
                <w:sz w:val="21"/>
                <w:szCs w:val="21"/>
                <w:lang w:val="en-US"/>
              </w:rPr>
            </w:pPr>
            <w:r>
              <w:rPr>
                <w:rFonts w:hint="eastAsia"/>
                <w:b/>
                <w:bCs/>
                <w:color w:val="auto"/>
                <w:sz w:val="21"/>
                <w:szCs w:val="21"/>
                <w:lang w:val="en-US"/>
              </w:rPr>
              <w:t>4、生态环境</w:t>
            </w:r>
          </w:p>
          <w:p>
            <w:pPr>
              <w:pStyle w:val="41"/>
              <w:autoSpaceDE/>
              <w:autoSpaceDN/>
              <w:spacing w:line="400" w:lineRule="exact"/>
              <w:ind w:left="110" w:leftChars="50" w:firstLine="420"/>
              <w:rPr>
                <w:rFonts w:ascii="Times New Roman" w:hAnsi="Times New Roman" w:cs="Times New Roman"/>
                <w:color w:val="auto"/>
                <w:sz w:val="21"/>
                <w:szCs w:val="21"/>
                <w:lang w:bidi="ar-SA"/>
              </w:rPr>
            </w:pPr>
            <w:r>
              <w:rPr>
                <w:rFonts w:ascii="Times New Roman" w:hAnsi="Times New Roman" w:cs="Times New Roman"/>
                <w:color w:val="auto"/>
                <w:sz w:val="21"/>
                <w:szCs w:val="21"/>
                <w:lang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sz w:val="21"/>
                <w:szCs w:val="21"/>
                <w:lang w:bidi="ar-SA"/>
              </w:rPr>
              <w:t>。</w:t>
            </w:r>
          </w:p>
          <w:p>
            <w:pPr>
              <w:pStyle w:val="41"/>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5、电磁辐射</w:t>
            </w:r>
          </w:p>
          <w:p>
            <w:pPr>
              <w:pStyle w:val="41"/>
              <w:autoSpaceDE/>
              <w:autoSpaceDN/>
              <w:spacing w:line="400" w:lineRule="exact"/>
              <w:ind w:left="110" w:leftChars="50" w:firstLine="420"/>
              <w:rPr>
                <w:rFonts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本项目不属于新建或改建、扩建广播电台、差转台、电视塔台、卫星地球上行站、雷达等电磁辐射类项目，不涉及项目电磁辐射现状监测。</w:t>
            </w:r>
          </w:p>
          <w:p>
            <w:pPr>
              <w:pStyle w:val="41"/>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6、地下水、土壤环境</w:t>
            </w:r>
          </w:p>
          <w:p>
            <w:pPr>
              <w:pStyle w:val="41"/>
              <w:autoSpaceDE/>
              <w:autoSpaceDN/>
              <w:spacing w:line="400" w:lineRule="exact"/>
              <w:ind w:left="110" w:leftChars="50" w:firstLine="420"/>
              <w:rPr>
                <w:rFonts w:ascii="Times New Roman" w:hAnsi="Times New Roman" w:cs="Times New Roman"/>
                <w:b/>
                <w:bCs/>
                <w:color w:val="auto"/>
                <w:sz w:val="21"/>
                <w:szCs w:val="21"/>
              </w:rPr>
            </w:pPr>
            <w:r>
              <w:rPr>
                <w:rFonts w:hint="eastAsia" w:ascii="Times New Roman" w:hAnsi="Times New Roman" w:cs="Times New Roman"/>
                <w:color w:val="auto"/>
                <w:sz w:val="21"/>
                <w:szCs w:val="21"/>
                <w:lang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8"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目</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根据该项目周围环境状况，确定该项目的主要环境保护目标为附近的</w:t>
            </w:r>
            <w:r>
              <w:rPr>
                <w:rFonts w:hint="eastAsia" w:ascii="Times New Roman" w:hAnsi="Times New Roman" w:cs="Times New Roman"/>
                <w:color w:val="auto"/>
                <w:sz w:val="21"/>
                <w:szCs w:val="21"/>
                <w:lang w:val="en-US"/>
              </w:rPr>
              <w:t>村庄、魏大馆排水渠</w:t>
            </w:r>
            <w:r>
              <w:rPr>
                <w:rFonts w:ascii="Times New Roman" w:hAnsi="Times New Roman" w:cs="Times New Roman"/>
                <w:color w:val="auto"/>
                <w:sz w:val="21"/>
                <w:szCs w:val="21"/>
                <w:lang w:val="en-US"/>
              </w:rPr>
              <w:t>，详情见下表。</w:t>
            </w:r>
          </w:p>
          <w:p>
            <w:pPr>
              <w:autoSpaceDE/>
              <w:autoSpaceDN/>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rPr>
              <w:t xml:space="preserve">3.3 </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环境保护目标一览表</w:t>
            </w:r>
          </w:p>
          <w:tbl>
            <w:tblPr>
              <w:tblStyle w:val="3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932"/>
              <w:gridCol w:w="770"/>
              <w:gridCol w:w="975"/>
              <w:gridCol w:w="720"/>
              <w:gridCol w:w="1020"/>
              <w:gridCol w:w="705"/>
              <w:gridCol w:w="630"/>
              <w:gridCol w:w="75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932"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保护对象</w:t>
                  </w:r>
                </w:p>
              </w:tc>
              <w:tc>
                <w:tcPr>
                  <w:tcW w:w="1745" w:type="dxa"/>
                  <w:gridSpan w:val="2"/>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坐标/m</w:t>
                  </w:r>
                </w:p>
              </w:tc>
              <w:tc>
                <w:tcPr>
                  <w:tcW w:w="7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对象</w:t>
                  </w:r>
                </w:p>
              </w:tc>
              <w:tc>
                <w:tcPr>
                  <w:tcW w:w="10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保护内容</w:t>
                  </w:r>
                </w:p>
              </w:tc>
              <w:tc>
                <w:tcPr>
                  <w:tcW w:w="705"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功能区</w:t>
                  </w:r>
                </w:p>
              </w:tc>
              <w:tc>
                <w:tcPr>
                  <w:tcW w:w="63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相对</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方位</w:t>
                  </w:r>
                </w:p>
              </w:tc>
              <w:tc>
                <w:tcPr>
                  <w:tcW w:w="75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距离</w:t>
                  </w:r>
                </w:p>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(m)</w:t>
                  </w:r>
                </w:p>
              </w:tc>
              <w:tc>
                <w:tcPr>
                  <w:tcW w:w="1711"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932"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770"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纬度</w:t>
                  </w:r>
                </w:p>
              </w:tc>
              <w:tc>
                <w:tcPr>
                  <w:tcW w:w="975"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经度</w:t>
                  </w:r>
                </w:p>
              </w:tc>
              <w:tc>
                <w:tcPr>
                  <w:tcW w:w="7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0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05"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63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5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711"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环境</w:t>
                  </w:r>
                </w:p>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空气</w:t>
                  </w:r>
                </w:p>
              </w:tc>
              <w:tc>
                <w:tcPr>
                  <w:tcW w:w="932" w:type="dxa"/>
                  <w:vAlign w:val="center"/>
                </w:tcPr>
                <w:p>
                  <w:pPr>
                    <w:pStyle w:val="24"/>
                    <w:rPr>
                      <w:rFonts w:ascii="Times New Roman" w:hAnsi="Times New Roman" w:cs="Times New Roman"/>
                      <w:color w:val="auto"/>
                      <w:sz w:val="21"/>
                    </w:rPr>
                  </w:pPr>
                  <w:r>
                    <w:rPr>
                      <w:rFonts w:hint="eastAsia" w:ascii="Times New Roman" w:hAnsi="Times New Roman"/>
                      <w:color w:val="auto"/>
                      <w:lang w:val="en-US"/>
                    </w:rPr>
                    <w:t>王庄</w:t>
                  </w:r>
                  <w:r>
                    <w:rPr>
                      <w:rFonts w:hint="eastAsia" w:ascii="Times New Roman" w:hAnsi="Times New Roman"/>
                      <w:color w:val="auto"/>
                    </w:rPr>
                    <w:t>村</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36°18′34.610"</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114°55′44.726″</w:t>
                  </w:r>
                </w:p>
              </w:tc>
              <w:tc>
                <w:tcPr>
                  <w:tcW w:w="72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村民</w:t>
                  </w:r>
                </w:p>
              </w:tc>
              <w:tc>
                <w:tcPr>
                  <w:tcW w:w="1020" w:type="dxa"/>
                  <w:vAlign w:val="center"/>
                </w:tcPr>
                <w:p>
                  <w:pPr>
                    <w:autoSpaceDE/>
                    <w:autoSpaceDN/>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村庄</w:t>
                  </w:r>
                </w:p>
              </w:tc>
              <w:tc>
                <w:tcPr>
                  <w:tcW w:w="70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二类区</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209</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《环境空气质量标准》(GB3095-2012)及修改单二级标准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地表水环境</w:t>
                  </w:r>
                </w:p>
              </w:tc>
              <w:tc>
                <w:tcPr>
                  <w:tcW w:w="932" w:type="dxa"/>
                  <w:vAlign w:val="center"/>
                </w:tcPr>
                <w:p>
                  <w:pPr>
                    <w:autoSpaceDE/>
                    <w:autoSpaceDN/>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魏大馆渠</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36°18′55.698″</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114°55′40.516″</w:t>
                  </w:r>
                </w:p>
              </w:tc>
              <w:tc>
                <w:tcPr>
                  <w:tcW w:w="2445" w:type="dxa"/>
                  <w:gridSpan w:val="3"/>
                  <w:vAlign w:val="center"/>
                </w:tcPr>
                <w:p>
                  <w:pPr>
                    <w:autoSpaceDE/>
                    <w:autoSpaceDN/>
                    <w:snapToGrid w:val="0"/>
                    <w:jc w:val="center"/>
                    <w:rPr>
                      <w:color w:val="auto"/>
                      <w:sz w:val="21"/>
                      <w:szCs w:val="21"/>
                      <w:lang w:val="en-US"/>
                    </w:rPr>
                  </w:pPr>
                  <w:r>
                    <w:rPr>
                      <w:rFonts w:ascii="Times New Roman" w:hAnsi="Times New Roman" w:cs="Times New Roman"/>
                      <w:color w:val="auto"/>
                      <w:sz w:val="21"/>
                      <w:szCs w:val="21"/>
                      <w:lang w:val="en-US"/>
                    </w:rPr>
                    <w:t>Ⅳ类</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152</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color w:val="auto"/>
                    </w:rPr>
                    <w:fldChar w:fldCharType="begin"/>
                  </w:r>
                  <w:r>
                    <w:rPr>
                      <w:color w:val="auto"/>
                    </w:rPr>
                    <w:instrText xml:space="preserve"> HYPERLINK "https://www.mee.gov.cn/ywgz/fgbz/bz/bzwb/shjbh/shjzlbz/200206/W020061027509896672057.pdf" \t "https://www.mee.gov.cn/ywgz/fgbz/bz/bzwb/shjbh/shjzlbz/200206/_self" </w:instrText>
                  </w:r>
                  <w:r>
                    <w:rPr>
                      <w:color w:val="auto"/>
                    </w:rPr>
                    <w:fldChar w:fldCharType="separate"/>
                  </w:r>
                  <w:r>
                    <w:rPr>
                      <w:rFonts w:hint="eastAsia" w:ascii="Times New Roman" w:hAnsi="Times New Roman" w:cs="Times New Roman"/>
                      <w:color w:val="auto"/>
                      <w:sz w:val="21"/>
                      <w:szCs w:val="21"/>
                    </w:rPr>
                    <w:t>地表水环境质量标准</w:t>
                  </w:r>
                  <w:r>
                    <w:rPr>
                      <w:rFonts w:hint="eastAsia" w:ascii="Times New Roman" w:hAnsi="Times New Roman" w:cs="Times New Roman"/>
                      <w:color w:val="auto"/>
                      <w:sz w:val="21"/>
                      <w:szCs w:val="21"/>
                    </w:rPr>
                    <w:fldChar w:fldCharType="end"/>
                  </w:r>
                  <w:r>
                    <w:rPr>
                      <w:rFonts w:hint="eastAsia" w:ascii="Times New Roman" w:hAnsi="Times New Roman" w:cs="Times New Roman"/>
                      <w:color w:val="auto"/>
                      <w:sz w:val="21"/>
                      <w:szCs w:val="21"/>
                    </w:rPr>
                    <w:t>》（GB 3838-2002 ）</w:t>
                  </w:r>
                  <w:r>
                    <w:rPr>
                      <w:rFonts w:hint="eastAsia"/>
                      <w:color w:val="auto"/>
                      <w:sz w:val="21"/>
                      <w:szCs w:val="21"/>
                      <w:lang w:val="en-US"/>
                    </w:rPr>
                    <w:t>Ⅳ类标准</w:t>
                  </w:r>
                </w:p>
              </w:tc>
            </w:tr>
          </w:tbl>
          <w:p>
            <w:pPr>
              <w:autoSpaceDE/>
              <w:autoSpaceDN/>
              <w:spacing w:line="400" w:lineRule="exact"/>
              <w:ind w:left="110" w:leftChars="50" w:right="110" w:rightChars="50" w:firstLine="420" w:firstLineChars="200"/>
              <w:jc w:val="both"/>
              <w:rPr>
                <w:rFonts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6"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0"/>
              </w:rPr>
            </w:pP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污</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染</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物</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排</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lang w:val="en-US"/>
              </w:rPr>
              <w:t>粉料仓废气、骨料配料废气、计量、搅拌废气</w:t>
            </w:r>
            <w:r>
              <w:rPr>
                <w:rFonts w:ascii="Times New Roman" w:hAnsi="Times New Roman" w:cs="Times New Roman"/>
                <w:color w:val="auto"/>
                <w:sz w:val="21"/>
                <w:szCs w:val="21"/>
              </w:rPr>
              <w:t>执行《水泥工业大气污染物超低排放标准》（DB13/2167-2020）表1散装水泥中转站及水泥制品生产中（水泥仓及其他通风生产设备）标准要求，即：排放浓度≤10mg/m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厂界无组织废气</w:t>
            </w:r>
            <w:r>
              <w:rPr>
                <w:rFonts w:hint="eastAsia" w:ascii="Times New Roman" w:hAnsi="Times New Roman" w:cs="Times New Roman"/>
                <w:color w:val="auto"/>
                <w:sz w:val="21"/>
                <w:szCs w:val="21"/>
                <w:lang w:val="en-US"/>
              </w:rPr>
              <w:t>执行《水泥工业大气污染物超低排放标准》（DB13/2167-2020）表2大气污染物无组织排放监控点与参考点总悬浮颗粒物1h浓度值的差值要求，即：颗粒物≤0.5mg/m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、厂界噪声</w:t>
            </w:r>
            <w:r>
              <w:rPr>
                <w:rFonts w:ascii="Times New Roman" w:hAnsi="Times New Roman" w:cs="Times New Roman"/>
                <w:color w:val="auto"/>
                <w:sz w:val="21"/>
                <w:szCs w:val="21"/>
                <w:lang w:val="en-US"/>
              </w:rPr>
              <w:t>排放执行《工业企业厂界环境噪声排放标准》（GB12348-2008）</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类标准，即昼间6</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dB（A）、夜间5</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w:t>
            </w:r>
            <w:r>
              <w:rPr>
                <w:rFonts w:ascii="Times New Roman" w:hAnsi="Times New Roman" w:cs="Times New Roman"/>
                <w:color w:val="auto"/>
                <w:sz w:val="21"/>
                <w:szCs w:val="21"/>
              </w:rPr>
              <w:t>；</w:t>
            </w:r>
          </w:p>
          <w:p>
            <w:pPr>
              <w:pStyle w:val="52"/>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固体废物</w:t>
            </w:r>
            <w:r>
              <w:rPr>
                <w:rFonts w:hint="eastAsia" w:ascii="Times New Roman" w:hAnsi="Times New Roman" w:cs="Times New Roman"/>
                <w:b/>
                <w:bCs/>
                <w:color w:val="auto"/>
                <w:sz w:val="21"/>
                <w:szCs w:val="21"/>
              </w:rPr>
              <w:t>：</w:t>
            </w:r>
            <w:r>
              <w:rPr>
                <w:rFonts w:ascii="Times New Roman" w:hAnsi="Times New Roman" w:cs="Times New Roman"/>
                <w:color w:val="auto"/>
                <w:kern w:val="2"/>
                <w:sz w:val="21"/>
                <w:szCs w:val="21"/>
                <w:lang w:val="en-US" w:bidi="ar-SA"/>
              </w:rPr>
              <w:t>一般工业固体废物贮存处置执行《一般工业固体废物贮存和填埋污染控制标准》(GB 18599-2020)要求。危险废物贮存处置执行</w:t>
            </w:r>
            <w:r>
              <w:rPr>
                <w:rFonts w:hint="eastAsia" w:ascii="Times New Roman" w:hAnsi="Times New Roman" w:cs="Times New Roman"/>
                <w:color w:val="auto"/>
                <w:kern w:val="2"/>
                <w:sz w:val="21"/>
                <w:szCs w:val="21"/>
                <w:lang w:val="en-US" w:bidi="ar-SA"/>
              </w:rPr>
              <w:t>《危险废物贮存污染控制标准》（GB 18597—2023）</w:t>
            </w:r>
            <w:r>
              <w:rPr>
                <w:rFonts w:ascii="Times New Roman" w:hAnsi="Times New Roman" w:cs="Times New Roman"/>
                <w:color w:val="auto"/>
                <w:kern w:val="2"/>
                <w:sz w:val="21"/>
                <w:szCs w:val="21"/>
                <w:lang w:val="en-US" w:bidi="ar-SA"/>
              </w:rPr>
              <w:t>要求</w:t>
            </w:r>
            <w:r>
              <w:rPr>
                <w:rFonts w:ascii="Times New Roman" w:hAnsi="Times New Roman" w:cs="Times New Roman"/>
                <w:color w:val="auto"/>
                <w:sz w:val="21"/>
                <w:szCs w:val="21"/>
              </w:rPr>
              <w:t>。</w:t>
            </w:r>
          </w:p>
          <w:p>
            <w:pPr>
              <w:spacing w:line="40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3.</w:t>
            </w:r>
            <w:r>
              <w:rPr>
                <w:rFonts w:hint="eastAsia" w:ascii="Times New Roman" w:hAnsi="Times New Roman" w:cs="Times New Roman"/>
                <w:b/>
                <w:color w:val="auto"/>
                <w:sz w:val="21"/>
                <w:szCs w:val="21"/>
                <w:lang w:val="en-US"/>
              </w:rPr>
              <w:t>4</w:t>
            </w:r>
            <w:r>
              <w:rPr>
                <w:rFonts w:ascii="Times New Roman" w:hAnsi="Times New Roman" w:cs="Times New Roman"/>
                <w:b/>
                <w:color w:val="auto"/>
                <w:sz w:val="21"/>
                <w:szCs w:val="21"/>
              </w:rPr>
              <w:t xml:space="preserve">   污染源污染物排放标准及限值</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34"/>
              <w:gridCol w:w="960"/>
              <w:gridCol w:w="1282"/>
              <w:gridCol w:w="8"/>
              <w:gridCol w:w="570"/>
              <w:gridCol w:w="705"/>
              <w:gridCol w:w="3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03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960"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860" w:type="dxa"/>
                  <w:gridSpan w:val="3"/>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标准值</w:t>
                  </w:r>
                </w:p>
              </w:tc>
              <w:tc>
                <w:tcPr>
                  <w:tcW w:w="705"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单位</w:t>
                  </w:r>
                </w:p>
              </w:tc>
              <w:tc>
                <w:tcPr>
                  <w:tcW w:w="309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2034"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废气排放口（DA004）</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《水泥工业大气污染物超低排放标准》（DB13/2167-2020）表1散装水泥中转站及水泥制品生产中（水泥仓及其他通风生产设备）标准要求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2034"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kern w:val="21"/>
                      <w:sz w:val="21"/>
                      <w:szCs w:val="21"/>
                      <w:lang w:val="en-US" w:bidi="ar-SA"/>
                    </w:rPr>
                    <w:t>粉料仓废气排放口（DA005）</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continue"/>
                  <w:vAlign w:val="center"/>
                </w:tcPr>
                <w:p>
                  <w:pPr>
                    <w:jc w:val="center"/>
                    <w:rPr>
                      <w:rFonts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 w:hRule="atLeast"/>
                <w:jc w:val="center"/>
              </w:trPr>
              <w:tc>
                <w:tcPr>
                  <w:tcW w:w="2034"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厂界无组织废气</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厂界浓度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bCs/>
                      <w:color w:val="auto"/>
                      <w:sz w:val="21"/>
                      <w:szCs w:val="21"/>
                      <w:lang w:val="en-US"/>
                    </w:rPr>
                    <w:t>0.5</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《水泥工业大气污染物超低排放标准》（DB13/2167-2020）表2大气污染物无组织排放监控点与参考点总悬浮颗粒物1h浓度值的差值要求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噪声</w:t>
                  </w:r>
                </w:p>
              </w:tc>
              <w:tc>
                <w:tcPr>
                  <w:tcW w:w="960" w:type="dxa"/>
                  <w:vMerge w:val="restart"/>
                  <w:vAlign w:val="center"/>
                </w:tcPr>
                <w:p>
                  <w:pPr>
                    <w:autoSpaceDE/>
                    <w:autoSpaceDN/>
                    <w:adjustRightInd w:val="0"/>
                    <w:snapToGrid w:val="0"/>
                    <w:jc w:val="center"/>
                    <w:rPr>
                      <w:rFonts w:ascii="Times New Roman" w:hAnsi="Times New Roman" w:cs="Times New Roman"/>
                      <w:color w:val="auto"/>
                      <w:kern w:val="24"/>
                      <w:sz w:val="21"/>
                      <w:szCs w:val="21"/>
                    </w:rPr>
                  </w:pPr>
                  <w:r>
                    <w:rPr>
                      <w:rFonts w:ascii="Times New Roman" w:hAnsi="Times New Roman" w:cs="Times New Roman"/>
                      <w:color w:val="auto"/>
                      <w:sz w:val="21"/>
                      <w:szCs w:val="21"/>
                    </w:rPr>
                    <w:t>等效连续声级Leq</w:t>
                  </w:r>
                </w:p>
              </w:tc>
              <w:tc>
                <w:tcPr>
                  <w:tcW w:w="1282" w:type="dxa"/>
                  <w:vMerge w:val="restart"/>
                  <w:vAlign w:val="center"/>
                </w:tcPr>
                <w:p>
                  <w:pPr>
                    <w:autoSpaceDE/>
                    <w:autoSpaceDN/>
                    <w:jc w:val="center"/>
                    <w:rPr>
                      <w:rFonts w:ascii="Times New Roman" w:hAnsi="Times New Roman" w:cs="Times New Roman"/>
                      <w:color w:val="auto"/>
                      <w:kern w:val="24"/>
                      <w:sz w:val="21"/>
                      <w:szCs w:val="21"/>
                    </w:rPr>
                  </w:pPr>
                  <w:r>
                    <w:rPr>
                      <w:rFonts w:hint="eastAsia" w:ascii="Times New Roman" w:hAnsi="Times New Roman" w:cs="Times New Roman"/>
                      <w:color w:val="auto"/>
                      <w:kern w:val="24"/>
                      <w:sz w:val="21"/>
                      <w:szCs w:val="21"/>
                      <w:lang w:val="en-US" w:bidi="ar-SA"/>
                    </w:rPr>
                    <w:t>厂界</w:t>
                  </w:r>
                </w:p>
              </w:tc>
              <w:tc>
                <w:tcPr>
                  <w:tcW w:w="1283" w:type="dxa"/>
                  <w:gridSpan w:val="3"/>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昼间6</w:t>
                  </w:r>
                  <w:r>
                    <w:rPr>
                      <w:rFonts w:hint="eastAsia" w:ascii="Times New Roman" w:hAnsi="Times New Roman" w:cs="Times New Roman"/>
                      <w:color w:val="auto"/>
                      <w:kern w:val="24"/>
                      <w:sz w:val="21"/>
                      <w:szCs w:val="21"/>
                      <w:lang w:val="en-US" w:bidi="ar-SA"/>
                    </w:rPr>
                    <w:t>0</w:t>
                  </w:r>
                  <w:r>
                    <w:rPr>
                      <w:rFonts w:ascii="Times New Roman" w:hAnsi="Times New Roman" w:cs="Times New Roman"/>
                      <w:color w:val="auto"/>
                      <w:kern w:val="24"/>
                      <w:sz w:val="21"/>
                      <w:szCs w:val="21"/>
                      <w:lang w:val="en-US" w:bidi="ar-SA"/>
                    </w:rPr>
                    <w:t>dB（A）</w:t>
                  </w:r>
                </w:p>
              </w:tc>
              <w:tc>
                <w:tcPr>
                  <w:tcW w:w="309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《工业企业厂界环境噪声排放标准》(GB12348-2008)</w:t>
                  </w:r>
                  <w:r>
                    <w:rPr>
                      <w:rFonts w:hint="eastAsia" w:ascii="Times New Roman" w:hAnsi="Times New Roman" w:cs="Times New Roman"/>
                      <w:color w:val="auto"/>
                      <w:kern w:val="24"/>
                      <w:sz w:val="21"/>
                      <w:szCs w:val="21"/>
                      <w:lang w:val="en-US" w:eastAsia="zh-CN" w:bidi="ar-SA"/>
                    </w:rPr>
                    <w:t>2</w:t>
                  </w:r>
                  <w:r>
                    <w:rPr>
                      <w:rFonts w:ascii="Times New Roman" w:hAnsi="Times New Roman"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continue"/>
                  <w:vAlign w:val="center"/>
                </w:tcPr>
                <w:p>
                  <w:pPr>
                    <w:autoSpaceDE/>
                    <w:autoSpaceDN/>
                    <w:jc w:val="center"/>
                    <w:rPr>
                      <w:rFonts w:ascii="Times New Roman" w:hAnsi="Times New Roman" w:cs="Times New Roman"/>
                      <w:color w:val="auto"/>
                      <w:kern w:val="24"/>
                      <w:sz w:val="21"/>
                      <w:szCs w:val="21"/>
                    </w:rPr>
                  </w:pPr>
                </w:p>
              </w:tc>
              <w:tc>
                <w:tcPr>
                  <w:tcW w:w="960"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2"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3" w:type="dxa"/>
                  <w:gridSpan w:val="3"/>
                  <w:vAlign w:val="center"/>
                </w:tcPr>
                <w:p>
                  <w:pPr>
                    <w:autoSpaceDE/>
                    <w:autoSpaceDN/>
                    <w:adjustRightInd w:val="0"/>
                    <w:snapToGrid w:val="0"/>
                    <w:jc w:val="center"/>
                    <w:rPr>
                      <w:rFonts w:ascii="Times New Roman" w:hAnsi="Times New Roman" w:cs="Times New Roman"/>
                      <w:color w:val="auto"/>
                      <w:kern w:val="24"/>
                      <w:sz w:val="21"/>
                      <w:szCs w:val="21"/>
                    </w:rPr>
                  </w:pPr>
                  <w:r>
                    <w:rPr>
                      <w:rFonts w:hint="eastAsia" w:ascii="Times New Roman" w:hAnsi="Times New Roman" w:cs="Times New Roman"/>
                      <w:color w:val="auto"/>
                      <w:sz w:val="21"/>
                      <w:szCs w:val="21"/>
                    </w:rPr>
                    <w:t>夜</w:t>
                  </w:r>
                  <w:r>
                    <w:rPr>
                      <w:rFonts w:ascii="Times New Roman" w:hAnsi="Times New Roman" w:cs="Times New Roman"/>
                      <w:color w:val="auto"/>
                      <w:sz w:val="21"/>
                      <w:szCs w:val="21"/>
                    </w:rPr>
                    <w:t>间</w:t>
                  </w:r>
                  <w:r>
                    <w:rPr>
                      <w:rFonts w:hint="eastAsia" w:ascii="Times New Roman" w:hAnsi="Times New Roman" w:cs="Times New Roman"/>
                      <w:color w:val="auto"/>
                      <w:sz w:val="21"/>
                      <w:szCs w:val="21"/>
                      <w:lang w:val="en-US"/>
                    </w:rPr>
                    <w:t>50</w:t>
                  </w:r>
                  <w:r>
                    <w:rPr>
                      <w:rFonts w:ascii="Times New Roman" w:hAnsi="Times New Roman" w:cs="Times New Roman"/>
                      <w:color w:val="auto"/>
                      <w:sz w:val="21"/>
                      <w:szCs w:val="21"/>
                    </w:rPr>
                    <w:t>dB</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w:t>
                  </w:r>
                </w:p>
              </w:tc>
              <w:tc>
                <w:tcPr>
                  <w:tcW w:w="3094"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restart"/>
                  <w:vAlign w:val="center"/>
                </w:tcPr>
                <w:p>
                  <w:pPr>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固废</w:t>
                  </w: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一般工</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业固体</w:t>
                  </w:r>
                </w:p>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4"/>
                      <w:sz w:val="21"/>
                      <w:szCs w:val="21"/>
                      <w:lang w:val="en-US"/>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《一般工业固体废物贮存和填埋污染控制标准》(GB 18599-2020)中</w:t>
                  </w:r>
                  <w:r>
                    <w:rPr>
                      <w:rFonts w:hint="eastAsia" w:ascii="Times New Roman" w:hAnsi="Times New Roman" w:cs="Times New Roman"/>
                      <w:color w:val="auto"/>
                      <w:kern w:val="2"/>
                      <w:sz w:val="21"/>
                      <w:szCs w:val="21"/>
                      <w:lang w:val="en-US" w:bidi="ar-SA"/>
                    </w:rPr>
                    <w:t>的</w:t>
                  </w:r>
                  <w:r>
                    <w:rPr>
                      <w:rFonts w:ascii="Times New Roman" w:hAnsi="Times New Roman" w:cs="Times New Roman"/>
                      <w:color w:val="auto"/>
                      <w:kern w:val="2"/>
                      <w:sz w:val="21"/>
                      <w:szCs w:val="21"/>
                      <w:lang w:val="en-US"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continue"/>
                  <w:vAlign w:val="center"/>
                </w:tcPr>
                <w:p>
                  <w:pPr>
                    <w:jc w:val="center"/>
                    <w:rPr>
                      <w:color w:val="auto"/>
                    </w:rPr>
                  </w:pP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rPr>
                    <w:t xml:space="preserve">《危险废物贮存污染控制标准》（GB 18597—2023） </w:t>
                  </w:r>
                </w:p>
              </w:tc>
            </w:tr>
          </w:tbl>
          <w:p>
            <w:pPr>
              <w:pStyle w:val="52"/>
              <w:spacing w:line="360" w:lineRule="auto"/>
              <w:ind w:right="110" w:rightChars="50"/>
              <w:jc w:val="both"/>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2" w:hRule="atLeast"/>
        </w:trPr>
        <w:tc>
          <w:tcPr>
            <w:tcW w:w="390"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总</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52"/>
              <w:tabs>
                <w:tab w:val="left" w:pos="269"/>
                <w:tab w:val="right" w:pos="4433"/>
              </w:tabs>
              <w:spacing w:line="360" w:lineRule="auto"/>
              <w:ind w:firstLine="420" w:firstLineChars="200"/>
              <w:jc w:val="both"/>
              <w:rPr>
                <w:rFonts w:ascii="Times New Roman" w:hAnsi="Times New Roman" w:cs="Times New Roman"/>
                <w:bCs/>
                <w:color w:val="auto"/>
                <w:sz w:val="21"/>
                <w:szCs w:val="21"/>
                <w:lang w:val="en-US"/>
              </w:rPr>
            </w:pPr>
            <w:r>
              <w:rPr>
                <w:rFonts w:hint="eastAsia" w:ascii="Times New Roman" w:hAnsi="Times New Roman" w:cs="Times New Roman"/>
                <w:color w:val="auto"/>
                <w:sz w:val="21"/>
                <w:szCs w:val="21"/>
              </w:rPr>
              <w:t>无</w:t>
            </w:r>
          </w:p>
        </w:tc>
      </w:tr>
    </w:tbl>
    <w:p>
      <w:pPr>
        <w:jc w:val="right"/>
        <w:rPr>
          <w:rFonts w:ascii="Times New Roman" w:hAnsi="Times New Roman" w:cs="Times New Roman"/>
          <w:color w:val="auto"/>
          <w:sz w:val="21"/>
        </w:rPr>
        <w:sectPr>
          <w:footerReference r:id="rId7" w:type="default"/>
          <w:footerReference r:id="rId8" w:type="even"/>
          <w:pgSz w:w="11910" w:h="16850"/>
          <w:pgMar w:top="1600"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四、主要环境影响和保护措施</w:t>
      </w:r>
    </w:p>
    <w:tbl>
      <w:tblPr>
        <w:tblStyle w:val="32"/>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5" w:hRule="atLeast"/>
          <w:jc w:val="center"/>
        </w:trPr>
        <w:tc>
          <w:tcPr>
            <w:tcW w:w="45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hint="eastAsia" w:ascii="Times New Roman" w:hAnsi="Times New Roman" w:cs="Times New Roman"/>
                <w:color w:val="auto"/>
                <w:sz w:val="21"/>
                <w:szCs w:val="21"/>
              </w:rPr>
              <w:t>本项目用地为建设用地，施工期间工程内容主要有平整场地、建设主体构筑物、安装设备等，计划施工</w:t>
            </w:r>
            <w:r>
              <w:rPr>
                <w:rFonts w:hint="eastAsia" w:ascii="Times New Roman" w:hAnsi="Times New Roman" w:cs="Times New Roman"/>
                <w:color w:val="auto"/>
                <w:sz w:val="21"/>
                <w:szCs w:val="21"/>
                <w:lang w:val="en-US"/>
              </w:rPr>
              <w:t>6个月。</w:t>
            </w:r>
            <w:r>
              <w:rPr>
                <w:rFonts w:ascii="Times New Roman" w:hAnsi="Times New Roman" w:cs="Times New Roman"/>
                <w:color w:val="auto"/>
                <w:sz w:val="21"/>
                <w:szCs w:val="21"/>
              </w:rPr>
              <w:t>本项目在施工期建设过程中，对环境的影响，一是由于平整场地、挖土填方、主体建设、建筑材料的装卸运输</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对大气的影响，主要污染物为TSP</w:t>
            </w:r>
            <w:r>
              <w:rPr>
                <w:rFonts w:hint="eastAsia" w:ascii="Times New Roman" w:hAnsi="Times New Roman" w:cs="Times New Roman"/>
                <w:color w:val="auto"/>
                <w:sz w:val="21"/>
                <w:szCs w:val="21"/>
              </w:rPr>
              <w:t>、</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；二是施工中所使用的挖掘机、推土机</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施工机械、设备的安装及汽车运输发动机的轰鸣对声环境的影响；三是在施工中施工人员的生活污水；四是施工过程产生的施工垃圾以及施工人员的生活垃圾。虽然施工期对环境的影响是暂时的，如措施不到位，会对周围居民生活造成较大的影响。</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1、施工扬尘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施工期对环境空气的影响，主要是平整场地、挖土填方、建筑材料的装卸运输等环节产生的扬尘。扬尘使局部区域环境空气中含尘量增加，一般都是小范围的局部影响，而且属间断性污染，影响程度和范围都不大。</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（1）作业扬尘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作业扬尘的多少及影响程度的大小与施工场地条件等诸多因素有关，是一个复杂且难以定量的问题：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①在沙石料装卸、堆存过程中将会产生扬尘。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②施工场地施工车辆的碾压和物料的撒落等都会产生二次扬尘，影响周围空气，以上扬尘将伴随整个施工过程，是施工扬尘的重点防治对象。</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采取施工现场出入口地面、施工道路硬化，设置临时排水管道及沉淀池，施工废水及雨水经沉淀池沉淀后用于工地洒水抑尘，沉淀淤泥及时清除，施工现场做到无浮土、无积水、无泥泞；按照建筑施工规定，对场地四周进行2.5m高标准围挡；建筑垃圾及弃土及时清运到指定地点，不准乱倒。装卸、清理、装运原料、渣土和建筑垃圾时，要采取遮盖措施或利用密闭性运输车，并限制运输车辆的车速；施工现场出现四级及以上的大风天气时禁止进行土方施工等措施。</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（2）运输车辆扬尘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在建筑材料、建筑垃圾等的运输过程中，会产生运输扬尘，如果施工场地未加硬化，施工场地泥土被运输车辆轮胎带到其它地方及公路上，泥土风干后会随着车辆的碾压和行驶，在场区和公路上形成二次扬尘，污染环境。</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本项目采取硬化施工场地及时清扫，防止泥土被运输车辆轮胎带到场区其它地方及公路上，限制运输车辆的行驶速度等措施，减少运输过程中的车辆扬尘。</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（3）施工过程中，施工场应至少设置</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rPr>
              <w:t>个扬尘监测点。监测点位宜设置于车辆进出口处，在施工区域围栏安全范围内，可直接监控施工场地主要施工活动。监测点位不宜轻易变动，以保证监测的连续性和数据的可比性。监测点PM</w:t>
            </w:r>
            <w:r>
              <w:rPr>
                <w:rFonts w:ascii="Times New Roman" w:hAnsi="Times New Roman" w:cs="Times New Roman"/>
                <w:color w:val="auto"/>
                <w:sz w:val="21"/>
                <w:szCs w:val="21"/>
                <w:vertAlign w:val="subscript"/>
              </w:rPr>
              <w:t>10</w:t>
            </w:r>
            <w:r>
              <w:rPr>
                <w:rFonts w:ascii="Times New Roman" w:hAnsi="Times New Roman" w:cs="Times New Roman"/>
                <w:color w:val="auto"/>
                <w:sz w:val="21"/>
                <w:szCs w:val="21"/>
              </w:rPr>
              <w:t>浓度限值满足河北省地方标准《施工场地扬尘排放标准》（DB13/2934-2019）表1中监测点浓度限值。</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4）本项目施工期达到七个百分百的要求，即施工工地周边100%围挡；物料堆放100%覆盖；出入车辆100%冲洗；施工现场地面100%硬化；拆迁工地100%湿法作业；渣土车辆100%密闭运输；施工现场扬尘监测和视频监控措施100%。</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通过以上措施，且扬尘为间断排放，随施工期的结束而消失，预计可有效的降低本项目施工过程中对周边环境及敏感点的扬尘影响，扬尘排放满足河北省地方标准《施工场地扬尘排放标准》（DB13/2934-2019）中表1扬尘排放浓度限值，不会对其环境空气质量产生显著负面影响。但施工单位需加强管理，严格执行各项扬尘防治措施，并随时倾听周边居民的意见，及时完善各项措施，将对周边居民的影响降到最小。</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2、施工废水</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施工期产生的废水主要为施工设备清洗和水泥养护排水，主要污染物为泥沙。施工场地设简易晾水池，将施工废水收集冷却后，回用于场地喷洒降尘，对环境影响较小。</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施工期间施工人员产生的生活污水，由于其用量较小，就地泼洒蒸发，工地施工人员所使用的厕所</w:t>
            </w:r>
            <w:r>
              <w:rPr>
                <w:rFonts w:hint="eastAsia" w:ascii="Times New Roman" w:hAnsi="Times New Roman" w:cs="Times New Roman"/>
                <w:color w:val="auto"/>
                <w:sz w:val="21"/>
                <w:szCs w:val="21"/>
              </w:rPr>
              <w:t>临时搭建</w:t>
            </w:r>
            <w:r>
              <w:rPr>
                <w:rFonts w:ascii="Times New Roman" w:hAnsi="Times New Roman" w:cs="Times New Roman"/>
                <w:color w:val="auto"/>
                <w:sz w:val="21"/>
                <w:szCs w:val="21"/>
              </w:rPr>
              <w:t>，设专人及时打扫清理，保证厕所在正常使用的情况下不对环境产生明显影响</w:t>
            </w:r>
            <w:r>
              <w:rPr>
                <w:rFonts w:hint="eastAsia" w:ascii="Times New Roman" w:hAnsi="Times New Roman" w:cs="Times New Roman"/>
                <w:color w:val="auto"/>
                <w:sz w:val="21"/>
                <w:szCs w:val="21"/>
              </w:rPr>
              <w:t>，施工完毕后拆除</w:t>
            </w:r>
            <w:r>
              <w:rPr>
                <w:rFonts w:ascii="Times New Roman" w:hAnsi="Times New Roman" w:cs="Times New Roman"/>
                <w:color w:val="auto"/>
                <w:sz w:val="21"/>
                <w:szCs w:val="21"/>
              </w:rPr>
              <w:t>。</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3、施工</w:t>
            </w:r>
            <w:r>
              <w:rPr>
                <w:rFonts w:ascii="Times New Roman" w:hAnsi="Times New Roman" w:cs="Times New Roman"/>
                <w:b/>
                <w:color w:val="auto"/>
                <w:sz w:val="21"/>
                <w:szCs w:val="21"/>
              </w:rPr>
              <w:t>噪声及振动</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由现场踏勘可知，项目周边</w:t>
            </w:r>
            <w:r>
              <w:rPr>
                <w:rFonts w:ascii="Times New Roman" w:hAnsi="Times New Roman" w:cs="Times New Roman"/>
                <w:color w:val="auto"/>
                <w:sz w:val="21"/>
                <w:szCs w:val="21"/>
                <w:lang w:val="en-US"/>
              </w:rPr>
              <w:t>50m不存在声环境敏感点</w:t>
            </w:r>
            <w:r>
              <w:rPr>
                <w:rFonts w:ascii="Times New Roman" w:hAnsi="Times New Roman" w:cs="Times New Roman"/>
                <w:color w:val="auto"/>
                <w:sz w:val="21"/>
                <w:szCs w:val="21"/>
              </w:rPr>
              <w:t>。施工期噪声源及振动源主要有建筑施工机械设备及运输施工建筑物品的车辆等。通过类比调查，施工设备声压级在75dB(A)-105dB(A)之间。项目施工时间主要安排在白天</w:t>
            </w:r>
            <w:r>
              <w:rPr>
                <w:rFonts w:hint="eastAsia" w:ascii="Times New Roman" w:hAnsi="Times New Roman" w:cs="Times New Roman"/>
                <w:color w:val="auto"/>
                <w:sz w:val="21"/>
                <w:szCs w:val="21"/>
              </w:rPr>
              <w:t>，禁止在重污染期间进行施工</w:t>
            </w:r>
            <w:r>
              <w:rPr>
                <w:rFonts w:ascii="Times New Roman" w:hAnsi="Times New Roman" w:cs="Times New Roman"/>
                <w:color w:val="auto"/>
                <w:sz w:val="21"/>
                <w:szCs w:val="21"/>
              </w:rPr>
              <w:t>，施工结束后施工噪声、振动随之消失，因此施工过程只要严格按照相关规定进行操作，施工过程产生的噪声及振动对周边影响较小。</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由于建筑施工是在露天作业，流动性和间歇性较强。为了不产生噪声及振动扰民，建议施工方采取以下措施以避免或减缓此不利影响：</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1</w:t>
            </w:r>
            <w:r>
              <w:rPr>
                <w:rFonts w:ascii="Times New Roman" w:hAnsi="Times New Roman" w:cs="Times New Roman"/>
                <w:color w:val="auto"/>
                <w:sz w:val="21"/>
                <w:szCs w:val="21"/>
              </w:rPr>
              <w:t>）使用低噪声机械设备，如使用静压式打桩机，不使用锤打式打桩机；以液压机械代替燃油机械，振捣器采用高频型等；或选用带隔声、消声的设备。施工中禁止使用国家明令淘汰的产生噪声污染的落后施工工艺和施工机械设备。</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2</w:t>
            </w:r>
            <w:r>
              <w:rPr>
                <w:rFonts w:ascii="Times New Roman" w:hAnsi="Times New Roman" w:cs="Times New Roman"/>
                <w:color w:val="auto"/>
                <w:sz w:val="21"/>
                <w:szCs w:val="21"/>
              </w:rPr>
              <w:t>）合理分布施工布置，将高噪声、高振动设备远离敏感点；对位置相对固定的机械设备尽量设置临时隔声屏，采取适当的封闭和隔声措施，通过排气管消声器和隔离发动机振动部件来降低噪声。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3</w:t>
            </w:r>
            <w:r>
              <w:rPr>
                <w:rFonts w:ascii="Times New Roman" w:hAnsi="Times New Roman" w:cs="Times New Roman"/>
                <w:color w:val="auto"/>
                <w:sz w:val="21"/>
                <w:szCs w:val="21"/>
              </w:rPr>
              <w:t>）施工时，在项目四周设置临时移动式隔声屏，以减少施工噪声及振动对周边环境敏感点的影响。同时在施工的结构阶段和装修阶段，对建筑物的外部应采取围挡措施，以减轻设备噪声及振动对周围环境的影响。</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4</w:t>
            </w:r>
            <w:r>
              <w:rPr>
                <w:rFonts w:ascii="Times New Roman" w:hAnsi="Times New Roman" w:cs="Times New Roman"/>
                <w:color w:val="auto"/>
                <w:sz w:val="21"/>
                <w:szCs w:val="21"/>
              </w:rPr>
              <w:t>）在施工过程中施工单位应设专人对设备进行定期保养和维护，并负责对现场工作人员进行培训，严格按操作规范使用各类机械。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降低人为噪声、振动影响，按规定操作机械设备，模板、支架拆卸吊装过程中，遵守作业规定，减少碰撞噪音、撞击振动。尽量少用哨子等指挥作业，以现代化设备代替，如用无线对讲机等。在挖掘作业中，避免使用爆破法。建议以液压工具代替气压冲击工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6</w:t>
            </w:r>
            <w:r>
              <w:rPr>
                <w:rFonts w:ascii="Times New Roman" w:hAnsi="Times New Roman" w:cs="Times New Roman"/>
                <w:color w:val="auto"/>
                <w:sz w:val="21"/>
                <w:szCs w:val="21"/>
              </w:rPr>
              <w:t>）要求施工单位使用预拌商品混凝土；混凝土进车、卸料、浇注应加强管理，做到文明生产；料斗应封闭，不能有泄料口；落地残料应一车一清，不能形成堆积现象，车体轮胎应人工清理干净后再离开工地。</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7</w:t>
            </w:r>
            <w:r>
              <w:rPr>
                <w:rFonts w:ascii="Times New Roman" w:hAnsi="Times New Roman" w:cs="Times New Roman"/>
                <w:color w:val="auto"/>
                <w:sz w:val="21"/>
                <w:szCs w:val="21"/>
              </w:rPr>
              <w:t>）施工单位</w:t>
            </w:r>
            <w:r>
              <w:rPr>
                <w:rFonts w:hint="eastAsia" w:ascii="Times New Roman" w:hAnsi="Times New Roman" w:cs="Times New Roman"/>
                <w:color w:val="auto"/>
                <w:sz w:val="21"/>
                <w:szCs w:val="21"/>
              </w:rPr>
              <w:t>只在白天安排作业，夜间不施工</w:t>
            </w:r>
            <w:r>
              <w:rPr>
                <w:rFonts w:ascii="Times New Roman" w:hAnsi="Times New Roman" w:cs="Times New Roman"/>
                <w:color w:val="auto"/>
                <w:sz w:val="21"/>
                <w:szCs w:val="21"/>
              </w:rPr>
              <w:t>。</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rPr>
              <w:t>）施工场地的施工车辆出入地点应尽量远离敏感点，车辆出入现场时应低速、禁鸣。</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9</w:t>
            </w:r>
            <w:r>
              <w:rPr>
                <w:rFonts w:ascii="Times New Roman" w:hAnsi="Times New Roman" w:cs="Times New Roman"/>
                <w:color w:val="auto"/>
                <w:sz w:val="21"/>
                <w:szCs w:val="21"/>
              </w:rPr>
              <w:t>）建设管理部门应加强对施工场地的噪声管理，施工企业也应对施工噪声进行自律，文明施工，避免因施工噪声产生纠纷。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采取上述措施后可以消减施工期噪声及振动的影响，项目施工边界达到《建筑施工场界环境噪声排放标准》（GB12523-2011）表1排放限值，即：昼间≤70dB(A)。再经过空间的削弱可使项目噪声大大降低，因此项目不会对声环境造成影响。场界距噪声敏感建筑物较近，在噪声敏感建筑物室内测量，</w:t>
            </w:r>
            <w:r>
              <w:rPr>
                <w:rFonts w:hint="eastAsia" w:ascii="Times New Roman" w:hAnsi="Times New Roman" w:cs="Times New Roman"/>
                <w:color w:val="auto"/>
                <w:sz w:val="21"/>
                <w:szCs w:val="21"/>
              </w:rPr>
              <w:t>可以</w:t>
            </w:r>
            <w:r>
              <w:rPr>
                <w:rFonts w:ascii="Times New Roman" w:hAnsi="Times New Roman" w:cs="Times New Roman"/>
                <w:color w:val="auto"/>
                <w:sz w:val="21"/>
                <w:szCs w:val="21"/>
              </w:rPr>
              <w:t>达到昼间≤</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rPr>
              <w:t>0dB(A)</w:t>
            </w:r>
            <w:r>
              <w:rPr>
                <w:rFonts w:hint="eastAsia" w:ascii="Times New Roman" w:hAnsi="Times New Roman" w:cs="Times New Roman"/>
                <w:color w:val="auto"/>
                <w:sz w:val="21"/>
                <w:szCs w:val="21"/>
              </w:rPr>
              <w:t>的限值要求</w:t>
            </w:r>
            <w:r>
              <w:rPr>
                <w:rFonts w:ascii="Times New Roman" w:hAnsi="Times New Roman" w:cs="Times New Roman"/>
                <w:color w:val="auto"/>
                <w:sz w:val="21"/>
                <w:szCs w:val="21"/>
              </w:rPr>
              <w:t>。只要施工单位加强管理，切实落实好以上措施，对周围声环境的影响较轻微，同时，该影响也将随施工期的结束而消失。</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4、固体废弃物</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在邻近建筑场处，因施工会产生大量的建筑废弃物，包括施工及结束时剩余的废弃建筑材料、施工器械，开挖地基、平整土地的土石方等，该建筑废弃物主要影响通行，同时也可能在降雨、刮风等天气条件下产生污水和扬尘，从而造成环境的污染。建设过程中所产生的砖块、沙子、包装废料等垃圾、施工人员的生活垃圾(如蔬菜叶、瓜果皮、废纸等)应集中堆放，及时运至，送环卫部门指定的建筑垃圾填埋场进行填埋。</w:t>
            </w:r>
            <w:r>
              <w:rPr>
                <w:rFonts w:hint="eastAsia" w:ascii="Times New Roman" w:hAnsi="Times New Roman" w:cs="Times New Roman"/>
                <w:color w:val="auto"/>
                <w:sz w:val="21"/>
                <w:szCs w:val="21"/>
              </w:rPr>
              <w:t>施工期工人产生的生活垃圾集中收集后统一送至环卫部门处理。</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rPr>
            </w:pPr>
            <w:r>
              <w:rPr>
                <w:rFonts w:ascii="Times New Roman" w:hAnsi="Times New Roman" w:cs="Times New Roman"/>
                <w:b/>
                <w:bCs/>
                <w:color w:val="auto"/>
                <w:sz w:val="21"/>
                <w:szCs w:val="21"/>
              </w:rPr>
              <w:t>5、生态环境</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本项目占地为建设用地，新增用地现状为空地，</w:t>
            </w:r>
            <w:r>
              <w:rPr>
                <w:rFonts w:ascii="Times New Roman" w:hAnsi="Times New Roman" w:cs="Times New Roman"/>
                <w:color w:val="auto"/>
                <w:kern w:val="2"/>
                <w:sz w:val="21"/>
                <w:szCs w:val="21"/>
                <w:lang w:val="en-US" w:bidi="ar-SA"/>
              </w:rPr>
              <w:t>用地范围内不涉及生态环境保护目标，不占用耕地。</w:t>
            </w:r>
            <w:r>
              <w:rPr>
                <w:rFonts w:ascii="Times New Roman" w:hAnsi="Times New Roman" w:cs="Times New Roman"/>
                <w:color w:val="auto"/>
                <w:sz w:val="21"/>
                <w:szCs w:val="21"/>
              </w:rPr>
              <w:t>施工期生态影响主要是占地影响，植被破坏影响，现场水土流失影响。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hint="eastAsia" w:ascii="Times New Roman" w:hAnsi="Times New Roman" w:cs="Times New Roman"/>
                <w:color w:val="auto"/>
                <w:sz w:val="21"/>
                <w:szCs w:val="21"/>
              </w:rPr>
              <w:t>本项目占地现为空地，</w:t>
            </w:r>
            <w:r>
              <w:rPr>
                <w:rFonts w:ascii="Times New Roman" w:hAnsi="Times New Roman" w:cs="Times New Roman"/>
                <w:color w:val="auto"/>
                <w:sz w:val="21"/>
                <w:szCs w:val="21"/>
                <w:lang w:val="en-US"/>
              </w:rPr>
              <w:t>占地范围内无明显植被覆盖、无野生动物，场区施工过程中不会造成场区内明显生物量损失。开发过程所进行的土壤平整、土地开挖、取土、堆土等，会改变土层结构、产生一定的水土流失，原有土壤结构、理化性质将会发生明显改变，不利于植被生长。施工扬尘、运输车辆废气等，将使周边特别是沿运输线路两边的植被受到危害。场区内施工场地生产生活污水、施工机具的洗污水等，各种施工机械的废气排放等，均会对周围的植被产生不良影响，改变原有植物格局，导致功能和结构的丧失。项目施工期对周围生态环境的影响较小，施工期活动结束后可恢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本次评价要求建设单位采取以下措施控制水土流失情况：</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1</w:t>
            </w:r>
            <w:r>
              <w:rPr>
                <w:rFonts w:ascii="Times New Roman" w:hAnsi="Times New Roman" w:cs="Times New Roman"/>
                <w:color w:val="auto"/>
                <w:sz w:val="21"/>
                <w:szCs w:val="21"/>
              </w:rPr>
              <w:t>）进一步优化主体工程设计，在既保证主体工程顺利施工的条件下，同时兼顾水土保持的要求；</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2</w:t>
            </w:r>
            <w:r>
              <w:rPr>
                <w:rFonts w:ascii="Times New Roman" w:hAnsi="Times New Roman" w:cs="Times New Roman"/>
                <w:color w:val="auto"/>
                <w:sz w:val="21"/>
                <w:szCs w:val="21"/>
              </w:rPr>
              <w:t>）规范施工程序，优化施工组织和施工工艺。合理安排施工时序，尽量缩短施工工期，减少疏松地面的裸露时间，尽量避开雨季施工，适时开挖，减轻施工期造成的水土流失，增加土石方移动过程中临时处理措施，完善边坡挡土工程，将水土流失尽量控制在项目区内进行防治，既有利于阻挡水、土外流，防止对四周造成危害，又有利于施工管理；</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3</w:t>
            </w:r>
            <w:r>
              <w:rPr>
                <w:rFonts w:ascii="Times New Roman" w:hAnsi="Times New Roman" w:cs="Times New Roman"/>
                <w:color w:val="auto"/>
                <w:sz w:val="21"/>
                <w:szCs w:val="21"/>
              </w:rPr>
              <w:t>）增加临时排水措施和沉沙池工程，本工程全面扰动地表，施工建设期土体裸露面积大、裸露时间较长，雨季易产生严重水土流失，因此在采取永久性防治措施之前，应采取临时性措施，控制施工期水土流失；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4</w:t>
            </w:r>
            <w:r>
              <w:rPr>
                <w:rFonts w:ascii="Times New Roman" w:hAnsi="Times New Roman" w:cs="Times New Roman"/>
                <w:color w:val="auto"/>
                <w:sz w:val="21"/>
                <w:szCs w:val="21"/>
              </w:rPr>
              <w:t>）项目道路及给排水管网一次敷设到位，避免改沟改路，尤其应防止沟渠受截而使水流冲刷改道，造成水土流失；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对植被应尽量保护，应按要求制定施工操作制度并严格监督执行，坚决制止乱挖乱堆，将土壤和植被的破坏控制在最低水平。对施工过程中毁坏的树木和植被，工程施工后应尽量予以恢复、加强绿化，最大限度地减少水土流失。</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rPr>
            </w:pPr>
            <w:r>
              <w:rPr>
                <w:rFonts w:ascii="Times New Roman" w:hAnsi="Times New Roman" w:cs="Times New Roman"/>
                <w:color w:val="auto"/>
                <w:sz w:val="21"/>
                <w:szCs w:val="21"/>
              </w:rPr>
              <w:t>总之，施工期产生的污染物，对项目周围附近区域环境的影响是不可避免的。但只要加强管理，合理施工，认真落实各项防治措施，同时与周围居民协调好关系，就能尽量避免扰民事件的发生。施工期结束后，相应的污染即随之消失，不会对周围环境产生长期不良影响。</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pStyle w:val="5"/>
              <w:spacing w:before="120" w:after="120"/>
              <w:rPr>
                <w:color w:val="auto"/>
                <w:lang w:val="en-US"/>
              </w:rPr>
            </w:pPr>
          </w:p>
          <w:p>
            <w:pPr>
              <w:rPr>
                <w:color w:val="auto"/>
                <w:lang w:val="en-US"/>
              </w:rPr>
            </w:pPr>
          </w:p>
          <w:p>
            <w:pPr>
              <w:rPr>
                <w:color w:val="auto"/>
                <w:lang w:val="en-US"/>
              </w:rPr>
            </w:pPr>
          </w:p>
          <w:p>
            <w:pPr>
              <w:pStyle w:val="5"/>
              <w:spacing w:before="120" w:after="120"/>
              <w:rPr>
                <w:color w:val="auto"/>
                <w:lang w:val="en-US"/>
              </w:rPr>
            </w:pPr>
          </w:p>
          <w:p>
            <w:pPr>
              <w:rPr>
                <w:color w:val="auto"/>
                <w:lang w:val="en-US"/>
              </w:rPr>
            </w:pPr>
          </w:p>
          <w:p>
            <w:pPr>
              <w:rPr>
                <w:color w:val="auto"/>
                <w:lang w:val="en-US"/>
              </w:rPr>
            </w:pPr>
          </w:p>
          <w:p>
            <w:pPr>
              <w:pStyle w:val="5"/>
              <w:spacing w:before="120" w:after="120"/>
              <w:rPr>
                <w:color w:val="auto"/>
                <w:lang w:val="en-US"/>
              </w:rPr>
            </w:pPr>
          </w:p>
          <w:p>
            <w:pPr>
              <w:rPr>
                <w:color w:val="auto"/>
                <w:lang w:val="en-US"/>
              </w:rPr>
            </w:pPr>
          </w:p>
          <w:p>
            <w:pPr>
              <w:pStyle w:val="41"/>
              <w:ind w:firstLine="560"/>
              <w:rPr>
                <w:color w:val="auto"/>
              </w:rPr>
            </w:pPr>
          </w:p>
          <w:p>
            <w:pPr>
              <w:rPr>
                <w:color w:val="auto"/>
                <w:lang w:val="en-US"/>
              </w:rPr>
            </w:pPr>
          </w:p>
          <w:p>
            <w:pPr>
              <w:pStyle w:val="41"/>
              <w:ind w:firstLine="560"/>
              <w:rPr>
                <w:color w:val="auto"/>
              </w:rPr>
            </w:pPr>
          </w:p>
          <w:p>
            <w:pPr>
              <w:rPr>
                <w:color w:val="auto"/>
                <w:lang w:val="en-US"/>
              </w:rPr>
            </w:pPr>
          </w:p>
          <w:p>
            <w:pPr>
              <w:rPr>
                <w:color w:val="auto"/>
                <w:lang w:val="en-US"/>
              </w:rPr>
            </w:pPr>
          </w:p>
          <w:p>
            <w:pPr>
              <w:rPr>
                <w:color w:val="auto"/>
                <w:lang w:val="en-US"/>
              </w:rPr>
            </w:pPr>
          </w:p>
          <w:p>
            <w:pPr>
              <w:rPr>
                <w:color w:val="auto"/>
              </w:rPr>
            </w:pPr>
          </w:p>
          <w:p>
            <w:pPr>
              <w:pStyle w:val="5"/>
              <w:spacing w:before="120" w:after="120"/>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运</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影</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响</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和</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5"/>
              <w:autoSpaceDE/>
              <w:autoSpaceDN/>
              <w:spacing w:line="400" w:lineRule="exact"/>
              <w:ind w:left="550" w:leftChars="25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一、废气</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1、废气排放及治理</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本项目有组织废气排放情况及污染源参数见下表。</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表4.1 大气污染物有组织排放量核算表（有组织）</w:t>
            </w:r>
          </w:p>
          <w:tbl>
            <w:tblPr>
              <w:tblStyle w:val="32"/>
              <w:tblW w:w="4911" w:type="pct"/>
              <w:jc w:val="center"/>
              <w:tblLayout w:type="fixed"/>
              <w:tblCellMar>
                <w:top w:w="0" w:type="dxa"/>
                <w:left w:w="108" w:type="dxa"/>
                <w:bottom w:w="0" w:type="dxa"/>
                <w:right w:w="108" w:type="dxa"/>
              </w:tblCellMar>
            </w:tblPr>
            <w:tblGrid>
              <w:gridCol w:w="343"/>
              <w:gridCol w:w="723"/>
              <w:gridCol w:w="604"/>
              <w:gridCol w:w="706"/>
              <w:gridCol w:w="790"/>
              <w:gridCol w:w="586"/>
              <w:gridCol w:w="826"/>
              <w:gridCol w:w="963"/>
              <w:gridCol w:w="757"/>
              <w:gridCol w:w="551"/>
              <w:gridCol w:w="963"/>
              <w:gridCol w:w="741"/>
              <w:gridCol w:w="751"/>
            </w:tblGrid>
            <w:tr>
              <w:tblPrEx>
                <w:tblCellMar>
                  <w:top w:w="0" w:type="dxa"/>
                  <w:left w:w="108" w:type="dxa"/>
                  <w:bottom w:w="0" w:type="dxa"/>
                  <w:right w:w="108" w:type="dxa"/>
                </w:tblCellMar>
              </w:tblPrEx>
              <w:trPr>
                <w:trHeight w:val="270" w:hRule="atLeast"/>
                <w:jc w:val="center"/>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排放口</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产生情况</w:t>
                  </w:r>
                </w:p>
              </w:tc>
              <w:tc>
                <w:tcPr>
                  <w:tcW w:w="24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810" w:hRule="atLeast"/>
                <w:jc w:val="center"/>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产生浓度mg/m</w:t>
                  </w:r>
                  <w:r>
                    <w:rPr>
                      <w:rFonts w:ascii="Times New Roman" w:hAnsi="Times New Roman" w:cs="Times New Roman"/>
                      <w:b/>
                      <w:bCs/>
                      <w:color w:val="auto"/>
                      <w:sz w:val="21"/>
                      <w:szCs w:val="21"/>
                      <w:vertAlign w:val="superscript"/>
                      <w:lang w:val="en-US"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产生速率kg/h</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45" w:hRule="atLeast"/>
                <w:jc w:val="center"/>
              </w:trPr>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DA004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袋式除尘</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48</w:t>
                  </w:r>
                  <w:r>
                    <w:rPr>
                      <w:rFonts w:ascii="Times New Roman" w:hAnsi="Times New Roman" w:cs="Times New Roman"/>
                      <w:color w:val="auto"/>
                      <w:sz w:val="21"/>
                      <w:szCs w:val="21"/>
                      <w:lang w:val="en-US" w:bidi="ar"/>
                    </w:rPr>
                    <w:t>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467.151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2.970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14.254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2.261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 xml:space="preserve">0.069 </w:t>
                  </w:r>
                </w:p>
              </w:tc>
            </w:tr>
            <w:tr>
              <w:tblPrEx>
                <w:tblCellMar>
                  <w:top w:w="0" w:type="dxa"/>
                  <w:left w:w="108" w:type="dxa"/>
                  <w:bottom w:w="0" w:type="dxa"/>
                  <w:right w:w="108" w:type="dxa"/>
                </w:tblCellMar>
              </w:tblPrEx>
              <w:trPr>
                <w:trHeight w:val="45" w:hRule="atLeast"/>
                <w:jc w:val="center"/>
              </w:trPr>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DA005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1403.520</w:t>
                  </w:r>
                  <w:r>
                    <w:rPr>
                      <w:rFonts w:ascii="Times New Roman" w:hAnsi="Times New Roman" w:cs="Times New Roman"/>
                      <w:color w:val="auto"/>
                      <w:sz w:val="21"/>
                      <w:szCs w:val="21"/>
                      <w:lang w:val="en-US"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10.526</w:t>
                  </w:r>
                  <w:r>
                    <w:rPr>
                      <w:rFonts w:ascii="Times New Roman" w:hAnsi="Times New Roman" w:cs="Times New Roman"/>
                      <w:color w:val="auto"/>
                      <w:sz w:val="21"/>
                      <w:szCs w:val="21"/>
                      <w:lang w:val="en-US" w:bidi="ar"/>
                    </w:rPr>
                    <w:t xml:space="preserve">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7.895</w:t>
                  </w:r>
                  <w:r>
                    <w:rPr>
                      <w:rFonts w:ascii="Times New Roman" w:hAnsi="Times New Roman" w:cs="Times New Roman"/>
                      <w:color w:val="auto"/>
                      <w:sz w:val="21"/>
                      <w:szCs w:val="21"/>
                      <w:lang w:val="en-US" w:bidi="ar"/>
                    </w:rPr>
                    <w:t xml:space="preserve"> </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6.947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0.052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 xml:space="preserve">0.039 </w:t>
                  </w:r>
                </w:p>
              </w:tc>
            </w:tr>
            <w:tr>
              <w:tblPrEx>
                <w:tblCellMar>
                  <w:top w:w="0" w:type="dxa"/>
                  <w:left w:w="108" w:type="dxa"/>
                  <w:bottom w:w="0" w:type="dxa"/>
                  <w:right w:w="108" w:type="dxa"/>
                </w:tblCellMar>
              </w:tblPrEx>
              <w:trPr>
                <w:trHeight w:val="45" w:hRule="atLeast"/>
                <w:jc w:val="center"/>
              </w:trPr>
              <w:tc>
                <w:tcPr>
                  <w:tcW w:w="68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合计有组织排放量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eastAsia="zh-CN" w:bidi="ar"/>
                    </w:rPr>
                    <w:t>1084</w:t>
                  </w:r>
                  <w:r>
                    <w:rPr>
                      <w:rFonts w:ascii="Times New Roman" w:hAnsi="Times New Roman" w:cs="Times New Roman"/>
                      <w:color w:val="auto"/>
                      <w:sz w:val="21"/>
                      <w:szCs w:val="21"/>
                      <w:lang w:val="en-US" w:bidi="ar"/>
                    </w:rPr>
                    <w:t>t/a</w:t>
                  </w:r>
                </w:p>
              </w:tc>
            </w:tr>
          </w:tbl>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表4.2  主要废气污染源参数一览表(点源)</w:t>
            </w:r>
          </w:p>
          <w:tbl>
            <w:tblPr>
              <w:tblStyle w:val="32"/>
              <w:tblW w:w="4910" w:type="pct"/>
              <w:jc w:val="center"/>
              <w:tblLayout w:type="fixed"/>
              <w:tblCellMar>
                <w:top w:w="0" w:type="dxa"/>
                <w:left w:w="108" w:type="dxa"/>
                <w:bottom w:w="0" w:type="dxa"/>
                <w:right w:w="108" w:type="dxa"/>
              </w:tblCellMar>
            </w:tblPr>
            <w:tblGrid>
              <w:gridCol w:w="279"/>
              <w:gridCol w:w="2397"/>
              <w:gridCol w:w="954"/>
              <w:gridCol w:w="1332"/>
              <w:gridCol w:w="1247"/>
              <w:gridCol w:w="954"/>
              <w:gridCol w:w="715"/>
              <w:gridCol w:w="707"/>
              <w:gridCol w:w="715"/>
            </w:tblGrid>
            <w:tr>
              <w:tblPrEx>
                <w:tblCellMar>
                  <w:top w:w="0" w:type="dxa"/>
                  <w:left w:w="108" w:type="dxa"/>
                  <w:bottom w:w="0" w:type="dxa"/>
                  <w:right w:w="108" w:type="dxa"/>
                </w:tblCellMar>
              </w:tblPrEx>
              <w:trPr>
                <w:trHeight w:val="151" w:hRule="atLeast"/>
                <w:jc w:val="center"/>
              </w:trPr>
              <w:tc>
                <w:tcPr>
                  <w:tcW w:w="27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2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污染源名称</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污染物名称</w:t>
                  </w:r>
                </w:p>
              </w:tc>
              <w:tc>
                <w:tcPr>
                  <w:tcW w:w="2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排气筒底部中心坐标</w:t>
                  </w:r>
                  <w:r>
                    <w:rPr>
                      <w:rStyle w:val="84"/>
                      <w:color w:val="auto"/>
                      <w:sz w:val="21"/>
                      <w:szCs w:val="21"/>
                      <w:lang w:val="en-US" w:bidi="ar"/>
                    </w:rPr>
                    <w:t>( °)</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排气筒底部海拔高度</w:t>
                  </w:r>
                  <w:r>
                    <w:rPr>
                      <w:rStyle w:val="84"/>
                      <w:color w:val="auto"/>
                      <w:sz w:val="21"/>
                      <w:szCs w:val="21"/>
                      <w:lang w:val="en-US" w:bidi="ar"/>
                    </w:rPr>
                    <w:t>(m)</w:t>
                  </w:r>
                </w:p>
              </w:tc>
              <w:tc>
                <w:tcPr>
                  <w:tcW w:w="2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排气筒参数</w:t>
                  </w:r>
                </w:p>
              </w:tc>
            </w:tr>
            <w:tr>
              <w:tblPrEx>
                <w:tblCellMar>
                  <w:top w:w="0" w:type="dxa"/>
                  <w:left w:w="108" w:type="dxa"/>
                  <w:bottom w:w="0" w:type="dxa"/>
                  <w:right w:w="108" w:type="dxa"/>
                </w:tblCellMar>
              </w:tblPrEx>
              <w:trPr>
                <w:trHeight w:val="380" w:hRule="atLeast"/>
                <w:jc w:val="center"/>
              </w:trPr>
              <w:tc>
                <w:tcPr>
                  <w:tcW w:w="2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2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经度</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纬度</w:t>
                  </w: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高度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内径</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温度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color w:val="auto"/>
                      <w:sz w:val="21"/>
                      <w:szCs w:val="21"/>
                      <w:lang w:val="en-US" w:bidi="ar"/>
                    </w:rPr>
                    <w:t>（</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114°55′39.628″</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36°18′49.485″</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15</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0.6</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20</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114°55′40.169″</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lang w:val="en-US"/>
                    </w:rPr>
                    <w:t>6°18′49.485″</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bidi="ar"/>
                    </w:rPr>
                    <w:t>20</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0.4</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20</w:t>
                  </w:r>
                </w:p>
              </w:tc>
            </w:tr>
          </w:tbl>
          <w:p>
            <w:pPr>
              <w:pStyle w:val="25"/>
              <w:tabs>
                <w:tab w:val="left" w:pos="402"/>
              </w:tabs>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1</w:t>
            </w:r>
            <w:r>
              <w:rPr>
                <w:rFonts w:ascii="Times New Roman" w:hAnsi="Times New Roman" w:cs="Times New Roman"/>
                <w:b/>
                <w:color w:val="auto"/>
                <w:sz w:val="21"/>
                <w:szCs w:val="21"/>
              </w:rPr>
              <w:t>）</w:t>
            </w:r>
            <w:r>
              <w:rPr>
                <w:rFonts w:ascii="Times New Roman" w:hAnsi="Times New Roman" w:cs="Times New Roman"/>
                <w:b/>
                <w:bCs/>
                <w:color w:val="auto"/>
                <w:sz w:val="21"/>
                <w:szCs w:val="21"/>
                <w:lang w:val="en-US"/>
              </w:rPr>
              <w:t>骨料配料粉尘（G</w:t>
            </w:r>
            <w:r>
              <w:rPr>
                <w:rFonts w:ascii="Times New Roman" w:hAnsi="Times New Roman" w:cs="Times New Roman"/>
                <w:b/>
                <w:bCs/>
                <w:color w:val="auto"/>
                <w:sz w:val="21"/>
                <w:szCs w:val="21"/>
                <w:vertAlign w:val="subscript"/>
                <w:lang w:val="en-US"/>
              </w:rPr>
              <w:t>2</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hint="eastAsia" w:ascii="Times New Roman" w:hAnsi="Times New Roman" w:cs="Times New Roman"/>
                <w:color w:val="auto"/>
                <w:sz w:val="21"/>
                <w:szCs w:val="21"/>
              </w:rPr>
              <w:t>一</w:t>
            </w:r>
            <w:r>
              <w:rPr>
                <w:rFonts w:ascii="Times New Roman" w:hAnsi="Times New Roman" w:cs="Times New Roman"/>
                <w:color w:val="auto"/>
                <w:sz w:val="21"/>
                <w:szCs w:val="21"/>
              </w:rPr>
              <w:t>条</w:t>
            </w:r>
            <w:r>
              <w:rPr>
                <w:rFonts w:ascii="Times New Roman" w:hAnsi="Times New Roman" w:cs="Times New Roman"/>
                <w:color w:val="auto"/>
                <w:sz w:val="21"/>
                <w:szCs w:val="21"/>
                <w:lang w:val="en-US"/>
              </w:rPr>
              <w:t>，设4个骨料配料仓，</w:t>
            </w:r>
            <w:r>
              <w:rPr>
                <w:rFonts w:ascii="Times New Roman" w:hAnsi="Times New Roman" w:cs="Times New Roman"/>
                <w:color w:val="auto"/>
                <w:kern w:val="21"/>
                <w:sz w:val="21"/>
                <w:szCs w:val="21"/>
              </w:rPr>
              <w:t>成一字并排设置</w:t>
            </w:r>
            <w:r>
              <w:rPr>
                <w:rFonts w:ascii="Times New Roman" w:hAnsi="Times New Roman" w:cs="Times New Roman"/>
                <w:color w:val="auto"/>
                <w:sz w:val="21"/>
                <w:szCs w:val="21"/>
                <w:lang w:val="en-US"/>
              </w:rPr>
              <w:t>。采用装载机向骨料配料仓中上料，该工序由于物料落差会产生上料粉尘。根据中国环境科学出版社出版的《逸散性工业粉尘控制技术》中相关经验系数可知，卸砂和粒料至贮箱逸散尘排放因子为0.02kg/t（搬运料），本工序共使用细骨料3</w:t>
            </w:r>
            <w:r>
              <w:rPr>
                <w:rFonts w:hint="eastAsia" w:ascii="Times New Roman" w:hAnsi="Times New Roman" w:cs="Times New Roman"/>
                <w:color w:val="auto"/>
                <w:sz w:val="21"/>
                <w:szCs w:val="21"/>
                <w:lang w:val="en-US"/>
              </w:rPr>
              <w:t>07017</w:t>
            </w:r>
            <w:r>
              <w:rPr>
                <w:rFonts w:ascii="Times New Roman" w:hAnsi="Times New Roman" w:cs="Times New Roman"/>
                <w:color w:val="auto"/>
                <w:sz w:val="21"/>
                <w:szCs w:val="21"/>
                <w:lang w:val="en-US"/>
              </w:rPr>
              <w:t>t/a，则骨料配料粉尘产生量约为</w:t>
            </w:r>
            <w:r>
              <w:rPr>
                <w:rFonts w:hint="eastAsia" w:ascii="Times New Roman" w:hAnsi="Times New Roman" w:cs="Times New Roman"/>
                <w:color w:val="auto"/>
                <w:sz w:val="21"/>
                <w:szCs w:val="21"/>
                <w:lang w:val="en-US"/>
              </w:rPr>
              <w:t>6.140</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本项目拟在每座骨料配料仓</w:t>
            </w:r>
            <w:r>
              <w:rPr>
                <w:rFonts w:hint="eastAsia" w:ascii="Times New Roman" w:hAnsi="Times New Roman" w:cs="Times New Roman"/>
                <w:color w:val="auto"/>
                <w:sz w:val="21"/>
                <w:szCs w:val="21"/>
                <w:lang w:val="en-US" w:eastAsia="zh-CN"/>
              </w:rPr>
              <w:t>、计量设备</w:t>
            </w:r>
            <w:r>
              <w:rPr>
                <w:rFonts w:ascii="Times New Roman" w:hAnsi="Times New Roman" w:cs="Times New Roman"/>
                <w:color w:val="auto"/>
                <w:sz w:val="21"/>
                <w:szCs w:val="21"/>
                <w:lang w:val="en-US"/>
              </w:rPr>
              <w:t>上方设置集气罩，产生的废气经集气罩收集至一</w:t>
            </w:r>
            <w:r>
              <w:rPr>
                <w:rFonts w:hint="eastAsia" w:ascii="Times New Roman" w:hAnsi="Times New Roman" w:cs="Times New Roman"/>
                <w:color w:val="auto"/>
                <w:sz w:val="21"/>
                <w:szCs w:val="21"/>
                <w:lang w:val="en-US"/>
              </w:rPr>
              <w:t>套脉冲</w:t>
            </w:r>
            <w:r>
              <w:rPr>
                <w:rFonts w:ascii="Times New Roman" w:hAnsi="Times New Roman" w:cs="Times New Roman"/>
                <w:color w:val="auto"/>
                <w:sz w:val="21"/>
                <w:szCs w:val="21"/>
                <w:lang w:val="en-US"/>
              </w:rPr>
              <w:t>布袋除尘器处理后，通过1根15m高排气筒（</w:t>
            </w: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DA004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②计量废气（G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）、搅拌废气（G</w:t>
            </w:r>
            <w:r>
              <w:rPr>
                <w:rFonts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，各粉料向计量设备投料时会产生粉尘。根据中国环境科学出版社出版的《逸散性工业粉尘控制技术》中相关经验系数可知，装粉料进入计量装置逸散尘排放因子为0.01kg/t（装料），本工序水泥的年耗量为</w:t>
            </w:r>
            <w:r>
              <w:rPr>
                <w:rFonts w:hint="eastAsia" w:ascii="Times New Roman" w:hAnsi="Times New Roman" w:cs="Times New Roman"/>
                <w:color w:val="auto"/>
                <w:sz w:val="21"/>
                <w:szCs w:val="21"/>
                <w:lang w:val="en-US" w:bidi="ar"/>
              </w:rPr>
              <w:t>4386</w:t>
            </w:r>
            <w:r>
              <w:rPr>
                <w:rFonts w:ascii="Times New Roman" w:hAnsi="Times New Roman" w:cs="Times New Roman"/>
                <w:color w:val="auto"/>
                <w:sz w:val="21"/>
                <w:szCs w:val="21"/>
                <w:lang w:val="en-US" w:bidi="ar"/>
              </w:rPr>
              <w:t>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w:t>
            </w:r>
            <w:r>
              <w:rPr>
                <w:rFonts w:hint="eastAsia" w:ascii="Times New Roman" w:hAnsi="Times New Roman" w:cs="Times New Roman"/>
                <w:color w:val="auto"/>
                <w:sz w:val="21"/>
                <w:szCs w:val="21"/>
                <w:lang w:val="en-US"/>
              </w:rPr>
              <w:t>65790</w:t>
            </w:r>
            <w:r>
              <w:rPr>
                <w:rFonts w:ascii="Times New Roman" w:hAnsi="Times New Roman" w:cs="Times New Roman"/>
                <w:color w:val="auto"/>
                <w:sz w:val="21"/>
                <w:szCs w:val="21"/>
                <w:lang w:val="en-US"/>
              </w:rPr>
              <w:t>t/a，则计量粉尘产生量共计</w:t>
            </w:r>
            <w:r>
              <w:rPr>
                <w:rFonts w:hint="eastAsia" w:ascii="Times New Roman" w:hAnsi="Times New Roman" w:cs="Times New Roman"/>
                <w:color w:val="auto"/>
                <w:sz w:val="21"/>
                <w:szCs w:val="21"/>
                <w:lang w:val="en-US"/>
              </w:rPr>
              <w:t>0.6579</w:t>
            </w:r>
            <w:r>
              <w:rPr>
                <w:rFonts w:ascii="Times New Roman" w:hAnsi="Times New Roman" w:cs="Times New Roman"/>
                <w:color w:val="auto"/>
                <w:sz w:val="21"/>
                <w:szCs w:val="21"/>
                <w:lang w:val="en-US"/>
              </w:rPr>
              <w:t>t/a。</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搅拌过程中，添加水通过水泵从搅拌机顶端均匀地喷洒在搅拌装置内，故搅拌过程中粉尘量较少，该工序粉尘主要为向搅拌机投料时产生的粉尘。根据中国环境科学出版社出版的《逸散性工业粉尘控制技术》中相关经验系数可知，装粉料、砂料入搅拌机逸散尘排放因子为0.02kg/t（装料），本工序水泥的年耗量为</w:t>
            </w:r>
            <w:r>
              <w:rPr>
                <w:rFonts w:hint="eastAsia" w:ascii="Times New Roman" w:hAnsi="Times New Roman" w:cs="Times New Roman"/>
                <w:color w:val="auto"/>
                <w:sz w:val="21"/>
                <w:szCs w:val="21"/>
                <w:lang w:val="en-US" w:bidi="ar"/>
              </w:rPr>
              <w:t>4386</w:t>
            </w:r>
            <w:r>
              <w:rPr>
                <w:rFonts w:ascii="Times New Roman" w:hAnsi="Times New Roman" w:cs="Times New Roman"/>
                <w:color w:val="auto"/>
                <w:sz w:val="21"/>
                <w:szCs w:val="21"/>
                <w:lang w:val="en-US" w:bidi="ar"/>
              </w:rPr>
              <w:t>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bidi="ar"/>
              </w:rPr>
              <w:t>t/a</w:t>
            </w:r>
            <w:r>
              <w:rPr>
                <w:rFonts w:hint="eastAsia" w:ascii="Times New Roman" w:hAnsi="Times New Roman" w:cs="Times New Roman"/>
                <w:color w:val="auto"/>
                <w:sz w:val="21"/>
                <w:szCs w:val="21"/>
                <w:lang w:val="en-US" w:bidi="ar"/>
              </w:rPr>
              <w:t>，</w:t>
            </w:r>
            <w:r>
              <w:rPr>
                <w:rFonts w:ascii="Times New Roman" w:hAnsi="Times New Roman" w:cs="Times New Roman"/>
                <w:color w:val="auto"/>
                <w:sz w:val="21"/>
                <w:szCs w:val="21"/>
                <w:lang w:val="en-US"/>
              </w:rPr>
              <w:t>细骨料年耗量为3</w:t>
            </w:r>
            <w:r>
              <w:rPr>
                <w:rFonts w:hint="eastAsia" w:ascii="Times New Roman" w:hAnsi="Times New Roman" w:cs="Times New Roman"/>
                <w:color w:val="auto"/>
                <w:sz w:val="21"/>
                <w:szCs w:val="21"/>
                <w:lang w:val="en-US"/>
              </w:rPr>
              <w:t>07017</w:t>
            </w:r>
            <w:r>
              <w:rPr>
                <w:rFonts w:ascii="Times New Roman" w:hAnsi="Times New Roman" w:cs="Times New Roman"/>
                <w:color w:val="auto"/>
                <w:sz w:val="21"/>
                <w:szCs w:val="21"/>
                <w:lang w:val="en-US"/>
              </w:rPr>
              <w:t>t/a，共计</w:t>
            </w:r>
            <w:r>
              <w:rPr>
                <w:rFonts w:hint="eastAsia" w:ascii="Times New Roman" w:hAnsi="Times New Roman" w:cs="Times New Roman"/>
                <w:color w:val="auto"/>
                <w:sz w:val="21"/>
                <w:szCs w:val="21"/>
                <w:lang w:val="en-US"/>
              </w:rPr>
              <w:t>372807</w:t>
            </w:r>
            <w:r>
              <w:rPr>
                <w:rFonts w:ascii="Times New Roman" w:hAnsi="Times New Roman" w:cs="Times New Roman"/>
                <w:color w:val="auto"/>
                <w:sz w:val="21"/>
                <w:szCs w:val="21"/>
                <w:lang w:val="en-US"/>
              </w:rPr>
              <w:t>t/a，则搅拌粉尘产生量共计</w:t>
            </w:r>
            <w:r>
              <w:rPr>
                <w:rFonts w:hint="eastAsia" w:ascii="Times New Roman" w:hAnsi="Times New Roman" w:cs="Times New Roman"/>
                <w:color w:val="auto"/>
                <w:sz w:val="21"/>
                <w:szCs w:val="21"/>
                <w:lang w:val="en-US"/>
              </w:rPr>
              <w:t>7.456</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粉料计量设备、搅拌设备</w:t>
            </w:r>
            <w:r>
              <w:rPr>
                <w:rFonts w:ascii="Times New Roman" w:hAnsi="Times New Roman" w:cs="Times New Roman"/>
                <w:color w:val="auto"/>
              </w:rPr>
              <w:t>为</w:t>
            </w:r>
            <w:r>
              <w:rPr>
                <w:rFonts w:hint="eastAsia" w:ascii="Times New Roman" w:hAnsi="Times New Roman" w:cs="Times New Roman"/>
                <w:color w:val="auto"/>
                <w:sz w:val="21"/>
                <w:szCs w:val="21"/>
                <w:lang w:val="en-US"/>
              </w:rPr>
              <w:t>一体式封闭式设备，粉尘主要产生于计量斗投料阶段设备呼吸孔位置。搅拌楼自带一套布袋除尘器，位于计量斗呼吸口上方，用于收集搅拌、计量废气，通过通风管道直接连接仓体，生产线计量、搅拌产生的废气均经布袋除尘器处理后，通过通风管道与骨料上料废气合并至1根15m高排气筒排放（上料、计量搅拌废气排放口DA0</w:t>
            </w:r>
            <w:r>
              <w:rPr>
                <w:rFonts w:hint="eastAsia" w:ascii="Times New Roman" w:hAnsi="Times New Roman" w:cs="Times New Roman"/>
                <w:color w:val="auto"/>
                <w:kern w:val="21"/>
                <w:sz w:val="21"/>
                <w:szCs w:val="21"/>
                <w:lang w:val="en-US" w:bidi="ar-SA"/>
              </w:rPr>
              <w:t>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
                <w:sz w:val="21"/>
                <w:szCs w:val="24"/>
                <w:lang w:val="en-US" w:bidi="ar-SA"/>
              </w:rPr>
              <w:t>废气污染物核算见下表。</w:t>
            </w:r>
          </w:p>
          <w:p>
            <w:pPr>
              <w:pStyle w:val="25"/>
              <w:tabs>
                <w:tab w:val="right" w:leader="dot" w:pos="8507"/>
              </w:tabs>
              <w:autoSpaceDE/>
              <w:autoSpaceDN/>
              <w:spacing w:line="480" w:lineRule="exact"/>
              <w:ind w:left="0" w:leftChars="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3</w:t>
            </w:r>
            <w:r>
              <w:rPr>
                <w:rFonts w:ascii="Times New Roman" w:hAnsi="Times New Roman" w:cs="Times New Roman"/>
                <w:b/>
                <w:bCs/>
                <w:color w:val="auto"/>
                <w:kern w:val="2"/>
                <w:sz w:val="21"/>
                <w:szCs w:val="24"/>
                <w:lang w:val="en-US" w:bidi="ar-SA"/>
              </w:rPr>
              <w:t xml:space="preserve">  上料、计量搅拌废气污染物核算一览表</w:t>
            </w:r>
          </w:p>
          <w:tbl>
            <w:tblPr>
              <w:tblStyle w:val="32"/>
              <w:tblW w:w="9214" w:type="dxa"/>
              <w:jc w:val="center"/>
              <w:tblLayout w:type="fixed"/>
              <w:tblCellMar>
                <w:top w:w="0" w:type="dxa"/>
                <w:left w:w="108" w:type="dxa"/>
                <w:bottom w:w="0" w:type="dxa"/>
                <w:right w:w="108" w:type="dxa"/>
              </w:tblCellMar>
            </w:tblPr>
            <w:tblGrid>
              <w:gridCol w:w="269"/>
              <w:gridCol w:w="1187"/>
              <w:gridCol w:w="414"/>
              <w:gridCol w:w="447"/>
              <w:gridCol w:w="678"/>
              <w:gridCol w:w="548"/>
              <w:gridCol w:w="476"/>
              <w:gridCol w:w="519"/>
              <w:gridCol w:w="655"/>
              <w:gridCol w:w="840"/>
              <w:gridCol w:w="660"/>
              <w:gridCol w:w="480"/>
              <w:gridCol w:w="840"/>
              <w:gridCol w:w="645"/>
              <w:gridCol w:w="556"/>
            </w:tblGrid>
            <w:tr>
              <w:tblPrEx>
                <w:tblCellMar>
                  <w:top w:w="0" w:type="dxa"/>
                  <w:left w:w="108" w:type="dxa"/>
                  <w:bottom w:w="0" w:type="dxa"/>
                  <w:right w:w="108" w:type="dxa"/>
                </w:tblCellMar>
              </w:tblPrEx>
              <w:trPr>
                <w:trHeight w:val="270" w:hRule="atLeast"/>
                <w:jc w:val="center"/>
              </w:trPr>
              <w:tc>
                <w:tcPr>
                  <w:tcW w:w="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排放口</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处理能力m</w:t>
                  </w:r>
                  <w:r>
                    <w:rPr>
                      <w:rFonts w:ascii="Times New Roman" w:hAnsi="Times New Roman" w:cs="Times New Roman"/>
                      <w:b/>
                      <w:bCs/>
                      <w:color w:val="auto"/>
                      <w:sz w:val="21"/>
                      <w:szCs w:val="21"/>
                      <w:vertAlign w:val="superscript"/>
                      <w:lang w:val="en-US" w:bidi="ar"/>
                    </w:rPr>
                    <w:t>3</w:t>
                  </w:r>
                  <w:r>
                    <w:rPr>
                      <w:rFonts w:ascii="Times New Roman" w:hAnsi="Times New Roman" w:cs="Times New Roman"/>
                      <w:b/>
                      <w:bCs/>
                      <w:color w:val="auto"/>
                      <w:sz w:val="21"/>
                      <w:szCs w:val="21"/>
                      <w:lang w:val="en-US" w:bidi="ar"/>
                    </w:rPr>
                    <w:t>/h</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90" w:hRule="atLeast"/>
                <w:jc w:val="center"/>
              </w:trPr>
              <w:tc>
                <w:tcPr>
                  <w:tcW w:w="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产生浓度mg/m</w:t>
                  </w:r>
                  <w:r>
                    <w:rPr>
                      <w:rFonts w:ascii="Times New Roman" w:hAnsi="Times New Roman" w:cs="Times New Roman"/>
                      <w:b/>
                      <w:bCs/>
                      <w:color w:val="auto"/>
                      <w:sz w:val="21"/>
                      <w:szCs w:val="21"/>
                      <w:vertAlign w:val="superscript"/>
                      <w:lang w:val="en-US"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1</w:t>
                  </w:r>
                </w:p>
              </w:tc>
              <w:tc>
                <w:tcPr>
                  <w:tcW w:w="1187"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上料</w:t>
                  </w:r>
                  <w:r>
                    <w:rPr>
                      <w:rFonts w:hint="eastAsia" w:ascii="Times New Roman" w:hAnsi="Times New Roman" w:cs="Times New Roman"/>
                      <w:color w:val="auto"/>
                      <w:sz w:val="21"/>
                      <w:szCs w:val="21"/>
                      <w:lang w:val="en-US" w:eastAsia="zh-CN" w:bidi="ar"/>
                    </w:rPr>
                    <w:t>、计量搅拌</w:t>
                  </w:r>
                  <w:r>
                    <w:rPr>
                      <w:rFonts w:hint="default" w:ascii="Times New Roman" w:hAnsi="Times New Roman" w:cs="Times New Roman"/>
                      <w:color w:val="auto"/>
                      <w:sz w:val="21"/>
                      <w:szCs w:val="21"/>
                      <w:lang w:val="en-US" w:eastAsia="zh-CN" w:bidi="ar"/>
                    </w:rPr>
                    <w:t>废气排放口</w:t>
                  </w:r>
                  <w:r>
                    <w:rPr>
                      <w:rFonts w:hint="eastAsia" w:ascii="Times New Roman" w:hAnsi="Times New Roman" w:cs="Times New Roman"/>
                      <w:color w:val="auto"/>
                      <w:sz w:val="21"/>
                      <w:szCs w:val="21"/>
                      <w:lang w:val="en-US" w:eastAsia="zh-CN" w:bidi="ar"/>
                    </w:rPr>
                    <w:t>DA004</w:t>
                  </w:r>
                </w:p>
              </w:tc>
              <w:tc>
                <w:tcPr>
                  <w:tcW w:w="414"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颗粒物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48</w:t>
                  </w:r>
                  <w:r>
                    <w:rPr>
                      <w:rFonts w:hint="default" w:ascii="Times New Roman" w:hAnsi="Times New Roman" w:cs="Times New Roman"/>
                      <w:color w:val="auto"/>
                      <w:sz w:val="21"/>
                      <w:szCs w:val="21"/>
                      <w:lang w:val="en-US" w:eastAsia="zh-CN"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99.</w:t>
                  </w: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255.848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1.279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 xml:space="preserve">6.140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1.215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0.006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0.029 </w:t>
                  </w:r>
                </w:p>
              </w:tc>
            </w:tr>
            <w:tr>
              <w:tblPrEx>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2</w:t>
                  </w:r>
                </w:p>
              </w:tc>
              <w:tc>
                <w:tcPr>
                  <w:tcW w:w="1187" w:type="dxa"/>
                  <w:vMerge w:val="continue"/>
                  <w:tcBorders>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p>
              </w:tc>
              <w:tc>
                <w:tcPr>
                  <w:tcW w:w="414" w:type="dxa"/>
                  <w:vMerge w:val="continue"/>
                  <w:tcBorders>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8000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99%</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48</w:t>
                  </w:r>
                  <w:r>
                    <w:rPr>
                      <w:rFonts w:hint="default" w:ascii="Times New Roman" w:hAnsi="Times New Roman" w:cs="Times New Roman"/>
                      <w:color w:val="auto"/>
                      <w:sz w:val="21"/>
                      <w:szCs w:val="21"/>
                      <w:lang w:val="en-US" w:eastAsia="zh-CN"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99.</w:t>
                  </w:r>
                  <w:r>
                    <w:rPr>
                      <w:rFonts w:hint="eastAsia" w:ascii="Times New Roman" w:hAnsi="Times New Roman" w:cs="Times New Roman"/>
                      <w:color w:val="auto"/>
                      <w:sz w:val="21"/>
                      <w:szCs w:val="21"/>
                      <w:lang w:val="en-US" w:eastAsia="zh-CN" w:bidi="ar"/>
                    </w:rPr>
                    <w:t>5</w:t>
                  </w:r>
                  <w:r>
                    <w:rPr>
                      <w:rFonts w:hint="default" w:ascii="Times New Roman" w:hAnsi="Times New Roman" w:cs="Times New Roman"/>
                      <w:color w:val="auto"/>
                      <w:sz w:val="21"/>
                      <w:szCs w:val="21"/>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211.303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1.690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8.114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1.046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0.008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0.040 </w:t>
                  </w:r>
                </w:p>
              </w:tc>
            </w:tr>
            <w:tr>
              <w:tblPrEx>
                <w:tblCellMar>
                  <w:top w:w="0" w:type="dxa"/>
                  <w:left w:w="108" w:type="dxa"/>
                  <w:bottom w:w="0" w:type="dxa"/>
                  <w:right w:w="108" w:type="dxa"/>
                </w:tblCellMar>
              </w:tblPrEx>
              <w:trPr>
                <w:trHeight w:val="270" w:hRule="atLeast"/>
                <w:jc w:val="center"/>
              </w:trPr>
              <w:tc>
                <w:tcPr>
                  <w:tcW w:w="51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467.151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2.970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14.254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2.261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0.014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 xml:space="preserve">0.069 </w:t>
                  </w:r>
                </w:p>
              </w:tc>
            </w:tr>
          </w:tbl>
          <w:p>
            <w:pPr>
              <w:autoSpaceDE/>
              <w:autoSpaceDN/>
              <w:adjustRightInd w:val="0"/>
              <w:snapToGri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根据上表可知，</w:t>
            </w:r>
            <w:r>
              <w:rPr>
                <w:rFonts w:ascii="Times New Roman" w:hAnsi="Times New Roman" w:cs="Times New Roman"/>
                <w:color w:val="auto"/>
                <w:sz w:val="21"/>
                <w:szCs w:val="21"/>
                <w:lang w:val="en-US"/>
              </w:rPr>
              <w:t>采取上述除尘措施后，颗粒物排放满足《水泥工业大气污染物超低排放标准》（DB13/2167-2020）表1散装水泥中转站及水泥制品生产中（水泥仓及其他通风生产设备）排放标准，即颗粒物排放浓度≤10mg/m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粉料仓粉尘（G</w:t>
            </w:r>
            <w:r>
              <w:rPr>
                <w:rFonts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，配备</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个粉料仓（2个水泥仓，1个粉煤灰仓）。水泥、粉煤灰储存于粉料仓中，储罐进料时，由散装罐车的输送管路与储罐的进料管路连接，通过气体压力将罐内物料输送到储罐内，气力输送过程中粉罐排气将带走大量的粉尘，其顶部呼吸孔粉尘产生量较大，必须经除尘设施除尘后，方可排放。粉料仓高度约</w:t>
            </w:r>
            <w:r>
              <w:rPr>
                <w:rFonts w:hint="eastAsia" w:ascii="Times New Roman" w:hAnsi="Times New Roman" w:cs="Times New Roman"/>
                <w:color w:val="auto"/>
                <w:sz w:val="21"/>
                <w:szCs w:val="21"/>
                <w:lang w:val="en-US" w:eastAsia="zh-CN"/>
              </w:rPr>
              <w:t>18</w:t>
            </w:r>
            <w:r>
              <w:rPr>
                <w:rFonts w:ascii="Times New Roman" w:hAnsi="Times New Roman" w:cs="Times New Roman"/>
                <w:color w:val="auto"/>
                <w:sz w:val="21"/>
                <w:szCs w:val="21"/>
                <w:lang w:val="en-US"/>
              </w:rPr>
              <w:t>m。水泥年消耗量为</w:t>
            </w:r>
            <w:r>
              <w:rPr>
                <w:rFonts w:hint="eastAsia" w:ascii="Times New Roman" w:hAnsi="Times New Roman" w:cs="Times New Roman"/>
                <w:color w:val="auto"/>
                <w:sz w:val="21"/>
                <w:szCs w:val="21"/>
                <w:lang w:val="en-US"/>
              </w:rPr>
              <w:t>43860</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146.2</w:t>
            </w:r>
            <w:r>
              <w:rPr>
                <w:rFonts w:ascii="Times New Roman" w:hAnsi="Times New Roman" w:cs="Times New Roman"/>
                <w:color w:val="auto"/>
                <w:sz w:val="21"/>
                <w:szCs w:val="21"/>
                <w:lang w:val="en-US"/>
              </w:rPr>
              <w:t>t，水泥最大储存量为</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00t，企业拟定每天对水泥进行一次添加，通过50t的水泥罐车运输，每次需要运输</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辆。粉煤灰年耗量为</w:t>
            </w:r>
            <w:r>
              <w:rPr>
                <w:rFonts w:hint="eastAsia" w:ascii="Times New Roman" w:hAnsi="Times New Roman" w:cs="Times New Roman"/>
                <w:color w:val="auto"/>
                <w:sz w:val="21"/>
                <w:szCs w:val="21"/>
                <w:lang w:val="en-US" w:bidi="ar"/>
              </w:rPr>
              <w:t>21930</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73.1</w:t>
            </w:r>
            <w:r>
              <w:rPr>
                <w:rFonts w:ascii="Times New Roman" w:hAnsi="Times New Roman" w:cs="Times New Roman"/>
                <w:color w:val="auto"/>
                <w:sz w:val="21"/>
                <w:szCs w:val="21"/>
                <w:lang w:val="en-US"/>
              </w:rPr>
              <w:t>t，粉煤灰最大储存量为</w:t>
            </w:r>
            <w:r>
              <w:rPr>
                <w:rFonts w:hint="eastAsia" w:ascii="Times New Roman" w:hAnsi="Times New Roman" w:cs="Times New Roman"/>
                <w:color w:val="auto"/>
                <w:sz w:val="21"/>
                <w:szCs w:val="21"/>
                <w:lang w:val="en-US"/>
              </w:rPr>
              <w:t>10</w:t>
            </w:r>
            <w:r>
              <w:rPr>
                <w:rFonts w:ascii="Times New Roman" w:hAnsi="Times New Roman" w:cs="Times New Roman"/>
                <w:color w:val="auto"/>
                <w:sz w:val="21"/>
                <w:szCs w:val="21"/>
                <w:lang w:val="en-US"/>
              </w:rPr>
              <w:t>0t，企业拟定</w:t>
            </w:r>
            <w:r>
              <w:rPr>
                <w:rFonts w:hint="eastAsia" w:ascii="Times New Roman" w:hAnsi="Times New Roman" w:cs="Times New Roman"/>
                <w:color w:val="auto"/>
                <w:sz w:val="21"/>
                <w:szCs w:val="21"/>
                <w:lang w:val="en-US"/>
              </w:rPr>
              <w:t>每4天</w:t>
            </w:r>
            <w:r>
              <w:rPr>
                <w:rFonts w:ascii="Times New Roman" w:hAnsi="Times New Roman" w:cs="Times New Roman"/>
                <w:color w:val="auto"/>
                <w:sz w:val="21"/>
                <w:szCs w:val="21"/>
                <w:lang w:val="en-US"/>
              </w:rPr>
              <w:t>对粉煤灰进行</w:t>
            </w:r>
            <w:r>
              <w:rPr>
                <w:rFonts w:hint="eastAsia" w:ascii="Times New Roman" w:hAnsi="Times New Roman" w:cs="Times New Roman"/>
                <w:color w:val="auto"/>
                <w:sz w:val="21"/>
                <w:szCs w:val="21"/>
                <w:lang w:val="en-US"/>
              </w:rPr>
              <w:t>三</w:t>
            </w:r>
            <w:r>
              <w:rPr>
                <w:rFonts w:ascii="Times New Roman" w:hAnsi="Times New Roman" w:cs="Times New Roman"/>
                <w:color w:val="auto"/>
                <w:sz w:val="21"/>
                <w:szCs w:val="21"/>
                <w:lang w:val="en-US"/>
              </w:rPr>
              <w:t>次添加，通过50t的专用罐车运输，每次需要运输</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辆。粉料输送速率为40t/h，每辆罐车向一座粉料仓加料，各罐车同时加料，每次加料时间总计约</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rPr>
              <w:t>h，全年加料时间</w:t>
            </w:r>
            <w:r>
              <w:rPr>
                <w:rFonts w:hint="eastAsia" w:ascii="Times New Roman" w:hAnsi="Times New Roman" w:cs="Times New Roman"/>
                <w:color w:val="auto"/>
                <w:sz w:val="21"/>
                <w:szCs w:val="21"/>
                <w:lang w:val="en-US"/>
              </w:rPr>
              <w:t>750</w:t>
            </w:r>
            <w:r>
              <w:rPr>
                <w:rFonts w:ascii="Times New Roman" w:hAnsi="Times New Roman" w:cs="Times New Roman"/>
                <w:color w:val="auto"/>
                <w:sz w:val="21"/>
                <w:szCs w:val="21"/>
                <w:lang w:val="en-US"/>
              </w:rPr>
              <w:t>h。</w:t>
            </w:r>
          </w:p>
          <w:p>
            <w:pPr>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本项目水泥的年耗量为</w:t>
            </w:r>
            <w:r>
              <w:rPr>
                <w:rFonts w:hint="eastAsia" w:ascii="Times New Roman" w:hAnsi="Times New Roman" w:cs="Times New Roman"/>
                <w:color w:val="auto"/>
                <w:sz w:val="21"/>
                <w:szCs w:val="21"/>
                <w:lang w:val="en-US" w:bidi="ar"/>
              </w:rPr>
              <w:t>570</w:t>
            </w:r>
            <w:r>
              <w:rPr>
                <w:rFonts w:ascii="Times New Roman" w:hAnsi="Times New Roman" w:cs="Times New Roman"/>
                <w:color w:val="auto"/>
                <w:sz w:val="21"/>
                <w:szCs w:val="21"/>
                <w:lang w:val="en-US" w:bidi="ar"/>
              </w:rPr>
              <w:t>00t/a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36030</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w:t>
            </w:r>
            <w:r>
              <w:rPr>
                <w:rFonts w:hint="eastAsia" w:ascii="Times New Roman" w:hAnsi="Times New Roman" w:cs="Times New Roman"/>
                <w:color w:val="auto"/>
                <w:sz w:val="21"/>
                <w:szCs w:val="21"/>
                <w:lang w:val="en-US"/>
              </w:rPr>
              <w:t>65790</w:t>
            </w:r>
            <w:r>
              <w:rPr>
                <w:rFonts w:ascii="Times New Roman" w:hAnsi="Times New Roman" w:cs="Times New Roman"/>
                <w:color w:val="auto"/>
                <w:sz w:val="21"/>
                <w:szCs w:val="21"/>
                <w:lang w:val="en-US"/>
              </w:rPr>
              <w:t>t/a。经查阅</w:t>
            </w:r>
            <w:r>
              <w:rPr>
                <w:rFonts w:ascii="Times New Roman" w:hAnsi="Times New Roman" w:cs="Times New Roman"/>
                <w:color w:val="auto"/>
                <w:sz w:val="21"/>
                <w:szCs w:val="21"/>
              </w:rPr>
              <w:t>中国环境科学出版社出版的《逸散性工业粉尘控制技术》中相关经验系数</w:t>
            </w:r>
            <w:r>
              <w:rPr>
                <w:rFonts w:ascii="Times New Roman" w:hAnsi="Times New Roman" w:cs="Times New Roman"/>
                <w:color w:val="auto"/>
                <w:sz w:val="21"/>
                <w:szCs w:val="21"/>
                <w:lang w:val="en-US"/>
              </w:rPr>
              <w:t>，贮仓排气逸散尘排放因子为0.12kg/t（卸料），则本项目粉料仓粉尘产生量共计为</w:t>
            </w:r>
            <w:r>
              <w:rPr>
                <w:rFonts w:hint="eastAsia" w:ascii="Times New Roman" w:hAnsi="Times New Roman" w:cs="Times New Roman"/>
                <w:color w:val="auto"/>
                <w:sz w:val="21"/>
                <w:szCs w:val="21"/>
                <w:lang w:val="en-US"/>
              </w:rPr>
              <w:t>7.895</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生产线料仓顶部各排气口设布袋除尘装置，含尘废气经各仓顶除尘器除尘后，通过1根排气筒排放（</w:t>
            </w: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ascii="Times New Roman" w:hAnsi="Times New Roman" w:cs="Times New Roman"/>
                <w:color w:val="auto"/>
                <w:sz w:val="21"/>
                <w:szCs w:val="21"/>
                <w:lang w:val="en-US"/>
              </w:rPr>
              <w:t>），排放高度应不低于</w:t>
            </w:r>
            <w:r>
              <w:rPr>
                <w:rFonts w:hint="eastAsia" w:ascii="Times New Roman" w:hAnsi="Times New Roman" w:cs="Times New Roman"/>
                <w:color w:val="auto"/>
                <w:sz w:val="21"/>
                <w:szCs w:val="21"/>
                <w:lang w:val="en-US" w:eastAsia="zh-CN"/>
              </w:rPr>
              <w:t>20</w:t>
            </w:r>
            <w:r>
              <w:rPr>
                <w:rFonts w:ascii="Times New Roman" w:hAnsi="Times New Roman" w:cs="Times New Roman"/>
                <w:color w:val="auto"/>
                <w:sz w:val="21"/>
                <w:szCs w:val="21"/>
                <w:lang w:val="en-US"/>
              </w:rPr>
              <w:t>m，除尘灰过滤在仓内。参照《排污许可证申请与核发技术规范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粉料仓废气产生、排放情况如下表：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ab/>
            </w:r>
            <w:r>
              <w:rPr>
                <w:rFonts w:ascii="Times New Roman" w:hAnsi="Times New Roman" w:cs="Times New Roman"/>
                <w:b/>
                <w:bCs/>
                <w:color w:val="auto"/>
                <w:sz w:val="21"/>
                <w:szCs w:val="21"/>
                <w:lang w:val="en-US"/>
              </w:rPr>
              <w:t>料仓粉尘产生及排放情况一览表</w:t>
            </w:r>
          </w:p>
          <w:tbl>
            <w:tblPr>
              <w:tblStyle w:val="32"/>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767"/>
              <w:gridCol w:w="802"/>
              <w:gridCol w:w="900"/>
              <w:gridCol w:w="900"/>
              <w:gridCol w:w="438"/>
              <w:gridCol w:w="597"/>
              <w:gridCol w:w="795"/>
              <w:gridCol w:w="720"/>
              <w:gridCol w:w="885"/>
              <w:gridCol w:w="69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000000" w:sz="0" w:space="0"/>
                  </w:tcBorders>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排放源</w:t>
                  </w:r>
                </w:p>
              </w:tc>
              <w:tc>
                <w:tcPr>
                  <w:tcW w:w="802"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产生量（t/a）</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入口浓度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 xml:space="preserve">产生速率 </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（kg/h）</w:t>
                  </w:r>
                </w:p>
              </w:tc>
              <w:tc>
                <w:tcPr>
                  <w:tcW w:w="1035" w:type="dxa"/>
                  <w:gridSpan w:val="2"/>
                  <w:vAlign w:val="center"/>
                </w:tcPr>
                <w:p>
                  <w:pPr>
                    <w:pStyle w:val="52"/>
                    <w:autoSpaceDE/>
                    <w:autoSpaceDN/>
                    <w:ind w:left="-110" w:leftChars="-50" w:right="-110" w:rightChars="-5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1"/>
                      <w:lang w:val="en-US"/>
                    </w:rPr>
                    <w:t>治理措施</w:t>
                  </w:r>
                </w:p>
              </w:tc>
              <w:tc>
                <w:tcPr>
                  <w:tcW w:w="795"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工作时长（h/a）</w:t>
                  </w:r>
                </w:p>
              </w:tc>
              <w:tc>
                <w:tcPr>
                  <w:tcW w:w="720"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风量</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lang w:val="en-US"/>
                    </w:rPr>
                    <w:t>/h）</w:t>
                  </w:r>
                </w:p>
              </w:tc>
              <w:tc>
                <w:tcPr>
                  <w:tcW w:w="885"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69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r>
                    <w:rPr>
                      <w:rFonts w:ascii="Times New Roman" w:hAnsi="Times New Roman" w:cs="Times New Roman"/>
                      <w:b/>
                      <w:bCs/>
                      <w:color w:val="auto"/>
                      <w:sz w:val="21"/>
                      <w:szCs w:val="21"/>
                      <w:lang w:val="en-US"/>
                    </w:rPr>
                    <w:t>t</w:t>
                  </w:r>
                  <w:r>
                    <w:rPr>
                      <w:rFonts w:ascii="Times New Roman" w:hAnsi="Times New Roman" w:cs="Times New Roman"/>
                      <w:b/>
                      <w:bCs/>
                      <w:color w:val="auto"/>
                      <w:sz w:val="21"/>
                      <w:szCs w:val="21"/>
                    </w:rPr>
                    <w:t>/a）</w:t>
                  </w:r>
                </w:p>
              </w:tc>
              <w:tc>
                <w:tcPr>
                  <w:tcW w:w="864"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排放速率</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1#水泥仓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3.509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1871.360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4.678 </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750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6.947 </w:t>
                  </w:r>
                </w:p>
              </w:tc>
              <w:tc>
                <w:tcPr>
                  <w:tcW w:w="690"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0.039 </w:t>
                  </w:r>
                </w:p>
              </w:tc>
              <w:tc>
                <w:tcPr>
                  <w:tcW w:w="864"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1.754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1871.360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4.678 </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375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粉煤灰仓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2.632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1913.891 </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4.785 </w:t>
                  </w:r>
                </w:p>
              </w:tc>
              <w:tc>
                <w:tcPr>
                  <w:tcW w:w="1035" w:type="dxa"/>
                  <w:gridSpan w:val="2"/>
                  <w:vAlign w:val="center"/>
                </w:tcPr>
                <w:p>
                  <w:pPr>
                    <w:widowControl/>
                    <w:jc w:val="center"/>
                    <w:textAlignment w:val="center"/>
                    <w:rPr>
                      <w:rFonts w:ascii="Times New Roman" w:hAnsi="Times New Roman" w:cs="Times New Roman"/>
                      <w:color w:val="auto"/>
                      <w:sz w:val="21"/>
                      <w:szCs w:val="21"/>
                      <w:lang w:val="en-US"/>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550 </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hint="eastAsia"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restart"/>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合计</w:t>
                  </w:r>
                </w:p>
              </w:tc>
              <w:tc>
                <w:tcPr>
                  <w:tcW w:w="767" w:type="dxa"/>
                  <w:vMerge w:val="restart"/>
                  <w:tcBorders>
                    <w:left w:val="single" w:color="auto" w:sz="4" w:space="0"/>
                  </w:tcBorders>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p>
              </w:tc>
              <w:tc>
                <w:tcPr>
                  <w:tcW w:w="802"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7.895 </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1403.520 </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10.526 </w:t>
                  </w:r>
                </w:p>
              </w:tc>
              <w:tc>
                <w:tcPr>
                  <w:tcW w:w="438"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收集</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效率</w:t>
                  </w:r>
                </w:p>
              </w:tc>
              <w:tc>
                <w:tcPr>
                  <w:tcW w:w="597"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治理工艺去除率</w:t>
                  </w:r>
                </w:p>
              </w:tc>
              <w:tc>
                <w:tcPr>
                  <w:tcW w:w="795"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750 </w:t>
                  </w:r>
                </w:p>
              </w:tc>
              <w:tc>
                <w:tcPr>
                  <w:tcW w:w="72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7500 </w:t>
                  </w:r>
                </w:p>
              </w:tc>
              <w:tc>
                <w:tcPr>
                  <w:tcW w:w="885"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6.947 </w:t>
                  </w:r>
                </w:p>
              </w:tc>
              <w:tc>
                <w:tcPr>
                  <w:tcW w:w="690"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0.039 </w:t>
                  </w:r>
                </w:p>
              </w:tc>
              <w:tc>
                <w:tcPr>
                  <w:tcW w:w="864" w:type="dxa"/>
                  <w:vMerge w:val="restart"/>
                  <w:vAlign w:val="center"/>
                </w:tcPr>
                <w:p>
                  <w:pPr>
                    <w:widowControl/>
                    <w:jc w:val="center"/>
                    <w:textAlignment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 xml:space="preserve">0.052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continue"/>
                  <w:tcBorders>
                    <w:left w:val="single" w:color="auto" w:sz="4" w:space="0"/>
                  </w:tcBorders>
                  <w:vAlign w:val="center"/>
                </w:tcPr>
                <w:p>
                  <w:pPr>
                    <w:widowControl/>
                    <w:jc w:val="center"/>
                    <w:textAlignment w:val="center"/>
                    <w:rPr>
                      <w:color w:val="auto"/>
                    </w:rPr>
                  </w:pPr>
                </w:p>
              </w:tc>
              <w:tc>
                <w:tcPr>
                  <w:tcW w:w="767" w:type="dxa"/>
                  <w:vMerge w:val="continue"/>
                  <w:tcBorders>
                    <w:left w:val="single" w:color="auto" w:sz="4" w:space="0"/>
                  </w:tcBorders>
                  <w:vAlign w:val="center"/>
                </w:tcPr>
                <w:p>
                  <w:pPr>
                    <w:widowControl/>
                    <w:jc w:val="center"/>
                    <w:textAlignment w:val="center"/>
                    <w:rPr>
                      <w:color w:val="auto"/>
                    </w:rPr>
                  </w:pPr>
                </w:p>
              </w:tc>
              <w:tc>
                <w:tcPr>
                  <w:tcW w:w="802"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438"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w:t>
                  </w:r>
                  <w:r>
                    <w:rPr>
                      <w:rFonts w:hint="eastAsia" w:ascii="Times New Roman" w:hAnsi="Times New Roman" w:cs="Times New Roman"/>
                      <w:color w:val="auto"/>
                      <w:sz w:val="21"/>
                      <w:szCs w:val="21"/>
                      <w:lang w:val="en-US" w:bidi="ar"/>
                    </w:rPr>
                    <w:t>9</w:t>
                  </w:r>
                  <w:r>
                    <w:rPr>
                      <w:rFonts w:ascii="Times New Roman" w:hAnsi="Times New Roman" w:cs="Times New Roman"/>
                      <w:color w:val="auto"/>
                      <w:sz w:val="21"/>
                      <w:szCs w:val="21"/>
                      <w:lang w:val="en-US" w:bidi="ar"/>
                    </w:rPr>
                    <w:t>%</w:t>
                  </w:r>
                </w:p>
              </w:tc>
              <w:tc>
                <w:tcPr>
                  <w:tcW w:w="597"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eastAsia="zh-CN" w:bidi="ar"/>
                    </w:rPr>
                    <w:t>.5</w:t>
                  </w:r>
                  <w:r>
                    <w:rPr>
                      <w:rFonts w:ascii="Times New Roman" w:hAnsi="Times New Roman" w:cs="Times New Roman"/>
                      <w:color w:val="auto"/>
                      <w:sz w:val="21"/>
                      <w:szCs w:val="21"/>
                      <w:lang w:val="en-US" w:bidi="ar"/>
                    </w:rPr>
                    <w:t>%</w:t>
                  </w:r>
                </w:p>
              </w:tc>
              <w:tc>
                <w:tcPr>
                  <w:tcW w:w="795" w:type="dxa"/>
                  <w:vMerge w:val="continue"/>
                  <w:vAlign w:val="center"/>
                </w:tcPr>
                <w:p>
                  <w:pPr>
                    <w:widowControl/>
                    <w:jc w:val="center"/>
                    <w:textAlignment w:val="center"/>
                    <w:rPr>
                      <w:color w:val="auto"/>
                    </w:rPr>
                  </w:pPr>
                </w:p>
              </w:tc>
              <w:tc>
                <w:tcPr>
                  <w:tcW w:w="720" w:type="dxa"/>
                  <w:vMerge w:val="continue"/>
                  <w:vAlign w:val="center"/>
                </w:tcPr>
                <w:p>
                  <w:pPr>
                    <w:widowControl/>
                    <w:jc w:val="center"/>
                    <w:textAlignment w:val="center"/>
                    <w:rPr>
                      <w:color w:val="auto"/>
                    </w:rPr>
                  </w:pPr>
                </w:p>
              </w:tc>
              <w:tc>
                <w:tcPr>
                  <w:tcW w:w="885" w:type="dxa"/>
                  <w:vMerge w:val="continue"/>
                  <w:vAlign w:val="center"/>
                </w:tcPr>
                <w:p>
                  <w:pPr>
                    <w:widowControl/>
                    <w:jc w:val="center"/>
                    <w:textAlignment w:val="center"/>
                    <w:rPr>
                      <w:color w:val="auto"/>
                    </w:rPr>
                  </w:pPr>
                </w:p>
              </w:tc>
              <w:tc>
                <w:tcPr>
                  <w:tcW w:w="690" w:type="dxa"/>
                  <w:vMerge w:val="continue"/>
                  <w:vAlign w:val="center"/>
                </w:tcPr>
                <w:p>
                  <w:pPr>
                    <w:widowControl/>
                    <w:jc w:val="center"/>
                    <w:textAlignment w:val="center"/>
                    <w:rPr>
                      <w:color w:val="auto"/>
                    </w:rPr>
                  </w:pPr>
                </w:p>
              </w:tc>
              <w:tc>
                <w:tcPr>
                  <w:tcW w:w="864" w:type="dxa"/>
                  <w:vMerge w:val="continue"/>
                  <w:vAlign w:val="center"/>
                </w:tcPr>
                <w:p>
                  <w:pPr>
                    <w:widowControl/>
                    <w:jc w:val="center"/>
                    <w:textAlignment w:val="center"/>
                    <w:rPr>
                      <w:color w:val="auto"/>
                    </w:rPr>
                  </w:pPr>
                </w:p>
              </w:tc>
            </w:tr>
          </w:tbl>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根据上表可知，</w:t>
            </w:r>
            <w:r>
              <w:rPr>
                <w:rFonts w:ascii="Times New Roman" w:hAnsi="Times New Roman" w:cs="Times New Roman"/>
                <w:color w:val="auto"/>
                <w:sz w:val="21"/>
                <w:szCs w:val="21"/>
                <w:lang w:val="en-US"/>
              </w:rPr>
              <w:t>采取上述除尘措施后，颗粒物排放满足《水泥工业大气污染物超低排放标准》（DB13/2167-2020）表1散装水泥中转站及水泥制品生产中（水泥仓及其他通风生产设备）排放标准，即颗粒物排放浓度≤10mg/m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4</w:t>
            </w: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厂界无组织粉尘</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无组织废气排放情况及污染源参数见下表。</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5</w:t>
            </w:r>
            <w:r>
              <w:rPr>
                <w:rFonts w:ascii="Times New Roman" w:hAnsi="Times New Roman" w:cs="Times New Roman"/>
                <w:b/>
                <w:bCs/>
                <w:color w:val="auto"/>
                <w:kern w:val="2"/>
                <w:sz w:val="21"/>
                <w:szCs w:val="24"/>
                <w:lang w:val="en-US" w:bidi="ar-SA"/>
              </w:rPr>
              <w:t xml:space="preserve">  大气污染物无组织排放量核算表</w:t>
            </w:r>
          </w:p>
          <w:tbl>
            <w:tblPr>
              <w:tblStyle w:val="32"/>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551"/>
              <w:gridCol w:w="1414"/>
              <w:gridCol w:w="177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vAlign w:val="center"/>
                </w:tcPr>
                <w:p>
                  <w:pPr>
                    <w:jc w:val="center"/>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序号</w:t>
                  </w:r>
                </w:p>
              </w:tc>
              <w:tc>
                <w:tcPr>
                  <w:tcW w:w="675"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rPr>
                    <w:t>污染源名称</w:t>
                  </w:r>
                </w:p>
              </w:tc>
              <w:tc>
                <w:tcPr>
                  <w:tcW w:w="1620"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产污环节</w:t>
                  </w:r>
                </w:p>
              </w:tc>
              <w:tc>
                <w:tcPr>
                  <w:tcW w:w="551" w:type="dxa"/>
                  <w:vMerge w:val="restart"/>
                  <w:vAlign w:val="center"/>
                </w:tcPr>
                <w:p>
                  <w:pPr>
                    <w:jc w:val="center"/>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污染物</w:t>
                  </w:r>
                </w:p>
              </w:tc>
              <w:tc>
                <w:tcPr>
                  <w:tcW w:w="1414"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主要污染防治措施</w:t>
                  </w:r>
                </w:p>
              </w:tc>
              <w:tc>
                <w:tcPr>
                  <w:tcW w:w="3707" w:type="dxa"/>
                  <w:gridSpan w:val="2"/>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3"/>
                      <w:sz w:val="21"/>
                      <w:szCs w:val="21"/>
                      <w:lang w:val="en-US" w:bidi="ar-SA"/>
                    </w:rPr>
                    <w:t>国家或地方污染物排放标准</w:t>
                  </w:r>
                </w:p>
              </w:tc>
              <w:tc>
                <w:tcPr>
                  <w:tcW w:w="698" w:type="dxa"/>
                  <w:vMerge w:val="restart"/>
                  <w:vAlign w:val="center"/>
                </w:tcPr>
                <w:p>
                  <w:pPr>
                    <w:jc w:val="center"/>
                    <w:rPr>
                      <w:rFonts w:ascii="Times New Roman" w:hAnsi="Times New Roman" w:cs="Times New Roman"/>
                      <w:b/>
                      <w:bCs/>
                      <w:color w:val="auto"/>
                      <w:spacing w:val="-5"/>
                      <w:sz w:val="21"/>
                      <w:szCs w:val="21"/>
                      <w:lang w:val="en-US" w:eastAsia="en-US" w:bidi="ar-SA"/>
                    </w:rPr>
                  </w:pPr>
                  <w:r>
                    <w:rPr>
                      <w:rFonts w:ascii="Times New Roman" w:hAnsi="Times New Roman" w:cs="Times New Roman"/>
                      <w:b/>
                      <w:bCs/>
                      <w:color w:val="auto"/>
                      <w:spacing w:val="-5"/>
                      <w:sz w:val="21"/>
                      <w:szCs w:val="21"/>
                      <w:lang w:val="en-US" w:eastAsia="en-US" w:bidi="ar-SA"/>
                    </w:rPr>
                    <w:t>年排放</w:t>
                  </w:r>
                </w:p>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5"/>
                      <w:sz w:val="21"/>
                      <w:szCs w:val="21"/>
                      <w:lang w:val="en-US" w:eastAsia="en-US" w:bidi="ar-SA"/>
                    </w:rPr>
                    <w:t>量</w:t>
                  </w:r>
                  <w:r>
                    <w:rPr>
                      <w:rFonts w:ascii="Times New Roman" w:hAnsi="Times New Roman" w:cs="Times New Roman"/>
                      <w:b/>
                      <w:bCs/>
                      <w:color w:val="auto"/>
                      <w:spacing w:val="-5"/>
                      <w:sz w:val="21"/>
                      <w:szCs w:val="21"/>
                      <w:lang w:val="en-US"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vAlign w:val="center"/>
                </w:tcPr>
                <w:p>
                  <w:pPr>
                    <w:jc w:val="center"/>
                    <w:rPr>
                      <w:rFonts w:ascii="Times New Roman" w:hAnsi="Times New Roman" w:cs="Times New Roman"/>
                      <w:color w:val="auto"/>
                      <w:sz w:val="21"/>
                      <w:szCs w:val="21"/>
                    </w:rPr>
                  </w:pPr>
                </w:p>
              </w:tc>
              <w:tc>
                <w:tcPr>
                  <w:tcW w:w="675" w:type="dxa"/>
                  <w:vMerge w:val="continue"/>
                  <w:vAlign w:val="center"/>
                </w:tcPr>
                <w:p>
                  <w:pPr>
                    <w:jc w:val="center"/>
                    <w:rPr>
                      <w:rFonts w:ascii="Times New Roman" w:hAnsi="Times New Roman" w:cs="Times New Roman"/>
                      <w:color w:val="auto"/>
                      <w:sz w:val="21"/>
                      <w:szCs w:val="21"/>
                    </w:rPr>
                  </w:pPr>
                </w:p>
              </w:tc>
              <w:tc>
                <w:tcPr>
                  <w:tcW w:w="1620" w:type="dxa"/>
                  <w:vMerge w:val="continue"/>
                  <w:vAlign w:val="center"/>
                </w:tcPr>
                <w:p>
                  <w:pPr>
                    <w:jc w:val="center"/>
                    <w:rPr>
                      <w:rFonts w:ascii="Times New Roman" w:hAnsi="Times New Roman" w:cs="Times New Roman"/>
                      <w:color w:val="auto"/>
                      <w:sz w:val="21"/>
                      <w:szCs w:val="21"/>
                    </w:rPr>
                  </w:pP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标准名称</w:t>
                  </w:r>
                </w:p>
              </w:tc>
              <w:tc>
                <w:tcPr>
                  <w:tcW w:w="1934"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浓度限值/（</w:t>
                  </w:r>
                  <w:r>
                    <w:rPr>
                      <w:rFonts w:ascii="Times New Roman" w:hAnsi="Times New Roman" w:cs="Times New Roman"/>
                      <w:b/>
                      <w:bCs/>
                      <w:color w:val="auto"/>
                      <w:spacing w:val="-4"/>
                      <w:sz w:val="21"/>
                      <w:szCs w:val="21"/>
                      <w:lang w:val="en-US"/>
                    </w:rPr>
                    <w:t>mg/m</w:t>
                  </w:r>
                  <w:r>
                    <w:rPr>
                      <w:rFonts w:ascii="Times New Roman" w:hAnsi="Times New Roman" w:cs="Times New Roman"/>
                      <w:b/>
                      <w:bCs/>
                      <w:color w:val="auto"/>
                      <w:spacing w:val="-4"/>
                      <w:sz w:val="21"/>
                      <w:szCs w:val="21"/>
                      <w:vertAlign w:val="superscript"/>
                      <w:lang w:val="en-US"/>
                    </w:rPr>
                    <w:t>3</w:t>
                  </w:r>
                  <w:r>
                    <w:rPr>
                      <w:rFonts w:ascii="Times New Roman" w:hAnsi="Times New Roman" w:cs="Times New Roman"/>
                      <w:b/>
                      <w:bCs/>
                      <w:color w:val="auto"/>
                      <w:spacing w:val="-3"/>
                      <w:sz w:val="21"/>
                      <w:szCs w:val="21"/>
                      <w:lang w:val="en-US" w:bidi="ar-SA"/>
                    </w:rPr>
                    <w:t>）</w:t>
                  </w:r>
                </w:p>
              </w:tc>
              <w:tc>
                <w:tcPr>
                  <w:tcW w:w="698" w:type="dxa"/>
                  <w:vMerge w:val="continue"/>
                  <w:vAlign w:val="center"/>
                </w:tcPr>
                <w:p>
                  <w:pPr>
                    <w:jc w:val="center"/>
                    <w:rPr>
                      <w:rFonts w:ascii="Times New Roman" w:hAnsi="Times New Roman" w:cs="Times New Roman"/>
                      <w:color w:val="auto"/>
                      <w:spacing w:val="-3"/>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68"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1</w:t>
                  </w:r>
                </w:p>
              </w:tc>
              <w:tc>
                <w:tcPr>
                  <w:tcW w:w="675"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料场</w:t>
                  </w:r>
                </w:p>
              </w:tc>
              <w:tc>
                <w:tcPr>
                  <w:tcW w:w="1620"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料场粉尘</w:t>
                  </w:r>
                </w:p>
              </w:tc>
              <w:tc>
                <w:tcPr>
                  <w:tcW w:w="551"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颗粒物</w:t>
                  </w:r>
                </w:p>
              </w:tc>
              <w:tc>
                <w:tcPr>
                  <w:tcW w:w="1414"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车间密闭；设喷雾设备、车辆冲洗装置；选用密闭输送装置进行输送；地面硬化，加强绿化</w:t>
                  </w:r>
                </w:p>
              </w:tc>
              <w:tc>
                <w:tcPr>
                  <w:tcW w:w="1773" w:type="dxa"/>
                  <w:vMerge w:val="restart"/>
                  <w:vAlign w:val="center"/>
                </w:tcPr>
                <w:p>
                  <w:pPr>
                    <w:widowControl/>
                    <w:jc w:val="center"/>
                    <w:textAlignment w:val="center"/>
                    <w:rPr>
                      <w:rFonts w:ascii="Times New Roman" w:hAnsi="Times New Roman" w:cs="Times New Roman"/>
                      <w:color w:val="auto"/>
                      <w:spacing w:val="-3"/>
                      <w:sz w:val="21"/>
                      <w:szCs w:val="21"/>
                      <w:lang w:val="en-US" w:bidi="ar-SA"/>
                    </w:rPr>
                  </w:pPr>
                  <w:r>
                    <w:rPr>
                      <w:rFonts w:ascii="Times New Roman" w:hAnsi="Times New Roman" w:cs="Times New Roman"/>
                      <w:color w:val="auto"/>
                      <w:sz w:val="21"/>
                      <w:szCs w:val="21"/>
                      <w:lang w:val="en-US" w:bidi="ar"/>
                    </w:rPr>
                    <w:t xml:space="preserve">河北省地方标准《水泥工业大气污染物超低排放标准》（DB13/2167-2015） </w:t>
                  </w:r>
                </w:p>
              </w:tc>
              <w:tc>
                <w:tcPr>
                  <w:tcW w:w="1934" w:type="dxa"/>
                  <w:vMerge w:val="restart"/>
                  <w:vAlign w:val="center"/>
                </w:tcPr>
                <w:p>
                  <w:pPr>
                    <w:widowControl/>
                    <w:jc w:val="center"/>
                    <w:textAlignment w:val="center"/>
                    <w:rPr>
                      <w:rFonts w:ascii="Times New Roman" w:hAnsi="Times New Roman" w:cs="Times New Roman"/>
                      <w:color w:val="auto"/>
                      <w:spacing w:val="-3"/>
                      <w:sz w:val="21"/>
                      <w:szCs w:val="21"/>
                      <w:lang w:val="en-US" w:eastAsia="en-US" w:bidi="ar-SA"/>
                    </w:rPr>
                  </w:pPr>
                  <w:r>
                    <w:rPr>
                      <w:rFonts w:ascii="Times New Roman" w:hAnsi="Times New Roman" w:cs="Times New Roman"/>
                      <w:color w:val="auto"/>
                      <w:sz w:val="21"/>
                      <w:szCs w:val="21"/>
                      <w:lang w:val="en-US" w:bidi="ar"/>
                    </w:rPr>
                    <w:t>0.5mg/m</w:t>
                  </w:r>
                  <w:r>
                    <w:rPr>
                      <w:rFonts w:ascii="Times New Roman" w:hAnsi="Times New Roman" w:cs="Times New Roman"/>
                      <w:color w:val="auto"/>
                      <w:sz w:val="21"/>
                      <w:szCs w:val="21"/>
                      <w:vertAlign w:val="superscript"/>
                      <w:lang w:val="en-US" w:bidi="ar"/>
                    </w:rPr>
                    <w:t>3</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2276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675" w:type="dxa"/>
                  <w:vMerge w:val="continue"/>
                  <w:vAlign w:val="center"/>
                </w:tcPr>
                <w:p>
                  <w:pPr>
                    <w:jc w:val="center"/>
                    <w:rPr>
                      <w:rFonts w:ascii="Times New Roman" w:hAnsi="Times New Roman" w:cs="Times New Roman"/>
                      <w:color w:val="auto"/>
                      <w:sz w:val="21"/>
                      <w:szCs w:val="21"/>
                    </w:rPr>
                  </w:pPr>
                </w:p>
              </w:tc>
              <w:tc>
                <w:tcPr>
                  <w:tcW w:w="16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未被集气罩收集的粉尘</w:t>
                  </w: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Merge w:val="continue"/>
                  <w:vAlign w:val="center"/>
                </w:tcPr>
                <w:p>
                  <w:pPr>
                    <w:jc w:val="center"/>
                    <w:rPr>
                      <w:rFonts w:ascii="Times New Roman" w:hAnsi="Times New Roman" w:cs="Times New Roman"/>
                      <w:color w:val="auto"/>
                      <w:sz w:val="21"/>
                      <w:szCs w:val="21"/>
                      <w:lang w:val="en-US"/>
                    </w:rPr>
                  </w:pPr>
                </w:p>
              </w:tc>
              <w:tc>
                <w:tcPr>
                  <w:tcW w:w="1934" w:type="dxa"/>
                  <w:vMerge w:val="continue"/>
                  <w:vAlign w:val="center"/>
                </w:tcPr>
                <w:p>
                  <w:pPr>
                    <w:jc w:val="center"/>
                    <w:rPr>
                      <w:rFonts w:ascii="Times New Roman" w:hAnsi="Times New Roman" w:cs="Times New Roman"/>
                      <w:color w:val="auto"/>
                      <w:sz w:val="21"/>
                      <w:szCs w:val="21"/>
                      <w:lang w:val="en-US"/>
                    </w:rPr>
                  </w:pP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0.0234</w:t>
                  </w:r>
                  <w:r>
                    <w:rPr>
                      <w:rFonts w:ascii="Times New Roman" w:hAnsi="Times New Roman" w:cs="Times New Roman"/>
                      <w:color w:val="auto"/>
                      <w:sz w:val="21"/>
                      <w:szCs w:val="21"/>
                      <w:lang w:val="en-US" w:bidi="ar"/>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114" w:type="dxa"/>
                  <w:gridSpan w:val="4"/>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无组织排放总计</w:t>
                  </w:r>
                </w:p>
              </w:tc>
              <w:tc>
                <w:tcPr>
                  <w:tcW w:w="5121" w:type="dxa"/>
                  <w:gridSpan w:val="3"/>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2510</w:t>
                  </w:r>
                </w:p>
              </w:tc>
            </w:tr>
          </w:tbl>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6</w:t>
            </w:r>
            <w:r>
              <w:rPr>
                <w:rFonts w:ascii="Times New Roman" w:hAnsi="Times New Roman" w:cs="Times New Roman"/>
                <w:b/>
                <w:bCs/>
                <w:color w:val="auto"/>
                <w:kern w:val="2"/>
                <w:sz w:val="21"/>
                <w:szCs w:val="24"/>
                <w:lang w:val="en-US" w:bidi="ar-SA"/>
              </w:rPr>
              <w:t xml:space="preserve"> 主要废气污染源参数一览表(面源)</w:t>
            </w:r>
          </w:p>
          <w:tbl>
            <w:tblPr>
              <w:tblStyle w:val="32"/>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943"/>
              <w:gridCol w:w="1410"/>
              <w:gridCol w:w="1418"/>
              <w:gridCol w:w="885"/>
              <w:gridCol w:w="975"/>
              <w:gridCol w:w="99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污染源名称</w:t>
                  </w:r>
                </w:p>
              </w:tc>
              <w:tc>
                <w:tcPr>
                  <w:tcW w:w="943"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rPr>
                    <w:t>污染物名称</w:t>
                  </w:r>
                </w:p>
              </w:tc>
              <w:tc>
                <w:tcPr>
                  <w:tcW w:w="2828" w:type="dxa"/>
                  <w:gridSpan w:val="2"/>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坐标</w:t>
                  </w:r>
                </w:p>
              </w:tc>
              <w:tc>
                <w:tcPr>
                  <w:tcW w:w="885"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海拔高度</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w:t>
                  </w:r>
                </w:p>
              </w:tc>
              <w:tc>
                <w:tcPr>
                  <w:tcW w:w="3142" w:type="dxa"/>
                  <w:gridSpan w:val="3"/>
                  <w:vAlign w:val="center"/>
                </w:tcPr>
                <w:p>
                  <w:pPr>
                    <w:pStyle w:val="52"/>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矩形</w:t>
                  </w:r>
                  <w:r>
                    <w:rPr>
                      <w:rFonts w:ascii="Times New Roman" w:hAnsi="Times New Roman"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43" w:type="dxa"/>
                  <w:vMerge w:val="continue"/>
                  <w:vAlign w:val="center"/>
                </w:tcPr>
                <w:p>
                  <w:pPr>
                    <w:pStyle w:val="52"/>
                    <w:jc w:val="center"/>
                    <w:rPr>
                      <w:rFonts w:ascii="Times New Roman" w:hAnsi="Times New Roman" w:cs="Times New Roman"/>
                      <w:color w:val="auto"/>
                      <w:sz w:val="21"/>
                      <w:szCs w:val="21"/>
                    </w:rPr>
                  </w:pPr>
                </w:p>
              </w:tc>
              <w:tc>
                <w:tcPr>
                  <w:tcW w:w="141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经度</w:t>
                  </w:r>
                </w:p>
              </w:tc>
              <w:tc>
                <w:tcPr>
                  <w:tcW w:w="1418"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纬度</w:t>
                  </w:r>
                </w:p>
              </w:tc>
              <w:tc>
                <w:tcPr>
                  <w:tcW w:w="885"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75"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长度(m)</w:t>
                  </w:r>
                </w:p>
              </w:tc>
              <w:tc>
                <w:tcPr>
                  <w:tcW w:w="99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宽度(m)</w:t>
                  </w:r>
                </w:p>
              </w:tc>
              <w:tc>
                <w:tcPr>
                  <w:tcW w:w="1177"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71"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料场</w:t>
                  </w:r>
                </w:p>
              </w:tc>
              <w:tc>
                <w:tcPr>
                  <w:tcW w:w="943"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颗粒物</w:t>
                  </w:r>
                </w:p>
              </w:tc>
              <w:tc>
                <w:tcPr>
                  <w:tcW w:w="141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114°55′40.11</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w:t>
                  </w:r>
                </w:p>
              </w:tc>
              <w:tc>
                <w:tcPr>
                  <w:tcW w:w="1418"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36°18′49.022″</w:t>
                  </w:r>
                </w:p>
              </w:tc>
              <w:tc>
                <w:tcPr>
                  <w:tcW w:w="885" w:type="dxa"/>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w:t>
                  </w:r>
                </w:p>
              </w:tc>
              <w:tc>
                <w:tcPr>
                  <w:tcW w:w="97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37.5</w:t>
                  </w:r>
                </w:p>
              </w:tc>
              <w:tc>
                <w:tcPr>
                  <w:tcW w:w="99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w:t>
                  </w:r>
                </w:p>
              </w:tc>
              <w:tc>
                <w:tcPr>
                  <w:tcW w:w="1177"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10</w:t>
                  </w:r>
                </w:p>
              </w:tc>
            </w:tr>
          </w:tbl>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kern w:val="2"/>
                <w:sz w:val="21"/>
                <w:szCs w:val="24"/>
                <w:lang w:val="en-US" w:bidi="ar-SA"/>
              </w:rPr>
              <w:t>①</w:t>
            </w:r>
            <w:r>
              <w:rPr>
                <w:rFonts w:ascii="Times New Roman" w:hAnsi="Times New Roman" w:cs="Times New Roman"/>
                <w:b/>
                <w:bCs/>
                <w:color w:val="auto"/>
                <w:sz w:val="21"/>
                <w:lang w:val="en-US"/>
              </w:rPr>
              <w:t>料场粉尘（G0）</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1"/>
                <w:lang w:val="en-US" w:bidi="ar-SA"/>
              </w:rPr>
              <w:t>主要外购细骨料</w:t>
            </w:r>
            <w:r>
              <w:rPr>
                <w:rFonts w:ascii="Times New Roman" w:hAnsi="Times New Roman" w:cs="Times New Roman"/>
                <w:color w:val="auto"/>
                <w:sz w:val="21"/>
                <w:szCs w:val="21"/>
              </w:rPr>
              <w:t>通过自卸汽车卸料到贮堆扬尘，</w:t>
            </w:r>
            <w:r>
              <w:rPr>
                <w:rFonts w:ascii="Times New Roman" w:hAnsi="Times New Roman" w:cs="Times New Roman"/>
                <w:color w:val="auto"/>
                <w:kern w:val="2"/>
                <w:sz w:val="21"/>
                <w:szCs w:val="21"/>
                <w:lang w:val="en-US" w:bidi="ar-SA"/>
              </w:rPr>
              <w:t>用</w:t>
            </w:r>
            <w:r>
              <w:rPr>
                <w:rFonts w:ascii="Times New Roman" w:hAnsi="Times New Roman" w:cs="Times New Roman"/>
                <w:color w:val="auto"/>
                <w:sz w:val="21"/>
                <w:szCs w:val="21"/>
              </w:rPr>
              <w:t>装载机装卸、转运物料扬尘以及风蚀扬尘、动力扬尘</w:t>
            </w:r>
            <w:r>
              <w:rPr>
                <w:rFonts w:ascii="Times New Roman" w:hAnsi="Times New Roman" w:cs="Times New Roman"/>
                <w:color w:val="auto"/>
                <w:kern w:val="2"/>
                <w:sz w:val="21"/>
                <w:szCs w:val="24"/>
                <w:lang w:val="en-US" w:bidi="ar-SA"/>
              </w:rPr>
              <w:t>。根据《排放源统计调查产排污核算方法和系数手册》附表2固体物料堆存颗粒物产排污核算系数手册，本项目</w:t>
            </w:r>
            <w:r>
              <w:rPr>
                <w:rFonts w:ascii="Times New Roman" w:hAnsi="Times New Roman" w:cs="Times New Roman"/>
                <w:color w:val="auto"/>
                <w:kern w:val="2"/>
                <w:sz w:val="21"/>
                <w:szCs w:val="21"/>
                <w:lang w:val="en-US" w:bidi="ar-SA"/>
              </w:rPr>
              <w:t>2#生产车间内西侧设置料场存放细骨料</w:t>
            </w:r>
            <w:r>
              <w:rPr>
                <w:rFonts w:ascii="Times New Roman" w:hAnsi="Times New Roman" w:cs="Times New Roman"/>
                <w:color w:val="auto"/>
                <w:kern w:val="2"/>
                <w:sz w:val="21"/>
                <w:szCs w:val="24"/>
                <w:lang w:val="en-US" w:bidi="ar-SA"/>
              </w:rPr>
              <w:t xml:space="preserve">，颗粒物产生量核算公式如下：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P=ZCy+FCy={Nc×D×（a/b）+2×Ef×S}×10</w:t>
            </w:r>
            <w:r>
              <w:rPr>
                <w:rFonts w:ascii="Times New Roman" w:hAnsi="Times New Roman" w:cs="Times New Roman"/>
                <w:color w:val="auto"/>
                <w:kern w:val="2"/>
                <w:sz w:val="21"/>
                <w:szCs w:val="24"/>
                <w:vertAlign w:val="superscript"/>
                <w:lang w:val="en-US" w:bidi="ar-SA"/>
              </w:rPr>
              <w:t>−3</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ZCy：指装卸扬尘产生量（单位：吨）；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FCy：指风蚀扬尘产生量（单位：吨）；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Nc×D：指年运输物料量，</w:t>
            </w:r>
            <w:r>
              <w:rPr>
                <w:rFonts w:ascii="Times New Roman" w:hAnsi="Times New Roman" w:cs="Times New Roman"/>
                <w:color w:val="auto"/>
                <w:sz w:val="21"/>
                <w:szCs w:val="21"/>
                <w:lang w:val="en-US"/>
              </w:rPr>
              <w:t>本项目料场共储存细骨料</w:t>
            </w:r>
            <w:r>
              <w:rPr>
                <w:rFonts w:ascii="Times New Roman" w:hAnsi="Times New Roman" w:cs="Times New Roman"/>
                <w:color w:val="auto"/>
                <w:sz w:val="21"/>
                <w:szCs w:val="21"/>
                <w:lang w:val="en-US" w:bidi="ar"/>
              </w:rPr>
              <w:t>307017</w:t>
            </w:r>
            <w:r>
              <w:rPr>
                <w:rFonts w:ascii="Times New Roman" w:hAnsi="Times New Roman" w:cs="Times New Roman"/>
                <w:color w:val="auto"/>
                <w:sz w:val="21"/>
                <w:szCs w:val="21"/>
                <w:lang w:val="en-US"/>
              </w:rPr>
              <w:t>t/a</w:t>
            </w:r>
            <w:r>
              <w:rPr>
                <w:rFonts w:ascii="Times New Roman" w:hAnsi="Times New Roman" w:cs="Times New Roman"/>
                <w:color w:val="auto"/>
                <w:kern w:val="2"/>
                <w:sz w:val="21"/>
                <w:szCs w:val="24"/>
                <w:lang w:val="en-US" w:bidi="ar-SA"/>
              </w:rPr>
              <w:t>。Nc指年物料运载车次（单位：车），D：指单车平均运载量（单位：吨/车）。</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（a/b）：指装卸扬尘概化系数（单位：千克/吨），a指各省风速概化系数，河北的系数为0.0010，b指物料含水率概化系数，细骨料参照煤矸石的概化系数0.0008；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Ef：指堆场风蚀扬尘概化系数（单位：千克/平方米），细骨料参照煤矸石的概化系数11.7366；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S：指堆场占地面积（单位：平方米），本项目占用封闭式料场面积约为</w:t>
            </w:r>
            <w:r>
              <w:rPr>
                <w:rFonts w:hint="eastAsia" w:ascii="Times New Roman" w:hAnsi="Times New Roman" w:cs="Times New Roman"/>
                <w:color w:val="auto"/>
                <w:kern w:val="2"/>
                <w:sz w:val="21"/>
                <w:szCs w:val="24"/>
                <w:lang w:val="en-US" w:bidi="ar-SA"/>
              </w:rPr>
              <w:t>1100</w:t>
            </w:r>
            <w:r>
              <w:rPr>
                <w:rFonts w:ascii="Times New Roman" w:hAnsi="Times New Roman" w:cs="Times New Roman"/>
                <w:color w:val="auto"/>
                <w:kern w:val="2"/>
                <w:sz w:val="21"/>
                <w:szCs w:val="24"/>
                <w:lang w:val="en-US" w:bidi="ar-SA"/>
              </w:rPr>
              <w:t>m</w:t>
            </w:r>
            <w:r>
              <w:rPr>
                <w:rFonts w:ascii="Times New Roman" w:hAnsi="Times New Roman" w:cs="Times New Roman"/>
                <w:color w:val="auto"/>
                <w:kern w:val="2"/>
                <w:sz w:val="21"/>
                <w:szCs w:val="24"/>
                <w:vertAlign w:val="superscript"/>
                <w:lang w:val="en-US" w:bidi="ar-SA"/>
              </w:rPr>
              <w:t>2</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为了避免物料贮存产生扬尘，项目将原料直接卸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内，料场只留车辆进出口，可有效防止风吹扬尘的产生。设车辆冲洗设备，地面混凝土硬化，未硬化地点绿化，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安装喷雾装置，定期喷水</w:t>
            </w:r>
            <w:r>
              <w:rPr>
                <w:rFonts w:ascii="Times New Roman" w:hAnsi="Times New Roman" w:cs="Times New Roman"/>
                <w:color w:val="auto"/>
                <w:kern w:val="2"/>
                <w:sz w:val="21"/>
                <w:szCs w:val="24"/>
                <w:lang w:val="en-US" w:bidi="ar-SA"/>
              </w:rPr>
              <w:t xml:space="preserve">。参照《排放源统计调查产排污核算方法和系数手册》附表2固体物料堆存颗粒物产排污核算系数手册，洒水（本项目采用喷雾降尘）的控制效率为74%，出入车辆冲洗的控制效率为78%，密闭式堆场的控制效率为99%。工业企业固体物料堆场颗粒物排放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=P×（1-C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）×（1-T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 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 xml:space="preserve">指颗粒物排放量（单位：吨）；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 xml:space="preserve">指颗粒物控制措施控制效率（单位：%）；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指堆场类型控制效率（单位：%）。</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料场无组织排放情况见下表。</w:t>
            </w:r>
          </w:p>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7</w:t>
            </w:r>
            <w:r>
              <w:rPr>
                <w:rFonts w:ascii="Times New Roman" w:hAnsi="Times New Roman" w:cs="Times New Roman"/>
                <w:b/>
                <w:bCs/>
                <w:color w:val="auto"/>
                <w:kern w:val="2"/>
                <w:sz w:val="21"/>
                <w:szCs w:val="24"/>
                <w:lang w:val="en-US" w:bidi="ar-SA"/>
              </w:rPr>
              <w:t xml:space="preserve"> 固体物料堆存颗粒物产排污核算一览表</w:t>
            </w:r>
          </w:p>
          <w:tbl>
            <w:tblPr>
              <w:tblStyle w:val="32"/>
              <w:tblW w:w="9220" w:type="dxa"/>
              <w:jc w:val="center"/>
              <w:tblLayout w:type="fixed"/>
              <w:tblCellMar>
                <w:top w:w="0" w:type="dxa"/>
                <w:left w:w="108" w:type="dxa"/>
                <w:bottom w:w="0" w:type="dxa"/>
                <w:right w:w="108" w:type="dxa"/>
              </w:tblCellMar>
            </w:tblPr>
            <w:tblGrid>
              <w:gridCol w:w="647"/>
              <w:gridCol w:w="562"/>
              <w:gridCol w:w="678"/>
              <w:gridCol w:w="491"/>
              <w:gridCol w:w="663"/>
              <w:gridCol w:w="655"/>
              <w:gridCol w:w="427"/>
              <w:gridCol w:w="773"/>
              <w:gridCol w:w="495"/>
              <w:gridCol w:w="480"/>
              <w:gridCol w:w="465"/>
              <w:gridCol w:w="435"/>
              <w:gridCol w:w="660"/>
              <w:gridCol w:w="525"/>
              <w:gridCol w:w="643"/>
              <w:gridCol w:w="621"/>
            </w:tblGrid>
            <w:tr>
              <w:tblPrEx>
                <w:tblCellMar>
                  <w:top w:w="0" w:type="dxa"/>
                  <w:left w:w="108" w:type="dxa"/>
                  <w:bottom w:w="0" w:type="dxa"/>
                  <w:right w:w="108" w:type="dxa"/>
                </w:tblCellMar>
              </w:tblPrEx>
              <w:trPr>
                <w:trHeight w:val="27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2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核算系数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Nc×D</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b</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Ef</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S</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料场</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307017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11.7366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600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397.855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0.2</w:t>
                  </w:r>
                  <w:r>
                    <w:rPr>
                      <w:rFonts w:hint="eastAsia" w:ascii="Times New Roman" w:hAnsi="Times New Roman" w:cs="Times New Roman"/>
                      <w:color w:val="auto"/>
                      <w:sz w:val="21"/>
                      <w:szCs w:val="21"/>
                      <w:lang w:val="en-US" w:bidi="ar"/>
                    </w:rPr>
                    <w:t>276</w:t>
                  </w:r>
                  <w:r>
                    <w:rPr>
                      <w:rFonts w:ascii="Times New Roman" w:hAnsi="Times New Roman" w:cs="Times New Roman"/>
                      <w:color w:val="auto"/>
                      <w:sz w:val="21"/>
                      <w:szCs w:val="21"/>
                      <w:lang w:val="en-US"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0.0</w:t>
                  </w:r>
                  <w:r>
                    <w:rPr>
                      <w:rFonts w:hint="eastAsia" w:ascii="Times New Roman" w:hAnsi="Times New Roman" w:cs="Times New Roman"/>
                      <w:color w:val="auto"/>
                      <w:sz w:val="21"/>
                      <w:szCs w:val="21"/>
                      <w:lang w:val="en-US" w:bidi="ar"/>
                    </w:rPr>
                    <w:t>474</w:t>
                  </w:r>
                  <w:r>
                    <w:rPr>
                      <w:rFonts w:ascii="Times New Roman" w:hAnsi="Times New Roman" w:cs="Times New Roman"/>
                      <w:color w:val="auto"/>
                      <w:sz w:val="21"/>
                      <w:szCs w:val="21"/>
                      <w:lang w:val="en-US" w:bidi="ar"/>
                    </w:rPr>
                    <w:t xml:space="preserve"> </w:t>
                  </w:r>
                </w:p>
              </w:tc>
            </w:tr>
            <w:tr>
              <w:tblPrEx>
                <w:tblCellMar>
                  <w:top w:w="0" w:type="dxa"/>
                  <w:left w:w="108" w:type="dxa"/>
                  <w:bottom w:w="0" w:type="dxa"/>
                  <w:right w:w="108" w:type="dxa"/>
                </w:tblCellMar>
              </w:tblPrEx>
              <w:trPr>
                <w:trHeight w:val="270" w:hRule="atLeast"/>
                <w:jc w:val="center"/>
              </w:trPr>
              <w:tc>
                <w:tcPr>
                  <w:tcW w:w="795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bidi="ar"/>
                    </w:rPr>
                  </w:pPr>
                  <w:r>
                    <w:rPr>
                      <w:rFonts w:ascii="Times New Roman" w:hAnsi="Times New Roman" w:cs="Times New Roman"/>
                      <w:color w:val="auto"/>
                      <w:sz w:val="21"/>
                      <w:szCs w:val="21"/>
                      <w:lang w:val="en-US" w:bidi="ar"/>
                    </w:rPr>
                    <w:t>0.2</w:t>
                  </w:r>
                  <w:r>
                    <w:rPr>
                      <w:rFonts w:hint="eastAsia" w:ascii="Times New Roman" w:hAnsi="Times New Roman" w:cs="Times New Roman"/>
                      <w:color w:val="auto"/>
                      <w:sz w:val="21"/>
                      <w:szCs w:val="21"/>
                      <w:lang w:val="en-US" w:bidi="ar"/>
                    </w:rPr>
                    <w:t>276</w:t>
                  </w:r>
                  <w:r>
                    <w:rPr>
                      <w:rFonts w:ascii="Times New Roman" w:hAnsi="Times New Roman" w:cs="Times New Roman"/>
                      <w:color w:val="auto"/>
                      <w:sz w:val="21"/>
                      <w:szCs w:val="21"/>
                      <w:lang w:val="en-US"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0.0</w:t>
                  </w:r>
                  <w:r>
                    <w:rPr>
                      <w:rFonts w:hint="eastAsia" w:ascii="Times New Roman" w:hAnsi="Times New Roman" w:cs="Times New Roman"/>
                      <w:color w:val="auto"/>
                      <w:sz w:val="21"/>
                      <w:szCs w:val="21"/>
                      <w:lang w:val="en-US" w:bidi="ar"/>
                    </w:rPr>
                    <w:t>474</w:t>
                  </w:r>
                  <w:r>
                    <w:rPr>
                      <w:rFonts w:ascii="Times New Roman" w:hAnsi="Times New Roman" w:cs="Times New Roman"/>
                      <w:color w:val="auto"/>
                      <w:sz w:val="21"/>
                      <w:szCs w:val="21"/>
                      <w:lang w:val="en-US" w:bidi="ar"/>
                    </w:rPr>
                    <w:t xml:space="preserve"> </w:t>
                  </w:r>
                </w:p>
              </w:tc>
            </w:tr>
          </w:tbl>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②未被集气罩收集的无组织颗粒物</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4"/>
                <w:lang w:val="en-US" w:bidi="ar-SA"/>
              </w:rPr>
            </w:pPr>
            <w:r>
              <w:rPr>
                <w:rFonts w:ascii="Times New Roman" w:hAnsi="Times New Roman" w:cs="Times New Roman"/>
                <w:color w:val="auto"/>
                <w:kern w:val="2"/>
                <w:sz w:val="21"/>
                <w:szCs w:val="24"/>
                <w:lang w:val="en-US" w:bidi="ar-SA"/>
              </w:rPr>
              <w:t>主要为</w:t>
            </w: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r>
              <w:rPr>
                <w:rFonts w:ascii="Times New Roman" w:hAnsi="Times New Roman" w:cs="Times New Roman"/>
                <w:color w:val="auto"/>
                <w:kern w:val="2"/>
                <w:sz w:val="21"/>
                <w:szCs w:val="24"/>
                <w:lang w:val="en-US" w:bidi="ar-SA"/>
              </w:rPr>
              <w:t>未被集气罩收集的颗粒物。</w:t>
            </w:r>
            <w:r>
              <w:rPr>
                <w:rFonts w:ascii="Times New Roman" w:hAnsi="Times New Roman" w:cs="Times New Roman"/>
                <w:color w:val="auto"/>
                <w:sz w:val="21"/>
                <w:szCs w:val="21"/>
              </w:rPr>
              <w:t>本项目采取车间密闭、</w:t>
            </w:r>
            <w:r>
              <w:rPr>
                <w:rFonts w:ascii="Times New Roman" w:hAnsi="Times New Roman" w:cs="Times New Roman"/>
                <w:color w:val="auto"/>
                <w:kern w:val="21"/>
                <w:sz w:val="21"/>
                <w:szCs w:val="21"/>
                <w:lang w:val="en-US"/>
              </w:rPr>
              <w:t>选用密闭输送装置进行输送、加强绿化、</w:t>
            </w:r>
            <w:r>
              <w:rPr>
                <w:rFonts w:ascii="Times New Roman" w:hAnsi="Times New Roman" w:cs="Times New Roman"/>
                <w:color w:val="auto"/>
                <w:sz w:val="21"/>
                <w:szCs w:val="21"/>
              </w:rPr>
              <w:t>泼洒抑尘等措施，粉尘逸散量可降低9</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%，估算</w:t>
            </w:r>
            <w:r>
              <w:rPr>
                <w:rFonts w:ascii="Times New Roman" w:hAnsi="Times New Roman" w:cs="Times New Roman"/>
                <w:color w:val="auto"/>
                <w:kern w:val="2"/>
                <w:sz w:val="21"/>
                <w:szCs w:val="24"/>
                <w:lang w:val="en-US" w:bidi="ar-SA"/>
              </w:rPr>
              <w:t>未被集气罩收集的颗粒物排放情况见下表。</w:t>
            </w:r>
          </w:p>
          <w:p>
            <w:pPr>
              <w:pStyle w:val="25"/>
              <w:tabs>
                <w:tab w:val="right" w:leader="dot" w:pos="8507"/>
              </w:tabs>
              <w:autoSpaceDE/>
              <w:autoSpaceDN/>
              <w:spacing w:line="480" w:lineRule="exact"/>
              <w:ind w:left="440"/>
              <w:jc w:val="center"/>
              <w:rPr>
                <w:rFonts w:ascii="Times New Roman" w:hAnsi="Times New Roman" w:cs="Times New Roman"/>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8</w:t>
            </w:r>
            <w:r>
              <w:rPr>
                <w:rFonts w:ascii="Times New Roman" w:hAnsi="Times New Roman" w:cs="Times New Roman"/>
                <w:b/>
                <w:bCs/>
                <w:color w:val="auto"/>
                <w:kern w:val="2"/>
                <w:sz w:val="21"/>
                <w:szCs w:val="24"/>
                <w:lang w:val="en-US" w:bidi="ar-SA"/>
              </w:rPr>
              <w:t xml:space="preserve"> 未被集气罩收集废气产排污核算一览表</w:t>
            </w:r>
          </w:p>
          <w:tbl>
            <w:tblPr>
              <w:tblStyle w:val="32"/>
              <w:tblW w:w="8872" w:type="dxa"/>
              <w:jc w:val="center"/>
              <w:tblLayout w:type="fixed"/>
              <w:tblCellMar>
                <w:top w:w="0" w:type="dxa"/>
                <w:left w:w="108" w:type="dxa"/>
                <w:bottom w:w="0" w:type="dxa"/>
                <w:right w:w="108" w:type="dxa"/>
              </w:tblCellMar>
            </w:tblPr>
            <w:tblGrid>
              <w:gridCol w:w="750"/>
              <w:gridCol w:w="1483"/>
              <w:gridCol w:w="705"/>
              <w:gridCol w:w="623"/>
              <w:gridCol w:w="915"/>
              <w:gridCol w:w="915"/>
              <w:gridCol w:w="915"/>
              <w:gridCol w:w="915"/>
              <w:gridCol w:w="915"/>
              <w:gridCol w:w="736"/>
            </w:tblGrid>
            <w:tr>
              <w:tblPrEx>
                <w:tblCellMar>
                  <w:top w:w="0" w:type="dxa"/>
                  <w:left w:w="108" w:type="dxa"/>
                  <w:bottom w:w="0" w:type="dxa"/>
                  <w:right w:w="108"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生产线名称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产污节点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未被收集量t/a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3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骨料配料粉尘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6.022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0.3</w:t>
                  </w:r>
                  <w:r>
                    <w:rPr>
                      <w:rFonts w:hint="eastAsia" w:ascii="Times New Roman" w:hAnsi="Times New Roman" w:cs="Times New Roman"/>
                      <w:color w:val="auto"/>
                      <w:sz w:val="21"/>
                      <w:szCs w:val="21"/>
                      <w:lang w:val="en-US" w:bidi="ar"/>
                    </w:rPr>
                    <w:t>011</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密闭厂房，洒水抑尘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0.0154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0.0032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粉料仓粉尘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13.326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0.1333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0.0039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0.0008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计量粉尘、搅拌粉尘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9.3535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.0935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0.0041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0.0008 </w:t>
                  </w:r>
                </w:p>
              </w:tc>
            </w:tr>
            <w:tr>
              <w:tblPrEx>
                <w:tblCellMar>
                  <w:top w:w="0" w:type="dxa"/>
                  <w:left w:w="108" w:type="dxa"/>
                  <w:bottom w:w="0" w:type="dxa"/>
                  <w:right w:w="108" w:type="dxa"/>
                </w:tblCellMar>
              </w:tblPrEx>
              <w:trPr>
                <w:trHeight w:val="270" w:hRule="atLeast"/>
                <w:jc w:val="center"/>
              </w:trPr>
              <w:tc>
                <w:tcPr>
                  <w:tcW w:w="72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合计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0.0234t/a</w:t>
                  </w:r>
                </w:p>
              </w:tc>
            </w:tr>
          </w:tbl>
          <w:p>
            <w:pPr>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物料密闭。粉状物料（水泥、粉煤灰）入仓储存；粒状物料（砂子）储存采用入棚、入仓方式储存，密闭料场储存，并设有喷雾降尘装置。</w:t>
            </w:r>
          </w:p>
          <w:p>
            <w:pPr>
              <w:adjustRightInd w:val="0"/>
              <w:spacing w:line="400" w:lineRule="exact"/>
              <w:ind w:left="110" w:leftChars="50" w:firstLine="420" w:firstLineChars="200"/>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w:t>
            </w:r>
            <w:r>
              <w:rPr>
                <w:rFonts w:hint="eastAsia" w:ascii="Times New Roman" w:hAnsi="Times New Roman" w:cs="Times New Roman"/>
                <w:color w:val="auto"/>
                <w:sz w:val="21"/>
                <w:szCs w:val="21"/>
                <w:lang w:eastAsia="zh-CN"/>
              </w:rPr>
              <w:t>输送过程密闭，</w:t>
            </w:r>
            <w:r>
              <w:rPr>
                <w:rFonts w:hint="eastAsia" w:ascii="Times New Roman" w:hAnsi="Times New Roman" w:cs="Times New Roman"/>
                <w:color w:val="auto"/>
                <w:sz w:val="21"/>
                <w:szCs w:val="21"/>
              </w:rPr>
              <w:t>可有效降低风蚀扬尘、动力扬尘的产生</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rPr>
              <w:t>砂石上料采取区域侧、顶三面密封措施并加装集气除尘设施，上料时采用远红外等自动感应控制独立喷淋抑尘系统，集气除尘和自动感应喷淋与铲车作业上料同步运行。</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长期堆放的物料可使用加湿、喷洒表面结壳剂、覆盖等抑尘技术，控制物料表面风蚀扬尘；水和结壳剂喷洒量不得超过生产工艺许可，不得含有毒有害成分。厂界安装微雾抑尘系统。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w:t>
            </w:r>
            <w:r>
              <w:rPr>
                <w:rFonts w:hint="eastAsia" w:ascii="Times New Roman" w:hAnsi="Times New Roman" w:cs="Times New Roman"/>
                <w:color w:val="auto"/>
                <w:sz w:val="21"/>
                <w:szCs w:val="21"/>
                <w:lang w:val="en-US"/>
              </w:rPr>
              <w:t>（沉淀池）</w:t>
            </w:r>
            <w:r>
              <w:rPr>
                <w:rFonts w:ascii="Times New Roman" w:hAnsi="Times New Roman" w:cs="Times New Roman"/>
                <w:color w:val="auto"/>
                <w:sz w:val="21"/>
                <w:szCs w:val="21"/>
                <w:lang w:val="en-US"/>
              </w:rPr>
              <w:t>。厂区需配备足够的湿扫车和洒水车。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lang w:val="en-US"/>
              </w:rPr>
              <w:t>内部运输。大宗原料储运采用机械化原料场和机械化作业；粉状物料全部采用封闭皮带通廊或管状带式输送机运输，避免物料的二次倒运。块状物料（如石子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9）物料运输：物料采用皮带、斜槽等方式输送，封闭式建设；各物料破碎、转载、下料口设置集尘装置或物料转载、下料等区域局部封闭，并配置袋式除尘器。</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10）砂石分离：砂石浆分离系统全封闭式建设，设置洗罐水砂石分离回收设施；通过输送带或砂浆泵等方式，将物料直接输送至料棚或生产线；采用室外倒运的采用防遗漏倒运车，严禁遗撒。</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11）厂区管理：厂区地面全部硬化或绿化，无成片裸露土地；地面保持清洁，定时采用湿法清扫作业车清扫，做到无浮土、污泥。车间地面、墙面、设备表面不可见明显积尘。</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12）主机车间：（搅拌生产楼）地面、墙面、设备表面不可见明显积尘，设施、设备不可见粉尘跑冒滴漏现象。</w:t>
            </w:r>
          </w:p>
          <w:p>
            <w:pPr>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rPr>
              <w:t>本项目无组织粉尘产生量共计0.</w:t>
            </w:r>
            <w:r>
              <w:rPr>
                <w:rFonts w:hint="eastAsia" w:ascii="Times New Roman" w:hAnsi="Times New Roman" w:cs="Times New Roman"/>
                <w:color w:val="auto"/>
                <w:sz w:val="21"/>
                <w:szCs w:val="21"/>
                <w:lang w:val="en-US"/>
              </w:rPr>
              <w:t>2565</w:t>
            </w:r>
            <w:r>
              <w:rPr>
                <w:rFonts w:ascii="Times New Roman" w:hAnsi="Times New Roman" w:cs="Times New Roman"/>
                <w:color w:val="auto"/>
                <w:sz w:val="21"/>
                <w:szCs w:val="21"/>
                <w:lang w:val="en-US"/>
              </w:rPr>
              <w:t>t/a。</w:t>
            </w:r>
            <w:r>
              <w:rPr>
                <w:rFonts w:ascii="Times New Roman" w:hAnsi="Times New Roman" w:cs="Times New Roman"/>
                <w:color w:val="auto"/>
                <w:sz w:val="21"/>
                <w:szCs w:val="21"/>
              </w:rPr>
              <w:t>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安装喷雾抑尘装置，定期喷雾。</w:t>
            </w:r>
            <w:r>
              <w:rPr>
                <w:rFonts w:ascii="Times New Roman" w:hAnsi="Times New Roman" w:cs="Times New Roman"/>
                <w:color w:val="auto"/>
                <w:sz w:val="21"/>
                <w:szCs w:val="21"/>
                <w:lang w:val="en-US"/>
              </w:rPr>
              <w:t>类比同类项目，</w:t>
            </w:r>
            <w:r>
              <w:rPr>
                <w:rFonts w:ascii="Times New Roman" w:hAnsi="Times New Roman" w:cs="Times New Roman"/>
                <w:color w:val="auto"/>
                <w:sz w:val="21"/>
                <w:szCs w:val="21"/>
              </w:rPr>
              <w:t>采取上述措施后，无组织颗粒物监控点与参照点TSP</w:t>
            </w:r>
            <w:r>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rPr>
              <w:t>1小时浓度值的差值≤0.5mg/m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，满足河北省地方标准</w:t>
            </w:r>
            <w:r>
              <w:rPr>
                <w:rFonts w:ascii="Times New Roman" w:hAnsi="Times New Roman" w:cs="Times New Roman"/>
                <w:color w:val="auto"/>
                <w:sz w:val="21"/>
                <w:szCs w:val="21"/>
                <w:lang w:val="en-US"/>
              </w:rPr>
              <w:t>《水泥工业大气污染物超低排放标准》（DB13/2167-2020）</w:t>
            </w:r>
            <w:r>
              <w:rPr>
                <w:rFonts w:ascii="Times New Roman" w:hAnsi="Times New Roman" w:cs="Times New Roman"/>
                <w:color w:val="auto"/>
                <w:sz w:val="21"/>
                <w:szCs w:val="21"/>
              </w:rPr>
              <w:t>表2无组织排放限值标准。</w:t>
            </w:r>
          </w:p>
          <w:p>
            <w:pPr>
              <w:autoSpaceDE/>
              <w:autoSpaceDN/>
              <w:spacing w:line="400" w:lineRule="exact"/>
              <w:ind w:left="110" w:leftChars="50" w:firstLine="405" w:firstLineChars="200"/>
              <w:rPr>
                <w:rFonts w:ascii="Times New Roman" w:hAnsi="Times New Roman" w:cs="Times New Roman"/>
                <w:b/>
                <w:bCs/>
                <w:color w:val="auto"/>
                <w:sz w:val="21"/>
                <w:szCs w:val="21"/>
                <w:lang w:val="en-US"/>
              </w:rPr>
            </w:pPr>
            <w:r>
              <w:rPr>
                <w:rFonts w:ascii="Times New Roman" w:hAnsi="Times New Roman" w:cs="Times New Roman"/>
                <w:b/>
                <w:bCs/>
                <w:color w:val="auto"/>
                <w:spacing w:val="-4"/>
                <w:sz w:val="21"/>
                <w:szCs w:val="21"/>
                <w:lang w:val="en-US" w:bidi="ar-SA"/>
              </w:rPr>
              <w:t>2、</w:t>
            </w:r>
            <w:r>
              <w:rPr>
                <w:rFonts w:ascii="Times New Roman" w:hAnsi="Times New Roman" w:cs="Times New Roman"/>
                <w:b/>
                <w:bCs/>
                <w:color w:val="auto"/>
                <w:sz w:val="21"/>
                <w:szCs w:val="21"/>
                <w:lang w:val="en-US"/>
              </w:rPr>
              <w:t>废气污染物排放量“三本帐”</w:t>
            </w:r>
          </w:p>
          <w:p>
            <w:pPr>
              <w:spacing w:line="480" w:lineRule="exact"/>
              <w:ind w:firstLine="404" w:firstLineChars="200"/>
              <w:jc w:val="both"/>
              <w:rPr>
                <w:rFonts w:ascii="Times New Roman" w:hAnsi="Times New Roman" w:eastAsia="Times New Roman" w:cs="Times New Roman"/>
                <w:color w:val="auto"/>
                <w:sz w:val="24"/>
                <w:szCs w:val="24"/>
                <w:lang w:val="en-US" w:bidi="ar-SA"/>
              </w:rPr>
            </w:pPr>
            <w:r>
              <w:rPr>
                <w:rFonts w:ascii="Times New Roman" w:hAnsi="Times New Roman" w:cs="Times New Roman"/>
                <w:color w:val="auto"/>
                <w:spacing w:val="-4"/>
                <w:sz w:val="21"/>
                <w:szCs w:val="21"/>
                <w:lang w:val="en-US" w:bidi="ar-SA"/>
              </w:rPr>
              <w:t>本次工程建成后，废气污染物排放量三本帐见下表</w:t>
            </w:r>
            <w:r>
              <w:rPr>
                <w:rFonts w:ascii="Times New Roman" w:hAnsi="Times New Roman" w:cs="Times New Roman"/>
                <w:color w:val="auto"/>
                <w:sz w:val="24"/>
                <w:szCs w:val="24"/>
                <w:lang w:val="en-US" w:bidi="ar-SA"/>
              </w:rPr>
              <w:t>。</w:t>
            </w:r>
          </w:p>
          <w:p>
            <w:pPr>
              <w:spacing w:line="480" w:lineRule="exact"/>
              <w:jc w:val="center"/>
              <w:rPr>
                <w:rFonts w:ascii="Times New Roman" w:hAnsi="Times New Roman" w:eastAsia="Times New Roman" w:cs="Times New Roman"/>
                <w:b/>
                <w:bCs/>
                <w:color w:val="auto"/>
                <w:sz w:val="21"/>
                <w:szCs w:val="21"/>
                <w:lang w:val="en-US" w:eastAsia="en-US" w:bidi="ar-SA"/>
              </w:rPr>
            </w:pPr>
            <w:r>
              <w:rPr>
                <w:rFonts w:ascii="Times New Roman" w:hAnsi="Times New Roman" w:cs="Times New Roman"/>
                <w:b/>
                <w:bCs/>
                <w:color w:val="auto"/>
                <w:sz w:val="21"/>
                <w:szCs w:val="21"/>
                <w:lang w:val="en-US" w:bidi="ar-SA"/>
              </w:rPr>
              <w:t>表</w:t>
            </w:r>
            <w:r>
              <w:rPr>
                <w:rFonts w:hint="eastAsia" w:ascii="Times New Roman" w:hAnsi="Times New Roman" w:cs="Times New Roman"/>
                <w:b/>
                <w:bCs/>
                <w:color w:val="auto"/>
                <w:sz w:val="21"/>
                <w:szCs w:val="21"/>
                <w:lang w:val="en-US" w:bidi="ar-SA"/>
              </w:rPr>
              <w:t>4.9</w:t>
            </w:r>
            <w:r>
              <w:rPr>
                <w:rFonts w:ascii="Times New Roman" w:hAnsi="Times New Roman" w:eastAsia="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污染物三本帐一览表   单位：t/a</w:t>
            </w:r>
          </w:p>
          <w:tbl>
            <w:tblPr>
              <w:tblStyle w:val="32"/>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8"/>
              <w:gridCol w:w="1003"/>
              <w:gridCol w:w="2376"/>
              <w:gridCol w:w="864"/>
              <w:gridCol w:w="1018"/>
              <w:gridCol w:w="1017"/>
              <w:gridCol w:w="1271"/>
              <w:gridCol w:w="12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781" w:type="pct"/>
                  <w:gridSpan w:val="2"/>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w:t>
                  </w:r>
                </w:p>
              </w:tc>
              <w:tc>
                <w:tcPr>
                  <w:tcW w:w="1280"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现有项目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466"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1"/>
                    </w:rPr>
                  </w:pPr>
                  <w:r>
                    <w:rPr>
                      <w:rFonts w:hint="eastAsia" w:ascii="Times New Roman" w:hAnsi="Times New Roman"/>
                      <w:b/>
                      <w:bCs/>
                      <w:color w:val="auto"/>
                      <w:spacing w:val="-6"/>
                      <w:sz w:val="21"/>
                      <w:szCs w:val="21"/>
                    </w:rPr>
                    <w:t>现有工程许可排放量</w:t>
                  </w:r>
                </w:p>
              </w:tc>
              <w:tc>
                <w:tcPr>
                  <w:tcW w:w="54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548"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“以新带老”削减量</w:t>
                  </w:r>
                </w:p>
              </w:tc>
              <w:tc>
                <w:tcPr>
                  <w:tcW w:w="685"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扩建项目完成后全厂污染物排放量</w:t>
                  </w:r>
                </w:p>
              </w:tc>
              <w:tc>
                <w:tcPr>
                  <w:tcW w:w="68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增减</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变化量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41"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ascii="Times New Roman" w:hAnsi="Times New Roman"/>
                      <w:color w:val="auto"/>
                      <w:spacing w:val="-6"/>
                      <w:sz w:val="21"/>
                      <w:szCs w:val="21"/>
                    </w:rPr>
                    <w:t>废气</w:t>
                  </w:r>
                </w:p>
              </w:tc>
              <w:tc>
                <w:tcPr>
                  <w:tcW w:w="539"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hint="eastAsia" w:ascii="Times New Roman" w:hAnsi="Times New Roman"/>
                      <w:bCs/>
                      <w:color w:val="auto"/>
                      <w:spacing w:val="-6"/>
                      <w:sz w:val="21"/>
                      <w:szCs w:val="21"/>
                    </w:rPr>
                    <w:t>颗粒物</w:t>
                  </w:r>
                </w:p>
              </w:tc>
              <w:tc>
                <w:tcPr>
                  <w:tcW w:w="1280" w:type="pct"/>
                  <w:tcBorders>
                    <w:tl2br w:val="nil"/>
                    <w:tr2bl w:val="nil"/>
                  </w:tcBorders>
                  <w:vAlign w:val="center"/>
                </w:tcPr>
                <w:p>
                  <w:pPr>
                    <w:adjustRightInd w:val="0"/>
                    <w:snapToGrid w:val="0"/>
                    <w:spacing w:line="320" w:lineRule="exact"/>
                    <w:jc w:val="center"/>
                    <w:rPr>
                      <w:rFonts w:hint="default" w:ascii="Times New Roman" w:hAnsi="Times New Roman"/>
                      <w:bCs/>
                      <w:color w:val="auto"/>
                      <w:spacing w:val="-6"/>
                      <w:sz w:val="21"/>
                      <w:szCs w:val="21"/>
                      <w:lang w:val="en-US"/>
                    </w:rPr>
                  </w:pPr>
                  <w:r>
                    <w:rPr>
                      <w:rFonts w:hint="eastAsia" w:ascii="Times New Roman" w:hAnsi="Times New Roman"/>
                      <w:bCs/>
                      <w:color w:val="auto"/>
                      <w:spacing w:val="-6"/>
                      <w:sz w:val="21"/>
                      <w:szCs w:val="21"/>
                      <w:lang w:val="en-US"/>
                    </w:rPr>
                    <w:t>0.</w:t>
                  </w:r>
                  <w:r>
                    <w:rPr>
                      <w:rFonts w:hint="eastAsia" w:ascii="Times New Roman" w:hAnsi="Times New Roman"/>
                      <w:bCs/>
                      <w:color w:val="auto"/>
                      <w:spacing w:val="-6"/>
                      <w:sz w:val="21"/>
                      <w:szCs w:val="21"/>
                      <w:lang w:val="en-US" w:eastAsia="zh-CN"/>
                    </w:rPr>
                    <w:t>8111</w:t>
                  </w:r>
                </w:p>
              </w:tc>
              <w:tc>
                <w:tcPr>
                  <w:tcW w:w="466"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lang w:val="en-US"/>
                    </w:rPr>
                  </w:pPr>
                  <w:r>
                    <w:rPr>
                      <w:rFonts w:hint="eastAsia" w:ascii="Times New Roman" w:hAnsi="Times New Roman"/>
                      <w:bCs/>
                      <w:color w:val="auto"/>
                      <w:spacing w:val="-6"/>
                      <w:sz w:val="21"/>
                      <w:szCs w:val="21"/>
                      <w:lang w:val="en-US"/>
                    </w:rPr>
                    <w:t>/</w:t>
                  </w:r>
                </w:p>
              </w:tc>
              <w:tc>
                <w:tcPr>
                  <w:tcW w:w="549"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eastAsia="zh-CN"/>
                    </w:rPr>
                    <w:t>0.3593</w:t>
                  </w:r>
                </w:p>
              </w:tc>
              <w:tc>
                <w:tcPr>
                  <w:tcW w:w="548"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eastAsia="zh-CN"/>
                    </w:rPr>
                    <w:t>0.1890</w:t>
                  </w:r>
                </w:p>
              </w:tc>
              <w:tc>
                <w:tcPr>
                  <w:tcW w:w="685" w:type="pct"/>
                  <w:tcBorders>
                    <w:tl2br w:val="nil"/>
                    <w:tr2bl w:val="nil"/>
                  </w:tcBorders>
                  <w:vAlign w:val="center"/>
                </w:tcPr>
                <w:p>
                  <w:pPr>
                    <w:widowControl/>
                    <w:jc w:val="center"/>
                    <w:textAlignment w:val="center"/>
                    <w:rPr>
                      <w:rFonts w:hint="default" w:ascii="Times New Roman" w:hAnsi="Times New Roman" w:eastAsia="宋体" w:cs="Times New Roman"/>
                      <w:bCs/>
                      <w:color w:val="auto"/>
                      <w:spacing w:val="-6"/>
                      <w:sz w:val="21"/>
                      <w:szCs w:val="21"/>
                      <w:lang w:val="en-US" w:eastAsia="zh-CN"/>
                    </w:rPr>
                  </w:pPr>
                  <w:r>
                    <w:rPr>
                      <w:rFonts w:hint="eastAsia" w:ascii="Times New Roman" w:hAnsi="Times New Roman" w:cs="Times New Roman"/>
                      <w:bCs/>
                      <w:color w:val="auto"/>
                      <w:spacing w:val="-6"/>
                      <w:sz w:val="21"/>
                      <w:szCs w:val="21"/>
                      <w:lang w:val="en-US" w:eastAsia="zh-CN"/>
                    </w:rPr>
                    <w:t>0.9816</w:t>
                  </w:r>
                </w:p>
              </w:tc>
              <w:tc>
                <w:tcPr>
                  <w:tcW w:w="689" w:type="pct"/>
                  <w:tcBorders>
                    <w:tl2br w:val="nil"/>
                    <w:tr2bl w:val="nil"/>
                  </w:tcBorders>
                  <w:vAlign w:val="center"/>
                </w:tcPr>
                <w:p>
                  <w:pPr>
                    <w:adjustRightInd w:val="0"/>
                    <w:snapToGrid w:val="0"/>
                    <w:spacing w:line="320" w:lineRule="exact"/>
                    <w:jc w:val="center"/>
                    <w:rPr>
                      <w:rFonts w:hint="default" w:ascii="Times New Roman" w:hAnsi="Times New Roman" w:eastAsia="宋体"/>
                      <w:bCs/>
                      <w:color w:val="auto"/>
                      <w:spacing w:val="-6"/>
                      <w:sz w:val="21"/>
                      <w:szCs w:val="21"/>
                      <w:lang w:val="en-US" w:eastAsia="zh-CN"/>
                    </w:rPr>
                  </w:pPr>
                  <w:r>
                    <w:rPr>
                      <w:rFonts w:hint="eastAsia" w:ascii="Times New Roman" w:hAnsi="Times New Roman"/>
                      <w:bCs/>
                      <w:color w:val="auto"/>
                      <w:spacing w:val="-6"/>
                      <w:sz w:val="21"/>
                      <w:szCs w:val="21"/>
                      <w:lang w:val="en-US"/>
                    </w:rPr>
                    <w:t>+0.</w:t>
                  </w:r>
                  <w:r>
                    <w:rPr>
                      <w:rFonts w:hint="eastAsia" w:ascii="Times New Roman" w:hAnsi="Times New Roman" w:cs="Times New Roman"/>
                      <w:bCs/>
                      <w:color w:val="auto"/>
                      <w:spacing w:val="-6"/>
                      <w:sz w:val="21"/>
                      <w:szCs w:val="21"/>
                      <w:lang w:val="en-US" w:eastAsia="zh-CN"/>
                    </w:rPr>
                    <w:t>1705</w:t>
                  </w:r>
                </w:p>
              </w:tc>
            </w:tr>
          </w:tbl>
          <w:p>
            <w:pPr>
              <w:spacing w:line="400" w:lineRule="exact"/>
              <w:ind w:left="110" w:leftChars="50" w:firstLine="421" w:firstLineChars="200"/>
              <w:jc w:val="both"/>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z w:val="21"/>
                <w:szCs w:val="21"/>
                <w:lang w:val="en-US"/>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 水泥工业（HJ 847—2017）》</w:t>
            </w:r>
            <w:r>
              <w:rPr>
                <w:rFonts w:hint="eastAsia" w:ascii="Times New Roman" w:hAnsi="Times New Roman" w:cs="Times New Roman"/>
                <w:color w:val="auto"/>
                <w:sz w:val="21"/>
                <w:szCs w:val="21"/>
                <w:lang w:val="en-US" w:bidi="ar-SA"/>
              </w:rPr>
              <w:t>《排污单位自行监测技术指南 水泥工业（HJ848-2017）》</w:t>
            </w:r>
            <w:r>
              <w:rPr>
                <w:rFonts w:ascii="Times New Roman" w:hAnsi="Times New Roman" w:cs="Times New Roman"/>
                <w:color w:val="auto"/>
                <w:spacing w:val="-4"/>
                <w:sz w:val="21"/>
                <w:szCs w:val="21"/>
                <w:lang w:val="en-US" w:bidi="ar-SA"/>
              </w:rPr>
              <w:t>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bidi="ar-SA"/>
              </w:rPr>
              <w:t>10</w:t>
            </w:r>
            <w:r>
              <w:rPr>
                <w:rFonts w:ascii="Times New Roman" w:hAnsi="Times New Roman" w:eastAsia="Times New Roman" w:cs="Times New Roman"/>
                <w:b/>
                <w:bCs/>
                <w:color w:val="auto"/>
                <w:sz w:val="21"/>
                <w:szCs w:val="21"/>
                <w:lang w:val="en-US" w:eastAsia="en-US" w:bidi="ar-SA"/>
              </w:rPr>
              <w:tab/>
            </w:r>
            <w:r>
              <w:rPr>
                <w:rFonts w:ascii="Times New Roman" w:hAnsi="Times New Roman" w:cs="Times New Roman"/>
                <w:b/>
                <w:bCs/>
                <w:color w:val="auto"/>
                <w:sz w:val="21"/>
                <w:szCs w:val="21"/>
                <w:lang w:val="en-US" w:bidi="ar-SA"/>
              </w:rPr>
              <w:t>废气</w:t>
            </w:r>
            <w:r>
              <w:rPr>
                <w:rFonts w:ascii="Times New Roman" w:hAnsi="Times New Roman" w:cs="Times New Roman"/>
                <w:b/>
                <w:bCs/>
                <w:color w:val="auto"/>
                <w:sz w:val="21"/>
                <w:szCs w:val="21"/>
                <w:lang w:val="en-US" w:eastAsia="en-US" w:bidi="ar-SA"/>
              </w:rPr>
              <w:t>监测计划一览表</w:t>
            </w:r>
          </w:p>
          <w:tbl>
            <w:tblPr>
              <w:tblStyle w:val="32"/>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类型</w:t>
                  </w:r>
                </w:p>
              </w:tc>
              <w:tc>
                <w:tcPr>
                  <w:tcW w:w="3657"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项目</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监测因子</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取样位置</w:t>
                  </w:r>
                </w:p>
              </w:tc>
              <w:tc>
                <w:tcPr>
                  <w:tcW w:w="154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废气</w:t>
                  </w:r>
                </w:p>
              </w:tc>
              <w:tc>
                <w:tcPr>
                  <w:tcW w:w="3657"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ascii="Times New Roman" w:hAnsi="Times New Roman" w:cs="Times New Roman"/>
                      <w:color w:val="auto"/>
                      <w:sz w:val="21"/>
                      <w:szCs w:val="21"/>
                      <w:lang w:val="en-US" w:bidi="ar"/>
                    </w:rPr>
                    <w:t>（</w:t>
                  </w:r>
                  <w:r>
                    <w:rPr>
                      <w:rFonts w:hint="eastAsia" w:ascii="Times New Roman" w:hAnsi="Times New Roman" w:cs="Times New Roman"/>
                      <w:color w:val="auto"/>
                      <w:sz w:val="21"/>
                      <w:szCs w:val="21"/>
                      <w:lang w:val="en-US" w:bidi="ar"/>
                    </w:rPr>
                    <w:t>DA004</w:t>
                  </w:r>
                  <w:r>
                    <w:rPr>
                      <w:rFonts w:ascii="Times New Roman" w:hAnsi="Times New Roman" w:cs="Times New Roman"/>
                      <w:color w:val="auto"/>
                      <w:sz w:val="21"/>
                      <w:szCs w:val="21"/>
                      <w:lang w:val="en-US" w:bidi="ar"/>
                    </w:rPr>
                    <w:t>）</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颗粒物</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bidi="ar-SA"/>
                    </w:rPr>
                    <w:t>每</w:t>
                  </w:r>
                  <w:r>
                    <w:rPr>
                      <w:rFonts w:hint="eastAsia" w:ascii="Times New Roman" w:hAnsi="Times New Roman" w:cs="Times New Roman"/>
                      <w:color w:val="auto"/>
                      <w:kern w:val="2"/>
                      <w:sz w:val="21"/>
                      <w:lang w:val="en-US" w:eastAsia="zh-CN" w:bidi="ar-SA"/>
                    </w:rPr>
                    <w:t>两</w:t>
                  </w:r>
                  <w:r>
                    <w:rPr>
                      <w:rFonts w:ascii="Times New Roman" w:hAnsi="Times New Roman" w:cs="Times New Roman"/>
                      <w:color w:val="auto"/>
                      <w:kern w:val="2"/>
                      <w:sz w:val="21"/>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vAlign w:val="center"/>
                </w:tcPr>
                <w:p>
                  <w:pPr>
                    <w:jc w:val="center"/>
                    <w:rPr>
                      <w:rFonts w:ascii="Times New Roman" w:hAnsi="Times New Roman" w:cs="Times New Roman"/>
                      <w:color w:val="auto"/>
                      <w:kern w:val="2"/>
                      <w:sz w:val="21"/>
                      <w:lang w:val="en-US" w:eastAsia="en-US" w:bidi="ar-SA"/>
                    </w:rPr>
                  </w:pPr>
                </w:p>
              </w:tc>
              <w:tc>
                <w:tcPr>
                  <w:tcW w:w="3657"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ascii="Times New Roman" w:hAnsi="Times New Roman" w:cs="Times New Roman"/>
                      <w:color w:val="auto"/>
                      <w:sz w:val="21"/>
                      <w:szCs w:val="21"/>
                      <w:lang w:val="en-US" w:bidi="ar"/>
                    </w:rPr>
                    <w:t>）</w:t>
                  </w:r>
                </w:p>
              </w:tc>
              <w:tc>
                <w:tcPr>
                  <w:tcW w:w="1113"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w:t>
                  </w:r>
                  <w:r>
                    <w:rPr>
                      <w:rFonts w:hint="eastAsia" w:ascii="Times New Roman" w:hAnsi="Times New Roman" w:cs="Times New Roman"/>
                      <w:color w:val="auto"/>
                      <w:kern w:val="2"/>
                      <w:sz w:val="21"/>
                      <w:lang w:val="en-US" w:eastAsia="zh-CN" w:bidi="ar-SA"/>
                    </w:rPr>
                    <w:t>两</w:t>
                  </w:r>
                  <w:r>
                    <w:rPr>
                      <w:rFonts w:ascii="Times New Roman" w:hAnsi="Times New Roman" w:cs="Times New Roman"/>
                      <w:color w:val="auto"/>
                      <w:kern w:val="2"/>
                      <w:sz w:val="21"/>
                      <w:lang w:val="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 w:hRule="atLeast"/>
                <w:jc w:val="center"/>
              </w:trPr>
              <w:tc>
                <w:tcPr>
                  <w:tcW w:w="506" w:type="dxa"/>
                  <w:vMerge w:val="continue"/>
                  <w:vAlign w:val="center"/>
                </w:tcPr>
                <w:p>
                  <w:pPr>
                    <w:jc w:val="center"/>
                    <w:rPr>
                      <w:rFonts w:ascii="Times New Roman" w:hAnsi="Times New Roman" w:cs="Times New Roman"/>
                      <w:color w:val="auto"/>
                    </w:rPr>
                  </w:pPr>
                </w:p>
              </w:tc>
              <w:tc>
                <w:tcPr>
                  <w:tcW w:w="3657" w:type="dxa"/>
                  <w:vAlign w:val="center"/>
                </w:tcPr>
                <w:p>
                  <w:pPr>
                    <w:jc w:val="center"/>
                    <w:rPr>
                      <w:rFonts w:ascii="Times New Roman" w:hAnsi="Times New Roman" w:cs="Times New Roman"/>
                      <w:color w:val="auto"/>
                      <w:lang w:val="en-US"/>
                    </w:rPr>
                  </w:pPr>
                  <w:r>
                    <w:rPr>
                      <w:rFonts w:ascii="Times New Roman" w:hAnsi="Times New Roman" w:cs="Times New Roman"/>
                      <w:color w:val="auto"/>
                      <w:sz w:val="21"/>
                      <w:szCs w:val="21"/>
                      <w:lang w:val="en-US"/>
                    </w:rPr>
                    <w:t>无组织废气</w:t>
                  </w:r>
                </w:p>
              </w:tc>
              <w:tc>
                <w:tcPr>
                  <w:tcW w:w="1113" w:type="dxa"/>
                  <w:vAlign w:val="center"/>
                </w:tcPr>
                <w:p>
                  <w:pPr>
                    <w:jc w:val="center"/>
                    <w:rPr>
                      <w:rFonts w:ascii="Times New Roman" w:hAnsi="Times New Roman" w:cs="Times New Roman"/>
                      <w:color w:val="auto"/>
                      <w:sz w:val="21"/>
                      <w:szCs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ascii="Times New Roman" w:hAnsi="Times New Roman" w:cs="Times New Roman"/>
                      <w:color w:val="auto"/>
                      <w:kern w:val="2"/>
                      <w:sz w:val="21"/>
                      <w:lang w:val="en-US" w:bidi="ar-SA"/>
                    </w:rPr>
                  </w:pPr>
                  <w:r>
                    <w:rPr>
                      <w:rFonts w:hint="default" w:ascii="Times New Roman" w:hAnsi="Times New Roman" w:eastAsia="宋体" w:cs="Times New Roman"/>
                      <w:color w:val="auto"/>
                      <w:sz w:val="21"/>
                      <w:szCs w:val="21"/>
                      <w:lang w:eastAsia="zh-CN"/>
                    </w:rPr>
                    <w:t>厂界外20m处上风向设参照点，下风向设监控点</w:t>
                  </w:r>
                </w:p>
              </w:tc>
              <w:tc>
                <w:tcPr>
                  <w:tcW w:w="154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ascii="Times New Roman" w:hAnsi="Times New Roman" w:cs="Times New Roman"/>
                      <w:color w:val="auto"/>
                      <w:kern w:val="2"/>
                      <w:sz w:val="21"/>
                      <w:lang w:val="en-US" w:bidi="ar-SA"/>
                    </w:rPr>
                  </w:pPr>
                  <w:r>
                    <w:rPr>
                      <w:rFonts w:hint="eastAsia" w:ascii="Times New Roman" w:hAnsi="Times New Roman" w:eastAsia="宋体" w:cs="Times New Roman"/>
                      <w:color w:val="auto"/>
                      <w:kern w:val="2"/>
                      <w:sz w:val="21"/>
                      <w:szCs w:val="22"/>
                      <w:lang w:val="en-US" w:eastAsia="zh-CN" w:bidi="ar-SA"/>
                    </w:rPr>
                    <w:t>每</w:t>
                  </w:r>
                  <w:r>
                    <w:rPr>
                      <w:rFonts w:hint="eastAsia" w:ascii="Times New Roman" w:hAnsi="Times New Roman" w:cs="Times New Roman"/>
                      <w:color w:val="auto"/>
                      <w:kern w:val="2"/>
                      <w:sz w:val="21"/>
                      <w:szCs w:val="22"/>
                      <w:lang w:val="en-US" w:eastAsia="zh-CN" w:bidi="ar-SA"/>
                    </w:rPr>
                    <w:t>季度</w:t>
                  </w:r>
                  <w:r>
                    <w:rPr>
                      <w:rFonts w:hint="default" w:ascii="Times New Roman" w:hAnsi="Times New Roman" w:eastAsia="宋体" w:cs="Times New Roman"/>
                      <w:color w:val="auto"/>
                      <w:kern w:val="2"/>
                      <w:sz w:val="21"/>
                      <w:szCs w:val="22"/>
                      <w:lang w:val="en-US" w:eastAsia="en-US" w:bidi="ar-SA"/>
                    </w:rPr>
                    <w:t>1次</w:t>
                  </w:r>
                </w:p>
              </w:tc>
            </w:tr>
          </w:tbl>
          <w:p>
            <w:pPr>
              <w:autoSpaceDE/>
              <w:autoSpaceDN/>
              <w:spacing w:line="400" w:lineRule="exact"/>
              <w:ind w:firstLine="421" w:firstLineChars="200"/>
              <w:rPr>
                <w:rFonts w:ascii="Times New Roman" w:hAnsi="Times New Roman" w:cs="Times New Roman"/>
                <w:b/>
                <w:bCs/>
                <w:color w:val="auto"/>
                <w:kern w:val="2"/>
                <w:sz w:val="21"/>
                <w:szCs w:val="24"/>
                <w:lang w:val="en-US" w:bidi="ar-SA"/>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kern w:val="2"/>
                <w:sz w:val="21"/>
                <w:szCs w:val="24"/>
                <w:lang w:val="en-US" w:bidi="ar-SA"/>
              </w:rPr>
              <w:t>非正常排放情况</w:t>
            </w:r>
          </w:p>
          <w:p>
            <w:pPr>
              <w:spacing w:line="400" w:lineRule="exact"/>
              <w:ind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（1）废气处理设施故障</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本项目废气非正常工况为布袋除尘器出现事故，处理失效，废气未经处理直接排放，最坏情况处理效率为0%。</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本评价要求，建设单位要定期对废气处理设施（布袋除尘器）进行维护和保养，一旦发现设施运行异常，应停止生产，迅速抢修或更换，待废气处理设施运行正常后恢复生产。</w:t>
            </w:r>
          </w:p>
          <w:p>
            <w:pPr>
              <w:autoSpaceDE/>
              <w:autoSpaceDN/>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根据工程分析，建设项目涉及的非正常排放主要为：布袋除尘器故障，导致颗粒物未经处理直接排放，事故处理时间以30分钟计。</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（2）启停机</w:t>
            </w:r>
          </w:p>
          <w:p>
            <w:pPr>
              <w:autoSpaceDE/>
              <w:autoSpaceDN/>
              <w:adjustRightInd w:val="0"/>
              <w:snapToGrid w:val="0"/>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生产设备运行前环保设备提前运行，生产设备停止运行后环保设备延迟运行一段时间运行，确保废气经收集后进入废气处理系统，处理后达标排放。该部分废气以纳入正常工况污染物排放量内，不在单独核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非正常工况下，污染物排放量增大，对环境会产生不利影响。因此，生产中应加强管理，严格操作规范，环保设备检修时需暂停生产，检修完成后进行正常生产，避免废气直接排放造成的环境污染。</w:t>
            </w:r>
          </w:p>
          <w:p>
            <w:pPr>
              <w:autoSpaceDE/>
              <w:autoSpaceDN/>
              <w:adjustRightInd w:val="0"/>
              <w:snapToGrid w:val="0"/>
              <w:spacing w:before="120" w:beforeLines="50" w:line="400" w:lineRule="exact"/>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11</w:t>
            </w:r>
            <w:r>
              <w:rPr>
                <w:rFonts w:ascii="Times New Roman" w:hAnsi="Times New Roman" w:cs="Times New Roman"/>
                <w:b/>
                <w:bCs/>
                <w:color w:val="auto"/>
                <w:kern w:val="2"/>
                <w:sz w:val="21"/>
                <w:szCs w:val="24"/>
                <w:lang w:val="en-US" w:bidi="ar-SA"/>
              </w:rPr>
              <w:t xml:space="preserve">  非正常排放情况表</w:t>
            </w:r>
          </w:p>
          <w:tbl>
            <w:tblPr>
              <w:tblStyle w:val="3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项目</w:t>
                  </w:r>
                </w:p>
              </w:tc>
              <w:tc>
                <w:tcPr>
                  <w:tcW w:w="876"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排放口编号</w:t>
                  </w:r>
                </w:p>
              </w:tc>
              <w:tc>
                <w:tcPr>
                  <w:tcW w:w="92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非正常工况频次</w:t>
                  </w:r>
                </w:p>
              </w:tc>
              <w:tc>
                <w:tcPr>
                  <w:tcW w:w="115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污染物名称</w:t>
                  </w:r>
                </w:p>
              </w:tc>
              <w:tc>
                <w:tcPr>
                  <w:tcW w:w="118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排放浓度（mg/m</w:t>
                  </w:r>
                  <w:r>
                    <w:rPr>
                      <w:rFonts w:ascii="Times New Roman" w:hAnsi="Times New Roman" w:cs="Times New Roman"/>
                      <w:b/>
                      <w:bCs/>
                      <w:color w:val="auto"/>
                      <w:kern w:val="2"/>
                      <w:sz w:val="21"/>
                      <w:szCs w:val="24"/>
                      <w:vertAlign w:val="superscript"/>
                      <w:lang w:val="en-US" w:bidi="ar-SA"/>
                    </w:rPr>
                    <w:t>3</w:t>
                  </w:r>
                  <w:r>
                    <w:rPr>
                      <w:rFonts w:ascii="Times New Roman" w:hAnsi="Times New Roman" w:cs="Times New Roman"/>
                      <w:b/>
                      <w:bCs/>
                      <w:color w:val="auto"/>
                      <w:kern w:val="2"/>
                      <w:sz w:val="21"/>
                      <w:szCs w:val="24"/>
                      <w:lang w:val="en-US" w:bidi="ar-SA"/>
                    </w:rPr>
                    <w:t>）</w:t>
                  </w:r>
                </w:p>
              </w:tc>
              <w:tc>
                <w:tcPr>
                  <w:tcW w:w="90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持续时间（min）</w:t>
                  </w:r>
                </w:p>
              </w:tc>
              <w:tc>
                <w:tcPr>
                  <w:tcW w:w="1054"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排放量</w:t>
                  </w:r>
                </w:p>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（kg/次）</w:t>
                  </w:r>
                </w:p>
              </w:tc>
              <w:tc>
                <w:tcPr>
                  <w:tcW w:w="223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布袋除尘器故障</w:t>
                  </w:r>
                </w:p>
              </w:tc>
              <w:tc>
                <w:tcPr>
                  <w:tcW w:w="876" w:type="dxa"/>
                  <w:vAlign w:val="center"/>
                </w:tcPr>
                <w:p>
                  <w:pPr>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DA004</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467.151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1.4848</w:t>
                  </w:r>
                </w:p>
              </w:tc>
              <w:tc>
                <w:tcPr>
                  <w:tcW w:w="2235"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vAlign w:val="center"/>
                </w:tcPr>
                <w:p>
                  <w:pPr>
                    <w:autoSpaceDE/>
                    <w:autoSpaceDN/>
                    <w:ind w:left="-110" w:leftChars="-50" w:right="-110" w:rightChars="-50"/>
                    <w:jc w:val="center"/>
                    <w:rPr>
                      <w:rFonts w:ascii="Times New Roman" w:hAnsi="Times New Roman" w:cs="Times New Roman"/>
                      <w:color w:val="auto"/>
                    </w:rPr>
                  </w:pPr>
                </w:p>
              </w:tc>
              <w:tc>
                <w:tcPr>
                  <w:tcW w:w="876" w:type="dxa"/>
                  <w:vAlign w:val="center"/>
                </w:tcPr>
                <w:p>
                  <w:pPr>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DA005</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 xml:space="preserve">1403.520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5.2632</w:t>
                  </w:r>
                </w:p>
              </w:tc>
              <w:tc>
                <w:tcPr>
                  <w:tcW w:w="2235" w:type="dxa"/>
                  <w:vMerge w:val="continue"/>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p>
              </w:tc>
            </w:tr>
          </w:tbl>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二、废水</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hint="eastAsia" w:ascii="Times New Roman" w:hAnsi="Times New Roman" w:cs="Times New Roman"/>
                <w:color w:val="auto"/>
                <w:kern w:val="2"/>
                <w:sz w:val="21"/>
                <w:szCs w:val="24"/>
                <w:lang w:val="en-US" w:bidi="ar-SA"/>
              </w:rPr>
              <w:t>不新增劳动定员、不新增生活污水，</w:t>
            </w:r>
            <w:r>
              <w:rPr>
                <w:rFonts w:ascii="Times New Roman" w:hAnsi="Times New Roman" w:cs="Times New Roman"/>
                <w:color w:val="auto"/>
                <w:kern w:val="2"/>
                <w:sz w:val="21"/>
                <w:szCs w:val="24"/>
                <w:lang w:val="en-US" w:bidi="ar-SA"/>
              </w:rPr>
              <w:t>产生的</w:t>
            </w:r>
            <w:r>
              <w:rPr>
                <w:rFonts w:ascii="Times New Roman" w:hAnsi="Times New Roman" w:cs="Times New Roman"/>
                <w:color w:val="auto"/>
                <w:sz w:val="21"/>
                <w:szCs w:val="21"/>
                <w:lang w:val="en-US"/>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ascii="Times New Roman" w:hAnsi="Times New Roman" w:cs="Times New Roman"/>
                <w:color w:val="auto"/>
                <w:kern w:val="2"/>
                <w:sz w:val="21"/>
                <w:szCs w:val="24"/>
                <w:lang w:val="en-US" w:bidi="ar-SA"/>
              </w:rPr>
              <w:t>废水</w:t>
            </w:r>
            <w:r>
              <w:rPr>
                <w:rFonts w:ascii="Times New Roman" w:hAnsi="Times New Roman" w:cs="Times New Roman"/>
                <w:color w:val="auto"/>
                <w:sz w:val="21"/>
                <w:szCs w:val="21"/>
                <w:lang w:val="en-US"/>
              </w:rPr>
              <w:t>排放情况及污染源参数见下表。</w:t>
            </w:r>
          </w:p>
          <w:p>
            <w:pPr>
              <w:spacing w:line="400" w:lineRule="exact"/>
              <w:jc w:val="center"/>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pacing w:val="-4"/>
                <w:sz w:val="21"/>
                <w:szCs w:val="21"/>
                <w:lang w:val="en-US" w:bidi="ar-SA"/>
              </w:rPr>
              <w:t>表4.1</w:t>
            </w:r>
            <w:r>
              <w:rPr>
                <w:rFonts w:hint="eastAsia" w:ascii="Times New Roman" w:hAnsi="Times New Roman" w:cs="Times New Roman"/>
                <w:b/>
                <w:bCs/>
                <w:color w:val="auto"/>
                <w:spacing w:val="-4"/>
                <w:sz w:val="21"/>
                <w:szCs w:val="21"/>
                <w:lang w:val="en-US" w:bidi="ar-SA"/>
              </w:rPr>
              <w:t>2</w:t>
            </w:r>
            <w:r>
              <w:rPr>
                <w:rFonts w:ascii="Times New Roman" w:hAnsi="Times New Roman" w:cs="Times New Roman"/>
                <w:b/>
                <w:bCs/>
                <w:color w:val="auto"/>
                <w:spacing w:val="-4"/>
                <w:sz w:val="21"/>
                <w:szCs w:val="21"/>
                <w:lang w:val="en-US" w:bidi="ar-SA"/>
              </w:rPr>
              <w:t xml:space="preserve"> 污染物产生情况一览表</w:t>
            </w:r>
          </w:p>
          <w:tbl>
            <w:tblPr>
              <w:tblStyle w:val="32"/>
              <w:tblW w:w="8729" w:type="dxa"/>
              <w:jc w:val="center"/>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tblPrEx>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备注</w:t>
                  </w:r>
                </w:p>
              </w:tc>
            </w:tr>
            <w:tr>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产生废水量</w:t>
                  </w:r>
                  <w:r>
                    <w:rPr>
                      <w:rStyle w:val="85"/>
                      <w:rFonts w:hint="default" w:ascii="Times New Roman" w:hAnsi="Times New Roman" w:cs="Times New Roman"/>
                      <w:color w:val="auto"/>
                      <w:sz w:val="21"/>
                      <w:szCs w:val="21"/>
                      <w:lang w:val="en-US" w:bidi="ar"/>
                    </w:rPr>
                    <w:t>m</w:t>
                  </w:r>
                  <w:r>
                    <w:rPr>
                      <w:rFonts w:ascii="Times New Roman" w:hAnsi="Times New Roman" w:cs="Times New Roman"/>
                      <w:b/>
                      <w:bCs/>
                      <w:color w:val="auto"/>
                      <w:sz w:val="21"/>
                      <w:szCs w:val="21"/>
                      <w:vertAlign w:val="superscript"/>
                      <w:lang w:val="en-US" w:bidi="ar"/>
                    </w:rPr>
                    <w:t>3</w:t>
                  </w:r>
                  <w:r>
                    <w:rPr>
                      <w:rStyle w:val="85"/>
                      <w:rFonts w:hint="default" w:ascii="Times New Roman" w:hAnsi="Times New Roman" w:cs="Times New Roman"/>
                      <w:color w:val="auto"/>
                      <w:sz w:val="21"/>
                      <w:szCs w:val="21"/>
                      <w:lang w:val="en-US"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w:t>
                  </w:r>
                  <w:r>
                    <w:rPr>
                      <w:rStyle w:val="85"/>
                      <w:rFonts w:hint="default" w:ascii="Times New Roman" w:hAnsi="Times New Roman" w:cs="Times New Roman"/>
                      <w:color w:val="auto"/>
                      <w:sz w:val="21"/>
                      <w:szCs w:val="21"/>
                      <w:lang w:val="en-US"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w:t>
                  </w:r>
                  <w:r>
                    <w:rPr>
                      <w:rStyle w:val="85"/>
                      <w:rFonts w:hint="default" w:ascii="Times New Roman" w:hAnsi="Times New Roman" w:cs="Times New Roman"/>
                      <w:color w:val="auto"/>
                      <w:sz w:val="21"/>
                      <w:szCs w:val="21"/>
                      <w:lang w:val="en-US"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效率</w:t>
                  </w:r>
                </w:p>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 xml:space="preserve">1.080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回用于车辆冲洗</w:t>
                  </w:r>
                </w:p>
              </w:tc>
            </w:tr>
          </w:tbl>
          <w:p>
            <w:pPr>
              <w:pStyle w:val="52"/>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kern w:val="2"/>
                <w:sz w:val="21"/>
                <w:szCs w:val="21"/>
                <w:lang w:val="en-US" w:bidi="ar-SA"/>
              </w:rPr>
              <w:t>（1）</w:t>
            </w:r>
            <w:r>
              <w:rPr>
                <w:rFonts w:ascii="Times New Roman" w:hAnsi="Times New Roman" w:cs="Times New Roman"/>
                <w:b/>
                <w:bCs/>
                <w:color w:val="auto"/>
                <w:sz w:val="21"/>
                <w:szCs w:val="21"/>
                <w:lang w:val="en-US"/>
              </w:rPr>
              <w:t>车辆冲洗废水（W</w:t>
            </w:r>
            <w:r>
              <w:rPr>
                <w:rFonts w:hint="eastAsia"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w:t>
            </w:r>
            <w:r>
              <w:rPr>
                <w:rFonts w:ascii="Times New Roman" w:hAnsi="Times New Roman" w:cs="Times New Roman"/>
                <w:color w:val="auto"/>
                <w:sz w:val="21"/>
                <w:szCs w:val="21"/>
                <w:lang w:val="en-US"/>
              </w:rPr>
              <w:t>车辆冲洗</w:t>
            </w:r>
            <w:r>
              <w:rPr>
                <w:rFonts w:ascii="Times New Roman" w:hAnsi="Times New Roman" w:cs="Times New Roman"/>
                <w:color w:val="auto"/>
                <w:sz w:val="21"/>
                <w:szCs w:val="21"/>
                <w:lang w:val="en-US" w:bidi="ar-SA"/>
              </w:rPr>
              <w:t>沉淀池沉淀后，回用于车辆冲洗，不外排。</w:t>
            </w:r>
          </w:p>
          <w:p>
            <w:pPr>
              <w:spacing w:line="400" w:lineRule="exact"/>
              <w:ind w:left="110" w:leftChars="50" w:firstLine="421" w:firstLineChars="200"/>
              <w:textAlignment w:val="baseline"/>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沉淀池可行性分析：</w:t>
            </w:r>
            <w:r>
              <w:rPr>
                <w:rFonts w:ascii="Times New Roman" w:hAnsi="Times New Roman" w:cs="Times New Roman"/>
                <w:color w:val="auto"/>
                <w:sz w:val="21"/>
                <w:szCs w:val="21"/>
                <w:lang w:val="en-US"/>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根据上文可知本项目给排水平衡，沉淀池存水可以满足循环水量要求。综上所述，本项目使用沉淀池可行。</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三、噪声</w:t>
            </w:r>
          </w:p>
          <w:p>
            <w:pPr>
              <w:pStyle w:val="25"/>
              <w:autoSpaceDE/>
              <w:autoSpaceDN/>
              <w:spacing w:line="400" w:lineRule="exact"/>
              <w:ind w:left="110" w:leftChars="50" w:right="110" w:rightChars="50" w:firstLine="48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1、噪声排放及治理</w:t>
            </w:r>
          </w:p>
          <w:p>
            <w:pPr>
              <w:pStyle w:val="25"/>
              <w:autoSpaceDE/>
              <w:autoSpaceDN/>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本项目产生的噪声主要来源于各生产工序设备运行时产生的噪声，</w:t>
            </w:r>
            <w:r>
              <w:rPr>
                <w:rFonts w:ascii="Times New Roman" w:hAnsi="Times New Roman" w:cs="Times New Roman"/>
                <w:bCs/>
                <w:color w:val="auto"/>
                <w:sz w:val="21"/>
                <w:szCs w:val="21"/>
              </w:rPr>
              <w:t>类比同类项目各设备源强，预测各声源源强见下表</w:t>
            </w:r>
            <w:r>
              <w:rPr>
                <w:rFonts w:ascii="Times New Roman" w:hAnsi="Times New Roman" w:cs="Times New Roman"/>
                <w:color w:val="auto"/>
                <w:sz w:val="21"/>
                <w:szCs w:val="21"/>
                <w:lang w:val="en-US"/>
              </w:rPr>
              <w:t>。</w:t>
            </w:r>
          </w:p>
          <w:p>
            <w:pPr>
              <w:autoSpaceDE/>
              <w:autoSpaceDN/>
              <w:spacing w:line="400" w:lineRule="exact"/>
              <w:rPr>
                <w:rFonts w:ascii="Times New Roman" w:hAnsi="Times New Roman" w:cs="Times New Roman"/>
                <w:color w:val="auto"/>
                <w:sz w:val="21"/>
              </w:rPr>
            </w:pPr>
          </w:p>
        </w:tc>
      </w:tr>
    </w:tbl>
    <w:p>
      <w:pPr>
        <w:rPr>
          <w:rFonts w:ascii="Times New Roman" w:hAnsi="Times New Roman" w:cs="Times New Roman"/>
          <w:color w:val="auto"/>
          <w:sz w:val="21"/>
        </w:rPr>
      </w:pPr>
    </w:p>
    <w:p>
      <w:pPr>
        <w:pStyle w:val="45"/>
        <w:rPr>
          <w:color w:val="auto"/>
        </w:rPr>
        <w:sectPr>
          <w:pgSz w:w="11910" w:h="16850"/>
          <w:pgMar w:top="1600" w:right="1320" w:bottom="1531" w:left="1340" w:header="0" w:footer="817" w:gutter="0"/>
          <w:cols w:space="720" w:num="1"/>
        </w:sectPr>
      </w:pPr>
    </w:p>
    <w:tbl>
      <w:tblPr>
        <w:tblStyle w:val="33"/>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1" w:hRule="atLeast"/>
          <w:jc w:val="center"/>
        </w:trPr>
        <w:tc>
          <w:tcPr>
            <w:tcW w:w="471" w:type="dxa"/>
          </w:tcPr>
          <w:p>
            <w:pPr>
              <w:ind w:firstLine="560"/>
              <w:jc w:val="both"/>
              <w:rPr>
                <w:rFonts w:ascii="Times New Roman" w:hAnsi="Times New Roman" w:cs="Times New Roman"/>
                <w:color w:val="auto"/>
              </w:rPr>
            </w:pPr>
          </w:p>
        </w:tc>
        <w:tc>
          <w:tcPr>
            <w:tcW w:w="14417" w:type="dxa"/>
          </w:tcPr>
          <w:p>
            <w:pPr>
              <w:pStyle w:val="25"/>
              <w:autoSpaceDE/>
              <w:autoSpaceDN/>
              <w:spacing w:line="400" w:lineRule="exact"/>
              <w:ind w:left="110" w:leftChars="50" w:right="6" w:firstLine="210" w:firstLineChars="10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13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工业企业噪声源强调查清单（室内声源）</w:t>
            </w:r>
          </w:p>
          <w:tbl>
            <w:tblPr>
              <w:tblStyle w:val="32"/>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
              <w:gridCol w:w="578"/>
              <w:gridCol w:w="1375"/>
              <w:gridCol w:w="905"/>
              <w:gridCol w:w="533"/>
              <w:gridCol w:w="572"/>
              <w:gridCol w:w="448"/>
              <w:gridCol w:w="481"/>
              <w:gridCol w:w="491"/>
              <w:gridCol w:w="474"/>
              <w:gridCol w:w="555"/>
              <w:gridCol w:w="467"/>
              <w:gridCol w:w="491"/>
              <w:gridCol w:w="474"/>
              <w:gridCol w:w="473"/>
              <w:gridCol w:w="605"/>
              <w:gridCol w:w="676"/>
              <w:gridCol w:w="459"/>
              <w:gridCol w:w="459"/>
              <w:gridCol w:w="475"/>
              <w:gridCol w:w="459"/>
              <w:gridCol w:w="400"/>
              <w:gridCol w:w="400"/>
              <w:gridCol w:w="427"/>
              <w:gridCol w:w="412"/>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dxa"/>
                  <w:vMerge w:val="restart"/>
                  <w:vAlign w:val="center"/>
                </w:tcPr>
                <w:p>
                  <w:pPr>
                    <w:ind w:left="-110" w:leftChars="-50" w:right="-110" w:rightChars="-50"/>
                    <w:jc w:val="center"/>
                    <w:rPr>
                      <w:rFonts w:ascii="Times New Roman" w:hAnsi="Times New Roman" w:cs="Times New Roman"/>
                      <w:color w:val="auto"/>
                      <w:sz w:val="21"/>
                      <w:szCs w:val="21"/>
                    </w:rPr>
                  </w:pPr>
                  <w:bookmarkStart w:id="3" w:name="PT_6"/>
                  <w:r>
                    <w:rPr>
                      <w:rFonts w:ascii="Times New Roman" w:hAnsi="Times New Roman" w:cs="Times New Roman"/>
                      <w:b/>
                      <w:color w:val="auto"/>
                      <w:sz w:val="21"/>
                      <w:szCs w:val="21"/>
                    </w:rPr>
                    <w:t>序号</w:t>
                  </w:r>
                </w:p>
              </w:tc>
              <w:tc>
                <w:tcPr>
                  <w:tcW w:w="578"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建筑物名称</w:t>
                  </w:r>
                </w:p>
              </w:tc>
              <w:tc>
                <w:tcPr>
                  <w:tcW w:w="1375"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声源名称</w:t>
                  </w:r>
                </w:p>
              </w:tc>
              <w:tc>
                <w:tcPr>
                  <w:tcW w:w="905"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声源源强</w:t>
                  </w:r>
                </w:p>
              </w:tc>
              <w:tc>
                <w:tcPr>
                  <w:tcW w:w="533"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声源控制措施</w:t>
                  </w:r>
                </w:p>
                <w:p>
                  <w:pPr>
                    <w:ind w:left="-110" w:leftChars="-50" w:right="-110" w:rightChars="-50"/>
                    <w:jc w:val="center"/>
                    <w:rPr>
                      <w:rFonts w:ascii="Times New Roman" w:hAnsi="Times New Roman" w:cs="Times New Roman"/>
                      <w:color w:val="auto"/>
                      <w:sz w:val="21"/>
                      <w:szCs w:val="21"/>
                    </w:rPr>
                  </w:pPr>
                </w:p>
              </w:tc>
              <w:tc>
                <w:tcPr>
                  <w:tcW w:w="1501" w:type="dxa"/>
                  <w:gridSpan w:val="3"/>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空间相对位置/m</w:t>
                  </w:r>
                </w:p>
              </w:tc>
              <w:tc>
                <w:tcPr>
                  <w:tcW w:w="1987"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距室内边界距离/m</w:t>
                  </w:r>
                </w:p>
              </w:tc>
              <w:tc>
                <w:tcPr>
                  <w:tcW w:w="2043"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室内边界声级/dB(A)</w:t>
                  </w:r>
                </w:p>
              </w:tc>
              <w:tc>
                <w:tcPr>
                  <w:tcW w:w="676" w:type="dxa"/>
                  <w:vMerge w:val="restart"/>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b/>
                      <w:color w:val="auto"/>
                      <w:sz w:val="21"/>
                      <w:szCs w:val="21"/>
                    </w:rPr>
                    <w:t>运行时段</w:t>
                  </w:r>
                </w:p>
                <w:p>
                  <w:pPr>
                    <w:ind w:left="-110" w:leftChars="-50" w:right="-110" w:rightChars="-50"/>
                    <w:jc w:val="center"/>
                    <w:rPr>
                      <w:rFonts w:ascii="Times New Roman" w:hAnsi="Times New Roman" w:cs="Times New Roman"/>
                      <w:color w:val="auto"/>
                      <w:sz w:val="21"/>
                      <w:szCs w:val="21"/>
                    </w:rPr>
                  </w:pPr>
                </w:p>
              </w:tc>
              <w:tc>
                <w:tcPr>
                  <w:tcW w:w="1852"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建筑物插入损失 / dB(A)</w:t>
                  </w:r>
                  <w:bookmarkStart w:id="4" w:name="PT_10"/>
                  <w:bookmarkEnd w:id="4"/>
                </w:p>
              </w:tc>
              <w:tc>
                <w:tcPr>
                  <w:tcW w:w="2265" w:type="dxa"/>
                  <w:gridSpan w:val="5"/>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声功率级/dB(A)</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X</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Y</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Z</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建筑物</w:t>
                  </w:r>
                </w:p>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c>
                <w:tcPr>
                  <w:tcW w:w="578"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湿拌砂浆生产车间</w:t>
                  </w:r>
                </w:p>
              </w:tc>
              <w:tc>
                <w:tcPr>
                  <w:tcW w:w="137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选用低噪设备、基础减震、隔声、距离衰减等</w:t>
                  </w: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76" w:type="dxa"/>
                  <w:vMerge w:val="restart"/>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16h</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24.8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12.4</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17.3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5.2</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22.6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24.6</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9.8</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-0.6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16.9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风机1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搅拌主机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16.3</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16.4</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水泥计量设备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13.8</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粉煤灰计量设备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37.3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螺旋输送机组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84.77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27.5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70.3</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70.8</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44.3</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44.3</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44.8</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粉料储存系统</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35.9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18.7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外加剂计量设备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60.6</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34.6</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eastAsia="Arial" w:cs="Times New Roman"/>
                      <w:color w:val="auto"/>
                      <w:sz w:val="21"/>
                      <w:szCs w:val="21"/>
                    </w:rPr>
                    <w:t>15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风机2</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65.6</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66.8</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39.6</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40.8</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578" w:type="dxa"/>
                  <w:vMerge w:val="restart"/>
                  <w:shd w:val="clear" w:color="auto" w:fill="FFFFFF"/>
                  <w:tcMar>
                    <w:top w:w="0" w:type="dxa"/>
                    <w:left w:w="0" w:type="dxa"/>
                    <w:bottom w:w="0" w:type="dxa"/>
                    <w:right w:w="0" w:type="dxa"/>
                  </w:tcMar>
                  <w:vAlign w:val="center"/>
                </w:tcPr>
                <w:p>
                  <w:pPr>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干混</w:t>
                  </w:r>
                </w:p>
                <w:p>
                  <w:pPr>
                    <w:ind w:left="-110" w:leftChars="-50" w:right="-110" w:rightChars="-50"/>
                    <w:jc w:val="center"/>
                    <w:rPr>
                      <w:rFonts w:hint="eastAsia"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砂浆</w:t>
                  </w:r>
                </w:p>
                <w:p>
                  <w:pPr>
                    <w:ind w:left="-110" w:leftChars="-50" w:right="-110" w:rightChars="-50"/>
                    <w:jc w:val="center"/>
                    <w:rPr>
                      <w:rFonts w:hint="eastAsia"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生产</w:t>
                  </w:r>
                </w:p>
                <w:p>
                  <w:pPr>
                    <w:ind w:left="-110" w:leftChars="-50" w:right="-110" w:rightChars="-50"/>
                    <w:jc w:val="center"/>
                    <w:rPr>
                      <w:rFonts w:ascii="Times New Roman" w:hAnsi="Times New Roman" w:eastAsia="Arial" w:cs="Times New Roman"/>
                      <w:color w:val="auto"/>
                      <w:sz w:val="21"/>
                      <w:szCs w:val="21"/>
                    </w:rPr>
                  </w:pPr>
                  <w:r>
                    <w:rPr>
                      <w:rFonts w:hint="eastAsia" w:ascii="Times New Roman" w:hAnsi="Times New Roman" w:eastAsia="Arial" w:cs="Times New Roman"/>
                      <w:color w:val="auto"/>
                      <w:sz w:val="21"/>
                      <w:szCs w:val="21"/>
                      <w:lang w:val="en-US"/>
                    </w:rPr>
                    <w:t>车间</w:t>
                  </w: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斗式提升机组1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67.0</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41.0</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砂料罐组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73.01</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60.4</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34.4</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34.3</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水泥罐</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31.3</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粉料罐</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输送机组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81.99</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69.1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43.1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双轴高效混合机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阀口包装机组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84.77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71.9</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45.9</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空气压缩机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51.5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14.7</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17.0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烘干机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53.2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-14.3</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22.2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燃烧机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54.4</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19.6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分级转筛机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12.8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水泥净浆搅拌机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42.6</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21.5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72.2</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46.2</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砂浆搅拌机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砂石震筛机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49.3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13.3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72.1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水泥胶砂振实台</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49.1</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0.1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67.1</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砂浆振动台</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44.5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23.9</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9.3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66.9</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67.0</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原有风机1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38.3</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-16.7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4.8</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26.9</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60.4</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41.5</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原有风机2</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-14.5</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24.7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57.2</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57.3</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57.1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41.2</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bookmarkEnd w:id="3"/>
          </w:tbl>
          <w:p>
            <w:pPr>
              <w:ind w:firstLine="420" w:firstLineChars="200"/>
              <w:jc w:val="both"/>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表中坐标以厂界中心（</w:t>
            </w:r>
            <w:bookmarkStart w:id="5" w:name="PO_7"/>
            <w:r>
              <w:rPr>
                <w:rFonts w:ascii="Times New Roman" w:hAnsi="Times New Roman" w:cs="Times New Roman"/>
                <w:bCs/>
                <w:color w:val="auto"/>
                <w:sz w:val="21"/>
                <w:szCs w:val="21"/>
                <w:lang w:val="en-US"/>
              </w:rPr>
              <w:t>114.927825,36.313720</w:t>
            </w:r>
            <w:bookmarkEnd w:id="5"/>
            <w:r>
              <w:rPr>
                <w:rFonts w:ascii="Times New Roman" w:hAnsi="Times New Roman" w:cs="Times New Roman"/>
                <w:bCs/>
                <w:color w:val="auto"/>
                <w:sz w:val="21"/>
                <w:szCs w:val="21"/>
                <w:lang w:val="en-US"/>
              </w:rPr>
              <w:t>）为坐标原点，正东向为X轴正方向，正北向为Y轴正方向</w:t>
            </w:r>
            <w:r>
              <w:rPr>
                <w:rFonts w:hint="eastAsia" w:ascii="Times New Roman" w:hAnsi="Times New Roman" w:cs="Times New Roman"/>
                <w:bCs/>
                <w:color w:val="auto"/>
                <w:sz w:val="21"/>
                <w:szCs w:val="21"/>
                <w:lang w:val="en-US"/>
              </w:rPr>
              <w:t>。</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拟采取的噪声污染防治措施：</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合理布局：在满足工艺和安全生产前提下，尽量将噪声设备集中安排，增大主要噪声源与厂界的距离，并保持厂房密闭，以减小对厂界的影响；</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选用低噪声设备：充分选用先进的低噪声设备，从声源上降低设备本身噪声；</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（3）加强设备的维护：确保设备处于良好的运转状态，杜绝因设备不正常运转时产生的高噪声现象；</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（4）对生产设备经常保持润滑，合理布置强噪声源，设置基础减震等。</w:t>
            </w:r>
          </w:p>
          <w:p>
            <w:pPr>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2、声环境影响评价</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（1）预测内容</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rPr>
              <w:t>HJ 2.4—2021</w:t>
            </w:r>
            <w:r>
              <w:rPr>
                <w:rFonts w:ascii="Times New Roman" w:hAnsi="Times New Roman" w:cs="Times New Roman"/>
                <w:color w:val="auto"/>
                <w:sz w:val="21"/>
                <w:szCs w:val="21"/>
              </w:rPr>
              <w:t>）中推荐的预测模式分别计算各声源对厂界的贡献值。</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（2）预测模式</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室内声源首先换算为等效室外声源，再按各类声源模式计算。</w:t>
            </w:r>
          </w:p>
          <w:p>
            <w:pPr>
              <w:numPr>
                <w:ilvl w:val="0"/>
                <w:numId w:val="6"/>
              </w:num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首先计算出某个室内声源靠近围护结构处的倍频带声压级：</w:t>
            </w: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p1</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m:t>
                </m:r>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w</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+10lg（</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Q</m:t>
                    </m:r>
                    <m:ctrlPr>
                      <w:rPr>
                        <w:rFonts w:ascii="Cambria Math" w:hAnsi="Cambria Math" w:cs="Times New Roman"/>
                        <w:i/>
                        <w:iCs/>
                        <w:color w:val="auto"/>
                        <w:sz w:val="21"/>
                        <w:szCs w:val="21"/>
                        <w:lang w:val="en-US"/>
                      </w:rPr>
                    </m:ctrlPr>
                  </m:num>
                  <m:den>
                    <m:sSup>
                      <m:sSupPr>
                        <m:ctrlPr>
                          <w:rPr>
                            <w:rFonts w:ascii="Cambria Math" w:hAnsi="Cambria Math" w:cs="Times New Roman"/>
                            <w:i/>
                            <w:iCs/>
                            <w:color w:val="auto"/>
                            <w:sz w:val="21"/>
                            <w:szCs w:val="21"/>
                            <w:lang w:val="en-US"/>
                          </w:rPr>
                        </m:ctrlPr>
                      </m:sSupPr>
                      <m:e>
                        <m:r>
                          <m:rPr/>
                          <w:rPr>
                            <w:rFonts w:ascii="Cambria Math" w:hAnsi="Cambria Math" w:cs="Times New Roman"/>
                            <w:color w:val="auto"/>
                            <w:sz w:val="21"/>
                            <w:szCs w:val="21"/>
                            <w:lang w:val="en-US"/>
                          </w:rPr>
                          <m:t>4πr</m:t>
                        </m:r>
                        <m:ctrlPr>
                          <w:rPr>
                            <w:rFonts w:ascii="Cambria Math" w:hAnsi="Cambria Math" w:cs="Times New Roman"/>
                            <w:i/>
                            <w:iCs/>
                            <w:color w:val="auto"/>
                            <w:sz w:val="21"/>
                            <w:szCs w:val="21"/>
                            <w:lang w:val="en-US"/>
                          </w:rPr>
                        </m:ctrlPr>
                      </m:e>
                      <m:sup>
                        <m:r>
                          <m:rPr/>
                          <w:rPr>
                            <w:rFonts w:ascii="Cambria Math" w:hAnsi="Cambria Math" w:cs="Times New Roman"/>
                            <w:color w:val="auto"/>
                            <w:sz w:val="21"/>
                            <w:szCs w:val="21"/>
                            <w:lang w:val="en-US"/>
                          </w:rPr>
                          <m:t>2</m:t>
                        </m:r>
                        <m:ctrlPr>
                          <w:rPr>
                            <w:rFonts w:ascii="Cambria Math" w:hAnsi="Cambria Math" w:cs="Times New Roman"/>
                            <w:i/>
                            <w:iCs/>
                            <w:color w:val="auto"/>
                            <w:sz w:val="21"/>
                            <w:szCs w:val="21"/>
                            <w:lang w:val="en-US"/>
                          </w:rPr>
                        </m:ctrlPr>
                      </m:sup>
                    </m:sSup>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4</m:t>
                    </m:r>
                    <m:ctrlPr>
                      <w:rPr>
                        <w:rFonts w:ascii="Cambria Math" w:hAnsi="Cambria Math" w:cs="Times New Roman"/>
                        <w:i/>
                        <w:iCs/>
                        <w:color w:val="auto"/>
                        <w:sz w:val="21"/>
                        <w:szCs w:val="21"/>
                        <w:lang w:val="en-US"/>
                      </w:rPr>
                    </m:ctrlPr>
                  </m:num>
                  <m:den>
                    <m:r>
                      <m:rPr/>
                      <w:rPr>
                        <w:rFonts w:ascii="Cambria Math" w:hAnsi="Cambria Math" w:cs="Times New Roman"/>
                        <w:color w:val="auto"/>
                        <w:sz w:val="21"/>
                        <w:szCs w:val="21"/>
                        <w:lang w:val="en-US"/>
                      </w:rPr>
                      <m:t>R</m:t>
                    </m:r>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式中：</w:t>
            </w: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p1</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——靠近开口处（或窗户）室内某倍频带的声压级或 A 声级，dB；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w</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——点声源声功率级（A 计权或倍频带），dB；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i/>
                <w:iCs/>
                <w:color w:val="auto"/>
                <w:sz w:val="21"/>
                <w:szCs w:val="21"/>
              </w:rPr>
              <w:t>r</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——声源到靠近围护结构某点处的距离，m；</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R——房间常数；</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Q——指向性因数。</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p>
        </w:tc>
      </w:tr>
    </w:tbl>
    <w:p>
      <w:pPr>
        <w:pStyle w:val="45"/>
        <w:rPr>
          <w:color w:val="auto"/>
        </w:rPr>
        <w:sectPr>
          <w:pgSz w:w="16850" w:h="11910" w:orient="landscape"/>
          <w:pgMar w:top="1340" w:right="1600" w:bottom="1320" w:left="1531" w:header="0" w:footer="817" w:gutter="0"/>
          <w:cols w:space="720" w:num="1"/>
        </w:sectPr>
      </w:pPr>
    </w:p>
    <w:tbl>
      <w:tblPr>
        <w:tblStyle w:val="32"/>
        <w:tblW w:w="50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54" w:type="dxa"/>
            <w:tcMar>
              <w:left w:w="28" w:type="dxa"/>
              <w:right w:w="28" w:type="dxa"/>
            </w:tcMar>
            <w:vAlign w:val="center"/>
          </w:tcPr>
          <w:p>
            <w:pPr>
              <w:adjustRightInd w:val="0"/>
              <w:snapToGrid w:val="0"/>
              <w:jc w:val="center"/>
              <w:rPr>
                <w:rFonts w:ascii="Times New Roman" w:hAnsi="Times New Roman" w:cs="Times New Roman"/>
                <w:b/>
                <w:bCs/>
                <w:color w:val="auto"/>
                <w:sz w:val="24"/>
              </w:rPr>
            </w:pPr>
          </w:p>
        </w:tc>
        <w:tc>
          <w:tcPr>
            <w:tcW w:w="9022" w:type="dxa"/>
            <w:vAlign w:val="center"/>
          </w:tcPr>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b.计算出所有室内声源的靠近围护结构处产生的总倍频带声压级：</w:t>
            </w:r>
          </w:p>
          <w:p>
            <w:pPr>
              <w:pStyle w:val="25"/>
              <w:tabs>
                <w:tab w:val="right" w:leader="dot" w:pos="8507"/>
              </w:tabs>
              <w:autoSpaceDE/>
              <w:autoSpaceDN/>
              <w:spacing w:before="120" w:beforeLines="50" w:after="120" w:afterLines="50"/>
              <w:ind w:left="440"/>
              <w:rPr>
                <w:rFonts w:hint="eastAsia" w:hAnsi="Cambria Math"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(T)=10lg(</m:t>
                </m:r>
                <m:nary>
                  <m:naryPr>
                    <m:chr m:val="∑"/>
                    <m:limLoc m:val="undOvr"/>
                    <m:ctrlPr>
                      <w:rPr>
                        <w:rFonts w:ascii="Cambria Math" w:hAnsi="Cambria Math" w:cs="Times New Roman"/>
                        <w:i/>
                        <w:color w:val="auto"/>
                        <w:sz w:val="21"/>
                        <w:szCs w:val="21"/>
                        <w:lang w:val="en-US"/>
                      </w:rPr>
                    </m:ctrlPr>
                  </m:naryPr>
                  <m:sub>
                    <m:r>
                      <m:rPr/>
                      <w:rPr>
                        <w:rFonts w:ascii="Cambria Math" w:hAnsi="Cambria Math" w:cs="Times New Roman"/>
                        <w:color w:val="auto"/>
                        <w:sz w:val="21"/>
                        <w:szCs w:val="21"/>
                        <w:lang w:val="en-US"/>
                      </w:rPr>
                      <m:t>j=1</m:t>
                    </m:r>
                    <m:ctrlPr>
                      <w:rPr>
                        <w:rFonts w:ascii="Cambria Math" w:hAnsi="Cambria Math" w:cs="Times New Roman"/>
                        <w:i/>
                        <w:color w:val="auto"/>
                        <w:sz w:val="21"/>
                        <w:szCs w:val="21"/>
                        <w:lang w:val="en-US"/>
                      </w:rPr>
                    </m:ctrlPr>
                  </m:sub>
                  <m:sup>
                    <m:r>
                      <m:rPr/>
                      <w:rPr>
                        <w:rFonts w:ascii="Cambria Math" w:hAnsi="Cambria Math" w:cs="Times New Roman"/>
                        <w:color w:val="auto"/>
                        <w:sz w:val="21"/>
                        <w:szCs w:val="21"/>
                        <w:lang w:val="en-US"/>
                      </w:rPr>
                      <m:t>N</m:t>
                    </m:r>
                    <m:ctrlPr>
                      <w:rPr>
                        <w:rFonts w:ascii="Cambria Math" w:hAnsi="Cambria Math" w:cs="Times New Roman"/>
                        <w:i/>
                        <w:color w:val="auto"/>
                        <w:sz w:val="21"/>
                        <w:szCs w:val="21"/>
                        <w:lang w:val="en-US"/>
                      </w:rPr>
                    </m:ctrlPr>
                  </m:sup>
                  <m:e>
                    <m:sSup>
                      <m:sSupPr>
                        <m:ctrlPr>
                          <w:rPr>
                            <w:rFonts w:ascii="Cambria Math" w:hAnsi="Cambria Math" w:cs="Times New Roman"/>
                            <w:i/>
                            <w:color w:val="auto"/>
                            <w:sz w:val="21"/>
                            <w:szCs w:val="21"/>
                            <w:lang w:val="en-US"/>
                          </w:rPr>
                        </m:ctrlPr>
                      </m:sSupPr>
                      <m:e>
                        <m:r>
                          <m:rPr/>
                          <w:rPr>
                            <w:rFonts w:ascii="Cambria Math" w:hAnsi="Cambria Math" w:cs="Times New Roman"/>
                            <w:color w:val="auto"/>
                            <w:sz w:val="21"/>
                            <w:szCs w:val="21"/>
                            <w:lang w:val="en-US"/>
                          </w:rPr>
                          <m:t>10</m:t>
                        </m:r>
                        <m:ctrlPr>
                          <w:rPr>
                            <w:rFonts w:ascii="Cambria Math" w:hAnsi="Cambria Math" w:cs="Times New Roman"/>
                            <w:i/>
                            <w:color w:val="auto"/>
                            <w:sz w:val="21"/>
                            <w:szCs w:val="21"/>
                            <w:lang w:val="en-US"/>
                          </w:rPr>
                        </m:ctrlPr>
                      </m:e>
                      <m:sup>
                        <m:r>
                          <m:rPr/>
                          <w:rPr>
                            <w:rFonts w:ascii="Cambria Math" w:hAnsi="Cambria Math" w:cs="Times New Roman"/>
                            <w:color w:val="auto"/>
                            <w:sz w:val="21"/>
                            <w:szCs w:val="21"/>
                            <w:lang w:val="en-US"/>
                          </w:rPr>
                          <m:t>0.1</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plij</m:t>
                            </m:r>
                            <m:ctrlPr>
                              <w:rPr>
                                <w:rFonts w:ascii="Cambria Math" w:hAnsi="Cambria Math" w:cs="Times New Roman"/>
                                <w:i/>
                                <w:color w:val="auto"/>
                                <w:sz w:val="21"/>
                                <w:szCs w:val="21"/>
                                <w:lang w:val="en-US"/>
                              </w:rPr>
                            </m:ctrlPr>
                          </m:sub>
                        </m:sSub>
                        <m:ctrlPr>
                          <w:rPr>
                            <w:rFonts w:ascii="Cambria Math" w:hAnsi="Cambria Math" w:cs="Times New Roman"/>
                            <w:i/>
                            <w:color w:val="auto"/>
                            <w:sz w:val="21"/>
                            <w:szCs w:val="21"/>
                            <w:lang w:val="en-US"/>
                          </w:rPr>
                        </m:ctrlPr>
                      </m:sup>
                    </m:sSup>
                    <m:ctrlPr>
                      <w:rPr>
                        <w:rFonts w:ascii="Cambria Math" w:hAnsi="Cambria Math" w:cs="Times New Roman"/>
                        <w:i/>
                        <w:color w:val="auto"/>
                        <w:sz w:val="21"/>
                        <w:szCs w:val="21"/>
                        <w:lang w:val="en-US"/>
                      </w:rPr>
                    </m:ctrlPr>
                  </m:e>
                </m:nary>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rPr>
                  </m:ctrlPr>
                </m:e>
                <m:sub>
                  <m:r>
                    <m:rPr>
                      <m:sty m:val="p"/>
                    </m:rPr>
                    <w:rPr>
                      <w:rFonts w:ascii="Cambria Math" w:hAnsi="Cambria Math" w:cs="Times New Roman"/>
                      <w:color w:val="auto"/>
                      <w:sz w:val="21"/>
                      <w:szCs w:val="21"/>
                      <w:lang w:val="en-US"/>
                    </w:rPr>
                    <m:t>pli</m:t>
                  </m:r>
                  <m:ctrlPr>
                    <w:rPr>
                      <w:rFonts w:ascii="Cambria Math" w:hAnsi="Cambria Math" w:cs="Times New Roman"/>
                      <w:iCs/>
                      <w:color w:val="auto"/>
                      <w:sz w:val="21"/>
                      <w:szCs w:val="21"/>
                    </w:rPr>
                  </m:ctrlPr>
                </m:sub>
              </m:sSub>
              <m:r>
                <m:rPr>
                  <m:sty m:val="p"/>
                </m:rPr>
                <w:rPr>
                  <w:rFonts w:ascii="Cambria Math" w:hAnsi="Cambria Math" w:cs="Times New Roman"/>
                  <w:color w:val="auto"/>
                  <w:sz w:val="21"/>
                  <w:szCs w:val="21"/>
                  <w:lang w:val="en-US"/>
                </w:rPr>
                <m:t>(T)</m:t>
              </m:r>
            </m:oMath>
            <w:r>
              <w:rPr>
                <w:rFonts w:ascii="Times New Roman" w:hAnsi="Times New Roman" w:cs="Times New Roman"/>
                <w:color w:val="auto"/>
                <w:sz w:val="21"/>
                <w:szCs w:val="21"/>
                <w:lang w:val="en-US"/>
              </w:rPr>
              <w:t xml:space="preserve">——靠近围护结构处室内 N 个声源 i 倍频带的叠加声压级，dB；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lang w:val="en-US"/>
                    </w:rPr>
                  </m:ctrlPr>
                </m:e>
                <m:sub>
                  <m:r>
                    <m:rPr>
                      <m:sty m:val="p"/>
                    </m:rPr>
                    <w:rPr>
                      <w:rFonts w:ascii="Cambria Math" w:hAnsi="Cambria Math" w:cs="Times New Roman"/>
                      <w:color w:val="auto"/>
                      <w:sz w:val="21"/>
                      <w:szCs w:val="21"/>
                      <w:lang w:val="en-US"/>
                    </w:rPr>
                    <m:t>plij</m:t>
                  </m:r>
                  <m:ctrlPr>
                    <w:rPr>
                      <w:rFonts w:ascii="Cambria Math" w:hAnsi="Cambria Math" w:cs="Times New Roman"/>
                      <w:iCs/>
                      <w:color w:val="auto"/>
                      <w:sz w:val="21"/>
                      <w:szCs w:val="21"/>
                      <w:lang w:val="en-US"/>
                    </w:rPr>
                  </m:ctrlPr>
                </m:sub>
              </m:sSub>
            </m:oMath>
            <w:r>
              <w:rPr>
                <w:rFonts w:ascii="Times New Roman" w:hAnsi="Times New Roman" w:cs="Times New Roman"/>
                <w:color w:val="auto"/>
                <w:sz w:val="21"/>
                <w:szCs w:val="21"/>
                <w:lang w:val="en-US"/>
              </w:rPr>
              <w:t xml:space="preserve">——室内 j 声源 i 倍频带的声压级，dB；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——室内声源总数。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c.计算出室外靠近围护结构处的声压级：</w:t>
            </w:r>
          </w:p>
          <w:p>
            <w:pPr>
              <w:wordWrap w:val="0"/>
              <w:autoSpaceDE/>
              <w:autoSpaceDN/>
              <w:spacing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+6)</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oMath>
            <w:r>
              <w:rPr>
                <w:rFonts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rPr>
              <w:t>类比同类项目</w:t>
            </w:r>
            <w:r>
              <w:rPr>
                <w:rFonts w:ascii="Times New Roman" w:hAnsi="Times New Roman" w:cs="Times New Roman"/>
                <w:color w:val="auto"/>
                <w:sz w:val="21"/>
                <w:szCs w:val="21"/>
              </w:rPr>
              <w:t>，确定以</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dB(A)作为厂房围护的隔声量。</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p2</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(T)+10lgS</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S——透声面积，m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oMath>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中心位置位于透声面积（</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lang w:val="en-US"/>
              </w:rPr>
              <w:t>）处的等效声源的倍频带声功率级，</w:t>
            </w:r>
            <w:r>
              <w:rPr>
                <w:rFonts w:ascii="Times New Roman" w:hAnsi="Times New Roman" w:cs="Times New Roman"/>
                <w:color w:val="auto"/>
                <w:sz w:val="21"/>
                <w:szCs w:val="21"/>
                <w:lang w:val="en-US"/>
              </w:rPr>
              <w:t>dB</w:t>
            </w:r>
            <w:r>
              <w:rPr>
                <w:rFonts w:hint="eastAsia" w:ascii="Times New Roman" w:hAnsi="Times New Roman" w:cs="Times New Roman"/>
                <w:color w:val="auto"/>
                <w:sz w:val="21"/>
                <w:szCs w:val="21"/>
                <w:lang w:val="en-US"/>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e.设第i个室外声源在预测点产生的A声级为L</w:t>
            </w:r>
            <w:r>
              <w:rPr>
                <w:rFonts w:ascii="Times New Roman" w:hAnsi="Times New Roman" w:cs="Times New Roman"/>
                <w:color w:val="auto"/>
                <w:sz w:val="21"/>
                <w:szCs w:val="21"/>
                <w:vertAlign w:val="subscript"/>
              </w:rPr>
              <w:t>Ai</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i</w:t>
            </w:r>
            <w:r>
              <w:rPr>
                <w:rFonts w:ascii="Times New Roman" w:hAnsi="Times New Roman" w:cs="Times New Roman"/>
                <w:color w:val="auto"/>
                <w:sz w:val="21"/>
                <w:szCs w:val="21"/>
              </w:rPr>
              <w:t>；第j等效室外声源在预测点产生的A声级为L</w:t>
            </w:r>
            <w:r>
              <w:rPr>
                <w:rFonts w:ascii="Times New Roman" w:hAnsi="Times New Roman" w:cs="Times New Roman"/>
                <w:color w:val="auto"/>
                <w:sz w:val="21"/>
                <w:szCs w:val="21"/>
                <w:vertAlign w:val="subscript"/>
              </w:rPr>
              <w:t>Aj</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j</w:t>
            </w:r>
            <w:r>
              <w:rPr>
                <w:rFonts w:ascii="Times New Roman" w:hAnsi="Times New Roman" w:cs="Times New Roman"/>
                <w:color w:val="auto"/>
                <w:sz w:val="21"/>
                <w:szCs w:val="21"/>
              </w:rPr>
              <w:t>，则拟建工程声源对预测点产生的贡献值（L</w:t>
            </w:r>
            <w:r>
              <w:rPr>
                <w:rFonts w:ascii="Times New Roman" w:hAnsi="Times New Roman" w:cs="Times New Roman"/>
                <w:color w:val="auto"/>
                <w:sz w:val="21"/>
                <w:szCs w:val="21"/>
                <w:vertAlign w:val="subscript"/>
              </w:rPr>
              <w:t>eqg</w:t>
            </w:r>
            <w:r>
              <w:rPr>
                <w:rFonts w:ascii="Times New Roman" w:hAnsi="Times New Roman" w:cs="Times New Roman"/>
                <w:color w:val="auto"/>
                <w:sz w:val="21"/>
                <w:szCs w:val="21"/>
              </w:rPr>
              <w:t>）为：</w:t>
            </w:r>
          </w:p>
          <w:p>
            <w:pPr>
              <w:pStyle w:val="89"/>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89"/>
              <w:rPr>
                <w:color w:val="auto"/>
              </w:rPr>
            </w:pP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i/>
                <w:iCs/>
                <w:color w:val="auto"/>
                <w:sz w:val="21"/>
                <w:szCs w:val="21"/>
                <w:lang w:val="en-US"/>
              </w:rPr>
            </w:pPr>
            <m:oMathPara>
              <m:oMath>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eqg</m:t>
                    </m:r>
                    <m:ctrlPr>
                      <w:rPr>
                        <w:rFonts w:ascii="Cambria Math" w:hAnsi="Cambria Math" w:cs="Times New Roman"/>
                        <w:i/>
                        <w:iCs/>
                        <w:color w:val="auto"/>
                        <w:kern w:val="2"/>
                        <w:sz w:val="21"/>
                        <w:szCs w:val="21"/>
                        <w:lang w:val="en-US" w:bidi="ar-SA"/>
                      </w:rPr>
                    </m:ctrlPr>
                  </m:sub>
                </m:sSub>
                <m:r>
                  <m:rPr/>
                  <w:rPr>
                    <w:rFonts w:ascii="Cambria Math" w:hAnsi="Cambria Math" w:cs="Times New Roman"/>
                    <w:color w:val="auto"/>
                    <w:kern w:val="2"/>
                    <w:sz w:val="21"/>
                    <w:szCs w:val="21"/>
                    <w:lang w:val="en-US" w:bidi="ar-SA"/>
                  </w:rPr>
                  <m:t>=10lg</m:t>
                </m:r>
                <m:d>
                  <m:dPr>
                    <m:begChr m:val="["/>
                    <m:endChr m:val="]"/>
                    <m:ctrlPr>
                      <w:rPr>
                        <w:rFonts w:ascii="Cambria Math" w:hAnsi="Cambria Math" w:cs="Times New Roman"/>
                        <w:i/>
                        <w:iCs/>
                        <w:color w:val="auto"/>
                        <w:kern w:val="2"/>
                        <w:sz w:val="21"/>
                        <w:szCs w:val="21"/>
                        <w:lang w:val="en-US" w:bidi="ar-SA"/>
                      </w:rPr>
                    </m:ctrlPr>
                  </m:dPr>
                  <m:e>
                    <m:f>
                      <m:fPr>
                        <m:ctrlPr>
                          <w:rPr>
                            <w:rFonts w:ascii="Cambria Math" w:hAnsi="Cambria Math" w:cs="Times New Roman"/>
                            <w:i/>
                            <w:iCs/>
                            <w:color w:val="auto"/>
                            <w:kern w:val="2"/>
                            <w:sz w:val="21"/>
                            <w:szCs w:val="21"/>
                            <w:lang w:val="en-US" w:bidi="ar-SA"/>
                          </w:rPr>
                        </m:ctrlPr>
                      </m:fPr>
                      <m:num>
                        <m:r>
                          <m:rPr/>
                          <w:rPr>
                            <w:rFonts w:ascii="Cambria Math" w:hAnsi="Cambria Math" w:cs="Times New Roman"/>
                            <w:color w:val="auto"/>
                            <w:kern w:val="2"/>
                            <w:sz w:val="21"/>
                            <w:szCs w:val="21"/>
                            <w:lang w:val="en-US" w:bidi="ar-SA"/>
                          </w:rPr>
                          <m:t>1</m:t>
                        </m:r>
                        <m:ctrlPr>
                          <w:rPr>
                            <w:rFonts w:ascii="Cambria Math" w:hAnsi="Cambria Math" w:cs="Times New Roman"/>
                            <w:i/>
                            <w:iCs/>
                            <w:color w:val="auto"/>
                            <w:kern w:val="2"/>
                            <w:sz w:val="21"/>
                            <w:szCs w:val="21"/>
                            <w:lang w:val="en-US" w:bidi="ar-SA"/>
                          </w:rPr>
                        </m:ctrlPr>
                      </m:num>
                      <m:den>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den>
                    </m:f>
                    <m:d>
                      <m:dPr>
                        <m:ctrlPr>
                          <w:rPr>
                            <w:rFonts w:ascii="Cambria Math" w:hAnsi="Cambria Math" w:cs="Times New Roman"/>
                            <w:i/>
                            <w:iCs/>
                            <w:color w:val="auto"/>
                            <w:kern w:val="2"/>
                            <w:sz w:val="21"/>
                            <w:szCs w:val="21"/>
                            <w:lang w:val="en-US" w:bidi="ar-SA"/>
                          </w:rPr>
                        </m:ctrlPr>
                      </m:dPr>
                      <m:e>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i=1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N</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i</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Ai</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r>
                              <m:rPr/>
                              <w:rPr>
                                <w:rFonts w:ascii="Cambria Math" w:hAnsi="Cambria Math" w:cs="Times New Roman"/>
                                <w:color w:val="auto"/>
                                <w:kern w:val="2"/>
                                <w:sz w:val="21"/>
                                <w:szCs w:val="21"/>
                                <w:lang w:val="en-US" w:bidi="ar-SA"/>
                              </w:rPr>
                              <m:t>+</m:t>
                            </m:r>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j=1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M</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j</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Aj</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d>
                    <m:ctrlPr>
                      <w:rPr>
                        <w:rFonts w:ascii="Cambria Math" w:hAnsi="Cambria Math" w:cs="Times New Roman"/>
                        <w:i/>
                        <w:iCs/>
                        <w:color w:val="auto"/>
                        <w:kern w:val="2"/>
                        <w:sz w:val="21"/>
                        <w:szCs w:val="21"/>
                        <w:lang w:val="en-US" w:bidi="ar-SA"/>
                      </w:rPr>
                    </m:ctrlPr>
                  </m:e>
                </m:d>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L</w:t>
            </w:r>
            <w:r>
              <w:rPr>
                <w:rFonts w:ascii="Times New Roman" w:hAnsi="Times New Roman" w:cs="Times New Roman"/>
                <w:color w:val="auto"/>
                <w:sz w:val="21"/>
                <w:szCs w:val="21"/>
                <w:vertAlign w:val="subscript"/>
                <w:lang w:val="en-US"/>
              </w:rPr>
              <w:t>eqg</w:t>
            </w:r>
            <w:r>
              <w:rPr>
                <w:rFonts w:ascii="Times New Roman" w:hAnsi="Times New Roman" w:cs="Times New Roman"/>
                <w:color w:val="auto"/>
                <w:sz w:val="21"/>
                <w:szCs w:val="21"/>
                <w:lang w:val="en-US"/>
              </w:rPr>
              <w:t xml:space="preserve">——建设项目声源在预测点产生的噪声贡献值，dB；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T ——用于计算等效声级的时间，s；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i</w:t>
            </w:r>
            <w:r>
              <w:rPr>
                <w:rFonts w:ascii="Times New Roman" w:hAnsi="Times New Roman" w:cs="Times New Roman"/>
                <w:color w:val="auto"/>
                <w:sz w:val="21"/>
                <w:szCs w:val="21"/>
                <w:lang w:val="en-US"/>
              </w:rPr>
              <w:t xml:space="preserve"> ——在 T 时间内 i 声源工作时间，s；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M ——等效室外声源个数；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j</w:t>
            </w:r>
            <w:r>
              <w:rPr>
                <w:rFonts w:ascii="Times New Roman" w:hAnsi="Times New Roman" w:cs="Times New Roman"/>
                <w:color w:val="auto"/>
                <w:sz w:val="21"/>
                <w:szCs w:val="21"/>
                <w:lang w:val="en-US"/>
              </w:rPr>
              <w:t xml:space="preserve"> ——在 T 时间内 j 声源工作时间，s。</w:t>
            </w:r>
          </w:p>
          <w:p>
            <w:pPr>
              <w:pStyle w:val="4"/>
              <w:autoSpaceDE/>
              <w:autoSpaceDN/>
              <w:spacing w:beforeAutospacing="0" w:afterAutospacing="0" w:line="400" w:lineRule="exact"/>
              <w:ind w:left="110" w:leftChars="50" w:right="110" w:rightChars="50" w:firstLine="420" w:firstLineChars="200"/>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（3）预测结果与评价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通过预测模型计算，项目厂界噪声预测结果与达标分析见下表。</w:t>
            </w:r>
          </w:p>
          <w:p>
            <w:pPr>
              <w:spacing w:line="400" w:lineRule="exact"/>
              <w:ind w:left="110" w:leftChars="50" w:right="6"/>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14</w:t>
            </w:r>
            <w:r>
              <w:rPr>
                <w:rFonts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噪声预测结果一览表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42"/>
              <w:gridCol w:w="842"/>
              <w:gridCol w:w="842"/>
              <w:gridCol w:w="1019"/>
              <w:gridCol w:w="1416"/>
              <w:gridCol w:w="141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44"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预测方位</w:t>
                  </w:r>
                </w:p>
              </w:tc>
              <w:tc>
                <w:tcPr>
                  <w:tcW w:w="1905" w:type="dxa"/>
                  <w:gridSpan w:val="3"/>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lang w:val="en-US"/>
                    </w:rPr>
                    <w:t>最大值点</w:t>
                  </w:r>
                  <w:r>
                    <w:rPr>
                      <w:rFonts w:ascii="Times New Roman" w:hAnsi="Times New Roman" w:cs="Times New Roman" w:eastAsiaTheme="minorEastAsia"/>
                      <w:b/>
                      <w:color w:val="auto"/>
                      <w:sz w:val="21"/>
                      <w:szCs w:val="21"/>
                    </w:rPr>
                    <w:t>空间相对位置/m</w:t>
                  </w:r>
                </w:p>
              </w:tc>
              <w:tc>
                <w:tcPr>
                  <w:tcW w:w="769"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时段</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rPr>
                    <w:t>贡献值</w:t>
                  </w:r>
                  <w:r>
                    <w:rPr>
                      <w:rFonts w:ascii="Times New Roman" w:hAnsi="Times New Roman" w:cs="Times New Roman" w:eastAsiaTheme="minorEastAsia"/>
                      <w:b/>
                      <w:color w:val="auto"/>
                      <w:sz w:val="21"/>
                      <w:szCs w:val="21"/>
                    </w:rPr>
                    <w:t>（dB(A)）</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标准限值（dB(A)）</w:t>
                  </w:r>
                </w:p>
              </w:tc>
              <w:tc>
                <w:tcPr>
                  <w:tcW w:w="906"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4"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X</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Y</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Z</w:t>
                  </w:r>
                </w:p>
              </w:tc>
              <w:tc>
                <w:tcPr>
                  <w:tcW w:w="769"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906"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66.4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-13.6</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39.9</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66.4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-13.6</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39.9</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-19.7</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44.3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-19.7</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44.3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-58.9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-58.9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7.4</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13.5</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47.6</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13.5</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19</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47.6</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bl>
          <w:p>
            <w:pPr>
              <w:rPr>
                <w:rFonts w:ascii="Times New Roman" w:hAnsi="Times New Roman" w:cs="Times New Roman"/>
                <w:color w:val="auto"/>
                <w:sz w:val="21"/>
                <w:szCs w:val="21"/>
                <w:lang w:val="en-US"/>
              </w:rPr>
            </w:pPr>
            <w:r>
              <w:rPr>
                <w:rFonts w:ascii="Times New Roman" w:hAnsi="Times New Roman" w:cs="Times New Roman"/>
                <w:bCs/>
                <w:color w:val="auto"/>
                <w:sz w:val="21"/>
                <w:szCs w:val="21"/>
                <w:lang w:val="en-US"/>
              </w:rPr>
              <w:t>表中坐标以厂界中心</w:t>
            </w:r>
            <w:r>
              <w:rPr>
                <w:rFonts w:ascii="Times New Roman" w:hAnsi="Times New Roman" w:cs="Times New Roman" w:eastAsiaTheme="minorEastAsia"/>
                <w:bCs/>
                <w:color w:val="auto"/>
                <w:sz w:val="21"/>
                <w:szCs w:val="21"/>
                <w:lang w:val="en-US"/>
              </w:rPr>
              <w:t>（</w:t>
            </w:r>
            <w:bookmarkStart w:id="6" w:name="PO_8"/>
            <w:r>
              <w:rPr>
                <w:rFonts w:ascii="Times New Roman" w:hAnsi="Times New Roman" w:cs="Times New Roman" w:eastAsiaTheme="minorEastAsia"/>
                <w:bCs/>
                <w:color w:val="auto"/>
                <w:sz w:val="21"/>
                <w:szCs w:val="21"/>
                <w:lang w:val="en-US"/>
              </w:rPr>
              <w:t>114.927825,36.313720</w:t>
            </w:r>
            <w:bookmarkEnd w:id="6"/>
            <w:r>
              <w:rPr>
                <w:rFonts w:ascii="Times New Roman" w:hAnsi="Times New Roman" w:cs="Times New Roman" w:eastAsiaTheme="minorEastAsia"/>
                <w:bCs/>
                <w:color w:val="auto"/>
                <w:sz w:val="21"/>
                <w:szCs w:val="21"/>
                <w:lang w:val="en-US"/>
              </w:rPr>
              <w:t>）</w:t>
            </w:r>
            <w:r>
              <w:rPr>
                <w:rFonts w:ascii="Times New Roman" w:hAnsi="Times New Roman" w:cs="Times New Roman"/>
                <w:bCs/>
                <w:color w:val="auto"/>
                <w:sz w:val="21"/>
                <w:szCs w:val="21"/>
                <w:lang w:val="en-US"/>
              </w:rPr>
              <w:t>为坐标原点，正东向为X轴正方向，正北向为Y轴正方向。</w:t>
            </w:r>
          </w:p>
          <w:p>
            <w:pPr>
              <w:autoSpaceDE/>
              <w:autoSpaceDN/>
              <w:spacing w:line="400" w:lineRule="exact"/>
              <w:ind w:left="110" w:leftChars="50" w:firstLine="420" w:firstLineChars="200"/>
              <w:jc w:val="both"/>
              <w:rPr>
                <w:rFonts w:ascii="Times New Roman" w:hAnsi="Times New Roman"/>
                <w:color w:val="auto"/>
                <w:sz w:val="21"/>
                <w:szCs w:val="21"/>
              </w:rPr>
            </w:pPr>
            <w:r>
              <w:rPr>
                <w:rFonts w:ascii="Times New Roman" w:hAnsi="Times New Roman"/>
                <w:color w:val="auto"/>
                <w:sz w:val="21"/>
                <w:szCs w:val="21"/>
              </w:rPr>
              <w:t xml:space="preserve">由上表可知，项目厂界噪声满足《工业企业厂界环境噪声排放标准》(GB12348.2008) </w:t>
            </w:r>
            <w:r>
              <w:rPr>
                <w:rFonts w:hint="eastAsia" w:ascii="Times New Roman" w:hAnsi="Times New Roman"/>
                <w:color w:val="auto"/>
                <w:sz w:val="21"/>
                <w:szCs w:val="21"/>
                <w:lang w:val="en-US"/>
              </w:rPr>
              <w:t>2</w:t>
            </w:r>
            <w:r>
              <w:rPr>
                <w:rFonts w:ascii="Times New Roman" w:hAnsi="Times New Roman"/>
                <w:color w:val="auto"/>
                <w:sz w:val="21"/>
                <w:szCs w:val="21"/>
              </w:rPr>
              <w:t>类标准。</w:t>
            </w:r>
          </w:p>
          <w:p>
            <w:pPr>
              <w:spacing w:line="400" w:lineRule="exact"/>
              <w:ind w:firstLine="405" w:firstLineChars="200"/>
              <w:jc w:val="both"/>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w:t>
            </w:r>
            <w:r>
              <w:rPr>
                <w:rFonts w:hint="eastAsia" w:ascii="Times New Roman" w:hAnsi="Times New Roman" w:cs="Times New Roman"/>
                <w:color w:val="auto"/>
                <w:spacing w:val="-4"/>
                <w:sz w:val="21"/>
                <w:szCs w:val="21"/>
                <w:lang w:val="en-US" w:bidi="ar-SA"/>
              </w:rPr>
              <w:t xml:space="preserve"> </w:t>
            </w:r>
            <w:r>
              <w:rPr>
                <w:rFonts w:ascii="Times New Roman" w:hAnsi="Times New Roman" w:cs="Times New Roman"/>
                <w:color w:val="auto"/>
                <w:spacing w:val="-4"/>
                <w:sz w:val="21"/>
                <w:szCs w:val="21"/>
                <w:lang w:val="en-US" w:bidi="ar-SA"/>
              </w:rPr>
              <w:t>工业噪声（HJ 1301—2023）》中的相关要求，提出相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eastAsia="zh-CN" w:bidi="ar-SA"/>
              </w:rPr>
              <w:t>15</w:t>
            </w:r>
            <w:r>
              <w:rPr>
                <w:rFonts w:hint="eastAsia" w:ascii="Times New Roman" w:hAnsi="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噪声</w:t>
            </w:r>
            <w:r>
              <w:rPr>
                <w:rFonts w:ascii="Times New Roman" w:hAnsi="Times New Roman" w:cs="Times New Roman"/>
                <w:b/>
                <w:bCs/>
                <w:color w:val="auto"/>
                <w:sz w:val="21"/>
                <w:szCs w:val="21"/>
                <w:lang w:val="en-US" w:eastAsia="en-US" w:bidi="ar-SA"/>
              </w:rPr>
              <w:t>监测计划一览表</w:t>
            </w:r>
          </w:p>
          <w:tbl>
            <w:tblPr>
              <w:tblStyle w:val="32"/>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132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50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85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945"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声环境</w:t>
                  </w:r>
                </w:p>
              </w:tc>
              <w:tc>
                <w:tcPr>
                  <w:tcW w:w="1321"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厂界噪声</w:t>
                  </w:r>
                </w:p>
              </w:tc>
              <w:tc>
                <w:tcPr>
                  <w:tcW w:w="150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等效连续A声级</w:t>
                  </w:r>
                </w:p>
              </w:tc>
              <w:tc>
                <w:tcPr>
                  <w:tcW w:w="2851" w:type="dxa"/>
                  <w:vAlign w:val="center"/>
                </w:tcPr>
                <w:p>
                  <w:pPr>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东、南、西、北厂界外 1m</w:t>
                  </w:r>
                </w:p>
              </w:tc>
              <w:tc>
                <w:tcPr>
                  <w:tcW w:w="945"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每季1次</w:t>
                  </w:r>
                </w:p>
              </w:tc>
            </w:tr>
          </w:tbl>
          <w:p>
            <w:pPr>
              <w:autoSpaceDE/>
              <w:autoSpaceDN/>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四、固体废物</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1、固废产生情况及处置措施</w:t>
            </w:r>
          </w:p>
          <w:p>
            <w:pPr>
              <w:autoSpaceDE/>
              <w:autoSpaceDN/>
              <w:spacing w:line="400" w:lineRule="exact"/>
              <w:ind w:left="110" w:leftChars="50" w:firstLine="420" w:firstLineChars="200"/>
              <w:rPr>
                <w:rFonts w:ascii="Times New Roman" w:hAnsi="Times New Roman" w:cs="Times New Roman"/>
                <w:b/>
                <w:bCs/>
                <w:color w:val="auto"/>
                <w:kern w:val="2"/>
                <w:sz w:val="21"/>
                <w:szCs w:val="21"/>
                <w:lang w:bidi="ar-SA"/>
              </w:rPr>
            </w:pPr>
            <w:r>
              <w:rPr>
                <w:rFonts w:hint="eastAsia" w:ascii="Times New Roman" w:hAnsi="Times New Roman" w:cs="Times New Roman"/>
                <w:color w:val="auto"/>
                <w:kern w:val="2"/>
                <w:sz w:val="21"/>
                <w:szCs w:val="21"/>
                <w:lang w:bidi="ar-SA"/>
              </w:rPr>
              <w:t>本项目不新增定员，不新增生活垃圾，</w:t>
            </w:r>
            <w:r>
              <w:rPr>
                <w:rFonts w:ascii="Times New Roman" w:hAnsi="Times New Roman" w:cs="Times New Roman"/>
                <w:color w:val="auto"/>
                <w:kern w:val="2"/>
                <w:sz w:val="21"/>
                <w:szCs w:val="21"/>
                <w:lang w:bidi="ar-SA"/>
              </w:rPr>
              <w:t>本项目产生固体废物</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除尘灰（S</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检修过程中产生的废油桶（</w:t>
            </w:r>
            <w:r>
              <w:rPr>
                <w:rFonts w:ascii="Times New Roman" w:hAnsi="Times New Roman" w:cs="Times New Roman"/>
                <w:color w:val="auto"/>
                <w:sz w:val="21"/>
                <w:szCs w:val="21"/>
                <w:lang w:val="en-US"/>
              </w:rPr>
              <w:t>S</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rPr>
              <w:t>）。</w:t>
            </w:r>
            <w:r>
              <w:rPr>
                <w:rFonts w:ascii="Times New Roman" w:hAnsi="Times New Roman" w:cs="Times New Roman"/>
                <w:color w:val="auto"/>
                <w:kern w:val="2"/>
                <w:sz w:val="21"/>
                <w:szCs w:val="21"/>
                <w:lang w:bidi="ar-SA"/>
              </w:rPr>
              <w:t>项目固体废物产生情况见下表。</w:t>
            </w:r>
          </w:p>
          <w:p>
            <w:pPr>
              <w:autoSpaceDE/>
              <w:autoSpaceDN/>
              <w:snapToGrid w:val="0"/>
              <w:spacing w:line="400" w:lineRule="exact"/>
              <w:jc w:val="center"/>
              <w:rPr>
                <w:rFonts w:ascii="Times New Roman" w:hAnsi="Times New Roman" w:cs="Times New Roman"/>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16</w:t>
            </w:r>
            <w:r>
              <w:rPr>
                <w:rFonts w:hint="eastAsia"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color w:val="auto"/>
                <w:sz w:val="21"/>
                <w:szCs w:val="21"/>
              </w:rPr>
              <w:t>建成后</w:t>
            </w:r>
            <w:r>
              <w:rPr>
                <w:rFonts w:hint="eastAsia" w:ascii="Times New Roman" w:hAnsi="Times New Roman" w:cs="Times New Roman"/>
                <w:b/>
                <w:color w:val="auto"/>
                <w:sz w:val="21"/>
                <w:szCs w:val="21"/>
              </w:rPr>
              <w:t>新增</w:t>
            </w:r>
            <w:r>
              <w:rPr>
                <w:rFonts w:ascii="Times New Roman" w:hAnsi="Times New Roman" w:cs="Times New Roman"/>
                <w:b/>
                <w:color w:val="auto"/>
                <w:sz w:val="21"/>
                <w:szCs w:val="21"/>
                <w:lang w:val="en-US"/>
              </w:rPr>
              <w:t>固体废物汇总表</w:t>
            </w:r>
          </w:p>
          <w:tbl>
            <w:tblPr>
              <w:tblStyle w:val="32"/>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1310"/>
              <w:gridCol w:w="1026"/>
              <w:gridCol w:w="1583"/>
              <w:gridCol w:w="593"/>
              <w:gridCol w:w="920"/>
              <w:gridCol w:w="1026"/>
              <w:gridCol w:w="7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757"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产生环节</w:t>
                  </w:r>
                </w:p>
              </w:tc>
              <w:tc>
                <w:tcPr>
                  <w:tcW w:w="914"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贮存方式</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物理性状</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456"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环境危险特性</w:t>
                  </w:r>
                </w:p>
              </w:tc>
              <w:tc>
                <w:tcPr>
                  <w:tcW w:w="641" w:type="pct"/>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9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57"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592"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废气处理</w:t>
                  </w:r>
                </w:p>
              </w:tc>
              <w:tc>
                <w:tcPr>
                  <w:tcW w:w="914"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存放于封闭式原料厂房</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21.617</w:t>
                  </w:r>
                </w:p>
              </w:tc>
              <w:tc>
                <w:tcPr>
                  <w:tcW w:w="592"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456"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c>
                <w:tcPr>
                  <w:tcW w:w="641"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废油桶</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废机油</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bl>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17</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bCs/>
                <w:color w:val="auto"/>
                <w:sz w:val="21"/>
                <w:szCs w:val="21"/>
              </w:rPr>
              <w:t>固废利用处置方式一览表</w:t>
            </w:r>
          </w:p>
          <w:tbl>
            <w:tblPr>
              <w:tblStyle w:val="3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89"/>
              <w:gridCol w:w="2524"/>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48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252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利用处置方式</w:t>
                  </w:r>
                </w:p>
              </w:tc>
              <w:tc>
                <w:tcPr>
                  <w:tcW w:w="114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废物代码</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处置量</w:t>
                  </w:r>
                  <w:r>
                    <w:rPr>
                      <w:rFonts w:ascii="Times New Roman" w:hAnsi="Times New Roman" w:cs="Times New Roman"/>
                      <w:b/>
                      <w:bCs/>
                      <w:color w:val="auto"/>
                      <w:sz w:val="21"/>
                      <w:szCs w:val="21"/>
                      <w:lang w:val="en-US"/>
                    </w:rPr>
                    <w:t>t/a</w:t>
                  </w:r>
                </w:p>
              </w:tc>
              <w:tc>
                <w:tcPr>
                  <w:tcW w:w="107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524"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集中收集后回用于生产</w:t>
                  </w:r>
                </w:p>
              </w:tc>
              <w:tc>
                <w:tcPr>
                  <w:tcW w:w="114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900-099-S59</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21.617</w:t>
                  </w:r>
                </w:p>
              </w:tc>
              <w:tc>
                <w:tcPr>
                  <w:tcW w:w="107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2524"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rPr>
                    <w:t>废机油</w:t>
                  </w:r>
                </w:p>
              </w:tc>
              <w:tc>
                <w:tcPr>
                  <w:tcW w:w="2524" w:type="dxa"/>
                  <w:vAlign w:val="center"/>
                </w:tcPr>
                <w:p>
                  <w:pPr>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900-217-08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w:t>
                  </w:r>
                  <w:r>
                    <w:rPr>
                      <w:rFonts w:ascii="Times New Roman" w:hAnsi="Times New Roman" w:cs="Times New Roman"/>
                      <w:color w:val="auto"/>
                      <w:kern w:val="2"/>
                      <w:sz w:val="21"/>
                      <w:szCs w:val="21"/>
                      <w:lang w:val="en-US" w:bidi="ar-SA"/>
                    </w:rPr>
                    <w:t>2</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bl>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（1）一般工业固废</w:t>
            </w:r>
          </w:p>
          <w:p>
            <w:pPr>
              <w:pStyle w:val="18"/>
              <w:spacing w:line="400" w:lineRule="exact"/>
              <w:ind w:left="44" w:leftChars="2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除尘器除尘灰：</w:t>
            </w:r>
            <w:r>
              <w:rPr>
                <w:rFonts w:ascii="Times New Roman" w:hAnsi="Times New Roman" w:cs="Times New Roman"/>
                <w:color w:val="auto"/>
                <w:sz w:val="21"/>
                <w:szCs w:val="21"/>
                <w:lang w:val="en-US"/>
              </w:rPr>
              <w:t>本项目仓顶除尘器除尘灰直接落实粉料仓内，搅拌、计量除尘器除尘灰直接落入</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内，产生的固废主要为上料除尘器收集的除尘灰。根据物料守恒的原则，</w:t>
            </w:r>
            <w:r>
              <w:rPr>
                <w:rFonts w:ascii="Times New Roman" w:hAnsi="Times New Roman" w:cs="Times New Roman"/>
                <w:color w:val="auto"/>
                <w:kern w:val="2"/>
                <w:sz w:val="21"/>
                <w:szCs w:val="24"/>
                <w:lang w:val="en-US" w:bidi="ar-SA"/>
              </w:rPr>
              <w:t>除尘灰产生量约为</w:t>
            </w: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r>
              <w:rPr>
                <w:rFonts w:ascii="Times New Roman" w:hAnsi="Times New Roman" w:cs="Times New Roman"/>
                <w:color w:val="auto"/>
                <w:sz w:val="21"/>
                <w:szCs w:val="21"/>
                <w:lang w:val="en-US"/>
              </w:rPr>
              <w:t>。集中收集后回用于生产。</w:t>
            </w:r>
          </w:p>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）危险废物</w:t>
            </w:r>
          </w:p>
          <w:p>
            <w:pPr>
              <w:keepNext/>
              <w:keepLines/>
              <w:autoSpaceDE/>
              <w:autoSpaceDN/>
              <w:spacing w:line="400" w:lineRule="exact"/>
              <w:ind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①废油桶：</w:t>
            </w:r>
            <w:r>
              <w:rPr>
                <w:rFonts w:ascii="Times New Roman" w:hAnsi="Times New Roman" w:cs="Times New Roman"/>
                <w:color w:val="auto"/>
                <w:kern w:val="2"/>
                <w:sz w:val="21"/>
                <w:szCs w:val="21"/>
                <w:lang w:val="en-US" w:bidi="ar-SA"/>
              </w:rPr>
              <w:t>主要为检维修时机油使用后的包装油桶。根据《国家危险废物名录》（2021年），废油桶属于危险废物（HW08，危废代码：</w:t>
            </w:r>
            <w:r>
              <w:rPr>
                <w:rFonts w:ascii="Times New Roman" w:hAnsi="Times New Roman" w:cs="Times New Roman"/>
                <w:color w:val="auto"/>
                <w:kern w:val="1"/>
                <w:sz w:val="21"/>
                <w:szCs w:val="21"/>
              </w:rPr>
              <w:t>900-249-08</w:t>
            </w:r>
            <w:r>
              <w:rPr>
                <w:rFonts w:ascii="Times New Roman" w:hAnsi="Times New Roman" w:cs="Times New Roman"/>
                <w:color w:val="auto"/>
                <w:kern w:val="2"/>
                <w:sz w:val="21"/>
                <w:szCs w:val="21"/>
                <w:lang w:val="en-US" w:bidi="ar-SA"/>
              </w:rPr>
              <w:t>）</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eastAsia="zh-CN" w:bidi="ar-SA"/>
              </w:rPr>
              <w:t>干混砂浆生产线和湿拌砂浆生产线</w:t>
            </w:r>
            <w:r>
              <w:rPr>
                <w:rFonts w:ascii="Times New Roman" w:hAnsi="Times New Roman" w:cs="Times New Roman"/>
                <w:color w:val="auto"/>
                <w:sz w:val="21"/>
                <w:szCs w:val="21"/>
                <w:lang w:val="en-US"/>
              </w:rPr>
              <w:t>废油桶</w:t>
            </w:r>
            <w:r>
              <w:rPr>
                <w:rFonts w:ascii="Times New Roman" w:hAnsi="Times New Roman" w:cs="Times New Roman"/>
                <w:color w:val="auto"/>
                <w:kern w:val="2"/>
                <w:sz w:val="21"/>
                <w:szCs w:val="21"/>
                <w:lang w:bidi="ar-SA"/>
              </w:rPr>
              <w:t>产生</w:t>
            </w:r>
            <w:r>
              <w:rPr>
                <w:rFonts w:hint="eastAsia" w:ascii="Times New Roman" w:hAnsi="Times New Roman" w:cs="Times New Roman"/>
                <w:color w:val="auto"/>
                <w:kern w:val="2"/>
                <w:sz w:val="21"/>
                <w:szCs w:val="21"/>
                <w:lang w:eastAsia="zh-CN" w:bidi="ar-SA"/>
              </w:rPr>
              <w:t>量</w:t>
            </w:r>
            <w:r>
              <w:rPr>
                <w:rFonts w:ascii="Times New Roman" w:hAnsi="Times New Roman" w:cs="Times New Roman"/>
                <w:color w:val="auto"/>
                <w:kern w:val="2"/>
                <w:sz w:val="21"/>
                <w:szCs w:val="21"/>
                <w:lang w:bidi="ar-SA"/>
              </w:rPr>
              <w:t>约为</w:t>
            </w:r>
            <w:r>
              <w:rPr>
                <w:rFonts w:ascii="Times New Roman" w:hAnsi="Times New Roman" w:cs="Times New Roman"/>
                <w:color w:val="auto"/>
                <w:kern w:val="2"/>
                <w:sz w:val="21"/>
                <w:szCs w:val="21"/>
                <w:lang w:val="en-US" w:bidi="ar-SA"/>
              </w:rPr>
              <w:t>0.05t/a</w:t>
            </w:r>
            <w:r>
              <w:rPr>
                <w:rFonts w:hint="eastAsia" w:ascii="Times New Roman" w:hAnsi="Times New Roman" w:cs="Times New Roman"/>
                <w:color w:val="auto"/>
                <w:kern w:val="2"/>
                <w:sz w:val="21"/>
                <w:szCs w:val="21"/>
                <w:lang w:val="en-US" w:eastAsia="zh-CN" w:bidi="ar-SA"/>
              </w:rPr>
              <w:t>，</w:t>
            </w:r>
            <w:r>
              <w:rPr>
                <w:rFonts w:ascii="Times New Roman" w:hAnsi="Times New Roman" w:cs="Times New Roman"/>
                <w:color w:val="auto"/>
                <w:kern w:val="2"/>
                <w:sz w:val="21"/>
                <w:szCs w:val="21"/>
                <w:lang w:val="en-US" w:bidi="ar-SA"/>
              </w:rPr>
              <w:t>暂存于危废间，定期由资质单位处置。</w:t>
            </w:r>
          </w:p>
          <w:p>
            <w:pPr>
              <w:pStyle w:val="18"/>
              <w:autoSpaceDE/>
              <w:autoSpaceDN/>
              <w:spacing w:line="400" w:lineRule="exact"/>
              <w:ind w:firstLine="421" w:firstLineChars="200"/>
              <w:jc w:val="both"/>
              <w:rPr>
                <w:rFonts w:ascii="Times New Roman" w:hAnsi="Times New Roman" w:cs="Times New Roman"/>
                <w:color w:val="auto"/>
                <w:kern w:val="2"/>
                <w:sz w:val="21"/>
                <w:szCs w:val="21"/>
                <w:lang w:val="en-US" w:bidi="ar-SA"/>
              </w:rPr>
            </w:pPr>
            <w:r>
              <w:rPr>
                <w:rFonts w:ascii="Times New Roman" w:hAnsi="Times New Roman" w:cs="Times New Roman"/>
                <w:b/>
                <w:bCs/>
                <w:color w:val="auto"/>
                <w:kern w:val="2"/>
                <w:sz w:val="21"/>
                <w:szCs w:val="21"/>
                <w:lang w:val="en-US" w:bidi="ar-SA"/>
              </w:rPr>
              <w:t>②废机油：</w:t>
            </w:r>
            <w:r>
              <w:rPr>
                <w:rFonts w:ascii="Times New Roman" w:hAnsi="Times New Roman" w:cs="Times New Roman"/>
                <w:color w:val="auto"/>
                <w:kern w:val="2"/>
                <w:sz w:val="21"/>
                <w:szCs w:val="21"/>
                <w:lang w:val="en-US" w:bidi="ar-SA"/>
              </w:rPr>
              <w:t>项目使用的部分设备需定期进行检修，润滑油在设备运行过程中部分消耗，检修过程中会产生废润滑油。根据《国家危险废物名录》（2021年），废油属于危险废物（HW08，危废代码：900-217-08）。</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eastAsia="zh-CN" w:bidi="ar-SA"/>
              </w:rPr>
              <w:t>干混砂浆生产线和湿拌砂浆生产线</w:t>
            </w:r>
            <w:r>
              <w:rPr>
                <w:rFonts w:ascii="Times New Roman" w:hAnsi="Times New Roman" w:cs="Times New Roman"/>
                <w:color w:val="auto"/>
                <w:kern w:val="2"/>
                <w:sz w:val="21"/>
                <w:szCs w:val="21"/>
                <w:lang w:val="en-US" w:bidi="ar-SA"/>
              </w:rPr>
              <w:t>废机油产生量</w:t>
            </w:r>
            <w:r>
              <w:rPr>
                <w:rFonts w:hint="eastAsia" w:ascii="Times New Roman" w:hAnsi="Times New Roman" w:cs="Times New Roman"/>
                <w:color w:val="auto"/>
                <w:kern w:val="2"/>
                <w:sz w:val="21"/>
                <w:szCs w:val="21"/>
                <w:lang w:val="en-US" w:eastAsia="zh-CN" w:bidi="ar-SA"/>
              </w:rPr>
              <w:t>约</w:t>
            </w:r>
            <w:r>
              <w:rPr>
                <w:rFonts w:ascii="Times New Roman" w:hAnsi="Times New Roman" w:cs="Times New Roman"/>
                <w:color w:val="auto"/>
                <w:kern w:val="2"/>
                <w:sz w:val="21"/>
                <w:szCs w:val="21"/>
                <w:lang w:val="en-US" w:bidi="ar-SA"/>
              </w:rPr>
              <w:t>为0.2t/a，暂存于危废间，定期由具有危险废物处理资质的单位回收处理。</w:t>
            </w:r>
          </w:p>
          <w:p>
            <w:pPr>
              <w:autoSpaceDE/>
              <w:autoSpaceDN/>
              <w:spacing w:line="400" w:lineRule="exact"/>
              <w:ind w:left="110" w:leftChars="50" w:firstLine="420"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项目所产生的固体废物全部得到综合利用和妥善处置，不排入外环境。</w:t>
            </w:r>
          </w:p>
          <w:p>
            <w:pPr>
              <w:keepNext/>
              <w:keepLines/>
              <w:autoSpaceDE/>
              <w:autoSpaceDN/>
              <w:spacing w:line="400" w:lineRule="exact"/>
              <w:ind w:left="110" w:leftChars="50"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2、环境管理要求</w:t>
            </w:r>
          </w:p>
          <w:p>
            <w:pPr>
              <w:pStyle w:val="18"/>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kern w:val="2"/>
                <w:sz w:val="21"/>
                <w:szCs w:val="21"/>
                <w:lang w:val="en-US" w:bidi="ar-SA"/>
              </w:rPr>
              <w:t>（1）</w:t>
            </w:r>
            <w:r>
              <w:rPr>
                <w:rFonts w:ascii="Times New Roman" w:hAnsi="Times New Roman" w:cs="Times New Roman"/>
                <w:color w:val="auto"/>
                <w:sz w:val="21"/>
                <w:szCs w:val="21"/>
                <w:lang w:val="en-US" w:bidi="ar"/>
              </w:rPr>
              <w:t>一般固废暂存要求</w:t>
            </w:r>
          </w:p>
          <w:p>
            <w:pPr>
              <w:pStyle w:val="18"/>
              <w:wordWrap w:val="0"/>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本项目各类一般工业固体废物分类收集、定点堆放在厂房一般固废暂存区，定期外售综合利用。按照《环境保护图形标志—固体废物贮存（处置）场》（GB15562.2-1995）及其修改单的规定设置环境保护标志。</w:t>
            </w:r>
          </w:p>
          <w:p>
            <w:pPr>
              <w:autoSpaceDE/>
              <w:autoSpaceDN/>
              <w:spacing w:line="400" w:lineRule="exact"/>
              <w:ind w:left="110" w:leftChars="50" w:firstLine="420" w:firstLineChars="200"/>
              <w:jc w:val="both"/>
              <w:textAlignment w:val="baseline"/>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GB 15562.2和HJ 2035等相关标准规范要求。</w:t>
            </w:r>
          </w:p>
          <w:p>
            <w:pPr>
              <w:pStyle w:val="18"/>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kern w:val="2"/>
                <w:sz w:val="21"/>
                <w:szCs w:val="21"/>
                <w:lang w:val="en-US" w:bidi="ar-SA"/>
              </w:rPr>
              <w:t>（2）危废暂存间贮存管理要求</w:t>
            </w:r>
            <w:r>
              <w:rPr>
                <w:rFonts w:ascii="Times New Roman" w:hAnsi="Times New Roman" w:cs="Times New Roman"/>
                <w:b/>
                <w:bCs/>
                <w:color w:val="auto"/>
                <w:sz w:val="21"/>
                <w:szCs w:val="21"/>
                <w:lang w:val="en-US"/>
              </w:rPr>
              <w:t xml:space="preserve"> </w:t>
            </w:r>
          </w:p>
          <w:p>
            <w:pPr>
              <w:pStyle w:val="18"/>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危险废物判定</w:t>
            </w:r>
          </w:p>
          <w:p>
            <w:pPr>
              <w:pStyle w:val="18"/>
              <w:spacing w:line="400" w:lineRule="exact"/>
              <w:ind w:left="110" w:leftChars="50" w:firstLine="420" w:firstLineChars="200"/>
              <w:jc w:val="both"/>
              <w:rPr>
                <w:rFonts w:ascii="Times New Roman" w:hAnsi="Times New Roman" w:cs="Times New Roman"/>
                <w:b/>
                <w:bCs/>
                <w:color w:val="auto"/>
                <w:sz w:val="21"/>
                <w:szCs w:val="21"/>
              </w:rPr>
            </w:pPr>
            <w:r>
              <w:rPr>
                <w:rFonts w:ascii="Times New Roman" w:hAnsi="Times New Roman" w:cs="Times New Roman"/>
                <w:color w:val="auto"/>
                <w:sz w:val="21"/>
                <w:szCs w:val="21"/>
              </w:rPr>
              <w:t>根据《建设项目危险废物环境影响评价指南》要求，按照《中华人民共和国固体废物污染环境防治法》、《固体废物鉴别标准通则》（GB34330），对建设项目产生的物质（除目标产物，即：产品、副产品外），依据产生来源、利用和处置过程鉴别属于固体废物并且作为固体废物管理的物质，并按照《国家危险废物名录》（</w:t>
            </w:r>
            <w:r>
              <w:rPr>
                <w:rFonts w:ascii="Times New Roman" w:hAnsi="Times New Roman" w:cs="Times New Roman"/>
                <w:color w:val="auto"/>
                <w:sz w:val="21"/>
                <w:szCs w:val="21"/>
                <w:lang w:val="en-US"/>
              </w:rPr>
              <w:t>2021年版</w:t>
            </w:r>
            <w:r>
              <w:rPr>
                <w:rFonts w:ascii="Times New Roman" w:hAnsi="Times New Roman" w:cs="Times New Roman"/>
                <w:color w:val="auto"/>
                <w:sz w:val="21"/>
                <w:szCs w:val="21"/>
              </w:rPr>
              <w:t>）、《危险废物鉴别标准 通则》（GB5085.7）等进行属性判定。厂区危险废物的名称、数量、类别、形态、危险特性和污染防治措施等内容一览表如下：</w:t>
            </w:r>
          </w:p>
          <w:p>
            <w:pPr>
              <w:spacing w:line="460" w:lineRule="exact"/>
              <w:jc w:val="center"/>
              <w:outlineLvl w:val="2"/>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18</w:t>
            </w:r>
            <w:r>
              <w:rPr>
                <w:rFonts w:ascii="Times New Roman" w:hAnsi="Times New Roman" w:cs="Times New Roman"/>
                <w:b/>
                <w:bCs/>
                <w:color w:val="auto"/>
                <w:sz w:val="21"/>
                <w:szCs w:val="21"/>
              </w:rPr>
              <w:t xml:space="preserve">  厂区危险废物汇总表</w:t>
            </w:r>
          </w:p>
          <w:tbl>
            <w:tblPr>
              <w:tblStyle w:val="3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71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6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66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35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605" w:type="dxa"/>
                  <w:vAlign w:val="center"/>
                </w:tcPr>
                <w:p>
                  <w:pPr>
                    <w:topLinePunct/>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111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产生工序及装置</w:t>
                  </w:r>
                </w:p>
              </w:tc>
              <w:tc>
                <w:tcPr>
                  <w:tcW w:w="36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形态</w:t>
                  </w:r>
                </w:p>
              </w:tc>
              <w:tc>
                <w:tcPr>
                  <w:tcW w:w="74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有害</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成分</w:t>
                  </w:r>
                </w:p>
              </w:tc>
              <w:tc>
                <w:tcPr>
                  <w:tcW w:w="715"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产废</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c>
                <w:tcPr>
                  <w:tcW w:w="168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60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112"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固态</w:t>
                  </w:r>
                </w:p>
              </w:tc>
              <w:tc>
                <w:tcPr>
                  <w:tcW w:w="74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c>
                <w:tcPr>
                  <w:tcW w:w="71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900-217-08</w:t>
                  </w:r>
                </w:p>
              </w:tc>
              <w:tc>
                <w:tcPr>
                  <w:tcW w:w="60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bidi="ar-SA"/>
                    </w:rPr>
                    <w:t>2</w:t>
                  </w:r>
                </w:p>
              </w:tc>
              <w:tc>
                <w:tcPr>
                  <w:tcW w:w="111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液态</w:t>
                  </w:r>
                </w:p>
              </w:tc>
              <w:tc>
                <w:tcPr>
                  <w:tcW w:w="74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废矿物油</w:t>
                  </w:r>
                </w:p>
              </w:tc>
              <w:tc>
                <w:tcPr>
                  <w:tcW w:w="71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bl>
          <w:p>
            <w:pPr>
              <w:snapToGrid w:val="0"/>
              <w:spacing w:line="5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19</w:t>
            </w:r>
            <w:r>
              <w:rPr>
                <w:rFonts w:ascii="Times New Roman" w:hAnsi="Times New Roman" w:cs="Times New Roman"/>
                <w:b/>
                <w:bCs/>
                <w:color w:val="auto"/>
                <w:sz w:val="21"/>
                <w:szCs w:val="21"/>
              </w:rPr>
              <w:t xml:space="preserve">  建设项目危险废物贮存场所（设施）基本情况</w:t>
            </w:r>
          </w:p>
          <w:tbl>
            <w:tblPr>
              <w:tblStyle w:val="32"/>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14"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贮存场所（设施）名称</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100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91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占地面积</w:t>
                  </w: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2</w:t>
                  </w:r>
                </w:p>
              </w:tc>
              <w:tc>
                <w:tcPr>
                  <w:tcW w:w="67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方式</w:t>
                  </w:r>
                </w:p>
              </w:tc>
              <w:tc>
                <w:tcPr>
                  <w:tcW w:w="96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贮存能力（吨）</w:t>
                  </w:r>
                </w:p>
              </w:tc>
              <w:tc>
                <w:tcPr>
                  <w:tcW w:w="761"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14" w:type="dxa"/>
                  <w:vMerge w:val="restart"/>
                  <w:vAlign w:val="center"/>
                </w:tcPr>
                <w:p>
                  <w:pPr>
                    <w:topLinePunct/>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4" w:type="dxa"/>
                  <w:vMerge w:val="continue"/>
                  <w:vAlign w:val="center"/>
                </w:tcPr>
                <w:p>
                  <w:pPr>
                    <w:topLinePunct/>
                    <w:adjustRightInd w:val="0"/>
                    <w:snapToGrid w:val="0"/>
                    <w:jc w:val="center"/>
                    <w:rPr>
                      <w:rFonts w:ascii="Times New Roman" w:hAnsi="Times New Roman" w:cs="Times New Roman"/>
                      <w:color w:val="auto"/>
                      <w:sz w:val="21"/>
                      <w:szCs w:val="21"/>
                    </w:rPr>
                  </w:pP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900-217-08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bl>
          <w:p>
            <w:pPr>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建设单位计划建设</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的危废间，</w:t>
            </w:r>
            <w:r>
              <w:rPr>
                <w:rFonts w:hint="eastAsia" w:ascii="Times New Roman" w:hAnsi="Times New Roman" w:cs="Times New Roman"/>
                <w:color w:val="auto"/>
                <w:sz w:val="21"/>
                <w:szCs w:val="21"/>
                <w:lang w:val="en-US" w:eastAsia="zh-CN"/>
              </w:rPr>
              <w:t>供原有干混砂浆生产线及新建湿拌砂浆生产线共用，</w:t>
            </w:r>
            <w:r>
              <w:rPr>
                <w:rFonts w:ascii="Times New Roman" w:hAnsi="Times New Roman" w:cs="Times New Roman"/>
                <w:color w:val="auto"/>
                <w:sz w:val="21"/>
                <w:szCs w:val="21"/>
                <w:lang w:val="en-US"/>
              </w:rPr>
              <w:t>满足危废储存要求。</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危险废物贮存设施要求</w:t>
            </w:r>
          </w:p>
          <w:p>
            <w:pPr>
              <w:snapToGrid w:val="0"/>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依据《危险废物贮存污染控制标准》（GB 18597-2023）中规定，本项目厂内需要建设“危险废物储存间”，</w:t>
            </w:r>
            <w:r>
              <w:rPr>
                <w:rFonts w:hint="eastAsia" w:ascii="Times New Roman" w:hAnsi="Times New Roman" w:cs="Times New Roman"/>
                <w:color w:val="auto"/>
                <w:sz w:val="21"/>
                <w:szCs w:val="21"/>
              </w:rPr>
              <w:t>按照</w:t>
            </w:r>
            <w:r>
              <w:rPr>
                <w:rFonts w:hint="eastAsia" w:ascii="Times New Roman" w:hAnsi="Times New Roman" w:cs="Times New Roman"/>
                <w:color w:val="auto"/>
                <w:sz w:val="21"/>
                <w:szCs w:val="21"/>
                <w:lang w:val="en-US"/>
              </w:rPr>
              <w:t>GB18597中关于</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贮存设施污染控制要求</w:t>
            </w:r>
            <w:r>
              <w:rPr>
                <w:rFonts w:hint="eastAsia" w:ascii="Times New Roman" w:hAnsi="Times New Roman" w:cs="Times New Roman"/>
                <w:color w:val="auto"/>
                <w:sz w:val="21"/>
                <w:szCs w:val="21"/>
              </w:rPr>
              <w:t>”，</w:t>
            </w:r>
            <w:r>
              <w:rPr>
                <w:rFonts w:ascii="Times New Roman" w:hAnsi="Times New Roman" w:cs="Times New Roman"/>
                <w:color w:val="auto"/>
                <w:sz w:val="21"/>
                <w:szCs w:val="21"/>
              </w:rPr>
              <w:t>该储存间应符合以下要求：</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贮存设施应根据危险废物的形态、物理化学性质、包装形式和污染物迁移途径，采取必要的防风、防晒、防雨、防漏、防渗、防腐以及其他环境污染防治措施，不应露天堆放危险废物；</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b、</w:t>
            </w:r>
            <w:r>
              <w:rPr>
                <w:rFonts w:hint="eastAsia" w:ascii="Times New Roman" w:hAnsi="Times New Roman" w:cs="Times New Roman"/>
                <w:color w:val="auto"/>
                <w:sz w:val="21"/>
                <w:szCs w:val="21"/>
              </w:rPr>
              <w:t>贮存设施应根据危险废物的类别、数量、形态、物理化学性质和污染防治等要求设置必要的贮存分区，避免不相容的危险废物接触、混合；</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c、</w:t>
            </w:r>
            <w:r>
              <w:rPr>
                <w:rFonts w:hint="eastAsia" w:ascii="Times New Roman" w:hAnsi="Times New Roman" w:cs="Times New Roman"/>
                <w:color w:val="auto"/>
                <w:sz w:val="21"/>
                <w:szCs w:val="21"/>
              </w:rPr>
              <w:t>贮存设施或贮存分区内地面、墙面裙脚、堵截泄漏的围堰、接触危险废物的隔板和墙体等应采用坚固的材料建造，表面无裂缝；</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d、</w:t>
            </w:r>
            <w:r>
              <w:rPr>
                <w:rFonts w:hint="eastAsia" w:ascii="Times New Roman" w:hAnsi="Times New Roman" w:cs="Times New Roman"/>
                <w:color w:val="auto"/>
                <w:sz w:val="21"/>
                <w:szCs w:val="21"/>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厚黏土层（渗透系数不大于10</w:t>
            </w:r>
            <w:r>
              <w:rPr>
                <w:rFonts w:hint="eastAsia" w:ascii="Times New Roman" w:hAnsi="Times New Roman" w:cs="Times New Roman"/>
                <w:color w:val="auto"/>
                <w:sz w:val="21"/>
                <w:szCs w:val="21"/>
                <w:vertAlign w:val="superscript"/>
              </w:rPr>
              <w:t>-7</w:t>
            </w:r>
            <w:r>
              <w:rPr>
                <w:rFonts w:hint="eastAsia" w:ascii="Times New Roman" w:hAnsi="Times New Roman" w:cs="Times New Roman"/>
                <w:color w:val="auto"/>
                <w:sz w:val="21"/>
                <w:szCs w:val="21"/>
              </w:rPr>
              <w:t xml:space="preserve"> cm/s），或至少2 mm 厚高密度聚乙烯膜等人工防渗材料（渗透系数不大于 10</w:t>
            </w:r>
            <w:r>
              <w:rPr>
                <w:rFonts w:hint="eastAsia" w:ascii="Times New Roman" w:hAnsi="Times New Roman" w:cs="Times New Roman"/>
                <w:color w:val="auto"/>
                <w:sz w:val="21"/>
                <w:szCs w:val="21"/>
                <w:vertAlign w:val="superscript"/>
              </w:rPr>
              <w:t>-10</w:t>
            </w:r>
            <w:r>
              <w:rPr>
                <w:rFonts w:hint="eastAsia" w:ascii="Times New Roman" w:hAnsi="Times New Roman" w:cs="Times New Roman"/>
                <w:color w:val="auto"/>
                <w:sz w:val="21"/>
                <w:szCs w:val="21"/>
              </w:rPr>
              <w:t xml:space="preserve"> cm/s），或其他防渗性能等效的材料；</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e、</w:t>
            </w:r>
            <w:r>
              <w:rPr>
                <w:rFonts w:hint="eastAsia" w:ascii="Times New Roman" w:hAnsi="Times New Roman" w:cs="Times New Roman"/>
                <w:color w:val="auto"/>
                <w:sz w:val="21"/>
                <w:szCs w:val="21"/>
              </w:rPr>
              <w:t>同一贮存设施宜采用相同的防渗、防腐工艺（包括防渗、防腐结构或材料），防渗、防腐材料应覆盖所有可能与废物及其渗滤液、渗漏液等接触的构筑物表面；采用不同防渗、防腐工艺应分别建设贮存分区；</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f、</w:t>
            </w:r>
            <w:r>
              <w:rPr>
                <w:rFonts w:hint="eastAsia" w:ascii="Times New Roman" w:hAnsi="Times New Roman" w:cs="Times New Roman"/>
                <w:color w:val="auto"/>
                <w:sz w:val="21"/>
                <w:szCs w:val="21"/>
              </w:rPr>
              <w:t>贮存设施应采取技术和管理措施防止无关人员进入。</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鉴于以上要求，本项目</w:t>
            </w:r>
            <w:r>
              <w:rPr>
                <w:rFonts w:hint="eastAsia" w:ascii="Times New Roman" w:hAnsi="Times New Roman" w:cs="Times New Roman"/>
                <w:color w:val="auto"/>
                <w:sz w:val="21"/>
                <w:szCs w:val="21"/>
              </w:rPr>
              <w:t>建设</w:t>
            </w:r>
            <w:r>
              <w:rPr>
                <w:rFonts w:ascii="Times New Roman" w:hAnsi="Times New Roman" w:cs="Times New Roman"/>
                <w:color w:val="auto"/>
                <w:sz w:val="21"/>
                <w:szCs w:val="21"/>
              </w:rPr>
              <w:t>危险废物暂存间，</w:t>
            </w:r>
            <w:r>
              <w:rPr>
                <w:rFonts w:hint="eastAsia" w:ascii="Times New Roman" w:hAnsi="Times New Roman" w:cs="Times New Roman"/>
                <w:color w:val="auto"/>
                <w:sz w:val="21"/>
                <w:szCs w:val="21"/>
              </w:rPr>
              <w:t>占地共计</w:t>
            </w:r>
            <w:r>
              <w:rPr>
                <w:rFonts w:ascii="Times New Roman" w:hAnsi="Times New Roman" w:cs="Times New Roman"/>
                <w:color w:val="auto"/>
                <w:sz w:val="21"/>
                <w:szCs w:val="21"/>
              </w:rPr>
              <w:t>为</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，在危险废物贮存设施处，设立危险废物标志；危险废物贮存间建设时满足以下要求：</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应建有堵截泄漏的裙脚，地面与裙脚要用坚固防渗的材料建造；</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基础防渗层为粘土层的，其厚度应在1m以上，渗透系数应小于1.0×10</w:t>
            </w: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cm/s；基础防渗层也可用厚度在2mm以上的高密度聚乙烯或其他人工防渗材料组成，渗透系数应小于1.0×10</w:t>
            </w: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cm/s；</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须有泄漏液体收集装置；</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用于存放危险废物的地方，还须有耐腐蚀的硬化地面，地面无裂隙；</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运输单位具有运输危险货物资格的证明材料；接收单位具有利用和处置危险废物资格及同意接受的证明材料。</w:t>
            </w:r>
          </w:p>
          <w:p>
            <w:pPr>
              <w:autoSpaceDE/>
              <w:autoSpaceDN/>
              <w:spacing w:line="400" w:lineRule="exact"/>
              <w:ind w:left="110" w:leftChars="50" w:firstLine="420" w:firstLineChars="200"/>
              <w:jc w:val="both"/>
              <w:outlineLvl w:val="2"/>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危险废物贮存设施都必须按《环境保护图形标志—固体废物贮存（处置）场》（GB15562.2-1995）</w:t>
            </w:r>
            <w:r>
              <w:rPr>
                <w:rFonts w:hint="eastAsia" w:ascii="Times New Roman" w:hAnsi="Times New Roman" w:cs="Times New Roman"/>
                <w:color w:val="auto"/>
                <w:kern w:val="2"/>
                <w:sz w:val="21"/>
                <w:szCs w:val="21"/>
                <w:lang w:val="en-US" w:bidi="ar-SA"/>
              </w:rPr>
              <w:t>及修改单、《危险废物识别标志设置技术规范》（HJ 1276—2022）</w:t>
            </w:r>
            <w:r>
              <w:rPr>
                <w:rFonts w:ascii="Times New Roman" w:hAnsi="Times New Roman" w:cs="Times New Roman"/>
                <w:color w:val="auto"/>
                <w:kern w:val="2"/>
                <w:sz w:val="21"/>
                <w:szCs w:val="21"/>
                <w:lang w:val="en-US" w:bidi="ar-SA"/>
              </w:rPr>
              <w:t>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autoSpaceDE/>
              <w:autoSpaceDN/>
              <w:snapToGrid w:val="0"/>
              <w:spacing w:line="400" w:lineRule="exact"/>
              <w:ind w:left="110" w:leftChars="50"/>
              <w:jc w:val="center"/>
              <w:rPr>
                <w:rFonts w:ascii="Times New Roman" w:hAnsi="Times New Roman" w:cs="Times New Roman"/>
                <w:b/>
                <w:bCs/>
                <w:color w:val="auto"/>
                <w:spacing w:val="2"/>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20</w:t>
            </w:r>
            <w:r>
              <w:rPr>
                <w:rFonts w:ascii="Times New Roman" w:hAnsi="Times New Roman" w:cs="Times New Roman"/>
                <w:b/>
                <w:bCs/>
                <w:color w:val="auto"/>
                <w:sz w:val="21"/>
                <w:szCs w:val="21"/>
              </w:rPr>
              <w:t xml:space="preserve">  </w:t>
            </w:r>
            <w:r>
              <w:rPr>
                <w:rFonts w:ascii="Times New Roman" w:hAnsi="Times New Roman" w:cs="Times New Roman"/>
                <w:b/>
                <w:bCs/>
                <w:color w:val="auto"/>
                <w:spacing w:val="2"/>
                <w:sz w:val="21"/>
                <w:szCs w:val="21"/>
                <w:lang w:val="en-US"/>
              </w:rPr>
              <w:t>危险废物贮存分区标示要求一览表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3029"/>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场合</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样式</w:t>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危险废物标签</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68170" cy="1695450"/>
                        <wp:effectExtent l="0" t="0" r="17780" b="0"/>
                        <wp:docPr id="49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8" name="图片 1"/>
                                <pic:cNvPicPr>
                                  <a:picLocks noChangeAspect="true"/>
                                </pic:cNvPicPr>
                              </pic:nvPicPr>
                              <pic:blipFill>
                                <a:blip r:embed="rId13"/>
                                <a:stretch>
                                  <a:fillRect/>
                                </a:stretch>
                              </pic:blipFill>
                              <pic:spPr>
                                <a:xfrm>
                                  <a:off x="0" y="0"/>
                                  <a:ext cx="1868170" cy="1695450"/>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a、危险废物标签所选用的材质宜具有一定的耐用性和防水性。标签可采用不干胶印刷品，或印刷品外加防水塑料袋或塑封等。</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b、危险废物标签背景色应采用醒目的橘黄色。</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c、危险废物标签字体宜采用黑体字，其中“危险废物”字样应加粗放大。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危险废物贮存分区标志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2300" cy="1875155"/>
                        <wp:effectExtent l="0" t="0" r="12700" b="10795"/>
                        <wp:docPr id="49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9" name="图片 2"/>
                                <pic:cNvPicPr>
                                  <a:picLocks noChangeAspect="true"/>
                                </pic:cNvPicPr>
                              </pic:nvPicPr>
                              <pic:blipFill>
                                <a:blip r:embed="rId14"/>
                                <a:stretch>
                                  <a:fillRect/>
                                </a:stretch>
                              </pic:blipFill>
                              <pic:spPr>
                                <a:xfrm>
                                  <a:off x="0" y="0"/>
                                  <a:ext cx="1892300" cy="1875155"/>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a、危险废物分区标志的字体宜采用黑体字，其中“危险废物贮存分区标志”字样应加粗放大并居中显示。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b、危险废物分区标志背景色应采用黄色，RGB 颜色值为（255, 255, 0）。废物种类信息应采用醒目的橘黄色，RGB 颜色值为（255, 150, 0）。字体颜色为黑色，RGB 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c、危险废物贮存分区标志的图形和文字应清晰、完整，保证在足够的观察距离条件下不影响阅读。“危险废物贮存分区标志”字样与其他信息宜加黑色分界线区分，分界线的宽度不小于 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危险废物贮存设施标志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0395" cy="1169670"/>
                        <wp:effectExtent l="0" t="0" r="14605" b="11430"/>
                        <wp:docPr id="50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0" name="图片 3"/>
                                <pic:cNvPicPr>
                                  <a:picLocks noChangeAspect="true"/>
                                </pic:cNvPicPr>
                              </pic:nvPicPr>
                              <pic:blipFill>
                                <a:blip r:embed="rId15"/>
                                <a:stretch>
                                  <a:fillRect/>
                                </a:stretch>
                              </pic:blipFill>
                              <pic:spPr>
                                <a:xfrm>
                                  <a:off x="0" y="0"/>
                                  <a:ext cx="1890395" cy="1169670"/>
                                </a:xfrm>
                                <a:prstGeom prst="rect">
                                  <a:avLst/>
                                </a:prstGeom>
                                <a:noFill/>
                                <a:ln>
                                  <a:noFill/>
                                </a:ln>
                              </pic:spPr>
                            </pic:pic>
                          </a:graphicData>
                        </a:graphic>
                      </wp:inline>
                    </w:drawing>
                  </w:r>
                </w:p>
              </w:tc>
              <w:tc>
                <w:tcPr>
                  <w:tcW w:w="3843" w:type="dxa"/>
                  <w:tcBorders>
                    <w:top w:val="single" w:color="auto" w:sz="4" w:space="0"/>
                    <w:left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a、危险废物设施标志背景颜色为黄色，RGB 颜色值为（255, 255, 0）。字体和边框颜色为黑色，RGB颜色值为（0,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b、危险废物设施标志字体应采用黑体字，其中危险废物设施类型的字样应加粗放大并居中显示。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d、危险废物贮存、利用、处置设施标志的图形和文字应清晰、完整，保证在足够的观察距离条件下也不影响阅读。三角形警告性图形与其他信息间宜加黑色分界线区分，分界线的宽度宜不小于 3 mm。</w:t>
                  </w:r>
                </w:p>
              </w:tc>
            </w:tr>
          </w:tbl>
          <w:p>
            <w:pPr>
              <w:pStyle w:val="18"/>
              <w:spacing w:line="400" w:lineRule="exact"/>
              <w:ind w:left="110" w:leftChars="50" w:right="110" w:rightChars="50"/>
              <w:jc w:val="both"/>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建设项目危废收集贮存后委托有资质单位处置</w:t>
            </w:r>
            <w:r>
              <w:rPr>
                <w:rFonts w:ascii="Times New Roman" w:hAnsi="Times New Roman" w:cs="Times New Roman"/>
                <w:color w:val="auto"/>
                <w:sz w:val="21"/>
                <w:szCs w:val="21"/>
              </w:rPr>
              <w:t>，本项目产生的固废均得到合理处理，不排入外环境</w:t>
            </w:r>
            <w:r>
              <w:rPr>
                <w:rFonts w:ascii="Times New Roman" w:hAnsi="Times New Roman" w:cs="Times New Roman"/>
                <w:color w:val="auto"/>
                <w:kern w:val="2"/>
                <w:sz w:val="21"/>
                <w:szCs w:val="21"/>
                <w:lang w:val="en-US" w:bidi="ar-SA"/>
              </w:rPr>
              <w:t>。</w:t>
            </w:r>
          </w:p>
          <w:p>
            <w:pPr>
              <w:autoSpaceDE/>
              <w:autoSpaceDN/>
              <w:adjustRightInd w:val="0"/>
              <w:snapToGrid w:val="0"/>
              <w:spacing w:line="400" w:lineRule="exact"/>
              <w:ind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（3）危废转运管理要求：</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按照2022年1月1日施行的生态环境部公安部交通运输部部令第23号《</w:t>
            </w:r>
            <w:r>
              <w:rPr>
                <w:rFonts w:hint="eastAsia" w:ascii="Times New Roman" w:hAnsi="Times New Roman" w:cs="Times New Roman"/>
                <w:color w:val="auto"/>
                <w:kern w:val="2"/>
                <w:sz w:val="21"/>
                <w:szCs w:val="21"/>
                <w:lang w:val="en-US" w:bidi="ar-SA"/>
              </w:rPr>
              <w:t>危险废物转移管理办法</w:t>
            </w:r>
            <w:r>
              <w:rPr>
                <w:rFonts w:ascii="Times New Roman" w:hAnsi="Times New Roman" w:cs="Times New Roman"/>
                <w:color w:val="auto"/>
                <w:kern w:val="2"/>
                <w:sz w:val="21"/>
                <w:szCs w:val="21"/>
                <w:lang w:val="en-US" w:bidi="ar-SA"/>
              </w:rPr>
              <w:t>》中的规定</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a、危险废物转移联单应当根据危险废物管理计划中填报的危险废物转移等备案信息填写、运行。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b、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c、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使用同一车（船或者其他运输工具）一次为多个移出人转移危险废物的，每个移出人应当分别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d、采用联运方式转移危险废物的，前一承运人和后一承运人应当明确运输交接的时间和地点。后一承运人应当核实危险废物转移联单确定的移出人信息、前一承运人信息及危险废物相关信息。</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e、接受人应当对运抵的危险废物进行核实验收，并在接受之日起五个工作日内通过信息系统确认接受。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f、运抵的危险废物的名称、数量、特性、形态、包装方式与危险废物转移联单填写内容不符的，接受人应当及时告知移出人，视情况决定是否接受，同时向接受地生态环境主管部门报告。</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g、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h、危险废物电子转移联单数据应当在信息系统中至少保存十年。</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因特殊原因无法运行危险废物电子转移联单的，可以先使用纸质转移联单，并于转移活动完成后十个工作日内在信息系统中补录电子转移联单。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经过采取以上措施，危险废物处理与处置符合《</w:t>
            </w:r>
            <w:r>
              <w:rPr>
                <w:rFonts w:ascii="Times New Roman" w:hAnsi="Times New Roman" w:cs="Times New Roman"/>
                <w:color w:val="auto"/>
                <w:sz w:val="21"/>
                <w:szCs w:val="21"/>
                <w:lang w:val="en-US"/>
              </w:rPr>
              <w:t>危险废物贮存污染控制标准》（GB18597—2023）</w:t>
            </w:r>
            <w:r>
              <w:rPr>
                <w:rFonts w:ascii="Times New Roman" w:hAnsi="Times New Roman" w:cs="Times New Roman"/>
                <w:color w:val="auto"/>
                <w:kern w:val="2"/>
                <w:sz w:val="21"/>
                <w:szCs w:val="21"/>
                <w:lang w:val="en-US" w:bidi="ar-SA"/>
              </w:rPr>
              <w:t>有关要求。</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1"/>
                <w:lang w:bidi="ar-SA"/>
              </w:rPr>
            </w:pPr>
            <w:r>
              <w:rPr>
                <w:rFonts w:ascii="Times New Roman" w:hAnsi="Times New Roman" w:cs="Times New Roman"/>
                <w:b/>
                <w:bCs/>
                <w:color w:val="auto"/>
                <w:kern w:val="2"/>
                <w:sz w:val="21"/>
                <w:szCs w:val="21"/>
                <w:lang w:val="en-US" w:bidi="ar-SA"/>
              </w:rPr>
              <w:t>五、</w:t>
            </w:r>
            <w:r>
              <w:rPr>
                <w:rFonts w:ascii="Times New Roman" w:hAnsi="Times New Roman" w:cs="Times New Roman"/>
                <w:b/>
                <w:bCs/>
                <w:color w:val="auto"/>
                <w:kern w:val="2"/>
                <w:sz w:val="21"/>
                <w:szCs w:val="21"/>
                <w:lang w:bidi="ar-SA"/>
              </w:rPr>
              <w:t>地下水、土壤</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地下水、土壤污染途径分析</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项目环境影响类型为“污染影响型”</w:t>
            </w:r>
            <w:r>
              <w:rPr>
                <w:rFonts w:hint="eastAsia" w:ascii="Times New Roman" w:hAnsi="Times New Roman" w:cs="Times New Roman"/>
                <w:snapToGrid w:val="0"/>
                <w:color w:val="auto"/>
                <w:sz w:val="21"/>
                <w:szCs w:val="21"/>
              </w:rPr>
              <w:t>。</w:t>
            </w:r>
            <w:r>
              <w:rPr>
                <w:rFonts w:ascii="Times New Roman" w:hAnsi="Times New Roman" w:cs="Times New Roman"/>
                <w:color w:val="auto"/>
                <w:sz w:val="21"/>
                <w:szCs w:val="21"/>
                <w:lang w:val="zh-CN" w:bidi="ar-SA"/>
              </w:rPr>
              <w:t>项目不涉及大气沉降影响、地面漫流影响。</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2、地下水、土壤污染防治措施</w:t>
            </w:r>
          </w:p>
          <w:p>
            <w:pPr>
              <w:autoSpaceDE/>
              <w:autoSpaceDN/>
              <w:adjustRightInd w:val="0"/>
              <w:snapToGrid w:val="0"/>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为了避免污染地下水、土壤，</w:t>
            </w:r>
            <w:r>
              <w:rPr>
                <w:rFonts w:ascii="Times New Roman" w:hAnsi="Times New Roman" w:cs="Times New Roman"/>
                <w:color w:val="auto"/>
                <w:sz w:val="21"/>
                <w:szCs w:val="21"/>
                <w:lang w:val="en-US"/>
              </w:rPr>
              <w:t>参照《环境影响评价技术导则地下水环境》（HJ610-2016）、《危险废物贮存污染控制标准》（GB18597-2023）的要求，企业按下述要求建设</w:t>
            </w:r>
            <w:r>
              <w:rPr>
                <w:rFonts w:hint="eastAsia" w:ascii="Times New Roman" w:hAnsi="Times New Roman" w:cs="Times New Roman"/>
                <w:color w:val="auto"/>
                <w:sz w:val="21"/>
                <w:szCs w:val="21"/>
                <w:lang w:val="en-US" w:eastAsia="zh-CN"/>
              </w:rPr>
              <w:t>生产车间</w:t>
            </w:r>
            <w:r>
              <w:rPr>
                <w:rFonts w:ascii="Times New Roman" w:hAnsi="Times New Roman" w:cs="Times New Roman"/>
                <w:color w:val="auto"/>
                <w:sz w:val="21"/>
                <w:szCs w:val="21"/>
                <w:lang w:val="en-US"/>
              </w:rPr>
              <w:t>以及完善厂区相应的防控措施，分区防渗图见附图</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w:t>
            </w:r>
          </w:p>
          <w:p>
            <w:pPr>
              <w:autoSpaceDE/>
              <w:autoSpaceDN/>
              <w:adjustRightInd w:val="0"/>
              <w:snapToGrid w:val="0"/>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eastAsia="zh-CN"/>
              </w:rPr>
              <w:t>21</w:t>
            </w:r>
            <w:r>
              <w:rPr>
                <w:rFonts w:hint="eastAsia"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lang w:val="en-US"/>
              </w:rPr>
              <w:t>本项目污染防治分区情况一览表</w:t>
            </w:r>
          </w:p>
          <w:tbl>
            <w:tblPr>
              <w:tblStyle w:val="32"/>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686"/>
              <w:gridCol w:w="1751"/>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序号</w:t>
                  </w:r>
                </w:p>
              </w:tc>
              <w:tc>
                <w:tcPr>
                  <w:tcW w:w="982"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防治分区</w:t>
                  </w:r>
                </w:p>
              </w:tc>
              <w:tc>
                <w:tcPr>
                  <w:tcW w:w="1020"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分区位置</w:t>
                  </w:r>
                </w:p>
              </w:tc>
              <w:tc>
                <w:tcPr>
                  <w:tcW w:w="26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1</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重点防渗区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color w:val="auto"/>
                      <w:kern w:val="2"/>
                      <w:sz w:val="21"/>
                      <w:szCs w:val="21"/>
                      <w:lang w:val="en-US" w:bidi="ar-SA"/>
                    </w:rPr>
                    <w:t>危废间</w:t>
                  </w:r>
                </w:p>
              </w:tc>
              <w:tc>
                <w:tcPr>
                  <w:tcW w:w="2698" w:type="pct"/>
                  <w:vAlign w:val="center"/>
                </w:tcPr>
                <w:p>
                  <w:pPr>
                    <w:adjustRightInd w:val="0"/>
                    <w:jc w:val="center"/>
                    <w:rPr>
                      <w:rFonts w:ascii="Times New Roman" w:hAnsi="Times New Roman" w:cs="Times New Roman"/>
                      <w:color w:val="auto"/>
                      <w:szCs w:val="21"/>
                    </w:rPr>
                  </w:pPr>
                  <w:r>
                    <w:rPr>
                      <w:rFonts w:ascii="Times New Roman" w:hAnsi="Times New Roman" w:cs="Times New Roman"/>
                      <w:color w:val="auto"/>
                      <w:kern w:val="2"/>
                      <w:sz w:val="21"/>
                      <w:szCs w:val="21"/>
                      <w:lang w:val="en-US" w:bidi="ar-SA"/>
                    </w:rPr>
                    <w:t>危废间设为密闭隔间，</w:t>
                  </w:r>
                  <w:r>
                    <w:rPr>
                      <w:rFonts w:ascii="Times New Roman" w:hAnsi="Times New Roman" w:cs="Times New Roman"/>
                      <w:color w:val="auto"/>
                      <w:kern w:val="2"/>
                      <w:sz w:val="21"/>
                      <w:szCs w:val="21"/>
                      <w:lang w:bidi="ar-SA"/>
                    </w:rPr>
                    <w:t>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kern w:val="2"/>
                      <w:sz w:val="21"/>
                      <w:szCs w:val="21"/>
                      <w:vertAlign w:val="superscript"/>
                      <w:lang w:bidi="ar-SA"/>
                    </w:rPr>
                    <w:t>-10</w:t>
                  </w:r>
                  <w:r>
                    <w:rPr>
                      <w:rFonts w:ascii="Times New Roman" w:hAnsi="Times New Roman" w:cs="Times New Roman"/>
                      <w:color w:val="auto"/>
                      <w:kern w:val="2"/>
                      <w:sz w:val="21"/>
                      <w:szCs w:val="21"/>
                      <w:lang w:bidi="ar-SA"/>
                    </w:rPr>
                    <w:t>cm/s。或参照《危险废物贮存污染控制标准》GB18597执行，以达到防腐防渗漏的目的</w:t>
                  </w:r>
                  <w:r>
                    <w:rPr>
                      <w:rFonts w:hint="eastAsia" w:ascii="Times New Roman" w:hAnsi="Times New Roman" w:cs="Times New Roman"/>
                      <w:color w:val="auto"/>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3</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一般防渗区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原料暂存区、生产</w:t>
                  </w:r>
                  <w:r>
                    <w:rPr>
                      <w:rFonts w:hint="eastAsia" w:ascii="Times New Roman" w:hAnsi="Times New Roman" w:cs="Times New Roman"/>
                      <w:color w:val="auto"/>
                      <w:kern w:val="2"/>
                      <w:sz w:val="21"/>
                      <w:szCs w:val="21"/>
                      <w:lang w:val="en-US" w:bidi="ar-SA"/>
                    </w:rPr>
                    <w:t>区</w:t>
                  </w:r>
                  <w:r>
                    <w:rPr>
                      <w:rFonts w:ascii="Times New Roman" w:hAnsi="Times New Roman" w:cs="Times New Roman"/>
                      <w:color w:val="auto"/>
                      <w:kern w:val="2"/>
                      <w:sz w:val="21"/>
                      <w:szCs w:val="21"/>
                      <w:lang w:val="en-US" w:bidi="ar-SA"/>
                    </w:rPr>
                    <w:t>地面</w:t>
                  </w:r>
                  <w:r>
                    <w:rPr>
                      <w:rFonts w:hint="eastAsia" w:ascii="Times New Roman" w:hAnsi="Times New Roman" w:cs="Times New Roman"/>
                      <w:color w:val="auto"/>
                      <w:kern w:val="2"/>
                      <w:sz w:val="21"/>
                      <w:szCs w:val="21"/>
                      <w:lang w:val="en-US" w:bidi="ar-SA"/>
                    </w:rPr>
                    <w:t>、沉淀池</w:t>
                  </w:r>
                </w:p>
              </w:tc>
              <w:tc>
                <w:tcPr>
                  <w:tcW w:w="2698"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bidi="ar-SA"/>
                    </w:rPr>
                  </w:pPr>
                  <w:r>
                    <w:rPr>
                      <w:rFonts w:hint="eastAsia" w:ascii="Times New Roman" w:hAnsi="Times New Roman" w:cs="Times New Roman"/>
                      <w:color w:val="auto"/>
                      <w:sz w:val="21"/>
                      <w:szCs w:val="21"/>
                    </w:rPr>
                    <w:t>生产区、储存区</w:t>
                  </w:r>
                  <w:r>
                    <w:rPr>
                      <w:rFonts w:ascii="Times New Roman" w:hAnsi="Times New Roman" w:cs="Times New Roman"/>
                      <w:color w:val="auto"/>
                      <w:kern w:val="2"/>
                      <w:sz w:val="21"/>
                      <w:szCs w:val="21"/>
                      <w:lang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kern w:val="2"/>
                      <w:sz w:val="21"/>
                      <w:szCs w:val="21"/>
                      <w:vertAlign w:val="superscript"/>
                      <w:lang w:bidi="ar-SA"/>
                    </w:rPr>
                    <w:t>-7</w:t>
                  </w:r>
                  <w:r>
                    <w:rPr>
                      <w:rFonts w:ascii="Times New Roman" w:hAnsi="Times New Roman" w:cs="Times New Roman"/>
                      <w:color w:val="auto"/>
                      <w:kern w:val="2"/>
                      <w:sz w:val="21"/>
                      <w:szCs w:val="21"/>
                      <w:lang w:bidi="ar-SA"/>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5</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rPr>
                    <w:t>简单防渗区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hint="eastAsia" w:ascii="Times New Roman" w:hAnsi="Times New Roman" w:cs="Times New Roman"/>
                      <w:color w:val="auto"/>
                      <w:kern w:val="2"/>
                      <w:sz w:val="21"/>
                      <w:szCs w:val="21"/>
                      <w:lang w:val="en-US" w:bidi="ar-SA"/>
                    </w:rPr>
                    <w:t>办公区、</w:t>
                  </w:r>
                  <w:r>
                    <w:rPr>
                      <w:rFonts w:ascii="Times New Roman" w:hAnsi="Times New Roman" w:cs="Times New Roman"/>
                      <w:color w:val="auto"/>
                      <w:kern w:val="2"/>
                      <w:sz w:val="21"/>
                      <w:szCs w:val="21"/>
                      <w:lang w:val="en-US" w:bidi="ar-SA"/>
                    </w:rPr>
                    <w:t>非污染区</w:t>
                  </w:r>
                  <w:r>
                    <w:rPr>
                      <w:rFonts w:ascii="Times New Roman" w:hAnsi="Times New Roman" w:cs="Times New Roman"/>
                      <w:color w:val="auto"/>
                      <w:sz w:val="21"/>
                      <w:szCs w:val="21"/>
                    </w:rPr>
                    <w:t>厂区道路、办公区、门卫</w:t>
                  </w:r>
                </w:p>
              </w:tc>
              <w:tc>
                <w:tcPr>
                  <w:tcW w:w="26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color w:val="auto"/>
                      <w:kern w:val="2"/>
                      <w:sz w:val="21"/>
                      <w:szCs w:val="21"/>
                      <w:lang w:bidi="ar-SA"/>
                    </w:rPr>
                    <w:t>非污染区厂区道路、</w:t>
                  </w:r>
                  <w:r>
                    <w:rPr>
                      <w:rFonts w:hint="eastAsia" w:ascii="Times New Roman" w:hAnsi="Times New Roman" w:cs="Times New Roman"/>
                      <w:color w:val="auto"/>
                      <w:kern w:val="2"/>
                      <w:sz w:val="21"/>
                      <w:szCs w:val="21"/>
                      <w:lang w:bidi="ar-SA"/>
                    </w:rPr>
                    <w:t>职工办公休息区</w:t>
                  </w:r>
                  <w:r>
                    <w:rPr>
                      <w:rFonts w:ascii="Times New Roman" w:hAnsi="Times New Roman" w:cs="Times New Roman"/>
                      <w:color w:val="auto"/>
                      <w:kern w:val="2"/>
                      <w:sz w:val="21"/>
                      <w:szCs w:val="21"/>
                      <w:lang w:bidi="ar-SA"/>
                    </w:rPr>
                    <w:t>按常规工程进行设计和建设，地面混凝土硬化，未硬化地点绿化</w:t>
                  </w:r>
                  <w:r>
                    <w:rPr>
                      <w:rFonts w:hint="eastAsia" w:ascii="Times New Roman" w:hAnsi="Times New Roman" w:cs="Times New Roman"/>
                      <w:color w:val="auto"/>
                      <w:kern w:val="2"/>
                      <w:sz w:val="21"/>
                      <w:szCs w:val="21"/>
                      <w:lang w:bidi="ar-SA"/>
                    </w:rPr>
                    <w:t>，采用10-15cm厚普通混凝土硬化处理。</w:t>
                  </w:r>
                </w:p>
              </w:tc>
            </w:tr>
          </w:tbl>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本项目厂区不同功能区均采取有效的防渗措施，发生破损、造成污水垂直入渗的概率极小，且项目不产生持久性的污染物，对地下水及土壤环境影响较小。</w:t>
            </w:r>
          </w:p>
          <w:p>
            <w:pPr>
              <w:autoSpaceDE/>
              <w:autoSpaceDN/>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rPr>
              <w:t>六、生态</w:t>
            </w:r>
          </w:p>
          <w:p>
            <w:pPr>
              <w:widowControl/>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 xml:space="preserve">综上所述，本项目不会对区域的生态环境造成不利影响。 </w:t>
            </w:r>
          </w:p>
          <w:p>
            <w:pPr>
              <w:tabs>
                <w:tab w:val="left" w:pos="0"/>
              </w:tabs>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lang w:val="en-US"/>
              </w:rPr>
              <w:t>七</w:t>
            </w:r>
            <w:r>
              <w:rPr>
                <w:rFonts w:ascii="Times New Roman" w:hAnsi="Times New Roman" w:cs="Times New Roman"/>
                <w:b/>
                <w:color w:val="auto"/>
                <w:sz w:val="21"/>
                <w:szCs w:val="21"/>
              </w:rPr>
              <w:t>、环境风险</w:t>
            </w:r>
          </w:p>
          <w:p>
            <w:pPr>
              <w:autoSpaceDE/>
              <w:autoSpaceDN/>
              <w:spacing w:line="400" w:lineRule="exact"/>
              <w:ind w:left="110" w:leftChars="50"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环境风险危险物质识别</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生产、储存过程中的风险因素及可能诱发的环境问题，并针对潜在的环境风险，提出相应的预防措施，以使建设项目的事故率、损失和环境影响达到可接受水平。</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对照《建设项目环境风险评价技术导则》(HJ/T169-2018)附录B，项目生产中涉及到的危险物质主要为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，临界量为</w:t>
            </w:r>
            <w:r>
              <w:rPr>
                <w:rFonts w:ascii="Times New Roman" w:hAnsi="Times New Roman" w:cs="Times New Roman"/>
                <w:color w:val="auto"/>
                <w:sz w:val="21"/>
                <w:szCs w:val="21"/>
                <w:lang w:val="en-US"/>
              </w:rPr>
              <w:t>2500t</w:t>
            </w:r>
            <w:r>
              <w:rPr>
                <w:rFonts w:ascii="Times New Roman" w:hAnsi="Times New Roman" w:cs="Times New Roman"/>
                <w:color w:val="auto"/>
                <w:sz w:val="21"/>
                <w:szCs w:val="21"/>
              </w:rPr>
              <w:t>。本项目油类物质最多同时存在（按项目可允许的最大存放量分析）危废间废润滑油</w:t>
            </w:r>
            <w:r>
              <w:rPr>
                <w:rFonts w:ascii="Times New Roman" w:hAnsi="Times New Roman" w:cs="Times New Roman"/>
                <w:color w:val="auto"/>
                <w:sz w:val="21"/>
                <w:szCs w:val="21"/>
                <w:lang w:val="en-US"/>
              </w:rPr>
              <w:t>2t、生产设备内0.2t</w:t>
            </w:r>
            <w:r>
              <w:rPr>
                <w:rFonts w:ascii="Times New Roman" w:hAnsi="Times New Roman" w:cs="Times New Roman"/>
                <w:color w:val="auto"/>
                <w:sz w:val="21"/>
                <w:szCs w:val="21"/>
              </w:rPr>
              <w:t>，共</w:t>
            </w: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t，远小于临界量2500t。</w:t>
            </w:r>
          </w:p>
          <w:p>
            <w:pPr>
              <w:spacing w:line="480" w:lineRule="exact"/>
              <w:ind w:firstLine="421" w:firstLineChars="200"/>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eastAsia="zh-CN"/>
              </w:rPr>
              <w:t>22</w:t>
            </w:r>
            <w:r>
              <w:rPr>
                <w:rFonts w:ascii="Times New Roman" w:hAnsi="Times New Roman" w:cs="Times New Roman"/>
                <w:b/>
                <w:color w:val="auto"/>
                <w:sz w:val="21"/>
                <w:szCs w:val="21"/>
              </w:rPr>
              <w:t xml:space="preserve">  风险物质与临界量对比计算结果一览表</w:t>
            </w:r>
          </w:p>
          <w:tbl>
            <w:tblPr>
              <w:tblStyle w:val="3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1140"/>
              <w:gridCol w:w="3357"/>
              <w:gridCol w:w="98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vAlign w:val="center"/>
                </w:tcPr>
                <w:p>
                  <w:pPr>
                    <w:spacing w:line="3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物质名称</w:t>
                  </w:r>
                </w:p>
              </w:tc>
              <w:tc>
                <w:tcPr>
                  <w:tcW w:w="1140"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CAS号</w:t>
                  </w:r>
                </w:p>
              </w:tc>
              <w:tc>
                <w:tcPr>
                  <w:tcW w:w="3357"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最大存储量t</w:t>
                  </w:r>
                </w:p>
              </w:tc>
              <w:tc>
                <w:tcPr>
                  <w:tcW w:w="983"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临界量t</w:t>
                  </w:r>
                </w:p>
              </w:tc>
              <w:tc>
                <w:tcPr>
                  <w:tcW w:w="1659"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z w:val="21"/>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vAlign w:val="center"/>
                </w:tcPr>
                <w:p>
                  <w:pPr>
                    <w:spacing w:line="3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油类物质（</w:t>
                  </w:r>
                  <w:r>
                    <w:rPr>
                      <w:rFonts w:hint="eastAsia" w:ascii="Times New Roman" w:hAnsi="Times New Roman" w:cs="Times New Roman"/>
                      <w:color w:val="auto"/>
                      <w:sz w:val="21"/>
                      <w:szCs w:val="21"/>
                      <w:lang w:val="en-US"/>
                    </w:rPr>
                    <w:t>润滑油</w:t>
                  </w:r>
                  <w:r>
                    <w:rPr>
                      <w:rFonts w:ascii="Times New Roman" w:hAnsi="Times New Roman" w:cs="Times New Roman"/>
                      <w:color w:val="auto"/>
                      <w:sz w:val="21"/>
                      <w:szCs w:val="21"/>
                      <w:lang w:val="en-US"/>
                    </w:rPr>
                    <w:t>）</w:t>
                  </w:r>
                </w:p>
              </w:tc>
              <w:tc>
                <w:tcPr>
                  <w:tcW w:w="1140" w:type="dxa"/>
                  <w:vAlign w:val="center"/>
                </w:tcPr>
                <w:p>
                  <w:pPr>
                    <w:spacing w:line="340" w:lineRule="exact"/>
                    <w:jc w:val="center"/>
                    <w:rPr>
                      <w:rFonts w:ascii="Times New Roman" w:hAnsi="Times New Roman" w:cs="Times New Roman"/>
                      <w:color w:val="auto"/>
                      <w:spacing w:val="4"/>
                      <w:sz w:val="21"/>
                      <w:szCs w:val="21"/>
                    </w:rPr>
                  </w:pPr>
                  <w:r>
                    <w:rPr>
                      <w:rFonts w:ascii="Times New Roman" w:hAnsi="Times New Roman" w:cs="Times New Roman"/>
                      <w:color w:val="auto"/>
                      <w:spacing w:val="4"/>
                      <w:sz w:val="21"/>
                      <w:szCs w:val="21"/>
                    </w:rPr>
                    <w:t>/</w:t>
                  </w:r>
                </w:p>
              </w:tc>
              <w:tc>
                <w:tcPr>
                  <w:tcW w:w="3357" w:type="dxa"/>
                  <w:vAlign w:val="center"/>
                </w:tcPr>
                <w:p>
                  <w:pPr>
                    <w:spacing w:line="340" w:lineRule="exact"/>
                    <w:jc w:val="center"/>
                    <w:rPr>
                      <w:rFonts w:ascii="Times New Roman" w:hAnsi="Times New Roman" w:cs="Times New Roman"/>
                      <w:color w:val="auto"/>
                      <w:spacing w:val="4"/>
                      <w:sz w:val="21"/>
                      <w:szCs w:val="21"/>
                      <w:lang w:val="en-US"/>
                    </w:rPr>
                  </w:pPr>
                  <w:r>
                    <w:rPr>
                      <w:rFonts w:hint="eastAsia" w:ascii="Times New Roman" w:hAnsi="Times New Roman" w:cs="Times New Roman"/>
                      <w:color w:val="auto"/>
                      <w:spacing w:val="4"/>
                      <w:sz w:val="21"/>
                      <w:szCs w:val="21"/>
                      <w:lang w:val="en-US"/>
                    </w:rPr>
                    <w:t>2.2</w:t>
                  </w:r>
                </w:p>
              </w:tc>
              <w:tc>
                <w:tcPr>
                  <w:tcW w:w="983" w:type="dxa"/>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2500</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7039" w:type="dxa"/>
                  <w:gridSpan w:val="4"/>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合计</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0.0009（＜1）</w:t>
                  </w:r>
                </w:p>
              </w:tc>
            </w:tr>
          </w:tbl>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本项目涉及的环境风险物质为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。润滑油成分主要为矿物质油。危险物质成分及危险性见下表。</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23</w:t>
            </w:r>
            <w:r>
              <w:rPr>
                <w:rFonts w:ascii="Times New Roman" w:hAnsi="Times New Roman" w:cs="Times New Roman"/>
                <w:b/>
                <w:bCs/>
                <w:color w:val="auto"/>
                <w:sz w:val="21"/>
                <w:szCs w:val="21"/>
              </w:rPr>
              <w:t xml:space="preserve">  危险物质成分及危险性表</w:t>
            </w:r>
          </w:p>
          <w:tbl>
            <w:tblPr>
              <w:tblStyle w:val="32"/>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535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危险物质</w:t>
                  </w:r>
                </w:p>
              </w:tc>
              <w:tc>
                <w:tcPr>
                  <w:tcW w:w="3150"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理化性质</w:t>
                  </w:r>
                </w:p>
              </w:tc>
              <w:tc>
                <w:tcPr>
                  <w:tcW w:w="1261"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3150"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温度过高热、明火或与氧化剂接触，均有引燃危险。容器内压增大有开裂或爆炸危险。</w:t>
                  </w:r>
                </w:p>
              </w:tc>
            </w:tr>
          </w:tbl>
          <w:p>
            <w:pPr>
              <w:autoSpaceDE/>
              <w:autoSpaceDN/>
              <w:spacing w:line="400" w:lineRule="exact"/>
              <w:ind w:firstLine="420" w:firstLineChars="200"/>
              <w:rPr>
                <w:rFonts w:ascii="Times New Roman" w:hAnsi="Times New Roman" w:cs="Times New Roman"/>
                <w:color w:val="auto"/>
                <w:kern w:val="2"/>
                <w:sz w:val="21"/>
                <w:szCs w:val="21"/>
              </w:rPr>
            </w:pPr>
            <w:r>
              <w:rPr>
                <w:rFonts w:ascii="Times New Roman" w:hAnsi="Times New Roman" w:cs="Times New Roman"/>
                <w:color w:val="auto"/>
                <w:kern w:val="2"/>
                <w:sz w:val="21"/>
                <w:szCs w:val="21"/>
              </w:rPr>
              <w:t>本项目危险废物主要为</w:t>
            </w:r>
            <w:r>
              <w:rPr>
                <w:rFonts w:hint="eastAsia" w:ascii="Times New Roman" w:hAnsi="Times New Roman" w:cs="Times New Roman"/>
                <w:color w:val="auto"/>
                <w:sz w:val="21"/>
                <w:szCs w:val="21"/>
              </w:rPr>
              <w:t>废润滑油、废油桶</w:t>
            </w:r>
            <w:r>
              <w:rPr>
                <w:rFonts w:ascii="Times New Roman" w:hAnsi="Times New Roman" w:cs="Times New Roman"/>
                <w:color w:val="auto"/>
                <w:kern w:val="2"/>
                <w:sz w:val="21"/>
                <w:szCs w:val="21"/>
              </w:rPr>
              <w:t>，危险废物存放于危废暂存间，正常存放情况下，不会对周边环境产生不良影响。若随意丢弃，不按规范摆放和贮存，可能造成危险废物中含有的有毒有害物质的泄漏、流失，若直接进入环境，可能造成残留物污染水体、土壤、地下水，影响地表水水质、土壤土质、地下水水质，对周边环境将造成较大影响。</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环境风险分布情况及可能影响途径</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（1）生产装置单元</w:t>
            </w:r>
          </w:p>
          <w:p>
            <w:pPr>
              <w:autoSpaceDE/>
              <w:autoSpaceDN/>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各传动设备、液压设备破损造成润滑油泄露，主要风险物质为油类物质，下渗污染土壤、地下水，遇明火或氧化物发生火灾或爆炸，事故发生概率较低，主要原因是违规操作或设施维护不到位造成的。</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（2）物料储存单元</w:t>
            </w:r>
          </w:p>
          <w:p>
            <w:pPr>
              <w:autoSpaceDE/>
              <w:autoSpaceDN/>
              <w:spacing w:line="400" w:lineRule="exact"/>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润滑油为易燃</w:t>
            </w:r>
            <w:r>
              <w:rPr>
                <w:rFonts w:hint="default" w:ascii="Times New Roman" w:hAnsi="Times New Roman" w:cs="Times New Roman"/>
                <w:color w:val="auto"/>
                <w:sz w:val="21"/>
                <w:szCs w:val="21"/>
              </w:rPr>
              <w:t>物质，</w:t>
            </w:r>
            <w:r>
              <w:rPr>
                <w:rFonts w:hint="eastAsia" w:ascii="Times New Roman" w:hAnsi="Times New Roman" w:cs="Times New Roman"/>
                <w:color w:val="auto"/>
                <w:sz w:val="21"/>
                <w:szCs w:val="21"/>
              </w:rPr>
              <w:t>物料储存单元存在的环境风险为</w:t>
            </w:r>
            <w:r>
              <w:rPr>
                <w:rFonts w:hint="default" w:ascii="Times New Roman" w:hAnsi="Times New Roman" w:cs="Times New Roman"/>
                <w:color w:val="auto"/>
                <w:sz w:val="21"/>
                <w:szCs w:val="21"/>
                <w:lang w:eastAsia="zh-CN"/>
              </w:rPr>
              <w:t>泄露事故、火灾爆炸事故</w:t>
            </w:r>
            <w:r>
              <w:rPr>
                <w:rFonts w:hint="eastAsia" w:ascii="Times New Roman" w:hAnsi="Times New Roman" w:cs="Times New Roman"/>
                <w:color w:val="auto"/>
                <w:sz w:val="21"/>
                <w:szCs w:val="21"/>
              </w:rPr>
              <w:t>，物料燃烧释放的大量浓烟、CO、氯化氢、二噁英等有害气体，事故发生概率很低，原辅料、产品存放量较低，即使发生事故也不会造成重大影响。诱发火灾的因素主要有：违章吸烟、动火；设备维修时，未采取有效防护措施；电器线路和电气设施在开关断开、接触不良、短路、漏电时产生火花，以及静电放电火花；未采取有效避雷措施，或者避雷措施失效而导致雷击失火等。</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（3）危废储存单元</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危险废物暂存间存放的</w:t>
            </w:r>
            <w:r>
              <w:rPr>
                <w:rFonts w:hint="eastAsia" w:ascii="Times New Roman" w:hAnsi="Times New Roman" w:cs="Times New Roman"/>
                <w:color w:val="auto"/>
                <w:sz w:val="21"/>
                <w:szCs w:val="21"/>
              </w:rPr>
              <w:t>废润滑油、废油桶</w:t>
            </w:r>
            <w:r>
              <w:rPr>
                <w:rFonts w:hint="eastAsia" w:ascii="Times New Roman" w:hAnsi="Times New Roman" w:cs="Times New Roman"/>
                <w:color w:val="auto"/>
                <w:sz w:val="21"/>
                <w:szCs w:val="21"/>
                <w:lang w:val="en-US"/>
              </w:rPr>
              <w:t>等危险废物，破损后会有油类物质、有毒有害物质泄露的风险，地面防渗层破损，</w:t>
            </w:r>
            <w:r>
              <w:rPr>
                <w:rFonts w:hint="eastAsia" w:ascii="Times New Roman" w:hAnsi="Times New Roman" w:cs="Times New Roman"/>
                <w:color w:val="auto"/>
                <w:sz w:val="21"/>
                <w:szCs w:val="21"/>
              </w:rPr>
              <w:t>下渗污染土壤、地下水；危废间温度过高热、遇明火或与氧化剂接触，均有引燃危险，燃烧产生浓烟及有毒有害气体，内压增大有开裂或爆炸危险。事故发生概率很低，主要原因是防渗层破损、员工违规操作或储存装置维护不到位造成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项目生产系统</w:t>
            </w:r>
            <w:r>
              <w:rPr>
                <w:rFonts w:ascii="Times New Roman" w:hAnsi="Times New Roman" w:cs="Times New Roman"/>
                <w:color w:val="auto"/>
                <w:sz w:val="21"/>
                <w:szCs w:val="21"/>
                <w:lang w:val="en-US"/>
              </w:rPr>
              <w:t>环境风险分布情况及可能影响途径</w:t>
            </w:r>
            <w:r>
              <w:rPr>
                <w:rFonts w:ascii="Times New Roman" w:hAnsi="Times New Roman" w:cs="Times New Roman"/>
                <w:color w:val="auto"/>
                <w:sz w:val="21"/>
                <w:szCs w:val="21"/>
              </w:rPr>
              <w:t>见下表。</w:t>
            </w:r>
            <w:r>
              <w:rPr>
                <w:rFonts w:hint="eastAsia" w:ascii="Times New Roman" w:hAnsi="Times New Roman" w:cs="Times New Roman"/>
                <w:color w:val="auto"/>
                <w:sz w:val="21"/>
                <w:szCs w:val="21"/>
              </w:rPr>
              <w:t>项目周边不涉及地表水系，不会因地表漫流影响地表水。</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24</w:t>
            </w:r>
            <w:r>
              <w:rPr>
                <w:rFonts w:ascii="Times New Roman" w:hAnsi="Times New Roman" w:cs="Times New Roman"/>
                <w:b/>
                <w:bCs/>
                <w:color w:val="auto"/>
                <w:sz w:val="21"/>
                <w:szCs w:val="21"/>
              </w:rPr>
              <w:t xml:space="preserve">  项目生产系统</w:t>
            </w:r>
            <w:r>
              <w:rPr>
                <w:rFonts w:ascii="Times New Roman" w:hAnsi="Times New Roman" w:cs="Times New Roman"/>
                <w:b/>
                <w:bCs/>
                <w:color w:val="auto"/>
                <w:sz w:val="21"/>
                <w:szCs w:val="21"/>
                <w:lang w:val="en-US"/>
              </w:rPr>
              <w:t>环境风险分布情况及可能影响途径一览</w:t>
            </w:r>
            <w:r>
              <w:rPr>
                <w:rFonts w:ascii="Times New Roman" w:hAnsi="Times New Roman" w:cs="Times New Roman"/>
                <w:b/>
                <w:bCs/>
                <w:color w:val="auto"/>
                <w:sz w:val="21"/>
                <w:szCs w:val="21"/>
              </w:rPr>
              <w:t>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5"/>
              <w:gridCol w:w="1609"/>
              <w:gridCol w:w="783"/>
              <w:gridCol w:w="892"/>
              <w:gridCol w:w="269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危险单元</w:t>
                  </w:r>
                </w:p>
              </w:tc>
              <w:tc>
                <w:tcPr>
                  <w:tcW w:w="924"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风险源</w:t>
                  </w:r>
                </w:p>
              </w:tc>
              <w:tc>
                <w:tcPr>
                  <w:tcW w:w="4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主要危险物质</w:t>
                  </w:r>
                </w:p>
              </w:tc>
              <w:tc>
                <w:tcPr>
                  <w:tcW w:w="513"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环境风险类型</w:t>
                  </w:r>
                </w:p>
              </w:tc>
              <w:tc>
                <w:tcPr>
                  <w:tcW w:w="15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环境影响途径</w:t>
                  </w:r>
                </w:p>
              </w:tc>
              <w:tc>
                <w:tcPr>
                  <w:tcW w:w="844"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搅拌楼</w:t>
                  </w:r>
                </w:p>
              </w:tc>
              <w:tc>
                <w:tcPr>
                  <w:tcW w:w="924"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（设备内）</w:t>
                  </w:r>
                </w:p>
              </w:tc>
              <w:tc>
                <w:tcPr>
                  <w:tcW w:w="450"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513"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危险物质泄漏、火灾</w:t>
                  </w:r>
                </w:p>
              </w:tc>
              <w:tc>
                <w:tcPr>
                  <w:tcW w:w="1550" w:type="pct"/>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防渗措施失效后，下渗污染地下水；随雨水污染地表水；火灾产生的伴生/次生物质污染大气环境</w:t>
                  </w:r>
                </w:p>
              </w:tc>
              <w:tc>
                <w:tcPr>
                  <w:tcW w:w="844"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地下水、地表水、土壤、环境空气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924" w:type="pct"/>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w:t>
                  </w: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废</w:t>
                  </w:r>
                  <w:r>
                    <w:rPr>
                      <w:rFonts w:ascii="Times New Roman" w:hAnsi="Times New Roman" w:cs="Times New Roman"/>
                      <w:color w:val="auto"/>
                      <w:sz w:val="21"/>
                      <w:szCs w:val="21"/>
                    </w:rPr>
                    <w:t>油桶</w:t>
                  </w:r>
                </w:p>
              </w:tc>
              <w:tc>
                <w:tcPr>
                  <w:tcW w:w="450" w:type="pct"/>
                  <w:vMerge w:val="continue"/>
                  <w:vAlign w:val="center"/>
                </w:tcPr>
                <w:p>
                  <w:pPr>
                    <w:adjustRightInd w:val="0"/>
                    <w:jc w:val="center"/>
                    <w:rPr>
                      <w:rFonts w:ascii="Times New Roman" w:hAnsi="Times New Roman" w:cs="Times New Roman"/>
                      <w:color w:val="auto"/>
                      <w:sz w:val="21"/>
                      <w:szCs w:val="21"/>
                    </w:rPr>
                  </w:pPr>
                </w:p>
              </w:tc>
              <w:tc>
                <w:tcPr>
                  <w:tcW w:w="513" w:type="pct"/>
                  <w:vMerge w:val="continue"/>
                  <w:vAlign w:val="center"/>
                </w:tcPr>
                <w:p>
                  <w:pPr>
                    <w:adjustRightInd w:val="0"/>
                    <w:jc w:val="center"/>
                    <w:rPr>
                      <w:rFonts w:ascii="Times New Roman" w:hAnsi="Times New Roman" w:cs="Times New Roman"/>
                      <w:color w:val="auto"/>
                      <w:sz w:val="21"/>
                      <w:szCs w:val="21"/>
                    </w:rPr>
                  </w:pPr>
                </w:p>
              </w:tc>
              <w:tc>
                <w:tcPr>
                  <w:tcW w:w="1550" w:type="pct"/>
                  <w:vMerge w:val="continue"/>
                  <w:vAlign w:val="center"/>
                </w:tcPr>
                <w:p>
                  <w:pPr>
                    <w:jc w:val="center"/>
                    <w:rPr>
                      <w:rFonts w:ascii="Times New Roman" w:hAnsi="Times New Roman" w:cs="Times New Roman"/>
                      <w:color w:val="auto"/>
                      <w:sz w:val="21"/>
                      <w:szCs w:val="21"/>
                    </w:rPr>
                  </w:pPr>
                </w:p>
              </w:tc>
              <w:tc>
                <w:tcPr>
                  <w:tcW w:w="844" w:type="pct"/>
                  <w:vMerge w:val="continue"/>
                  <w:vAlign w:val="center"/>
                </w:tcPr>
                <w:p>
                  <w:pPr>
                    <w:adjustRightInd w:val="0"/>
                    <w:jc w:val="center"/>
                    <w:rPr>
                      <w:rFonts w:ascii="Times New Roman" w:hAnsi="Times New Roman" w:cs="Times New Roman"/>
                      <w:color w:val="auto"/>
                      <w:sz w:val="21"/>
                      <w:szCs w:val="21"/>
                    </w:rPr>
                  </w:pPr>
                </w:p>
              </w:tc>
            </w:tr>
          </w:tbl>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环境风险防治措施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本项目为防止风险事故的发生，应采取以下防范措施:</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做好防渗措施；定期对生产设备、储存容器进行检查，防止跑冒滴漏。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p>
            <w:pPr>
              <w:autoSpaceDE/>
              <w:autoSpaceDN/>
              <w:spacing w:line="400" w:lineRule="exact"/>
              <w:ind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分析结论</w:t>
            </w:r>
          </w:p>
          <w:p>
            <w:pPr>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在采取各种安全措施后，风险可以降低，事故风险属于可接受的范围之内。本项目虽然存在发生泄漏事故、火灾爆炸事故的风险，但只要加强风险防范管理，可将风险发生概率及其产生的破坏降到最低程度。</w:t>
            </w:r>
          </w:p>
        </w:tc>
      </w:tr>
    </w:tbl>
    <w:p>
      <w:pPr>
        <w:pStyle w:val="45"/>
        <w:rPr>
          <w:color w:val="auto"/>
        </w:rPr>
        <w:sectPr>
          <w:pgSz w:w="11910" w:h="16850"/>
          <w:pgMar w:top="1600" w:right="1320" w:bottom="1531" w:left="1340" w:header="0" w:footer="817" w:gutter="0"/>
          <w:cols w:space="720" w:num="1"/>
        </w:sectPr>
      </w:pPr>
    </w:p>
    <w:p>
      <w:pPr>
        <w:pStyle w:val="10"/>
        <w:spacing w:before="8"/>
        <w:rPr>
          <w:rFonts w:ascii="Times New Roman" w:hAnsi="Times New Roman" w:cs="Times New Roman"/>
          <w:color w:val="auto"/>
          <w:sz w:val="25"/>
        </w:rPr>
      </w:pPr>
    </w:p>
    <w:p>
      <w:pPr>
        <w:pStyle w:val="2"/>
        <w:rPr>
          <w:rFonts w:ascii="黑体" w:hAnsi="黑体" w:eastAsia="黑体" w:cs="黑体"/>
          <w:color w:val="auto"/>
          <w:sz w:val="30"/>
          <w:szCs w:val="30"/>
        </w:rPr>
      </w:pPr>
      <w:r>
        <w:rPr>
          <w:rFonts w:hint="eastAsia" w:ascii="黑体" w:hAnsi="黑体" w:eastAsia="黑体" w:cs="黑体"/>
          <w:color w:val="auto"/>
          <w:sz w:val="30"/>
          <w:szCs w:val="30"/>
          <w:lang w:val="en-US"/>
        </w:rPr>
        <w:t>五、</w:t>
      </w:r>
      <w:r>
        <w:rPr>
          <w:rFonts w:ascii="黑体" w:hAnsi="黑体" w:eastAsia="黑体" w:cs="黑体"/>
          <w:color w:val="auto"/>
          <w:sz w:val="30"/>
          <w:szCs w:val="30"/>
        </w:rPr>
        <w:t>环境保护措施监督检查清单</w:t>
      </w:r>
    </w:p>
    <w:tbl>
      <w:tblPr>
        <w:tblStyle w:val="32"/>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tcPr>
          <w:p>
            <w:pPr>
              <w:adjustRightInd w:val="0"/>
              <w:snapToGrid w:val="0"/>
              <w:jc w:val="right"/>
              <w:rPr>
                <w:rFonts w:ascii="Times New Roman" w:hAnsi="Times New Roman" w:cs="Times New Roman"/>
                <w:b/>
                <w:bCs/>
                <w:color w:val="auto"/>
                <w:sz w:val="21"/>
                <w:szCs w:val="21"/>
              </w:rPr>
            </w:pPr>
            <w:r>
              <w:rPr>
                <w:rFonts w:ascii="Times New Roman" w:hAnsi="Times New Roman" w:cs="Times New Roman"/>
                <w:b/>
                <w:bCs/>
                <w:color w:val="auto"/>
                <w:sz w:val="21"/>
                <w:szCs w:val="21"/>
              </w:rPr>
              <w:t>内容</w:t>
            </w:r>
          </w:p>
          <w:p>
            <w:pPr>
              <w:adjustRightInd w:val="0"/>
              <w:snapToGrid w:val="0"/>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2313"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排放口(编号、</w:t>
            </w:r>
          </w:p>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名称)/污染源</w:t>
            </w:r>
          </w:p>
        </w:tc>
        <w:tc>
          <w:tcPr>
            <w:tcW w:w="89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254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环境保护措施</w:t>
            </w:r>
          </w:p>
        </w:tc>
        <w:tc>
          <w:tcPr>
            <w:tcW w:w="2325"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大气环境</w:t>
            </w: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color w:val="auto"/>
                <w:sz w:val="21"/>
                <w:szCs w:val="21"/>
                <w:lang w:val="en-US" w:bidi="ar"/>
              </w:rPr>
              <w:t>（</w:t>
            </w:r>
            <w:r>
              <w:rPr>
                <w:rFonts w:hint="eastAsia" w:ascii="Times New Roman" w:hAnsi="Times New Roman" w:cs="Times New Roman"/>
                <w:color w:val="auto"/>
                <w:sz w:val="21"/>
                <w:szCs w:val="21"/>
                <w:lang w:val="en-US" w:bidi="ar"/>
              </w:rPr>
              <w:t>DA004</w:t>
            </w:r>
            <w:r>
              <w:rPr>
                <w:rFonts w:hint="eastAsia"/>
                <w:color w:val="auto"/>
                <w:sz w:val="21"/>
                <w:szCs w:val="21"/>
                <w:lang w:val="en-US" w:bidi="ar"/>
              </w:rPr>
              <w:t>）</w:t>
            </w:r>
          </w:p>
        </w:tc>
        <w:tc>
          <w:tcPr>
            <w:tcW w:w="898" w:type="dxa"/>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4"/>
                <w:lang w:val="en-US" w:bidi="ar-SA"/>
              </w:rPr>
              <w:t>颗粒物</w:t>
            </w:r>
          </w:p>
        </w:tc>
        <w:tc>
          <w:tcPr>
            <w:tcW w:w="2548"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集气罩+布袋除尘器+15m高排气筒</w:t>
            </w:r>
          </w:p>
        </w:tc>
        <w:tc>
          <w:tcPr>
            <w:tcW w:w="2325" w:type="dxa"/>
            <w:vMerge w:val="restart"/>
            <w:vAlign w:val="center"/>
          </w:tcPr>
          <w:p>
            <w:pPr>
              <w:wordWrap w:val="0"/>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eastAsia="宋体" w:cs="Times New Roman"/>
                <w:color w:val="auto"/>
                <w:sz w:val="21"/>
                <w:szCs w:val="21"/>
                <w:lang w:val="en-US"/>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Merge w:val="continue"/>
            <w:vAlign w:val="center"/>
          </w:tcPr>
          <w:p>
            <w:pPr>
              <w:autoSpaceDE/>
              <w:autoSpaceDN/>
              <w:jc w:val="center"/>
              <w:rPr>
                <w:rFonts w:ascii="Times New Roman" w:hAnsi="Times New Roman" w:cs="Times New Roman"/>
                <w:color w:val="auto"/>
              </w:rPr>
            </w:pP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hint="eastAsia"/>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hint="eastAsia"/>
                <w:color w:val="auto"/>
                <w:sz w:val="21"/>
                <w:szCs w:val="21"/>
                <w:lang w:val="en-US" w:bidi="ar"/>
              </w:rPr>
              <w:t>）</w:t>
            </w:r>
          </w:p>
        </w:tc>
        <w:tc>
          <w:tcPr>
            <w:tcW w:w="898" w:type="dxa"/>
            <w:vAlign w:val="center"/>
          </w:tcPr>
          <w:p>
            <w:pPr>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
                <w:sz w:val="21"/>
                <w:szCs w:val="24"/>
                <w:lang w:val="en-US" w:bidi="ar-SA"/>
              </w:rPr>
              <w:t>颗粒物</w:t>
            </w:r>
          </w:p>
        </w:tc>
        <w:tc>
          <w:tcPr>
            <w:tcW w:w="2548"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仓顶布袋除尘器+1根排气筒（排放高度不低于20m）</w:t>
            </w:r>
          </w:p>
        </w:tc>
        <w:tc>
          <w:tcPr>
            <w:tcW w:w="2325" w:type="dxa"/>
            <w:vMerge w:val="continue"/>
            <w:vAlign w:val="center"/>
          </w:tcPr>
          <w:p>
            <w:pPr>
              <w:autoSpaceDE/>
              <w:autoSpaceDN/>
              <w:jc w:val="center"/>
              <w:rPr>
                <w:rFonts w:ascii="Times New Roman" w:hAnsi="Times New Roman" w:cs="Times New Roman"/>
                <w:color w:val="auto"/>
                <w:kern w:val="21"/>
                <w:sz w:val="21"/>
                <w:szCs w:val="21"/>
                <w:lang w:val="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厂界无组织废气</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颗粒物</w:t>
            </w:r>
          </w:p>
        </w:tc>
        <w:tc>
          <w:tcPr>
            <w:tcW w:w="2548" w:type="dxa"/>
            <w:vAlign w:val="center"/>
          </w:tcPr>
          <w:p>
            <w:pPr>
              <w:adjustRightInd w:val="0"/>
              <w:snapToGrid w:val="0"/>
              <w:jc w:val="center"/>
              <w:rPr>
                <w:rFonts w:ascii="Times New Roman" w:hAnsi="Times New Roman" w:cs="Times New Roman"/>
                <w:color w:val="auto"/>
                <w:sz w:val="21"/>
                <w:szCs w:val="21"/>
              </w:rPr>
            </w:pPr>
            <w:r>
              <w:rPr>
                <w:rFonts w:hint="eastAsia"/>
                <w:color w:val="auto"/>
                <w:kern w:val="21"/>
                <w:sz w:val="21"/>
                <w:szCs w:val="21"/>
                <w:lang w:val="en-US"/>
              </w:rPr>
              <w:t>车间密闭；设喷雾设备、车辆冲洗装置；选用密闭输送装置进行输送；地面硬化，加强绿化</w:t>
            </w:r>
          </w:p>
        </w:tc>
        <w:tc>
          <w:tcPr>
            <w:tcW w:w="2325"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《水泥工业大气污染物超低排放标准》（DB13/2167-2020）</w:t>
            </w:r>
            <w:r>
              <w:rPr>
                <w:rFonts w:ascii="Times New Roman" w:hAnsi="Times New Roman" w:cs="Times New Roman"/>
                <w:color w:val="auto"/>
                <w:sz w:val="21"/>
                <w:szCs w:val="21"/>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地表水环境</w:t>
            </w:r>
          </w:p>
        </w:tc>
        <w:tc>
          <w:tcPr>
            <w:tcW w:w="2313" w:type="dxa"/>
            <w:vAlign w:val="center"/>
          </w:tcPr>
          <w:p>
            <w:pPr>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车辆冲洗废水</w:t>
            </w:r>
          </w:p>
        </w:tc>
        <w:tc>
          <w:tcPr>
            <w:tcW w:w="89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SS</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经车辆冲洗沉淀池沉淀后回用于车辆冲洗</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声环境</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w:t>
            </w:r>
          </w:p>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/设备噪声</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等效噪声</w:t>
            </w:r>
          </w:p>
        </w:tc>
        <w:tc>
          <w:tcPr>
            <w:tcW w:w="2548"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低噪设备、基础减震、隔声、距离衰减</w:t>
            </w:r>
          </w:p>
        </w:tc>
        <w:tc>
          <w:tcPr>
            <w:tcW w:w="232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厂界周围执行《工业企业厂界环境噪声排放标准》（GB12348-2008）中的</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电磁辐射</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固体废物</w:t>
            </w:r>
          </w:p>
        </w:tc>
        <w:tc>
          <w:tcPr>
            <w:tcW w:w="2313" w:type="dxa"/>
            <w:vAlign w:val="center"/>
          </w:tcPr>
          <w:p>
            <w:pPr>
              <w:autoSpaceDE/>
              <w:autoSpaceDN/>
              <w:ind w:left="-110" w:leftChars="-50" w:right="-110" w:rightChars="-50"/>
              <w:jc w:val="center"/>
              <w:rPr>
                <w:rFonts w:ascii="Times New Roman" w:hAnsi="Times New Roman" w:cs="Times New Roman"/>
                <w:color w:val="auto"/>
                <w:szCs w:val="21"/>
              </w:rPr>
            </w:pPr>
            <w:r>
              <w:rPr>
                <w:rFonts w:ascii="Times New Roman" w:hAnsi="Times New Roman" w:cs="Times New Roman"/>
                <w:color w:val="auto"/>
                <w:spacing w:val="-10"/>
                <w:szCs w:val="21"/>
              </w:rPr>
              <w:t>除尘灰</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《一般工业固体废物贮存和填埋污染控制标准》(GB 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spacing w:line="0" w:lineRule="atLeast"/>
              <w:ind w:left="-110" w:leftChars="-50" w:right="-110" w:rightChars="-50"/>
              <w:jc w:val="center"/>
              <w:rPr>
                <w:rFonts w:ascii="Times New Roman" w:hAnsi="Times New Roman" w:cs="Times New Roman"/>
                <w:color w:val="auto"/>
                <w:szCs w:val="21"/>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eastAsia="宋体" w:cs="Times New Roman"/>
                <w:color w:val="auto"/>
                <w:sz w:val="21"/>
                <w:szCs w:val="21"/>
                <w:lang w:val="en-US"/>
              </w:rPr>
              <w:t>暂存危废间，定期由资质单位处置</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《危险废物贮存污染控制标准》（GB 18597</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lang w:val="en-US"/>
              </w:rPr>
              <w:t>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5"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土壤及地下水</w:t>
            </w:r>
          </w:p>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污染防治措施</w:t>
            </w:r>
          </w:p>
        </w:tc>
        <w:tc>
          <w:tcPr>
            <w:tcW w:w="8084" w:type="dxa"/>
            <w:gridSpan w:val="4"/>
            <w:vAlign w:val="center"/>
          </w:tcPr>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地下水防控措施</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项目采取以下措施防止污染物断续渗入地下水：</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1</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简单防渗区：非污染区厂区道路、</w:t>
            </w:r>
            <w:r>
              <w:rPr>
                <w:rFonts w:hint="eastAsia" w:ascii="Times New Roman" w:hAnsi="Times New Roman" w:cs="Times New Roman"/>
                <w:color w:val="auto"/>
                <w:sz w:val="21"/>
                <w:szCs w:val="21"/>
                <w:lang w:val="zh-CN" w:bidi="ar-SA"/>
              </w:rPr>
              <w:t>职工办公休息区</w:t>
            </w:r>
            <w:r>
              <w:rPr>
                <w:rFonts w:ascii="Times New Roman" w:hAnsi="Times New Roman" w:cs="Times New Roman"/>
                <w:color w:val="auto"/>
                <w:sz w:val="21"/>
                <w:szCs w:val="21"/>
                <w:lang w:val="zh-CN" w:bidi="ar-SA"/>
              </w:rPr>
              <w:t>按常规工程进行设计和建设，地面混凝土硬化，未硬化地点绿化</w:t>
            </w:r>
            <w:r>
              <w:rPr>
                <w:rFonts w:hint="eastAsia" w:ascii="Times New Roman" w:hAnsi="Times New Roman" w:cs="Times New Roman"/>
                <w:color w:val="auto"/>
                <w:sz w:val="21"/>
                <w:szCs w:val="21"/>
                <w:lang w:val="zh-CN" w:bidi="ar-SA"/>
              </w:rPr>
              <w:t>，采用10-15cm厚普通混凝土硬化处理</w:t>
            </w:r>
            <w:r>
              <w:rPr>
                <w:rFonts w:ascii="Times New Roman" w:hAnsi="Times New Roman" w:cs="Times New Roman"/>
                <w:color w:val="auto"/>
                <w:sz w:val="21"/>
                <w:szCs w:val="21"/>
                <w:lang w:val="zh-CN" w:bidi="ar-SA"/>
              </w:rPr>
              <w:t>。</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2</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一般防渗区：</w:t>
            </w:r>
            <w:r>
              <w:rPr>
                <w:rFonts w:hint="eastAsia" w:ascii="Times New Roman" w:hAnsi="Times New Roman" w:cs="Times New Roman"/>
                <w:color w:val="auto"/>
                <w:sz w:val="21"/>
                <w:szCs w:val="21"/>
              </w:rPr>
              <w:t>生产区、储存区</w:t>
            </w:r>
            <w:r>
              <w:rPr>
                <w:rFonts w:ascii="Times New Roman" w:hAnsi="Times New Roman" w:cs="Times New Roman"/>
                <w:color w:val="auto"/>
                <w:sz w:val="21"/>
                <w:szCs w:val="21"/>
                <w:lang w:val="zh-CN"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sz w:val="21"/>
                <w:szCs w:val="21"/>
                <w:vertAlign w:val="superscript"/>
                <w:lang w:val="zh-CN" w:bidi="ar-SA"/>
              </w:rPr>
              <w:t>-7</w:t>
            </w:r>
            <w:r>
              <w:rPr>
                <w:rFonts w:ascii="Times New Roman" w:hAnsi="Times New Roman" w:cs="Times New Roman"/>
                <w:color w:val="auto"/>
                <w:sz w:val="21"/>
                <w:szCs w:val="21"/>
                <w:lang w:val="zh-CN" w:bidi="ar-SA"/>
              </w:rPr>
              <w:t>cm。</w:t>
            </w:r>
          </w:p>
          <w:p>
            <w:pPr>
              <w:pStyle w:val="41"/>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3</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重点防渗区：危废间设为密闭隔间，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sz w:val="21"/>
                <w:szCs w:val="21"/>
                <w:vertAlign w:val="superscript"/>
                <w:lang w:val="zh-CN" w:bidi="ar-SA"/>
              </w:rPr>
              <w:t>-10</w:t>
            </w:r>
            <w:r>
              <w:rPr>
                <w:rFonts w:ascii="Times New Roman" w:hAnsi="Times New Roman" w:cs="Times New Roman"/>
                <w:color w:val="auto"/>
                <w:sz w:val="21"/>
                <w:szCs w:val="21"/>
                <w:lang w:val="zh-CN" w:bidi="ar-SA"/>
              </w:rPr>
              <w:t>cm/s。或参照《危险废物贮存污染控制标准》GB18597执行，以达到防腐防渗漏的目的。</w:t>
            </w:r>
          </w:p>
          <w:p>
            <w:pPr>
              <w:pStyle w:val="41"/>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2、</w:t>
            </w:r>
            <w:r>
              <w:rPr>
                <w:rFonts w:ascii="Times New Roman" w:hAnsi="Times New Roman" w:cs="Times New Roman"/>
                <w:b/>
                <w:bCs/>
                <w:color w:val="auto"/>
                <w:sz w:val="21"/>
                <w:szCs w:val="21"/>
                <w:lang w:val="zh-CN" w:bidi="ar-SA"/>
              </w:rPr>
              <w:t>土壤环境保护措施</w:t>
            </w:r>
          </w:p>
          <w:p>
            <w:pPr>
              <w:adjustRightInd w:val="0"/>
              <w:snapToGrid w:val="0"/>
              <w:spacing w:line="440" w:lineRule="exact"/>
              <w:ind w:firstLine="420" w:firstLineChars="200"/>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r>
              <w:rPr>
                <w:rFonts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生态保护措施</w:t>
            </w:r>
          </w:p>
        </w:tc>
        <w:tc>
          <w:tcPr>
            <w:tcW w:w="8084" w:type="dxa"/>
            <w:gridSpan w:val="4"/>
            <w:vAlign w:val="center"/>
          </w:tcPr>
          <w:p>
            <w:pPr>
              <w:adjustRightInd w:val="0"/>
              <w:snapToGrid w:val="0"/>
              <w:spacing w:line="30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0"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环境风险</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防范措施</w:t>
            </w:r>
          </w:p>
        </w:tc>
        <w:tc>
          <w:tcPr>
            <w:tcW w:w="8084" w:type="dxa"/>
            <w:gridSpan w:val="4"/>
            <w:vAlign w:val="center"/>
          </w:tcPr>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w:t>
            </w:r>
            <w:r>
              <w:rPr>
                <w:rFonts w:hint="eastAsia" w:ascii="Times New Roman" w:hAnsi="Times New Roman" w:cs="Times New Roman"/>
                <w:color w:val="auto"/>
                <w:sz w:val="21"/>
                <w:szCs w:val="21"/>
              </w:rPr>
              <w:t>生产设备、储存容器</w:t>
            </w:r>
            <w:r>
              <w:rPr>
                <w:rFonts w:ascii="Times New Roman" w:hAnsi="Times New Roman" w:cs="Times New Roman"/>
                <w:color w:val="auto"/>
                <w:sz w:val="21"/>
                <w:szCs w:val="21"/>
              </w:rPr>
              <w:t>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3</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成立由厂长、分管厂长及生产、安全、环保、保卫等部门组成的重大事故应急救援小组，一旦发生事故，救援小组便及时例行其相应的职责，处理事故。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widowControl/>
              <w:autoSpaceDE/>
              <w:autoSpaceDN/>
              <w:spacing w:line="44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5"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其他环境</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管理要求</w:t>
            </w:r>
          </w:p>
        </w:tc>
        <w:tc>
          <w:tcPr>
            <w:tcW w:w="8084" w:type="dxa"/>
            <w:gridSpan w:val="4"/>
            <w:vAlign w:val="center"/>
          </w:tcPr>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管理机构设置</w:t>
            </w:r>
          </w:p>
          <w:p>
            <w:pPr>
              <w:adjustRightInd w:val="0"/>
              <w:snapToGrid w:val="0"/>
              <w:spacing w:line="360" w:lineRule="exact"/>
              <w:ind w:firstLine="420" w:firstLineChars="200"/>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环境管理工作应实行法人负责制，</w:t>
            </w:r>
            <w:r>
              <w:rPr>
                <w:rFonts w:hint="eastAsia" w:ascii="Times New Roman" w:hAnsi="Times New Roman" w:cs="Times New Roman"/>
                <w:color w:val="auto"/>
                <w:sz w:val="21"/>
                <w:szCs w:val="21"/>
                <w:lang w:eastAsia="zh-CN"/>
              </w:rPr>
              <w:t>企业原有生产线已按要求</w:t>
            </w:r>
            <w:r>
              <w:rPr>
                <w:rFonts w:ascii="Times New Roman" w:hAnsi="Times New Roman" w:cs="Times New Roman"/>
                <w:color w:val="auto"/>
                <w:sz w:val="21"/>
                <w:szCs w:val="21"/>
              </w:rPr>
              <w:t>设置环保管理机构和管理人员，配置</w:t>
            </w:r>
            <w:r>
              <w:rPr>
                <w:rFonts w:hint="eastAsia" w:ascii="Times New Roman" w:hAnsi="Times New Roman" w:cs="Times New Roman"/>
                <w:color w:val="auto"/>
                <w:sz w:val="21"/>
                <w:szCs w:val="21"/>
                <w:lang w:eastAsia="zh-CN"/>
              </w:rPr>
              <w:t>了</w:t>
            </w:r>
            <w:r>
              <w:rPr>
                <w:rFonts w:ascii="Times New Roman" w:hAnsi="Times New Roman" w:cs="Times New Roman"/>
                <w:color w:val="auto"/>
                <w:sz w:val="21"/>
                <w:szCs w:val="21"/>
              </w:rPr>
              <w:t>1名</w:t>
            </w:r>
            <w:r>
              <w:rPr>
                <w:rFonts w:hint="eastAsia" w:ascii="Times New Roman" w:hAnsi="Times New Roman" w:cs="Times New Roman"/>
                <w:color w:val="auto"/>
                <w:sz w:val="21"/>
                <w:szCs w:val="21"/>
                <w:lang w:eastAsia="zh-CN"/>
              </w:rPr>
              <w:t>经理专门负责处理企业生产过程中产生的环保问题</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本项目与原有生产线一起由该名管理人员管理。</w:t>
            </w:r>
          </w:p>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环境管理机构的基本职责</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w:t>
            </w:r>
            <w:r>
              <w:rPr>
                <w:rFonts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负责本项目环境监测工作，及时掌握该项目污染状况，整理监测数据，建立污染源档案。</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负责对职工进行环保宣传教育工作，以及检查、监督各单位环保制度的执行情况。</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rPr>
              <w:t>五</w:t>
            </w:r>
            <w:r>
              <w:rPr>
                <w:rFonts w:ascii="Times New Roman" w:hAnsi="Times New Roman" w:cs="Times New Roman"/>
                <w:color w:val="auto"/>
                <w:sz w:val="21"/>
                <w:szCs w:val="21"/>
              </w:rPr>
              <w:t>年。</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7</w:t>
            </w:r>
            <w:r>
              <w:rPr>
                <w:rFonts w:hint="eastAsia" w:ascii="Times New Roman" w:hAnsi="Times New Roman" w:cs="Times New Roman"/>
                <w:color w:val="auto"/>
                <w:sz w:val="21"/>
                <w:szCs w:val="21"/>
              </w:rPr>
              <w:t>）</w:t>
            </w:r>
            <w:r>
              <w:rPr>
                <w:rFonts w:ascii="Times New Roman" w:hAnsi="Times New Roman" w:cs="Times New Roman"/>
                <w:color w:val="auto"/>
                <w:sz w:val="21"/>
                <w:szCs w:val="21"/>
              </w:rPr>
              <w:t>搞好厂区内绿化工作</w:t>
            </w:r>
            <w:r>
              <w:rPr>
                <w:rFonts w:hint="eastAsia" w:ascii="Times New Roman" w:hAnsi="Times New Roman" w:cs="Times New Roman"/>
                <w:color w:val="auto"/>
                <w:sz w:val="21"/>
                <w:szCs w:val="21"/>
              </w:rPr>
              <w:t>。</w:t>
            </w:r>
          </w:p>
          <w:p>
            <w:pPr>
              <w:adjustRightInd w:val="0"/>
              <w:snapToGrid w:val="0"/>
              <w:spacing w:line="36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3、其他环境管理要求</w:t>
            </w:r>
          </w:p>
          <w:p>
            <w:pPr>
              <w:adjustRightInd w:val="0"/>
              <w:snapToGrid w:val="0"/>
              <w:spacing w:line="36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）项目的建设遵循“三同时”制度，即项目环保措施与主体工程同时设计、同时施工、同时投产使用</w:t>
            </w:r>
            <w:r>
              <w:rPr>
                <w:rFonts w:hint="eastAsia" w:ascii="Times New Roman" w:hAnsi="Times New Roman" w:cs="Times New Roman"/>
                <w:color w:val="auto"/>
                <w:sz w:val="21"/>
                <w:szCs w:val="21"/>
              </w:rPr>
              <w:t>。</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排污许可制度衔接</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rPr>
              <w:t>办理</w:t>
            </w:r>
            <w:r>
              <w:rPr>
                <w:rFonts w:ascii="Times New Roman" w:hAnsi="Times New Roman" w:cs="Times New Roman"/>
                <w:color w:val="auto"/>
                <w:sz w:val="21"/>
                <w:szCs w:val="21"/>
              </w:rPr>
              <w:t>排污许可证。</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）排污口规范化要求</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根据原国家环保总局下发《关于开展排放口规范化整治工作的通知》（环发[1999]24号）要求，各废气、噪声等排放口需要进行规范化。</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①污染源排放口要遵循便于采集样品、便于监测计量、便于日常监督管理的原则，严格按排放口规范化整治要求进行。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②污染源排放口必须按照国家颁布的有关污染物强制性排放标准的要求，监测点位处设置监测平台及排放口标志牌。</w:t>
            </w:r>
          </w:p>
          <w:p>
            <w:pPr>
              <w:adjustRightInd w:val="0"/>
              <w:snapToGrid w:val="0"/>
              <w:spacing w:line="360" w:lineRule="exact"/>
              <w:ind w:firstLine="421" w:firstLineChars="20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bidi="ar-SA"/>
              </w:rPr>
              <w:drawing>
                <wp:anchor distT="0" distB="0" distL="114300" distR="114300" simplePos="0" relativeHeight="251668480" behindDoc="0" locked="0" layoutInCell="1" allowOverlap="1">
                  <wp:simplePos x="0" y="0"/>
                  <wp:positionH relativeFrom="column">
                    <wp:posOffset>320675</wp:posOffset>
                  </wp:positionH>
                  <wp:positionV relativeFrom="paragraph">
                    <wp:posOffset>140970</wp:posOffset>
                  </wp:positionV>
                  <wp:extent cx="3857625" cy="3841115"/>
                  <wp:effectExtent l="0" t="0" r="9525" b="6985"/>
                  <wp:wrapTopAndBottom/>
                  <wp:docPr id="118" name="图片 2" descr="e27baa8092054d706ebd7da03334f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8" name="图片 2" descr="e27baa8092054d706ebd7da03334fe4"/>
                          <pic:cNvPicPr>
                            <a:picLocks noChangeAspect="true"/>
                          </pic:cNvPicPr>
                        </pic:nvPicPr>
                        <pic:blipFill>
                          <a:blip r:embed="rId16"/>
                          <a:srcRect l="7391" t="1849" r="7251"/>
                          <a:stretch>
                            <a:fillRect/>
                          </a:stretch>
                        </pic:blipFill>
                        <pic:spPr>
                          <a:xfrm>
                            <a:off x="0" y="0"/>
                            <a:ext cx="3857625" cy="3841115"/>
                          </a:xfrm>
                          <a:prstGeom prst="rect">
                            <a:avLst/>
                          </a:prstGeom>
                          <a:noFill/>
                          <a:ln>
                            <a:noFill/>
                          </a:ln>
                        </pic:spPr>
                      </pic:pic>
                    </a:graphicData>
                  </a:graphic>
                </wp:anchor>
              </w:drawing>
            </w:r>
            <w:r>
              <w:rPr>
                <w:rFonts w:hint="eastAsia" w:ascii="Times New Roman" w:hAnsi="Times New Roman" w:cs="Times New Roman"/>
                <w:b/>
                <w:bCs/>
                <w:color w:val="auto"/>
                <w:sz w:val="21"/>
                <w:szCs w:val="21"/>
                <w:lang w:val="en-US"/>
              </w:rPr>
              <w:t>图5.1 环境保护图形标志牌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建立规范化排污口档案，内容包括排污单位名称，排污口性质及编号，排污口的地理位置（GPS定位经纬度），排污口所排放的主要污染物种类、数量、浓度及排放去向，立标情况，设施运行及日常现场监督检查记录等有关资料和记录。</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）项目生产过程中排放的污染物为废气、废水、噪声及固体废物。</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①废气：保证排气筒高度达到标准要求，并在环保技术人员指导下设定废气的监测口位置，按标准设置采样口及采样平台，并在排气筒上设环境保护图形牌。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 xml:space="preserve">②噪声：保证真实准确的反映排污情况，要求在监测期间全厂生产正常稳定，生产负荷均为满负荷。采样时采样人员应及时了解全厂各工段的运行负荷。 </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③固废：固废及危险废物贮存场所分别设置并按照相关要求采取防晒、防淋、防渗等措施，按环保管理要求设立标志牌等。</w:t>
            </w: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adjustRightInd w:val="0"/>
              <w:snapToGrid w:val="0"/>
              <w:spacing w:line="360" w:lineRule="exact"/>
              <w:ind w:firstLine="420" w:firstLineChars="200"/>
              <w:rPr>
                <w:rFonts w:ascii="Times New Roman" w:hAnsi="Times New Roman" w:cs="Times New Roman"/>
                <w:color w:val="auto"/>
                <w:sz w:val="21"/>
                <w:szCs w:val="21"/>
              </w:rPr>
            </w:pPr>
          </w:p>
        </w:tc>
      </w:tr>
    </w:tbl>
    <w:p>
      <w:pPr>
        <w:rPr>
          <w:rFonts w:ascii="Times New Roman" w:hAnsi="Times New Roman" w:cs="Times New Roman"/>
          <w:color w:val="auto"/>
          <w:sz w:val="21"/>
        </w:rPr>
        <w:sectPr>
          <w:pgSz w:w="11910" w:h="16840"/>
          <w:pgMar w:top="1531"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六、结论</w:t>
      </w:r>
    </w:p>
    <w:p>
      <w:pPr>
        <w:pStyle w:val="10"/>
        <w:spacing w:before="10"/>
        <w:rPr>
          <w:rFonts w:ascii="Times New Roman" w:hAnsi="Times New Roman" w:cs="Times New Roman"/>
          <w:color w:val="auto"/>
          <w:sz w:val="18"/>
        </w:rPr>
      </w:pPr>
      <w:r>
        <w:rPr>
          <w:rFonts w:ascii="Times New Roman" w:hAnsi="Times New Roman" w:cs="Times New Roman"/>
          <w:color w:val="auto"/>
          <w:lang w:val="en-US" w:bidi="ar-SA"/>
        </w:rPr>
        <mc:AlternateContent>
          <mc:Choice Requires="wps">
            <w:drawing>
              <wp:anchor distT="0" distB="0" distL="0" distR="0" simplePos="0" relativeHeight="251664384"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true"/>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2096;mso-width-relative:page;mso-height-relative:page;" filled="f" stroked="t" coordsize="21600,21600" o:gfxdata="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Xm67jbAAAADAEAAA8A&#10;AAAAAAAAAQAgAAAAOAAAAGRycy9kb3ducmV2LnhtbFBLAQIUABQAAAAIAIdO4kD92aqx/gEAAOoD&#10;AAAOAAAAAAAAAAEAIAAAAEABAABkcnMvZTJvRG9jLnhtbFBLBQYAAAAABgAGAFkBAACwBQAAAAA=&#10;">
                <v:fill on="f" focussize="0,0"/>
                <v:stroke weight="0.5pt" color="#000000" joinstyle="miter"/>
                <v:imagedata o:title=""/>
                <o:lock v:ext="edit" aspectratio="f"/>
                <v:textbox inset="0mm,0mm,0mm,0mm">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v:textbox>
                <w10:wrap type="topAndBottom"/>
              </v:shape>
            </w:pict>
          </mc:Fallback>
        </mc:AlternateContent>
      </w:r>
    </w:p>
    <w:p>
      <w:pPr>
        <w:rPr>
          <w:rFonts w:ascii="Times New Roman" w:hAnsi="Times New Roman" w:cs="Times New Roman"/>
          <w:color w:val="auto"/>
          <w:sz w:val="18"/>
        </w:rPr>
        <w:sectPr>
          <w:pgSz w:w="11910" w:h="16840"/>
          <w:pgMar w:top="1580" w:right="1320" w:bottom="1000" w:left="1340" w:header="0" w:footer="817" w:gutter="0"/>
          <w:cols w:space="720" w:num="1"/>
        </w:sectPr>
      </w:pPr>
    </w:p>
    <w:p>
      <w:pPr>
        <w:spacing w:before="55"/>
        <w:ind w:left="151"/>
        <w:rPr>
          <w:rFonts w:ascii="Times New Roman" w:hAnsi="Times New Roman" w:eastAsia="黑体" w:cs="Times New Roman"/>
          <w:color w:val="auto"/>
          <w:sz w:val="32"/>
        </w:rPr>
        <w:sectPr>
          <w:footerReference r:id="rId9" w:type="default"/>
          <w:footerReference r:id="rId10" w:type="even"/>
          <w:pgSz w:w="16840" w:h="11910" w:orient="landscape"/>
          <w:pgMar w:top="1300" w:right="1580" w:bottom="1300" w:left="1000" w:header="0" w:footer="817" w:gutter="0"/>
          <w:cols w:space="720" w:num="1"/>
        </w:sectPr>
      </w:pPr>
    </w:p>
    <w:p>
      <w:pPr>
        <w:spacing w:before="55"/>
        <w:ind w:left="151"/>
        <w:rPr>
          <w:rFonts w:ascii="Times New Roman" w:hAnsi="Times New Roman" w:eastAsia="黑体" w:cs="Times New Roman"/>
          <w:color w:val="auto"/>
          <w:sz w:val="32"/>
        </w:rPr>
      </w:pPr>
      <w:r>
        <w:rPr>
          <w:rFonts w:ascii="Times New Roman" w:hAnsi="Times New Roman" w:eastAsia="黑体" w:cs="Times New Roman"/>
          <w:color w:val="auto"/>
          <w:sz w:val="32"/>
        </w:rPr>
        <w:t>附表</w:t>
      </w:r>
    </w:p>
    <w:p>
      <w:pPr>
        <w:pStyle w:val="10"/>
        <w:rPr>
          <w:rFonts w:ascii="Times New Roman" w:hAnsi="Times New Roman" w:cs="Times New Roman"/>
          <w:color w:val="auto"/>
          <w:sz w:val="20"/>
        </w:rPr>
      </w:pPr>
    </w:p>
    <w:p>
      <w:pPr>
        <w:pStyle w:val="2"/>
        <w:spacing w:before="173"/>
        <w:ind w:left="4550" w:right="4510"/>
        <w:rPr>
          <w:rFonts w:ascii="Times New Roman" w:hAnsi="Times New Roman" w:cs="Times New Roman"/>
          <w:color w:val="auto"/>
        </w:rPr>
      </w:pPr>
      <w:r>
        <w:rPr>
          <w:rFonts w:ascii="Times New Roman" w:hAnsi="Times New Roman" w:cs="Times New Roman"/>
          <w:color w:val="auto"/>
        </w:rPr>
        <w:t>建设项目污染物排放量汇总表</w:t>
      </w:r>
    </w:p>
    <w:p>
      <w:pPr>
        <w:pStyle w:val="10"/>
        <w:spacing w:before="10"/>
        <w:rPr>
          <w:rFonts w:ascii="Times New Roman" w:hAnsi="Times New Roman" w:cs="Times New Roman"/>
          <w:color w:val="auto"/>
          <w:sz w:val="24"/>
        </w:rPr>
      </w:pP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585"/>
        <w:gridCol w:w="1624"/>
        <w:gridCol w:w="1946"/>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bottom w:val="single" w:color="000000" w:sz="8" w:space="0"/>
              <w:right w:val="single" w:color="000000" w:sz="8" w:space="0"/>
              <w:tl2br w:val="single" w:color="000000" w:sz="8" w:space="0"/>
            </w:tcBorders>
            <w:vAlign w:val="center"/>
          </w:tcPr>
          <w:p>
            <w:pPr>
              <w:pStyle w:val="52"/>
              <w:wordWrap w:val="0"/>
              <w:ind w:left="110" w:leftChars="50"/>
              <w:jc w:val="right"/>
              <w:rPr>
                <w:b/>
                <w:bCs/>
                <w:color w:val="auto"/>
                <w:sz w:val="21"/>
                <w:lang w:val="en-US"/>
              </w:rPr>
            </w:pPr>
            <w:r>
              <w:rPr>
                <w:rFonts w:hint="eastAsia"/>
                <w:b/>
                <w:bCs/>
                <w:color w:val="auto"/>
                <w:sz w:val="21"/>
              </w:rPr>
              <w:t>项目</w:t>
            </w:r>
            <w:r>
              <w:rPr>
                <w:rFonts w:hint="eastAsia"/>
                <w:b/>
                <w:bCs/>
                <w:color w:val="auto"/>
                <w:sz w:val="21"/>
                <w:lang w:val="en-US"/>
              </w:rPr>
              <w:t xml:space="preserve"> </w:t>
            </w:r>
          </w:p>
          <w:p>
            <w:pPr>
              <w:pStyle w:val="52"/>
              <w:jc w:val="center"/>
              <w:rPr>
                <w:b/>
                <w:bCs/>
                <w:color w:val="auto"/>
                <w:sz w:val="21"/>
              </w:rPr>
            </w:pPr>
          </w:p>
          <w:p>
            <w:pPr>
              <w:pStyle w:val="52"/>
              <w:ind w:firstLine="210" w:firstLineChars="100"/>
              <w:rPr>
                <w:b/>
                <w:bCs/>
                <w:color w:val="auto"/>
                <w:sz w:val="21"/>
              </w:rPr>
            </w:pPr>
            <w:r>
              <w:rPr>
                <w:rFonts w:hint="eastAsia"/>
                <w:b/>
                <w:bCs/>
                <w:color w:val="auto"/>
                <w:sz w:val="21"/>
              </w:rPr>
              <w:t>分类</w:t>
            </w:r>
          </w:p>
        </w:tc>
        <w:tc>
          <w:tcPr>
            <w:tcW w:w="1394" w:type="dxa"/>
            <w:tcBorders>
              <w:left w:val="single" w:color="000000" w:sz="8"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污染物名称</w:t>
            </w:r>
          </w:p>
        </w:tc>
        <w:tc>
          <w:tcPr>
            <w:tcW w:w="1702"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w:t>
            </w:r>
          </w:p>
          <w:p>
            <w:pPr>
              <w:pStyle w:val="52"/>
              <w:jc w:val="center"/>
              <w:rPr>
                <w:b/>
                <w:bCs/>
                <w:color w:val="auto"/>
                <w:sz w:val="21"/>
              </w:rPr>
            </w:pPr>
            <w:r>
              <w:rPr>
                <w:rFonts w:hint="eastAsia"/>
                <w:b/>
                <w:bCs/>
                <w:color w:val="auto"/>
                <w:sz w:val="21"/>
              </w:rPr>
              <w:t>排放量（固体废物产生量）①</w:t>
            </w:r>
          </w:p>
        </w:tc>
        <w:tc>
          <w:tcPr>
            <w:tcW w:w="1277"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现有工程许可排放量</w:t>
            </w:r>
          </w:p>
          <w:p>
            <w:pPr>
              <w:pStyle w:val="52"/>
              <w:jc w:val="center"/>
              <w:rPr>
                <w:b/>
                <w:bCs/>
                <w:color w:val="auto"/>
                <w:sz w:val="21"/>
              </w:rPr>
            </w:pPr>
            <w:r>
              <w:rPr>
                <w:rFonts w:hint="eastAsia"/>
                <w:b/>
                <w:bCs/>
                <w:color w:val="auto"/>
                <w:sz w:val="21"/>
              </w:rPr>
              <w:t>②</w:t>
            </w:r>
          </w:p>
        </w:tc>
        <w:tc>
          <w:tcPr>
            <w:tcW w:w="1590"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在建工程</w:t>
            </w:r>
          </w:p>
          <w:p>
            <w:pPr>
              <w:pStyle w:val="52"/>
              <w:jc w:val="center"/>
              <w:rPr>
                <w:b/>
                <w:bCs/>
                <w:color w:val="auto"/>
                <w:sz w:val="21"/>
              </w:rPr>
            </w:pPr>
            <w:r>
              <w:rPr>
                <w:rFonts w:hint="eastAsia"/>
                <w:b/>
                <w:bCs/>
                <w:color w:val="auto"/>
                <w:sz w:val="21"/>
              </w:rPr>
              <w:t>排放量（固体废物产生量）③</w:t>
            </w:r>
          </w:p>
        </w:tc>
        <w:tc>
          <w:tcPr>
            <w:tcW w:w="1585"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w:t>
            </w:r>
          </w:p>
          <w:p>
            <w:pPr>
              <w:pStyle w:val="52"/>
              <w:jc w:val="center"/>
              <w:rPr>
                <w:b/>
                <w:bCs/>
                <w:color w:val="auto"/>
                <w:sz w:val="21"/>
              </w:rPr>
            </w:pPr>
            <w:r>
              <w:rPr>
                <w:rFonts w:hint="eastAsia"/>
                <w:b/>
                <w:bCs/>
                <w:color w:val="auto"/>
                <w:sz w:val="21"/>
              </w:rPr>
              <w:t>排放量（固体废物产生量）④</w:t>
            </w:r>
          </w:p>
        </w:tc>
        <w:tc>
          <w:tcPr>
            <w:tcW w:w="1624"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以新带老削减量</w:t>
            </w:r>
          </w:p>
          <w:p>
            <w:pPr>
              <w:pStyle w:val="52"/>
              <w:jc w:val="center"/>
              <w:rPr>
                <w:b/>
                <w:bCs/>
                <w:color w:val="auto"/>
                <w:sz w:val="21"/>
              </w:rPr>
            </w:pPr>
            <w:r>
              <w:rPr>
                <w:rFonts w:hint="eastAsia"/>
                <w:b/>
                <w:bCs/>
                <w:color w:val="auto"/>
                <w:sz w:val="21"/>
              </w:rPr>
              <w:t>（新建项目不填）⑤</w:t>
            </w:r>
          </w:p>
        </w:tc>
        <w:tc>
          <w:tcPr>
            <w:tcW w:w="1946"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本项目建成后</w:t>
            </w:r>
          </w:p>
          <w:p>
            <w:pPr>
              <w:pStyle w:val="52"/>
              <w:jc w:val="center"/>
              <w:rPr>
                <w:b/>
                <w:bCs/>
                <w:color w:val="auto"/>
                <w:sz w:val="21"/>
              </w:rPr>
            </w:pPr>
            <w:r>
              <w:rPr>
                <w:rFonts w:hint="eastAsia"/>
                <w:b/>
                <w:bCs/>
                <w:color w:val="auto"/>
                <w:sz w:val="21"/>
              </w:rPr>
              <w:t>全厂排放量（固体废物产生量）⑥</w:t>
            </w:r>
          </w:p>
        </w:tc>
        <w:tc>
          <w:tcPr>
            <w:tcW w:w="1063" w:type="dxa"/>
            <w:tcBorders>
              <w:left w:val="single" w:color="000000" w:sz="4" w:space="0"/>
              <w:bottom w:val="single" w:color="000000" w:sz="4" w:space="0"/>
            </w:tcBorders>
            <w:vAlign w:val="center"/>
          </w:tcPr>
          <w:p>
            <w:pPr>
              <w:pStyle w:val="52"/>
              <w:jc w:val="center"/>
              <w:rPr>
                <w:b/>
                <w:bCs/>
                <w:color w:val="auto"/>
                <w:sz w:val="21"/>
              </w:rPr>
            </w:pPr>
            <w:r>
              <w:rPr>
                <w:rFonts w:hint="eastAsia"/>
                <w:b/>
                <w:bCs/>
                <w:color w:val="auto"/>
                <w:sz w:val="21"/>
              </w:rPr>
              <w:t>变化量</w:t>
            </w:r>
          </w:p>
          <w:p>
            <w:pPr>
              <w:pStyle w:val="52"/>
              <w:jc w:val="center"/>
              <w:rPr>
                <w:b/>
                <w:bCs/>
                <w:color w:val="auto"/>
                <w:sz w:val="21"/>
              </w:rPr>
            </w:pPr>
            <w:r>
              <w:rPr>
                <w:rFonts w:hint="eastAsia"/>
                <w:b/>
                <w:bCs/>
                <w:color w:val="auto"/>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szCs w:val="21"/>
              </w:rPr>
              <w:t>烟尘</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0.0458t/a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0.0458t/a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二氧化硫</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0.6605t/a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lang w:val="en-US" w:eastAsia="zh-CN"/>
              </w:rPr>
              <w:t>1.962</w:t>
            </w:r>
            <w:r>
              <w:rPr>
                <w:rFonts w:hint="eastAsia" w:ascii="Times New Roman" w:hAnsi="Times New Roman" w:cs="Times New Roman"/>
                <w:color w:val="auto"/>
                <w:sz w:val="21"/>
                <w:szCs w:val="21"/>
                <w:lang w:val="en-US"/>
              </w:rPr>
              <w:t>t/a</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0.6605t/a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氮氧化物</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0.0815t/a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eastAsia="zh-CN"/>
              </w:rPr>
              <w:t>1.472</w:t>
            </w:r>
            <w:r>
              <w:rPr>
                <w:rFonts w:hint="eastAsia" w:ascii="Times New Roman" w:hAnsi="Times New Roman" w:cs="Times New Roman"/>
                <w:color w:val="auto"/>
                <w:sz w:val="21"/>
                <w:szCs w:val="21"/>
                <w:lang w:val="en-US"/>
              </w:rPr>
              <w:t>t/a</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0.0815t/a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pStyle w:val="52"/>
              <w:jc w:val="center"/>
              <w:rPr>
                <w:rFonts w:ascii="Times New Roman" w:hAnsi="Times New Roman" w:cs="Times New Roman"/>
                <w:color w:val="auto"/>
                <w:sz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bCs/>
                <w:color w:val="auto"/>
                <w:kern w:val="2"/>
                <w:sz w:val="21"/>
                <w:szCs w:val="21"/>
                <w:lang w:val="en-US"/>
              </w:rPr>
            </w:pPr>
            <w:r>
              <w:rPr>
                <w:rFonts w:hint="eastAsia" w:ascii="Times New Roman" w:hAnsi="Times New Roman" w:cs="Times New Roman"/>
                <w:color w:val="auto"/>
                <w:sz w:val="21"/>
                <w:szCs w:val="21"/>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8111</w:t>
            </w:r>
            <w:r>
              <w:rPr>
                <w:rFonts w:hint="eastAsia" w:ascii="Times New Roman" w:hAnsi="Times New Roman" w:cs="Times New Roman"/>
                <w:color w:val="auto"/>
                <w:sz w:val="21"/>
                <w:szCs w:val="21"/>
                <w:lang w:val="en-US"/>
              </w:rPr>
              <w:t>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3593</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 w:val="21"/>
                <w:lang w:val="en-US" w:eastAsia="zh-CN"/>
              </w:rPr>
              <w:t>0.1890</w:t>
            </w:r>
            <w:r>
              <w:rPr>
                <w:rFonts w:hint="eastAsia" w:ascii="Times New Roman" w:hAnsi="Times New Roman" w:cs="Times New Roman"/>
                <w:color w:val="auto"/>
                <w:sz w:val="21"/>
                <w:szCs w:val="21"/>
                <w:lang w:val="en-US"/>
              </w:rPr>
              <w:t>t/a</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9816</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Cs w:val="21"/>
                <w:lang w:val="en-US"/>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1705</w:t>
            </w:r>
            <w:r>
              <w:rPr>
                <w:rFonts w:hint="eastAsia" w:ascii="Times New Roman" w:hAnsi="Times New Roman" w:cs="Times New Roman"/>
                <w:color w:val="auto"/>
                <w:sz w:val="21"/>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top w:val="single" w:color="000000" w:sz="8" w:space="0"/>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sz w:val="21"/>
                <w:szCs w:val="21"/>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rPr>
            </w:pPr>
            <w:r>
              <w:rPr>
                <w:rFonts w:ascii="Times New Roman" w:hAnsi="Times New Roman" w:cs="Times New Roman"/>
                <w:color w:val="auto"/>
                <w:sz w:val="21"/>
              </w:rPr>
              <w:t>2.877t/a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kern w:val="2"/>
                <w:sz w:val="21"/>
                <w:szCs w:val="24"/>
                <w:lang w:val="en-US" w:bidi="ar-SA"/>
              </w:rPr>
              <w:t>24.494</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kern w:val="2"/>
                <w:sz w:val="21"/>
                <w:szCs w:val="24"/>
                <w:lang w:val="en-US" w:bidi="ar-SA"/>
              </w:rPr>
              <w:t>21.617</w:t>
            </w:r>
            <w:r>
              <w:rPr>
                <w:rFonts w:ascii="Times New Roman" w:hAnsi="Times New Roman" w:cs="Times New Roman"/>
                <w:color w:val="auto"/>
                <w:kern w:val="2"/>
                <w:sz w:val="21"/>
                <w:szCs w:val="21"/>
                <w:lang w:val="en-US"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right w:val="single" w:color="000000" w:sz="4" w:space="0"/>
            </w:tcBorders>
            <w:vAlign w:val="center"/>
          </w:tcPr>
          <w:p>
            <w:pPr>
              <w:jc w:val="center"/>
              <w:rPr>
                <w:rFonts w:ascii="Times New Roman" w:hAnsi="Times New Roman" w:cs="Times New Roman"/>
                <w:color w:val="auto"/>
                <w:sz w:val="2"/>
                <w:szCs w:val="2"/>
                <w:lang w:val="en-US"/>
              </w:rPr>
            </w:pPr>
            <w:r>
              <w:rPr>
                <w:rFonts w:hint="eastAsia" w:ascii="Times New Roman" w:hAnsi="Times New Roman" w:cs="Times New Roman"/>
                <w:color w:val="auto"/>
                <w:sz w:val="21"/>
              </w:rPr>
              <w:t>危险废物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spacing w:line="0" w:lineRule="atLeast"/>
              <w:ind w:left="-110" w:leftChars="-50" w:right="-110" w:rightChars="-50"/>
              <w:jc w:val="center"/>
              <w:rPr>
                <w:color w:val="auto"/>
                <w:lang w:val="en-US"/>
              </w:rPr>
            </w:pPr>
            <w:r>
              <w:rPr>
                <w:rFonts w:hint="eastAsia" w:ascii="Times New Roman" w:hAnsi="Times New Roman" w:cs="Times New Roman"/>
                <w:color w:val="auto"/>
                <w:sz w:val="21"/>
                <w:szCs w:val="21"/>
                <w:lang w:val="en-US"/>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color w:val="auto"/>
                <w:spacing w:val="-10"/>
                <w:szCs w:val="21"/>
                <w:lang w:val="en-US"/>
              </w:rPr>
            </w:pPr>
            <w:r>
              <w:rPr>
                <w:rFonts w:hint="eastAsia" w:ascii="Times New Roman" w:hAnsi="Times New Roman" w:cs="Times New Roman"/>
                <w:color w:val="auto"/>
                <w:sz w:val="21"/>
                <w:szCs w:val="21"/>
                <w:lang w:val="en-US"/>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r>
    </w:tbl>
    <w:p>
      <w:pPr>
        <w:pStyle w:val="10"/>
        <w:spacing w:before="11"/>
        <w:rPr>
          <w:rFonts w:ascii="Times New Roman" w:hAnsi="Times New Roman" w:cs="Times New Roman"/>
          <w:color w:val="auto"/>
          <w:sz w:val="6"/>
        </w:rPr>
      </w:pPr>
    </w:p>
    <w:p>
      <w:pPr>
        <w:pStyle w:val="18"/>
        <w:spacing w:line="360" w:lineRule="auto"/>
        <w:ind w:left="110" w:leftChars="50" w:right="110" w:rightChars="50" w:firstLine="420" w:firstLineChars="200"/>
        <w:jc w:val="both"/>
        <w:rPr>
          <w:rFonts w:ascii="Times New Roman" w:hAnsi="Times New Roman" w:cs="Times New Roman"/>
          <w:color w:val="auto"/>
          <w:sz w:val="21"/>
        </w:rPr>
      </w:pPr>
      <w:r>
        <w:rPr>
          <w:rFonts w:ascii="Times New Roman" w:hAnsi="Times New Roman" w:cs="Times New Roman"/>
          <w:color w:val="auto"/>
          <w:sz w:val="21"/>
        </w:rPr>
        <w:t>注：⑥=①+③+④-⑤；⑦=⑥-①</w:t>
      </w:r>
      <w:r>
        <w:rPr>
          <w:rFonts w:ascii="Times New Roman" w:hAnsi="Times New Roman" w:cs="Times New Roman"/>
          <w:color w:val="auto"/>
          <w:sz w:val="21"/>
          <w:lang w:val="en-US"/>
        </w:rPr>
        <w:t>.</w:t>
      </w:r>
    </w:p>
    <w:sectPr>
      <w:pgSz w:w="16840" w:h="11910" w:orient="landscape"/>
      <w:pgMar w:top="1300" w:right="1580" w:bottom="1300" w:left="1000" w:header="0" w:footer="8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posOffset>2867025</wp:posOffset>
              </wp:positionH>
              <wp:positionV relativeFrom="paragraph">
                <wp:posOffset>0</wp:posOffset>
              </wp:positionV>
              <wp:extent cx="226060" cy="18796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22606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31</w:t>
                          </w:r>
                          <w:r>
                            <w:rPr>
                              <w:rFonts w:hint="eastAsia"/>
                              <w:sz w:val="21"/>
                              <w:szCs w:val="22"/>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5.75pt;margin-top:0pt;height:14.8pt;width:17.8pt;mso-position-horizontal-relative:margin;z-index:251659264;mso-width-relative:page;mso-height-relative:page;" filled="f" stroked="f" coordsize="21600,21600" o:gfxdata="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Tf/P3dYAAAAHAQAADwAAAAAAAAABACAAAAA4AAAAZHJzL2Rvd25yZXYueG1sUEsB&#10;AhQAFAAAAAgAh07iQAuUgRIaAgAAGwQAAA4AAAAAAAAAAQAgAAAAOwEAAGRycy9lMm9Eb2MueG1s&#10;UEsFBgAAAAAGAAYAWQEAAMcFAAAAAA==&#10;">
              <v:fill on="f" focussize="0,0"/>
              <v:stroke on="f" weight="0.5pt"/>
              <v:imagedata o:title=""/>
              <o:lock v:ext="edit" aspectratio="f"/>
              <v:textbox inset="0mm,0mm,0mm,0mm">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31</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ZCYFgIAABsEAAAOAAAAZHJz&#10;L2Uyb0RvYy54bWytU8uO0zAU3SPxD5b3NGlH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OWQm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Yn34r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TBYsFgIAABsEAAAOAAAAZHJz&#10;L2Uyb0RvYy54bWytU8uO0zAU3SPxD5b3NGnR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0kwWL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9F4DFE38"/>
    <w:multiLevelType w:val="singleLevel"/>
    <w:tmpl w:val="9F4DFE38"/>
    <w:lvl w:ilvl="0" w:tentative="0">
      <w:start w:val="1"/>
      <w:numFmt w:val="decimal"/>
      <w:suff w:val="nothing"/>
      <w:lvlText w:val="（%1）"/>
      <w:lvlJc w:val="left"/>
    </w:lvl>
  </w:abstractNum>
  <w:abstractNum w:abstractNumId="2">
    <w:nsid w:val="C2ECEDA4"/>
    <w:multiLevelType w:val="singleLevel"/>
    <w:tmpl w:val="C2ECEDA4"/>
    <w:lvl w:ilvl="0" w:tentative="0">
      <w:start w:val="3"/>
      <w:numFmt w:val="decimal"/>
      <w:suff w:val="nothing"/>
      <w:lvlText w:val="%1、"/>
      <w:lvlJc w:val="left"/>
    </w:lvl>
  </w:abstractNum>
  <w:abstractNum w:abstractNumId="3">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AA45AD"/>
    <w:multiLevelType w:val="singleLevel"/>
    <w:tmpl w:val="0EAA45AD"/>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5832E185"/>
    <w:multiLevelType w:val="singleLevel"/>
    <w:tmpl w:val="5832E185"/>
    <w:lvl w:ilvl="0" w:tentative="0">
      <w:start w:val="1"/>
      <w:numFmt w:val="decimal"/>
      <w:suff w:val="nothing"/>
      <w:lvlText w:val="（%1）"/>
      <w:lvlJc w:val="left"/>
      <w:pPr>
        <w:ind w:left="420" w:firstLine="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RkOTU1OGFhOTI2ODFhNDdmNjIwYTk1NWI5YjMifQ=="/>
  </w:docVars>
  <w:rsids>
    <w:rsidRoot w:val="00172A27"/>
    <w:rsid w:val="00054DC4"/>
    <w:rsid w:val="00074B68"/>
    <w:rsid w:val="000D0552"/>
    <w:rsid w:val="0012089D"/>
    <w:rsid w:val="00172A27"/>
    <w:rsid w:val="001C5F73"/>
    <w:rsid w:val="002063DE"/>
    <w:rsid w:val="0024672B"/>
    <w:rsid w:val="00265EE2"/>
    <w:rsid w:val="00281AC8"/>
    <w:rsid w:val="002C22BA"/>
    <w:rsid w:val="002D4F22"/>
    <w:rsid w:val="00340BB0"/>
    <w:rsid w:val="004222DA"/>
    <w:rsid w:val="00491BFE"/>
    <w:rsid w:val="0059310F"/>
    <w:rsid w:val="005A2A20"/>
    <w:rsid w:val="005D4603"/>
    <w:rsid w:val="008B4C00"/>
    <w:rsid w:val="0094205C"/>
    <w:rsid w:val="00963BDE"/>
    <w:rsid w:val="009A2E7A"/>
    <w:rsid w:val="009E1356"/>
    <w:rsid w:val="00A44265"/>
    <w:rsid w:val="00BE4D4E"/>
    <w:rsid w:val="00CC0515"/>
    <w:rsid w:val="00CD6343"/>
    <w:rsid w:val="00E11262"/>
    <w:rsid w:val="00E50FE5"/>
    <w:rsid w:val="00ED3D6F"/>
    <w:rsid w:val="01172A03"/>
    <w:rsid w:val="01177305"/>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73446B"/>
    <w:rsid w:val="04854128"/>
    <w:rsid w:val="04A2327F"/>
    <w:rsid w:val="04A66CFB"/>
    <w:rsid w:val="04AB1EC7"/>
    <w:rsid w:val="04B50EB1"/>
    <w:rsid w:val="04B932DD"/>
    <w:rsid w:val="04C31F03"/>
    <w:rsid w:val="04DD5D12"/>
    <w:rsid w:val="04E85C80"/>
    <w:rsid w:val="04EA536B"/>
    <w:rsid w:val="04FB3169"/>
    <w:rsid w:val="05065C6F"/>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A4BBF"/>
    <w:rsid w:val="05EC0902"/>
    <w:rsid w:val="05F01E78"/>
    <w:rsid w:val="06277B8D"/>
    <w:rsid w:val="06552EC7"/>
    <w:rsid w:val="06554664"/>
    <w:rsid w:val="0661744D"/>
    <w:rsid w:val="066C1A43"/>
    <w:rsid w:val="066F433A"/>
    <w:rsid w:val="067035D8"/>
    <w:rsid w:val="06726EFB"/>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4720C"/>
    <w:rsid w:val="0A4A6843"/>
    <w:rsid w:val="0A5151D8"/>
    <w:rsid w:val="0A5805FE"/>
    <w:rsid w:val="0A5C4953"/>
    <w:rsid w:val="0A5C671C"/>
    <w:rsid w:val="0A774D36"/>
    <w:rsid w:val="0A905886"/>
    <w:rsid w:val="0AB26E31"/>
    <w:rsid w:val="0AC37052"/>
    <w:rsid w:val="0AE01D11"/>
    <w:rsid w:val="0AEA6A2B"/>
    <w:rsid w:val="0AED7D6C"/>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024A4"/>
    <w:rsid w:val="0E877DAD"/>
    <w:rsid w:val="0E95666F"/>
    <w:rsid w:val="0EA53C62"/>
    <w:rsid w:val="0EA96F5A"/>
    <w:rsid w:val="0EB1214C"/>
    <w:rsid w:val="0EB8287A"/>
    <w:rsid w:val="0EC64EB0"/>
    <w:rsid w:val="0ECF0DC1"/>
    <w:rsid w:val="0ED87C76"/>
    <w:rsid w:val="0EDB3047"/>
    <w:rsid w:val="0EED613D"/>
    <w:rsid w:val="0EF24CD4"/>
    <w:rsid w:val="0EF32D02"/>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237F36"/>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8E1884"/>
    <w:rsid w:val="12972F3E"/>
    <w:rsid w:val="12A85DF8"/>
    <w:rsid w:val="12B5405D"/>
    <w:rsid w:val="12D40590"/>
    <w:rsid w:val="12E61A24"/>
    <w:rsid w:val="12E76687"/>
    <w:rsid w:val="130B7EEE"/>
    <w:rsid w:val="13147C24"/>
    <w:rsid w:val="13170F02"/>
    <w:rsid w:val="131B6620"/>
    <w:rsid w:val="13313575"/>
    <w:rsid w:val="13347592"/>
    <w:rsid w:val="13511DA5"/>
    <w:rsid w:val="13533D6F"/>
    <w:rsid w:val="1379745A"/>
    <w:rsid w:val="137E50ED"/>
    <w:rsid w:val="138F5527"/>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A246AB"/>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74DBB"/>
    <w:rsid w:val="19FC00DE"/>
    <w:rsid w:val="1A06744C"/>
    <w:rsid w:val="1A131FB4"/>
    <w:rsid w:val="1A1E3766"/>
    <w:rsid w:val="1A284A8B"/>
    <w:rsid w:val="1A4F2D4D"/>
    <w:rsid w:val="1A566BE0"/>
    <w:rsid w:val="1A597A4F"/>
    <w:rsid w:val="1A6028A0"/>
    <w:rsid w:val="1A6C52B9"/>
    <w:rsid w:val="1A705206"/>
    <w:rsid w:val="1A98475D"/>
    <w:rsid w:val="1AAB5F90"/>
    <w:rsid w:val="1AAC43A1"/>
    <w:rsid w:val="1AC146BD"/>
    <w:rsid w:val="1AD956D6"/>
    <w:rsid w:val="1AE134F4"/>
    <w:rsid w:val="1AF22982"/>
    <w:rsid w:val="1B262667"/>
    <w:rsid w:val="1B813443"/>
    <w:rsid w:val="1B853028"/>
    <w:rsid w:val="1B863114"/>
    <w:rsid w:val="1B8F02AB"/>
    <w:rsid w:val="1B8F4665"/>
    <w:rsid w:val="1B996AB5"/>
    <w:rsid w:val="1B9C1C3C"/>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7A6810"/>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310EF"/>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8665C1"/>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BD5BC0"/>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475F70"/>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CD0B0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B15CC8"/>
    <w:rsid w:val="27C26894"/>
    <w:rsid w:val="27D54A4B"/>
    <w:rsid w:val="27EC2A9F"/>
    <w:rsid w:val="27EE1E60"/>
    <w:rsid w:val="27F5137F"/>
    <w:rsid w:val="280451E0"/>
    <w:rsid w:val="280871F0"/>
    <w:rsid w:val="28111961"/>
    <w:rsid w:val="281B2B62"/>
    <w:rsid w:val="281B7B3D"/>
    <w:rsid w:val="282835C4"/>
    <w:rsid w:val="28373807"/>
    <w:rsid w:val="284205CD"/>
    <w:rsid w:val="285D6E19"/>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329E8"/>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37E2F"/>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E34275"/>
    <w:rsid w:val="2FF6354A"/>
    <w:rsid w:val="30204528"/>
    <w:rsid w:val="30316C11"/>
    <w:rsid w:val="303B19BB"/>
    <w:rsid w:val="304A70EF"/>
    <w:rsid w:val="304D5589"/>
    <w:rsid w:val="30520140"/>
    <w:rsid w:val="3055473D"/>
    <w:rsid w:val="306E485B"/>
    <w:rsid w:val="30782B8D"/>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F2BA7"/>
    <w:rsid w:val="33F16F60"/>
    <w:rsid w:val="33F60CD4"/>
    <w:rsid w:val="33FA0882"/>
    <w:rsid w:val="33FB1BDC"/>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D6F9A"/>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3B424A"/>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B6604"/>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562F8"/>
    <w:rsid w:val="3D3A1978"/>
    <w:rsid w:val="3D3B3C1C"/>
    <w:rsid w:val="3D461658"/>
    <w:rsid w:val="3D5664CD"/>
    <w:rsid w:val="3D601390"/>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A92655"/>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39B8"/>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38BC"/>
    <w:rsid w:val="406B6741"/>
    <w:rsid w:val="407C6C62"/>
    <w:rsid w:val="40971974"/>
    <w:rsid w:val="40A5438E"/>
    <w:rsid w:val="40A72052"/>
    <w:rsid w:val="40AC57FF"/>
    <w:rsid w:val="40B97058"/>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4E4D53"/>
    <w:rsid w:val="4256677E"/>
    <w:rsid w:val="42576EE8"/>
    <w:rsid w:val="426C3C56"/>
    <w:rsid w:val="42796810"/>
    <w:rsid w:val="427E5F7E"/>
    <w:rsid w:val="429453D8"/>
    <w:rsid w:val="429B7258"/>
    <w:rsid w:val="42AB3D55"/>
    <w:rsid w:val="42C1358B"/>
    <w:rsid w:val="42C2426D"/>
    <w:rsid w:val="42C543D2"/>
    <w:rsid w:val="42C91E4B"/>
    <w:rsid w:val="43121EAE"/>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451CCB"/>
    <w:rsid w:val="455C454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7B78BB"/>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766F0"/>
    <w:rsid w:val="49AA1C33"/>
    <w:rsid w:val="49AC0F2C"/>
    <w:rsid w:val="49B50FFC"/>
    <w:rsid w:val="49B96F74"/>
    <w:rsid w:val="49C6777F"/>
    <w:rsid w:val="49CE4B34"/>
    <w:rsid w:val="49D047E3"/>
    <w:rsid w:val="4A096F32"/>
    <w:rsid w:val="4A0A1939"/>
    <w:rsid w:val="4A0F4242"/>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4213C"/>
    <w:rsid w:val="4CD56D0B"/>
    <w:rsid w:val="4D0375A1"/>
    <w:rsid w:val="4D037FFD"/>
    <w:rsid w:val="4D0B0C3B"/>
    <w:rsid w:val="4D0C42FE"/>
    <w:rsid w:val="4D112D9D"/>
    <w:rsid w:val="4D112E97"/>
    <w:rsid w:val="4D1B275A"/>
    <w:rsid w:val="4D1F1ED3"/>
    <w:rsid w:val="4D3E0F77"/>
    <w:rsid w:val="4D44121F"/>
    <w:rsid w:val="4D447CA9"/>
    <w:rsid w:val="4D49642D"/>
    <w:rsid w:val="4D5F5AE6"/>
    <w:rsid w:val="4D623C7C"/>
    <w:rsid w:val="4D6E04B4"/>
    <w:rsid w:val="4D731CC3"/>
    <w:rsid w:val="4D7C0AFF"/>
    <w:rsid w:val="4D7D10D1"/>
    <w:rsid w:val="4D7F3B64"/>
    <w:rsid w:val="4D834F92"/>
    <w:rsid w:val="4DD06867"/>
    <w:rsid w:val="4DD21759"/>
    <w:rsid w:val="4DF73CFF"/>
    <w:rsid w:val="4DF8460E"/>
    <w:rsid w:val="4E0A11FB"/>
    <w:rsid w:val="4E28581D"/>
    <w:rsid w:val="4E314FA6"/>
    <w:rsid w:val="4E475BE8"/>
    <w:rsid w:val="4E52608A"/>
    <w:rsid w:val="4E5E4194"/>
    <w:rsid w:val="4E6224A9"/>
    <w:rsid w:val="4E684148"/>
    <w:rsid w:val="4E7C1AFC"/>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0F907D1"/>
    <w:rsid w:val="5100307C"/>
    <w:rsid w:val="510323AF"/>
    <w:rsid w:val="510E0CFA"/>
    <w:rsid w:val="51120799"/>
    <w:rsid w:val="5121043D"/>
    <w:rsid w:val="512545E8"/>
    <w:rsid w:val="512A78F9"/>
    <w:rsid w:val="5134567A"/>
    <w:rsid w:val="51474FB8"/>
    <w:rsid w:val="514C35D0"/>
    <w:rsid w:val="51547B7A"/>
    <w:rsid w:val="516C3C72"/>
    <w:rsid w:val="516E6D39"/>
    <w:rsid w:val="517B2107"/>
    <w:rsid w:val="51A62F31"/>
    <w:rsid w:val="51A766BA"/>
    <w:rsid w:val="51AA19E6"/>
    <w:rsid w:val="51B32563"/>
    <w:rsid w:val="51B40ABA"/>
    <w:rsid w:val="51BA3947"/>
    <w:rsid w:val="51C07729"/>
    <w:rsid w:val="51C0798A"/>
    <w:rsid w:val="51D57A6A"/>
    <w:rsid w:val="51E246CB"/>
    <w:rsid w:val="51F2634E"/>
    <w:rsid w:val="51F30CC1"/>
    <w:rsid w:val="520018FE"/>
    <w:rsid w:val="52157E66"/>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34E1B"/>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CC73D2"/>
    <w:rsid w:val="55D37750"/>
    <w:rsid w:val="55D73D98"/>
    <w:rsid w:val="55F241B7"/>
    <w:rsid w:val="55F3162F"/>
    <w:rsid w:val="55F948BF"/>
    <w:rsid w:val="55FF559A"/>
    <w:rsid w:val="562D691C"/>
    <w:rsid w:val="563015F5"/>
    <w:rsid w:val="563739E0"/>
    <w:rsid w:val="563C6200"/>
    <w:rsid w:val="565232B5"/>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8212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25C9A"/>
    <w:rsid w:val="58774213"/>
    <w:rsid w:val="587A69BA"/>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D65241"/>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46D4F"/>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1B346C"/>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245FAF"/>
    <w:rsid w:val="61394D19"/>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DA6B66"/>
    <w:rsid w:val="61E11B0F"/>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1B16"/>
    <w:rsid w:val="62BB7C17"/>
    <w:rsid w:val="62C918FF"/>
    <w:rsid w:val="62E40955"/>
    <w:rsid w:val="62E713AB"/>
    <w:rsid w:val="62FC3944"/>
    <w:rsid w:val="630174AF"/>
    <w:rsid w:val="63035366"/>
    <w:rsid w:val="63067C81"/>
    <w:rsid w:val="6307712A"/>
    <w:rsid w:val="63147832"/>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6B0071"/>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73D4464"/>
    <w:rsid w:val="675E3509"/>
    <w:rsid w:val="67656900"/>
    <w:rsid w:val="6793498E"/>
    <w:rsid w:val="67A07D7A"/>
    <w:rsid w:val="67B62E41"/>
    <w:rsid w:val="67BE626A"/>
    <w:rsid w:val="67F037C7"/>
    <w:rsid w:val="67F97282"/>
    <w:rsid w:val="67FB479D"/>
    <w:rsid w:val="6808604B"/>
    <w:rsid w:val="680970B9"/>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22601E"/>
    <w:rsid w:val="69302794"/>
    <w:rsid w:val="69433902"/>
    <w:rsid w:val="694E54B8"/>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02ECE"/>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BE2391"/>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902CB"/>
    <w:rsid w:val="6E5C2D2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2F2F"/>
    <w:rsid w:val="72AB74A5"/>
    <w:rsid w:val="72B05E34"/>
    <w:rsid w:val="72BB6148"/>
    <w:rsid w:val="72D05CDA"/>
    <w:rsid w:val="73122239"/>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A37FA"/>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124C38"/>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67050"/>
    <w:rsid w:val="774C346C"/>
    <w:rsid w:val="77505319"/>
    <w:rsid w:val="77683CFD"/>
    <w:rsid w:val="77684544"/>
    <w:rsid w:val="77694171"/>
    <w:rsid w:val="77877844"/>
    <w:rsid w:val="77913203"/>
    <w:rsid w:val="7793689B"/>
    <w:rsid w:val="77955421"/>
    <w:rsid w:val="77975957"/>
    <w:rsid w:val="779B2FB5"/>
    <w:rsid w:val="77A12DF7"/>
    <w:rsid w:val="77A23485"/>
    <w:rsid w:val="77B21226"/>
    <w:rsid w:val="77B73F4B"/>
    <w:rsid w:val="77C26BCE"/>
    <w:rsid w:val="77D14165"/>
    <w:rsid w:val="77E8183C"/>
    <w:rsid w:val="77EC26F0"/>
    <w:rsid w:val="780671F2"/>
    <w:rsid w:val="781D6CC2"/>
    <w:rsid w:val="78285032"/>
    <w:rsid w:val="782C7042"/>
    <w:rsid w:val="783B5319"/>
    <w:rsid w:val="78471162"/>
    <w:rsid w:val="78616576"/>
    <w:rsid w:val="78644E2C"/>
    <w:rsid w:val="78750126"/>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15F40"/>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AE3291"/>
    <w:rsid w:val="7ABF693E"/>
    <w:rsid w:val="7ADC34DA"/>
    <w:rsid w:val="7AE139ED"/>
    <w:rsid w:val="7AE90622"/>
    <w:rsid w:val="7AEA4231"/>
    <w:rsid w:val="7AF12EF3"/>
    <w:rsid w:val="7B0E2E1E"/>
    <w:rsid w:val="7B145C2D"/>
    <w:rsid w:val="7B1F1B0E"/>
    <w:rsid w:val="7B2B1E1B"/>
    <w:rsid w:val="7B2D5922"/>
    <w:rsid w:val="7B2E771F"/>
    <w:rsid w:val="7B2F16E9"/>
    <w:rsid w:val="7B3B1369"/>
    <w:rsid w:val="7B5502E1"/>
    <w:rsid w:val="7B552979"/>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4C33F3"/>
    <w:rsid w:val="7E7712D2"/>
    <w:rsid w:val="7E782336"/>
    <w:rsid w:val="7E891110"/>
    <w:rsid w:val="7E900926"/>
    <w:rsid w:val="7E931FE6"/>
    <w:rsid w:val="7E951311"/>
    <w:rsid w:val="7E9C52E7"/>
    <w:rsid w:val="7EC65A3B"/>
    <w:rsid w:val="7EC74254"/>
    <w:rsid w:val="7ECD0FB9"/>
    <w:rsid w:val="7ED9391D"/>
    <w:rsid w:val="7EE26DB3"/>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link w:val="76"/>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5"/>
    <w:qFormat/>
    <w:uiPriority w:val="0"/>
    <w:pPr>
      <w:adjustRightInd w:val="0"/>
      <w:snapToGrid w:val="0"/>
      <w:spacing w:line="460" w:lineRule="atLeast"/>
      <w:ind w:firstLine="200" w:firstLineChars="200"/>
    </w:pPr>
    <w:rPr>
      <w:sz w:val="28"/>
    </w:r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90"/>
    <w:qFormat/>
    <w:uiPriority w:val="0"/>
  </w:style>
  <w:style w:type="paragraph" w:styleId="10">
    <w:name w:val="Body Text"/>
    <w:basedOn w:val="1"/>
    <w:next w:val="1"/>
    <w:qFormat/>
    <w:uiPriority w:val="1"/>
    <w:rPr>
      <w:rFonts w:ascii="黑体" w:hAnsi="黑体" w:eastAsia="黑体" w:cs="黑体"/>
      <w:sz w:val="30"/>
      <w:szCs w:val="30"/>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3">
    <w:name w:val="样式5"/>
    <w:basedOn w:val="14"/>
    <w:qFormat/>
    <w:uiPriority w:val="0"/>
    <w:pPr>
      <w:keepNext/>
      <w:tabs>
        <w:tab w:val="center" w:pos="4153"/>
        <w:tab w:val="right" w:pos="8306"/>
      </w:tabs>
      <w:spacing w:line="240" w:lineRule="auto"/>
      <w:outlineLvl w:val="0"/>
    </w:pPr>
    <w:rPr>
      <w:rFonts w:ascii="黑体" w:hAnsi="黑体"/>
      <w:spacing w:val="5"/>
      <w:sz w:val="25"/>
      <w:szCs w:val="25"/>
    </w:rPr>
  </w:style>
  <w:style w:type="paragraph" w:customStyle="1" w:styleId="14">
    <w:name w:val="我的标题3"/>
    <w:basedOn w:val="4"/>
    <w:qFormat/>
    <w:uiPriority w:val="0"/>
    <w:pPr>
      <w:numPr>
        <w:ilvl w:val="0"/>
        <w:numId w:val="1"/>
      </w:numPr>
      <w:spacing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Plain Text"/>
    <w:basedOn w:val="1"/>
    <w:next w:val="17"/>
    <w:qFormat/>
    <w:uiPriority w:val="0"/>
    <w:rPr>
      <w:rFonts w:hAnsi="Courier New"/>
      <w:kern w:val="2"/>
    </w:rPr>
  </w:style>
  <w:style w:type="paragraph" w:styleId="17">
    <w:name w:val="toc 1"/>
    <w:basedOn w:val="1"/>
    <w:next w:val="1"/>
    <w:qFormat/>
    <w:uiPriority w:val="0"/>
    <w:pPr>
      <w:adjustRightInd w:val="0"/>
      <w:snapToGrid w:val="0"/>
      <w:spacing w:line="280" w:lineRule="exact"/>
      <w:jc w:val="center"/>
    </w:pPr>
    <w:rPr>
      <w:sz w:val="24"/>
      <w:szCs w:val="20"/>
    </w:rPr>
  </w:style>
  <w:style w:type="paragraph" w:styleId="18">
    <w:name w:val="Body Text Indent 2"/>
    <w:basedOn w:val="1"/>
    <w:next w:val="19"/>
    <w:qFormat/>
    <w:uiPriority w:val="0"/>
    <w:pPr>
      <w:spacing w:line="480" w:lineRule="exact"/>
      <w:ind w:firstLine="570"/>
    </w:pPr>
    <w:rPr>
      <w:sz w:val="28"/>
    </w:rPr>
  </w:style>
  <w:style w:type="paragraph" w:customStyle="1" w:styleId="19">
    <w:name w:val="reader-word-layer reader-word-s46-2"/>
    <w:basedOn w:val="1"/>
    <w:next w:val="20"/>
    <w:qFormat/>
    <w:uiPriority w:val="0"/>
    <w:pPr>
      <w:widowControl/>
      <w:spacing w:before="280" w:after="280"/>
    </w:pPr>
  </w:style>
  <w:style w:type="paragraph" w:customStyle="1" w:styleId="20">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sz w:val="16"/>
      <w:szCs w:val="16"/>
    </w:rPr>
  </w:style>
  <w:style w:type="paragraph" w:styleId="21">
    <w:name w:val="Balloon Text"/>
    <w:basedOn w:val="1"/>
    <w:link w:val="92"/>
    <w:qFormat/>
    <w:uiPriority w:val="0"/>
    <w:rPr>
      <w:sz w:val="18"/>
      <w:szCs w:val="18"/>
    </w:rPr>
  </w:style>
  <w:style w:type="paragraph" w:styleId="22">
    <w:name w:val="footer"/>
    <w:basedOn w:val="1"/>
    <w:qFormat/>
    <w:uiPriority w:val="99"/>
    <w:pPr>
      <w:tabs>
        <w:tab w:val="center" w:pos="4153"/>
        <w:tab w:val="right" w:pos="8306"/>
      </w:tabs>
      <w:snapToGrid w:val="0"/>
    </w:pPr>
    <w:rPr>
      <w:sz w:val="18"/>
      <w:szCs w:val="20"/>
    </w:rPr>
  </w:style>
  <w:style w:type="paragraph" w:styleId="23">
    <w:name w:val="envelope return"/>
    <w:basedOn w:val="1"/>
    <w:qFormat/>
    <w:uiPriority w:val="0"/>
    <w:pPr>
      <w:snapToGrid w:val="0"/>
    </w:pPr>
    <w:rPr>
      <w:rFonts w:ascii="Arial" w:hAnsi="Arial"/>
    </w:rPr>
  </w:style>
  <w:style w:type="paragraph" w:styleId="24">
    <w:name w:val="Subtitle"/>
    <w:basedOn w:val="1"/>
    <w:next w:val="1"/>
    <w:qFormat/>
    <w:uiPriority w:val="0"/>
    <w:pPr>
      <w:widowControl/>
      <w:adjustRightInd w:val="0"/>
      <w:snapToGrid w:val="0"/>
      <w:jc w:val="center"/>
      <w:textAlignment w:val="center"/>
    </w:pPr>
    <w:rPr>
      <w:color w:val="000000"/>
      <w:szCs w:val="21"/>
    </w:r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line="480" w:lineRule="auto"/>
    </w:pPr>
  </w:style>
  <w:style w:type="paragraph" w:styleId="27">
    <w:name w:val="Normal (Web)"/>
    <w:basedOn w:val="1"/>
    <w:qFormat/>
    <w:uiPriority w:val="0"/>
    <w:pPr>
      <w:widowControl/>
      <w:autoSpaceDE/>
      <w:autoSpaceDN/>
      <w:spacing w:beforeAutospacing="1" w:afterAutospacing="1"/>
    </w:pPr>
    <w:rPr>
      <w:rFonts w:cs="Times New Roman"/>
      <w:sz w:val="24"/>
      <w:szCs w:val="24"/>
      <w:lang w:val="en-US" w:bidi="ar-SA"/>
    </w:rPr>
  </w:style>
  <w:style w:type="paragraph" w:styleId="28">
    <w:name w:val="Title"/>
    <w:basedOn w:val="1"/>
    <w:next w:val="1"/>
    <w:qFormat/>
    <w:uiPriority w:val="10"/>
    <w:pPr>
      <w:spacing w:line="360" w:lineRule="exact"/>
      <w:jc w:val="center"/>
    </w:pPr>
    <w:rPr>
      <w:bCs/>
      <w:sz w:val="20"/>
      <w:szCs w:val="32"/>
    </w:rPr>
  </w:style>
  <w:style w:type="paragraph" w:styleId="29">
    <w:name w:val="annotation subject"/>
    <w:basedOn w:val="9"/>
    <w:next w:val="9"/>
    <w:link w:val="91"/>
    <w:qFormat/>
    <w:uiPriority w:val="0"/>
    <w:rPr>
      <w:b/>
      <w:bCs/>
    </w:rPr>
  </w:style>
  <w:style w:type="paragraph" w:styleId="30">
    <w:name w:val="Body Text First Indent"/>
    <w:basedOn w:val="10"/>
    <w:next w:val="1"/>
    <w:qFormat/>
    <w:uiPriority w:val="0"/>
    <w:pPr>
      <w:ind w:firstLine="420" w:firstLineChars="100"/>
    </w:pPr>
    <w:rPr>
      <w:szCs w:val="24"/>
    </w:rPr>
  </w:style>
  <w:style w:type="paragraph" w:styleId="31">
    <w:name w:val="Body Text First Indent 2"/>
    <w:basedOn w:val="11"/>
    <w:next w:val="1"/>
    <w:qFormat/>
    <w:uiPriority w:val="0"/>
    <w:pPr>
      <w:spacing w:after="120" w:line="240" w:lineRule="auto"/>
      <w:ind w:left="420" w:leftChars="200"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basedOn w:val="34"/>
    <w:qFormat/>
    <w:uiPriority w:val="0"/>
    <w:rPr>
      <w:color w:val="0000FF"/>
      <w:u w:val="single"/>
    </w:rPr>
  </w:style>
  <w:style w:type="character" w:styleId="39">
    <w:name w:val="annotation reference"/>
    <w:basedOn w:val="34"/>
    <w:qFormat/>
    <w:uiPriority w:val="0"/>
    <w:rPr>
      <w:sz w:val="21"/>
      <w:szCs w:val="21"/>
    </w:rPr>
  </w:style>
  <w:style w:type="paragraph" w:customStyle="1" w:styleId="40">
    <w:name w:val="_Style 632"/>
    <w:basedOn w:val="1"/>
    <w:qFormat/>
    <w:uiPriority w:val="0"/>
    <w:pPr>
      <w:adjustRightInd w:val="0"/>
      <w:snapToGrid w:val="0"/>
      <w:spacing w:line="360" w:lineRule="auto"/>
      <w:ind w:firstLine="200" w:firstLineChars="200"/>
    </w:pPr>
    <w:rPr>
      <w:sz w:val="21"/>
      <w:szCs w:val="24"/>
    </w:rPr>
  </w:style>
  <w:style w:type="paragraph" w:customStyle="1" w:styleId="41">
    <w:name w:val="Normal Indent1"/>
    <w:basedOn w:val="1"/>
    <w:next w:val="1"/>
    <w:qFormat/>
    <w:uiPriority w:val="0"/>
    <w:pPr>
      <w:adjustRightInd w:val="0"/>
      <w:snapToGrid w:val="0"/>
      <w:spacing w:line="460" w:lineRule="atLeast"/>
      <w:ind w:firstLine="200" w:firstLineChars="200"/>
    </w:pPr>
    <w:rPr>
      <w:kern w:val="2"/>
      <w:sz w:val="28"/>
      <w:lang w:val="en-US"/>
    </w:rPr>
  </w:style>
  <w:style w:type="paragraph" w:customStyle="1" w:styleId="42">
    <w:name w:val="正文1"/>
    <w:basedOn w:val="26"/>
    <w:next w:val="1"/>
    <w:qFormat/>
    <w:uiPriority w:val="0"/>
    <w:pPr>
      <w:tabs>
        <w:tab w:val="center" w:pos="4153"/>
        <w:tab w:val="right" w:pos="8306"/>
      </w:tabs>
      <w:adjustRightInd w:val="0"/>
      <w:snapToGrid w:val="0"/>
      <w:spacing w:line="480" w:lineRule="exact"/>
      <w:ind w:firstLine="200" w:firstLineChars="200"/>
    </w:pPr>
    <w:rPr>
      <w:sz w:val="24"/>
    </w:rPr>
  </w:style>
  <w:style w:type="paragraph" w:customStyle="1" w:styleId="43">
    <w:name w:val="表"/>
    <w:basedOn w:val="44"/>
    <w:qFormat/>
    <w:uiPriority w:val="0"/>
    <w:pPr>
      <w:spacing w:line="440" w:lineRule="exact"/>
      <w:ind w:firstLine="200" w:firstLineChars="200"/>
      <w:jc w:val="both"/>
    </w:pPr>
    <w:rPr>
      <w:rFonts w:ascii="Times New Roman" w:hAnsi="Times New Roman" w:cs="Times New Roman"/>
      <w:sz w:val="24"/>
      <w:lang w:val="en-US" w:bidi="ar-SA"/>
    </w:rPr>
  </w:style>
  <w:style w:type="paragraph" w:customStyle="1" w:styleId="44">
    <w:name w:val="1.1"/>
    <w:basedOn w:val="1"/>
    <w:qFormat/>
    <w:uiPriority w:val="0"/>
    <w:rPr>
      <w:rFonts w:ascii="黑体"/>
      <w:sz w:val="30"/>
    </w:rPr>
  </w:style>
  <w:style w:type="paragraph" w:customStyle="1" w:styleId="45">
    <w:name w:val="Default"/>
    <w:basedOn w:val="46"/>
    <w:qFormat/>
    <w:uiPriority w:val="0"/>
    <w:pPr>
      <w:autoSpaceDE w:val="0"/>
      <w:autoSpaceDN w:val="0"/>
      <w:adjustRightInd w:val="0"/>
    </w:pPr>
    <w:rPr>
      <w:rFonts w:ascii="Times New Roman" w:hAnsi="Times New Roman" w:eastAsia="宋体"/>
      <w:color w:val="000000"/>
      <w:sz w:val="24"/>
      <w:szCs w:val="24"/>
    </w:rPr>
  </w:style>
  <w:style w:type="paragraph" w:customStyle="1" w:styleId="46">
    <w:name w:val="纯文本1"/>
    <w:basedOn w:val="47"/>
    <w:qFormat/>
    <w:uiPriority w:val="0"/>
    <w:rPr>
      <w:rFonts w:ascii="宋体" w:hAnsi="Courier New"/>
      <w:szCs w:val="21"/>
    </w:rPr>
  </w:style>
  <w:style w:type="paragraph" w:customStyle="1" w:styleId="47">
    <w:name w:val="正文_0"/>
    <w:next w:val="46"/>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8">
    <w:name w:val="index 51"/>
    <w:basedOn w:val="1"/>
    <w:next w:val="1"/>
    <w:qFormat/>
    <w:uiPriority w:val="0"/>
    <w:pPr>
      <w:ind w:left="1680"/>
    </w:pPr>
    <w:rPr>
      <w:rFonts w:ascii="Calibri" w:hAnsi="Calibri"/>
    </w:rPr>
  </w:style>
  <w:style w:type="paragraph" w:customStyle="1" w:styleId="49">
    <w:name w:val="样式 正文文本 + 首行缩进:  2 字符"/>
    <w:basedOn w:val="10"/>
    <w:qFormat/>
    <w:uiPriority w:val="99"/>
    <w:pPr>
      <w:spacing w:after="200" w:line="480" w:lineRule="exact"/>
      <w:ind w:firstLine="480" w:firstLineChars="200"/>
    </w:pPr>
    <w:rPr>
      <w:rFonts w:ascii="宋体" w:hAnsi="宋体" w:eastAsia="宋体" w:cs="Times New Roman"/>
      <w:sz w:val="24"/>
      <w:lang w:val="en-US" w:bidi="ar-SA"/>
    </w:rPr>
  </w:style>
  <w:style w:type="table" w:customStyle="1" w:styleId="50">
    <w:name w:val="Table Normal"/>
    <w:semiHidden/>
    <w:unhideWhenUsed/>
    <w:qFormat/>
    <w:uiPriority w:val="2"/>
    <w:tblPr>
      <w:tblCellMar>
        <w:top w:w="0" w:type="dxa"/>
        <w:left w:w="0" w:type="dxa"/>
        <w:bottom w:w="0" w:type="dxa"/>
        <w:right w:w="0" w:type="dxa"/>
      </w:tblCellMar>
    </w:tblPr>
  </w:style>
  <w:style w:type="paragraph" w:styleId="51">
    <w:name w:val="List Paragraph"/>
    <w:basedOn w:val="1"/>
    <w:qFormat/>
    <w:uiPriority w:val="1"/>
  </w:style>
  <w:style w:type="paragraph" w:customStyle="1" w:styleId="52">
    <w:name w:val="Table Paragraph"/>
    <w:basedOn w:val="1"/>
    <w:qFormat/>
    <w:uiPriority w:val="1"/>
  </w:style>
  <w:style w:type="paragraph" w:customStyle="1" w:styleId="53">
    <w:name w:val="Char Char Char Char"/>
    <w:basedOn w:val="1"/>
    <w:qFormat/>
    <w:uiPriority w:val="0"/>
  </w:style>
  <w:style w:type="paragraph" w:customStyle="1" w:styleId="54">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55">
    <w:name w:val="表头"/>
    <w:qFormat/>
    <w:uiPriority w:val="0"/>
    <w:pPr>
      <w:spacing w:line="480" w:lineRule="exact"/>
      <w:jc w:val="center"/>
    </w:pPr>
    <w:rPr>
      <w:rFonts w:ascii="Times New Roman" w:hAnsi="Times New Roman" w:eastAsia="宋体" w:cs="Times New Roman"/>
      <w:b/>
      <w:snapToGrid w:val="0"/>
      <w:sz w:val="24"/>
      <w:lang w:val="en-US" w:eastAsia="zh-CN" w:bidi="ar-SA"/>
    </w:rPr>
  </w:style>
  <w:style w:type="paragraph" w:customStyle="1" w:styleId="56">
    <w:name w:val="表格"/>
    <w:basedOn w:val="10"/>
    <w:next w:val="1"/>
    <w:qFormat/>
    <w:uiPriority w:val="0"/>
    <w:pPr>
      <w:adjustRightInd w:val="0"/>
      <w:snapToGrid w:val="0"/>
      <w:spacing w:line="360" w:lineRule="exact"/>
      <w:jc w:val="center"/>
      <w:textAlignment w:val="baseline"/>
    </w:pPr>
  </w:style>
  <w:style w:type="paragraph" w:customStyle="1" w:styleId="57">
    <w:name w:val="表内容@"/>
    <w:basedOn w:val="1"/>
    <w:qFormat/>
    <w:uiPriority w:val="0"/>
    <w:pPr>
      <w:spacing w:line="0" w:lineRule="atLeast"/>
      <w:jc w:val="center"/>
    </w:pPr>
  </w:style>
  <w:style w:type="character" w:customStyle="1" w:styleId="58">
    <w:name w:val="fontstyle11"/>
    <w:qFormat/>
    <w:uiPriority w:val="0"/>
    <w:rPr>
      <w:rFonts w:ascii="TimesNewRomanPSMT" w:hAnsi="TimesNewRomanPSMT" w:eastAsia="TimesNewRomanPSMT" w:cs="TimesNewRomanPSMT"/>
      <w:color w:val="000000"/>
      <w:sz w:val="24"/>
      <w:szCs w:val="24"/>
    </w:rPr>
  </w:style>
  <w:style w:type="paragraph" w:customStyle="1" w:styleId="59">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60">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61">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62">
    <w:name w:val="正文首行缩进 Char"/>
    <w:semiHidden/>
    <w:qFormat/>
    <w:uiPriority w:val="0"/>
    <w:rPr>
      <w:rFonts w:ascii="Arial" w:hAnsi="Arial" w:eastAsia="宋体"/>
      <w:snapToGrid w:val="0"/>
      <w:kern w:val="28"/>
      <w:sz w:val="24"/>
      <w:szCs w:val="24"/>
      <w:lang w:val="en-US" w:eastAsia="zh-CN" w:bidi="ar-SA"/>
    </w:rPr>
  </w:style>
  <w:style w:type="paragraph" w:customStyle="1" w:styleId="63">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64">
    <w:name w:val="font21"/>
    <w:basedOn w:val="34"/>
    <w:qFormat/>
    <w:uiPriority w:val="0"/>
    <w:rPr>
      <w:rFonts w:hint="eastAsia" w:ascii="宋体" w:hAnsi="宋体" w:eastAsia="宋体" w:cs="宋体"/>
      <w:color w:val="000000"/>
      <w:sz w:val="22"/>
      <w:szCs w:val="22"/>
      <w:u w:val="none"/>
    </w:rPr>
  </w:style>
  <w:style w:type="character" w:customStyle="1" w:styleId="65">
    <w:name w:val="font11"/>
    <w:basedOn w:val="34"/>
    <w:qFormat/>
    <w:uiPriority w:val="0"/>
    <w:rPr>
      <w:rFonts w:hint="default" w:ascii="Times New Roman" w:hAnsi="Times New Roman" w:cs="Times New Roman"/>
      <w:color w:val="000000"/>
      <w:sz w:val="22"/>
      <w:szCs w:val="22"/>
      <w:u w:val="none"/>
    </w:rPr>
  </w:style>
  <w:style w:type="character" w:customStyle="1" w:styleId="66">
    <w:name w:val="font51"/>
    <w:basedOn w:val="34"/>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67">
    <w:name w:val="font41"/>
    <w:basedOn w:val="34"/>
    <w:qFormat/>
    <w:uiPriority w:val="0"/>
    <w:rPr>
      <w:rFonts w:hint="default" w:ascii="Arial Unicode MS" w:hAnsi="Arial Unicode MS" w:eastAsia="Arial Unicode MS" w:cs="Arial Unicode MS"/>
      <w:color w:val="000000"/>
      <w:sz w:val="24"/>
      <w:szCs w:val="24"/>
      <w:u w:val="none"/>
    </w:rPr>
  </w:style>
  <w:style w:type="paragraph" w:customStyle="1" w:styleId="68">
    <w:name w:val="p0"/>
    <w:basedOn w:val="1"/>
    <w:qFormat/>
    <w:uiPriority w:val="0"/>
    <w:pPr>
      <w:widowControl/>
    </w:pPr>
    <w:rPr>
      <w:szCs w:val="21"/>
    </w:rPr>
  </w:style>
  <w:style w:type="paragraph" w:customStyle="1" w:styleId="69">
    <w:name w:val="正"/>
    <w:basedOn w:val="1"/>
    <w:qFormat/>
    <w:uiPriority w:val="0"/>
    <w:pPr>
      <w:spacing w:line="360" w:lineRule="auto"/>
      <w:ind w:firstLine="200" w:firstLineChars="200"/>
    </w:pPr>
    <w:rPr>
      <w:sz w:val="24"/>
    </w:rPr>
  </w:style>
  <w:style w:type="paragraph" w:customStyle="1" w:styleId="70">
    <w:name w:val="样式 样式 样式 四号 左侧:  1.53 厘米 + 首行缩进:  2 字符 + 居中 左侧:  2 字符 首行缩进:  2..."/>
    <w:basedOn w:val="71"/>
    <w:qFormat/>
    <w:uiPriority w:val="0"/>
    <w:pPr>
      <w:jc w:val="center"/>
    </w:pPr>
  </w:style>
  <w:style w:type="paragraph" w:customStyle="1" w:styleId="71">
    <w:name w:val="样式 样式 四号 左侧:  1.53 厘米 + 首行缩进:  2 字符"/>
    <w:basedOn w:val="72"/>
    <w:qFormat/>
    <w:uiPriority w:val="0"/>
    <w:pPr>
      <w:ind w:left="200" w:leftChars="200"/>
    </w:pPr>
    <w:rPr>
      <w:szCs w:val="20"/>
    </w:rPr>
  </w:style>
  <w:style w:type="paragraph" w:customStyle="1" w:styleId="72">
    <w:name w:val="样式 四号 左侧:  1.53 厘米"/>
    <w:basedOn w:val="1"/>
    <w:qFormat/>
    <w:uiPriority w:val="0"/>
    <w:pPr>
      <w:adjustRightInd w:val="0"/>
    </w:pPr>
    <w:rPr>
      <w:w w:val="90"/>
      <w:sz w:val="28"/>
      <w:szCs w:val="28"/>
    </w:rPr>
  </w:style>
  <w:style w:type="paragraph" w:customStyle="1" w:styleId="73">
    <w:name w:val="NormalIndent"/>
    <w:basedOn w:val="1"/>
    <w:next w:val="74"/>
    <w:qFormat/>
    <w:uiPriority w:val="0"/>
    <w:pPr>
      <w:ind w:firstLine="420" w:firstLineChars="200"/>
      <w:jc w:val="both"/>
      <w:textAlignment w:val="baseline"/>
    </w:pPr>
  </w:style>
  <w:style w:type="paragraph" w:customStyle="1" w:styleId="74">
    <w:name w:val="PlainText"/>
    <w:basedOn w:val="1"/>
    <w:qFormat/>
    <w:uiPriority w:val="0"/>
    <w:pPr>
      <w:jc w:val="both"/>
      <w:textAlignment w:val="baseline"/>
    </w:pPr>
    <w:rPr>
      <w:rFonts w:hAnsi="Courier New"/>
      <w:kern w:val="2"/>
      <w:sz w:val="21"/>
      <w:szCs w:val="20"/>
      <w:lang w:val="en-US" w:bidi="ar-SA"/>
    </w:rPr>
  </w:style>
  <w:style w:type="paragraph" w:customStyle="1" w:styleId="75">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76">
    <w:name w:val="标题 3 Char"/>
    <w:link w:val="4"/>
    <w:qFormat/>
    <w:uiPriority w:val="0"/>
    <w:rPr>
      <w:rFonts w:hint="eastAsia" w:ascii="宋体" w:hAnsi="宋体" w:eastAsia="宋体" w:cs="宋体"/>
      <w:b/>
      <w:bCs/>
      <w:kern w:val="0"/>
      <w:sz w:val="27"/>
      <w:szCs w:val="27"/>
      <w:lang w:val="en-US" w:eastAsia="zh-CN" w:bidi="ar"/>
    </w:rPr>
  </w:style>
  <w:style w:type="paragraph" w:customStyle="1" w:styleId="77">
    <w:name w:val="A-表格文字"/>
    <w:basedOn w:val="1"/>
    <w:next w:val="78"/>
    <w:qFormat/>
    <w:uiPriority w:val="0"/>
    <w:pPr>
      <w:adjustRightInd w:val="0"/>
      <w:jc w:val="center"/>
      <w:textAlignment w:val="center"/>
    </w:pPr>
    <w:rPr>
      <w:szCs w:val="21"/>
    </w:rPr>
  </w:style>
  <w:style w:type="paragraph" w:customStyle="1" w:styleId="78">
    <w:name w:val="A-z正文"/>
    <w:basedOn w:val="1"/>
    <w:qFormat/>
    <w:uiPriority w:val="0"/>
    <w:pPr>
      <w:spacing w:line="360" w:lineRule="auto"/>
      <w:ind w:firstLine="200" w:firstLineChars="200"/>
    </w:pPr>
    <w:rPr>
      <w:sz w:val="24"/>
    </w:rPr>
  </w:style>
  <w:style w:type="paragraph" w:customStyle="1" w:styleId="79">
    <w:name w:val="正文正"/>
    <w:basedOn w:val="1"/>
    <w:qFormat/>
    <w:uiPriority w:val="0"/>
    <w:pPr>
      <w:ind w:firstLine="560" w:firstLineChars="200"/>
    </w:pPr>
    <w:rPr>
      <w:sz w:val="28"/>
    </w:rPr>
  </w:style>
  <w:style w:type="paragraph" w:customStyle="1" w:styleId="80">
    <w:name w:val="环评表格"/>
    <w:basedOn w:val="1"/>
    <w:qFormat/>
    <w:uiPriority w:val="0"/>
    <w:pPr>
      <w:jc w:val="center"/>
    </w:pPr>
    <w:rPr>
      <w:sz w:val="21"/>
      <w:szCs w:val="20"/>
    </w:rPr>
  </w:style>
  <w:style w:type="paragraph" w:customStyle="1" w:styleId="81">
    <w:name w:val="正文-自建"/>
    <w:qFormat/>
    <w:uiPriority w:val="0"/>
    <w:pPr>
      <w:spacing w:before="120" w:after="240"/>
      <w:ind w:firstLine="200" w:firstLineChars="200"/>
    </w:pPr>
    <w:rPr>
      <w:rFonts w:ascii="Times New Roman" w:hAnsi="Times New Roman" w:eastAsia="宋体" w:cs="Times New Roman"/>
      <w:sz w:val="28"/>
      <w:szCs w:val="28"/>
      <w:lang w:val="en-US" w:eastAsia="zh-CN" w:bidi="ar-SA"/>
    </w:rPr>
  </w:style>
  <w:style w:type="paragraph" w:customStyle="1" w:styleId="82">
    <w:name w:val="xl24"/>
    <w:basedOn w:val="1"/>
    <w:qFormat/>
    <w:uiPriority w:val="0"/>
    <w:pPr>
      <w:widowControl/>
      <w:spacing w:before="100" w:beforeAutospacing="1" w:after="100" w:afterAutospacing="1"/>
      <w:jc w:val="center"/>
    </w:pPr>
    <w:rPr>
      <w:sz w:val="24"/>
    </w:rPr>
  </w:style>
  <w:style w:type="character" w:customStyle="1" w:styleId="83">
    <w:name w:val="正文文字 Char"/>
    <w:qFormat/>
    <w:uiPriority w:val="0"/>
    <w:rPr>
      <w:rFonts w:eastAsia="宋体"/>
      <w:kern w:val="2"/>
      <w:sz w:val="24"/>
      <w:szCs w:val="24"/>
      <w:lang w:val="en-US" w:eastAsia="zh-CN" w:bidi="ar-SA"/>
    </w:rPr>
  </w:style>
  <w:style w:type="character" w:customStyle="1" w:styleId="84">
    <w:name w:val="font71"/>
    <w:basedOn w:val="34"/>
    <w:qFormat/>
    <w:uiPriority w:val="0"/>
    <w:rPr>
      <w:rFonts w:hint="default" w:ascii="Times New Roman" w:hAnsi="Times New Roman" w:cs="Times New Roman"/>
      <w:b/>
      <w:bCs/>
      <w:color w:val="000000"/>
      <w:sz w:val="22"/>
      <w:szCs w:val="22"/>
      <w:u w:val="none"/>
    </w:rPr>
  </w:style>
  <w:style w:type="character" w:customStyle="1" w:styleId="85">
    <w:name w:val="font01"/>
    <w:basedOn w:val="34"/>
    <w:qFormat/>
    <w:uiPriority w:val="0"/>
    <w:rPr>
      <w:rFonts w:hint="eastAsia" w:ascii="宋体" w:hAnsi="宋体" w:eastAsia="宋体" w:cs="宋体"/>
      <w:color w:val="000000"/>
      <w:sz w:val="22"/>
      <w:szCs w:val="22"/>
      <w:u w:val="none"/>
    </w:rPr>
  </w:style>
  <w:style w:type="character" w:customStyle="1" w:styleId="86">
    <w:name w:val="font81"/>
    <w:basedOn w:val="34"/>
    <w:qFormat/>
    <w:uiPriority w:val="0"/>
    <w:rPr>
      <w:rFonts w:hint="default" w:ascii="Times New Roman" w:hAnsi="Times New Roman" w:cs="Times New Roman"/>
      <w:color w:val="000000"/>
      <w:sz w:val="22"/>
      <w:szCs w:val="22"/>
      <w:u w:val="none"/>
      <w:vertAlign w:val="superscript"/>
    </w:rPr>
  </w:style>
  <w:style w:type="character" w:customStyle="1" w:styleId="87">
    <w:name w:val="font61"/>
    <w:basedOn w:val="34"/>
    <w:qFormat/>
    <w:uiPriority w:val="0"/>
    <w:rPr>
      <w:rFonts w:hint="default" w:ascii="Times New Roman" w:hAnsi="Times New Roman" w:cs="Times New Roman"/>
      <w:color w:val="000000"/>
      <w:sz w:val="21"/>
      <w:szCs w:val="21"/>
      <w:u w:val="none"/>
    </w:rPr>
  </w:style>
  <w:style w:type="paragraph" w:customStyle="1" w:styleId="88">
    <w:name w:val="样式 题注图表注 + (西文) 宋体 小四"/>
    <w:basedOn w:val="8"/>
    <w:qFormat/>
    <w:uiPriority w:val="0"/>
    <w:pPr>
      <w:ind w:firstLine="482"/>
      <w:jc w:val="center"/>
    </w:pPr>
    <w:rPr>
      <w:rFonts w:ascii="宋体" w:hAnsi="宋体" w:eastAsia="宋体"/>
      <w:sz w:val="24"/>
    </w:rPr>
  </w:style>
  <w:style w:type="paragraph" w:customStyle="1" w:styleId="89">
    <w:name w:val="表格文字"/>
    <w:basedOn w:val="11"/>
    <w:next w:val="1"/>
    <w:qFormat/>
    <w:uiPriority w:val="0"/>
    <w:pPr>
      <w:spacing w:line="400" w:lineRule="exact"/>
      <w:jc w:val="center"/>
    </w:pPr>
    <w:rPr>
      <w:szCs w:val="24"/>
      <w:u w:color="000000"/>
    </w:rPr>
  </w:style>
  <w:style w:type="character" w:customStyle="1" w:styleId="90">
    <w:name w:val="批注文字 Char"/>
    <w:basedOn w:val="34"/>
    <w:link w:val="9"/>
    <w:qFormat/>
    <w:uiPriority w:val="0"/>
    <w:rPr>
      <w:rFonts w:ascii="宋体" w:hAnsi="宋体" w:cs="宋体"/>
      <w:sz w:val="22"/>
      <w:szCs w:val="22"/>
      <w:lang w:val="zh-CN" w:bidi="zh-CN"/>
    </w:rPr>
  </w:style>
  <w:style w:type="character" w:customStyle="1" w:styleId="91">
    <w:name w:val="批注主题 Char"/>
    <w:basedOn w:val="90"/>
    <w:link w:val="29"/>
    <w:qFormat/>
    <w:uiPriority w:val="0"/>
    <w:rPr>
      <w:rFonts w:ascii="宋体" w:hAnsi="宋体" w:cs="宋体"/>
      <w:b/>
      <w:bCs/>
      <w:sz w:val="22"/>
      <w:szCs w:val="22"/>
      <w:lang w:val="zh-CN" w:bidi="zh-CN"/>
    </w:rPr>
  </w:style>
  <w:style w:type="character" w:customStyle="1" w:styleId="92">
    <w:name w:val="批注框文本 Char"/>
    <w:basedOn w:val="34"/>
    <w:link w:val="21"/>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54803</Words>
  <Characters>61801</Characters>
  <Lines>459</Lines>
  <Paragraphs>129</Paragraphs>
  <TotalTime>30</TotalTime>
  <ScaleCrop>false</ScaleCrop>
  <LinksUpToDate>false</LinksUpToDate>
  <CharactersWithSpaces>62292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2024-11-22T20:29:00Z</cp:lastPrinted>
  <dcterms:modified xsi:type="dcterms:W3CDTF">2024-12-19T16:44:54Z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7CA96398E10D4621AC573BD2ACB9A9A9_13</vt:lpwstr>
  </property>
  <property fmtid="{D5CDD505-2E9C-101B-9397-08002B2CF9AE}" pid="7" name="commondata">
    <vt:lpwstr>eyJoZGlkIjoiOWU3NDk0YzYwMDFkNjBhZDA5MDVhYTY2ZDQyODBiNTkifQ==</vt:lpwstr>
  </property>
</Properties>
</file>