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ectPr>
          <w:headerReference r:id="rId3" w:type="default"/>
          <w:pgSz w:w="16840" w:h="11900" w:orient="landscape"/>
          <w:pgMar w:top="1587" w:right="1134" w:bottom="1361" w:left="1134" w:header="720" w:footer="720" w:gutter="0"/>
          <w:pgNumType w:start="1"/>
          <w:cols w:space="720" w:num="1"/>
        </w:sectPr>
      </w:pPr>
    </w:p>
    <w:p>
      <w:pPr>
        <w:jc w:val="center"/>
        <w:rPr>
          <w:rFonts w:hint="eastAsia" w:eastAsiaTheme="minorEastAsia"/>
          <w:lang w:eastAsia="zh-CN"/>
        </w:rP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4" w:type="default"/>
          <w:footerReference r:id="rId5"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202魏县信访局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987.85</w:t>
            </w:r>
          </w:p>
        </w:tc>
        <w:tc>
          <w:tcPr>
            <w:tcW w:w="4535" w:type="dxa"/>
            <w:vAlign w:val="center"/>
          </w:tcPr>
          <w:p>
            <w:pPr>
              <w:pStyle w:val="12"/>
            </w:pPr>
            <w:r>
              <w:t>一、一般公共服务支出</w:t>
            </w:r>
          </w:p>
        </w:tc>
        <w:tc>
          <w:tcPr>
            <w:tcW w:w="2126" w:type="dxa"/>
            <w:vAlign w:val="center"/>
          </w:tcPr>
          <w:p>
            <w:pPr>
              <w:pStyle w:val="11"/>
            </w:pPr>
            <w:r>
              <w:t>922.29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987.85</w:t>
            </w:r>
          </w:p>
        </w:tc>
        <w:tc>
          <w:tcPr>
            <w:tcW w:w="4535" w:type="dxa"/>
            <w:vAlign w:val="center"/>
          </w:tcPr>
          <w:p>
            <w:pPr>
              <w:pStyle w:val="14"/>
            </w:pPr>
            <w:r>
              <w:t>本年支出合计</w:t>
            </w:r>
          </w:p>
        </w:tc>
        <w:tc>
          <w:tcPr>
            <w:tcW w:w="2126" w:type="dxa"/>
            <w:vAlign w:val="center"/>
          </w:tcPr>
          <w:p>
            <w:pPr>
              <w:pStyle w:val="15"/>
            </w:pPr>
            <w:r>
              <w:t>987.85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987.85</w:t>
            </w:r>
          </w:p>
        </w:tc>
        <w:tc>
          <w:tcPr>
            <w:tcW w:w="4535" w:type="dxa"/>
            <w:vAlign w:val="center"/>
          </w:tcPr>
          <w:p>
            <w:pPr>
              <w:pStyle w:val="14"/>
            </w:pPr>
            <w:r>
              <w:t>支出总计</w:t>
            </w:r>
          </w:p>
        </w:tc>
        <w:tc>
          <w:tcPr>
            <w:tcW w:w="2126" w:type="dxa"/>
            <w:vAlign w:val="center"/>
          </w:tcPr>
          <w:p>
            <w:pPr>
              <w:pStyle w:val="15"/>
            </w:pPr>
            <w:r>
              <w:t>987.85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202魏县信访局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987.85</w:t>
            </w:r>
          </w:p>
        </w:tc>
        <w:tc>
          <w:tcPr>
            <w:tcW w:w="1134" w:type="dxa"/>
            <w:vAlign w:val="center"/>
          </w:tcPr>
          <w:p>
            <w:pPr>
              <w:pStyle w:val="15"/>
            </w:pPr>
            <w:r>
              <w:t>987.85</w:t>
            </w:r>
          </w:p>
        </w:tc>
        <w:tc>
          <w:tcPr>
            <w:tcW w:w="1134" w:type="dxa"/>
            <w:vAlign w:val="center"/>
          </w:tcPr>
          <w:p>
            <w:pPr>
              <w:pStyle w:val="15"/>
            </w:pPr>
            <w:r>
              <w:t>987.85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922.29</w:t>
            </w:r>
          </w:p>
        </w:tc>
        <w:tc>
          <w:tcPr>
            <w:tcW w:w="1134" w:type="dxa"/>
            <w:vAlign w:val="center"/>
          </w:tcPr>
          <w:p>
            <w:pPr>
              <w:pStyle w:val="11"/>
            </w:pPr>
            <w:r>
              <w:t>922.29</w:t>
            </w:r>
          </w:p>
        </w:tc>
        <w:tc>
          <w:tcPr>
            <w:tcW w:w="1134" w:type="dxa"/>
            <w:vAlign w:val="center"/>
          </w:tcPr>
          <w:p>
            <w:pPr>
              <w:pStyle w:val="11"/>
            </w:pPr>
            <w:r>
              <w:t>922.29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656.00</w:t>
            </w:r>
          </w:p>
        </w:tc>
        <w:tc>
          <w:tcPr>
            <w:tcW w:w="1134" w:type="dxa"/>
            <w:vAlign w:val="center"/>
          </w:tcPr>
          <w:p>
            <w:pPr>
              <w:pStyle w:val="11"/>
            </w:pPr>
            <w:r>
              <w:t>656.00</w:t>
            </w:r>
          </w:p>
        </w:tc>
        <w:tc>
          <w:tcPr>
            <w:tcW w:w="1134" w:type="dxa"/>
            <w:vAlign w:val="center"/>
          </w:tcPr>
          <w:p>
            <w:pPr>
              <w:pStyle w:val="11"/>
            </w:pPr>
            <w:r>
              <w:t>656.00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pPr>
            <w:r>
              <w:t>656.00</w:t>
            </w:r>
          </w:p>
        </w:tc>
        <w:tc>
          <w:tcPr>
            <w:tcW w:w="1134" w:type="dxa"/>
            <w:vAlign w:val="center"/>
          </w:tcPr>
          <w:p>
            <w:pPr>
              <w:pStyle w:val="11"/>
            </w:pPr>
            <w:r>
              <w:t>656.00</w:t>
            </w:r>
          </w:p>
        </w:tc>
        <w:tc>
          <w:tcPr>
            <w:tcW w:w="1134" w:type="dxa"/>
            <w:vAlign w:val="center"/>
          </w:tcPr>
          <w:p>
            <w:pPr>
              <w:pStyle w:val="11"/>
            </w:pPr>
            <w:r>
              <w:t>656.00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266.29</w:t>
            </w:r>
          </w:p>
        </w:tc>
        <w:tc>
          <w:tcPr>
            <w:tcW w:w="1134" w:type="dxa"/>
            <w:vAlign w:val="center"/>
          </w:tcPr>
          <w:p>
            <w:pPr>
              <w:pStyle w:val="11"/>
            </w:pPr>
            <w:r>
              <w:t>266.29</w:t>
            </w:r>
          </w:p>
        </w:tc>
        <w:tc>
          <w:tcPr>
            <w:tcW w:w="1134" w:type="dxa"/>
            <w:vAlign w:val="center"/>
          </w:tcPr>
          <w:p>
            <w:pPr>
              <w:pStyle w:val="11"/>
            </w:pPr>
            <w:r>
              <w:t>266.29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266.29</w:t>
            </w:r>
          </w:p>
        </w:tc>
        <w:tc>
          <w:tcPr>
            <w:tcW w:w="1134" w:type="dxa"/>
            <w:vAlign w:val="center"/>
          </w:tcPr>
          <w:p>
            <w:pPr>
              <w:pStyle w:val="11"/>
            </w:pPr>
            <w:r>
              <w:t>266.29</w:t>
            </w:r>
          </w:p>
        </w:tc>
        <w:tc>
          <w:tcPr>
            <w:tcW w:w="1134" w:type="dxa"/>
            <w:vAlign w:val="center"/>
          </w:tcPr>
          <w:p>
            <w:pPr>
              <w:pStyle w:val="11"/>
            </w:pPr>
            <w:r>
              <w:t>266.29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51.22</w:t>
            </w:r>
          </w:p>
        </w:tc>
        <w:tc>
          <w:tcPr>
            <w:tcW w:w="1134" w:type="dxa"/>
            <w:vAlign w:val="center"/>
          </w:tcPr>
          <w:p>
            <w:pPr>
              <w:pStyle w:val="11"/>
            </w:pPr>
            <w:r>
              <w:t>51.22</w:t>
            </w:r>
          </w:p>
        </w:tc>
        <w:tc>
          <w:tcPr>
            <w:tcW w:w="1134" w:type="dxa"/>
            <w:vAlign w:val="center"/>
          </w:tcPr>
          <w:p>
            <w:pPr>
              <w:pStyle w:val="11"/>
            </w:pPr>
            <w:r>
              <w:t>51.22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51.22</w:t>
            </w:r>
          </w:p>
        </w:tc>
        <w:tc>
          <w:tcPr>
            <w:tcW w:w="1134" w:type="dxa"/>
            <w:vAlign w:val="center"/>
          </w:tcPr>
          <w:p>
            <w:pPr>
              <w:pStyle w:val="11"/>
            </w:pPr>
            <w:r>
              <w:t>51.22</w:t>
            </w:r>
          </w:p>
        </w:tc>
        <w:tc>
          <w:tcPr>
            <w:tcW w:w="1134" w:type="dxa"/>
            <w:vAlign w:val="center"/>
          </w:tcPr>
          <w:p>
            <w:pPr>
              <w:pStyle w:val="11"/>
            </w:pPr>
            <w:r>
              <w:t>51.22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7.38</w:t>
            </w:r>
          </w:p>
        </w:tc>
        <w:tc>
          <w:tcPr>
            <w:tcW w:w="1134" w:type="dxa"/>
            <w:vAlign w:val="center"/>
          </w:tcPr>
          <w:p>
            <w:pPr>
              <w:pStyle w:val="11"/>
            </w:pPr>
            <w:r>
              <w:t>7.38</w:t>
            </w:r>
          </w:p>
        </w:tc>
        <w:tc>
          <w:tcPr>
            <w:tcW w:w="1134" w:type="dxa"/>
            <w:vAlign w:val="center"/>
          </w:tcPr>
          <w:p>
            <w:pPr>
              <w:pStyle w:val="11"/>
            </w:pPr>
            <w:r>
              <w:t>7.38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29.23</w:t>
            </w:r>
          </w:p>
        </w:tc>
        <w:tc>
          <w:tcPr>
            <w:tcW w:w="1134" w:type="dxa"/>
            <w:vAlign w:val="center"/>
          </w:tcPr>
          <w:p>
            <w:pPr>
              <w:pStyle w:val="11"/>
            </w:pPr>
            <w:r>
              <w:t>29.23</w:t>
            </w:r>
          </w:p>
        </w:tc>
        <w:tc>
          <w:tcPr>
            <w:tcW w:w="1134" w:type="dxa"/>
            <w:vAlign w:val="center"/>
          </w:tcPr>
          <w:p>
            <w:pPr>
              <w:pStyle w:val="11"/>
            </w:pPr>
            <w:r>
              <w:t>29.23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14.33</w:t>
            </w:r>
          </w:p>
        </w:tc>
        <w:tc>
          <w:tcPr>
            <w:tcW w:w="1134" w:type="dxa"/>
            <w:vAlign w:val="center"/>
          </w:tcPr>
          <w:p>
            <w:pPr>
              <w:pStyle w:val="11"/>
            </w:pPr>
            <w:r>
              <w:t>14.33</w:t>
            </w:r>
          </w:p>
        </w:tc>
        <w:tc>
          <w:tcPr>
            <w:tcW w:w="1134" w:type="dxa"/>
            <w:vAlign w:val="center"/>
          </w:tcPr>
          <w:p>
            <w:pPr>
              <w:pStyle w:val="11"/>
            </w:pPr>
            <w:r>
              <w:t>14.33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14.33</w:t>
            </w:r>
          </w:p>
        </w:tc>
        <w:tc>
          <w:tcPr>
            <w:tcW w:w="1134" w:type="dxa"/>
            <w:vAlign w:val="center"/>
          </w:tcPr>
          <w:p>
            <w:pPr>
              <w:pStyle w:val="11"/>
            </w:pPr>
            <w:r>
              <w:t>14.33</w:t>
            </w:r>
          </w:p>
        </w:tc>
        <w:tc>
          <w:tcPr>
            <w:tcW w:w="1134" w:type="dxa"/>
            <w:vAlign w:val="center"/>
          </w:tcPr>
          <w:p>
            <w:pPr>
              <w:pStyle w:val="11"/>
            </w:pPr>
            <w:r>
              <w:t>14.33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14.33</w:t>
            </w:r>
          </w:p>
        </w:tc>
        <w:tc>
          <w:tcPr>
            <w:tcW w:w="1134" w:type="dxa"/>
            <w:vAlign w:val="center"/>
          </w:tcPr>
          <w:p>
            <w:pPr>
              <w:pStyle w:val="11"/>
            </w:pPr>
            <w:r>
              <w:t>14.33</w:t>
            </w:r>
          </w:p>
        </w:tc>
        <w:tc>
          <w:tcPr>
            <w:tcW w:w="1134" w:type="dxa"/>
            <w:vAlign w:val="center"/>
          </w:tcPr>
          <w:p>
            <w:pPr>
              <w:pStyle w:val="11"/>
            </w:pPr>
            <w:r>
              <w:t>14.33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987.85</w:t>
            </w:r>
          </w:p>
        </w:tc>
        <w:tc>
          <w:tcPr>
            <w:tcW w:w="1361" w:type="dxa"/>
            <w:vAlign w:val="center"/>
          </w:tcPr>
          <w:p>
            <w:pPr>
              <w:pStyle w:val="15"/>
            </w:pPr>
            <w:r>
              <w:t>331.85</w:t>
            </w:r>
          </w:p>
        </w:tc>
        <w:tc>
          <w:tcPr>
            <w:tcW w:w="1361" w:type="dxa"/>
            <w:vAlign w:val="center"/>
          </w:tcPr>
          <w:p>
            <w:pPr>
              <w:pStyle w:val="15"/>
            </w:pPr>
            <w:r>
              <w:t>656.00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922.29</w:t>
            </w:r>
          </w:p>
        </w:tc>
        <w:tc>
          <w:tcPr>
            <w:tcW w:w="1361" w:type="dxa"/>
            <w:vAlign w:val="center"/>
          </w:tcPr>
          <w:p>
            <w:pPr>
              <w:pStyle w:val="11"/>
            </w:pPr>
            <w:r>
              <w:t>266.29</w:t>
            </w:r>
          </w:p>
        </w:tc>
        <w:tc>
          <w:tcPr>
            <w:tcW w:w="1361" w:type="dxa"/>
            <w:vAlign w:val="center"/>
          </w:tcPr>
          <w:p>
            <w:pPr>
              <w:pStyle w:val="11"/>
            </w:pPr>
            <w:r>
              <w:t>656.00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656.00</w:t>
            </w:r>
          </w:p>
        </w:tc>
        <w:tc>
          <w:tcPr>
            <w:tcW w:w="1361" w:type="dxa"/>
            <w:vAlign w:val="center"/>
          </w:tcPr>
          <w:p>
            <w:pPr>
              <w:pStyle w:val="11"/>
            </w:pPr>
          </w:p>
        </w:tc>
        <w:tc>
          <w:tcPr>
            <w:tcW w:w="1361" w:type="dxa"/>
            <w:vAlign w:val="center"/>
          </w:tcPr>
          <w:p>
            <w:pPr>
              <w:pStyle w:val="11"/>
            </w:pPr>
            <w:r>
              <w:t>656.00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1"/>
            </w:pPr>
            <w:r>
              <w:t>656.00</w:t>
            </w:r>
          </w:p>
        </w:tc>
        <w:tc>
          <w:tcPr>
            <w:tcW w:w="1361" w:type="dxa"/>
            <w:vAlign w:val="center"/>
          </w:tcPr>
          <w:p>
            <w:pPr>
              <w:pStyle w:val="11"/>
            </w:pPr>
          </w:p>
        </w:tc>
        <w:tc>
          <w:tcPr>
            <w:tcW w:w="1361" w:type="dxa"/>
            <w:vAlign w:val="center"/>
          </w:tcPr>
          <w:p>
            <w:pPr>
              <w:pStyle w:val="11"/>
            </w:pPr>
            <w:r>
              <w:t>656.00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266.29</w:t>
            </w:r>
          </w:p>
        </w:tc>
        <w:tc>
          <w:tcPr>
            <w:tcW w:w="1361" w:type="dxa"/>
            <w:vAlign w:val="center"/>
          </w:tcPr>
          <w:p>
            <w:pPr>
              <w:pStyle w:val="11"/>
            </w:pPr>
            <w:r>
              <w:t>266.29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266.29</w:t>
            </w:r>
          </w:p>
        </w:tc>
        <w:tc>
          <w:tcPr>
            <w:tcW w:w="1361" w:type="dxa"/>
            <w:vAlign w:val="center"/>
          </w:tcPr>
          <w:p>
            <w:pPr>
              <w:pStyle w:val="11"/>
            </w:pPr>
            <w:r>
              <w:t>266.29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51.22</w:t>
            </w:r>
          </w:p>
        </w:tc>
        <w:tc>
          <w:tcPr>
            <w:tcW w:w="1361" w:type="dxa"/>
            <w:vAlign w:val="center"/>
          </w:tcPr>
          <w:p>
            <w:pPr>
              <w:pStyle w:val="11"/>
            </w:pPr>
            <w:r>
              <w:t>51.22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51.22</w:t>
            </w:r>
          </w:p>
        </w:tc>
        <w:tc>
          <w:tcPr>
            <w:tcW w:w="1361" w:type="dxa"/>
            <w:vAlign w:val="center"/>
          </w:tcPr>
          <w:p>
            <w:pPr>
              <w:pStyle w:val="11"/>
            </w:pPr>
            <w:r>
              <w:t>51.22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7.38</w:t>
            </w:r>
          </w:p>
        </w:tc>
        <w:tc>
          <w:tcPr>
            <w:tcW w:w="1361" w:type="dxa"/>
            <w:vAlign w:val="center"/>
          </w:tcPr>
          <w:p>
            <w:pPr>
              <w:pStyle w:val="11"/>
            </w:pPr>
            <w:r>
              <w:t>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29.23</w:t>
            </w:r>
          </w:p>
        </w:tc>
        <w:tc>
          <w:tcPr>
            <w:tcW w:w="1361" w:type="dxa"/>
            <w:vAlign w:val="center"/>
          </w:tcPr>
          <w:p>
            <w:pPr>
              <w:pStyle w:val="11"/>
            </w:pPr>
            <w:r>
              <w:t>29.23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14.33</w:t>
            </w:r>
          </w:p>
        </w:tc>
        <w:tc>
          <w:tcPr>
            <w:tcW w:w="1361" w:type="dxa"/>
            <w:vAlign w:val="center"/>
          </w:tcPr>
          <w:p>
            <w:pPr>
              <w:pStyle w:val="11"/>
            </w:pPr>
            <w:r>
              <w:t>14.33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14.33</w:t>
            </w:r>
          </w:p>
        </w:tc>
        <w:tc>
          <w:tcPr>
            <w:tcW w:w="1361" w:type="dxa"/>
            <w:vAlign w:val="center"/>
          </w:tcPr>
          <w:p>
            <w:pPr>
              <w:pStyle w:val="11"/>
            </w:pPr>
            <w:r>
              <w:t>14.33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14.33</w:t>
            </w:r>
          </w:p>
        </w:tc>
        <w:tc>
          <w:tcPr>
            <w:tcW w:w="1361" w:type="dxa"/>
            <w:vAlign w:val="center"/>
          </w:tcPr>
          <w:p>
            <w:pPr>
              <w:pStyle w:val="11"/>
            </w:pPr>
            <w:r>
              <w:t>14.33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987.85</w:t>
            </w:r>
          </w:p>
        </w:tc>
        <w:tc>
          <w:tcPr>
            <w:tcW w:w="3402" w:type="dxa"/>
            <w:vAlign w:val="center"/>
          </w:tcPr>
          <w:p>
            <w:pPr>
              <w:pStyle w:val="12"/>
            </w:pPr>
            <w:r>
              <w:t>一、一般公共服务支出</w:t>
            </w:r>
          </w:p>
        </w:tc>
        <w:tc>
          <w:tcPr>
            <w:tcW w:w="1474" w:type="dxa"/>
            <w:vAlign w:val="center"/>
          </w:tcPr>
          <w:p>
            <w:pPr>
              <w:pStyle w:val="11"/>
            </w:pPr>
            <w:r>
              <w:t>922.29</w:t>
            </w:r>
          </w:p>
        </w:tc>
        <w:tc>
          <w:tcPr>
            <w:tcW w:w="1474" w:type="dxa"/>
            <w:vAlign w:val="center"/>
          </w:tcPr>
          <w:p>
            <w:pPr>
              <w:pStyle w:val="11"/>
            </w:pPr>
            <w:r>
              <w:t>922.29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51.22</w:t>
            </w:r>
          </w:p>
        </w:tc>
        <w:tc>
          <w:tcPr>
            <w:tcW w:w="1474" w:type="dxa"/>
            <w:vAlign w:val="center"/>
          </w:tcPr>
          <w:p>
            <w:pPr>
              <w:pStyle w:val="11"/>
            </w:pPr>
            <w:r>
              <w:t>51.22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14.33</w:t>
            </w:r>
          </w:p>
        </w:tc>
        <w:tc>
          <w:tcPr>
            <w:tcW w:w="1474" w:type="dxa"/>
            <w:vAlign w:val="center"/>
          </w:tcPr>
          <w:p>
            <w:pPr>
              <w:pStyle w:val="11"/>
            </w:pPr>
            <w:r>
              <w:t>14.33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987.85</w:t>
            </w:r>
          </w:p>
        </w:tc>
        <w:tc>
          <w:tcPr>
            <w:tcW w:w="3402" w:type="dxa"/>
            <w:vAlign w:val="center"/>
          </w:tcPr>
          <w:p>
            <w:pPr>
              <w:pStyle w:val="14"/>
            </w:pPr>
            <w:r>
              <w:t>本年支出合计</w:t>
            </w:r>
          </w:p>
        </w:tc>
        <w:tc>
          <w:tcPr>
            <w:tcW w:w="1474" w:type="dxa"/>
            <w:vAlign w:val="center"/>
          </w:tcPr>
          <w:p>
            <w:pPr>
              <w:pStyle w:val="15"/>
            </w:pPr>
            <w:r>
              <w:t>987.85</w:t>
            </w:r>
          </w:p>
        </w:tc>
        <w:tc>
          <w:tcPr>
            <w:tcW w:w="1474" w:type="dxa"/>
            <w:vAlign w:val="center"/>
          </w:tcPr>
          <w:p>
            <w:pPr>
              <w:pStyle w:val="15"/>
            </w:pPr>
            <w:r>
              <w:t>987.85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987.85</w:t>
            </w:r>
          </w:p>
        </w:tc>
        <w:tc>
          <w:tcPr>
            <w:tcW w:w="3402" w:type="dxa"/>
            <w:vAlign w:val="center"/>
          </w:tcPr>
          <w:p>
            <w:pPr>
              <w:pStyle w:val="14"/>
            </w:pPr>
            <w:r>
              <w:t>支出总计</w:t>
            </w:r>
          </w:p>
        </w:tc>
        <w:tc>
          <w:tcPr>
            <w:tcW w:w="1474" w:type="dxa"/>
            <w:vAlign w:val="center"/>
          </w:tcPr>
          <w:p>
            <w:pPr>
              <w:pStyle w:val="15"/>
            </w:pPr>
            <w:r>
              <w:t>987.85</w:t>
            </w:r>
          </w:p>
        </w:tc>
        <w:tc>
          <w:tcPr>
            <w:tcW w:w="1474" w:type="dxa"/>
            <w:vAlign w:val="center"/>
          </w:tcPr>
          <w:p>
            <w:pPr>
              <w:pStyle w:val="15"/>
            </w:pPr>
            <w:r>
              <w:t>987.85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987.85</w:t>
            </w:r>
          </w:p>
        </w:tc>
        <w:tc>
          <w:tcPr>
            <w:tcW w:w="2551" w:type="dxa"/>
            <w:vAlign w:val="center"/>
          </w:tcPr>
          <w:p>
            <w:pPr>
              <w:pStyle w:val="15"/>
            </w:pPr>
            <w:r>
              <w:t>331.85</w:t>
            </w:r>
          </w:p>
        </w:tc>
        <w:tc>
          <w:tcPr>
            <w:tcW w:w="2551" w:type="dxa"/>
            <w:vAlign w:val="center"/>
          </w:tcPr>
          <w:p>
            <w:pPr>
              <w:pStyle w:val="15"/>
            </w:pPr>
            <w:r>
              <w:t>656.00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922.29</w:t>
            </w:r>
          </w:p>
        </w:tc>
        <w:tc>
          <w:tcPr>
            <w:tcW w:w="2551" w:type="dxa"/>
            <w:vAlign w:val="center"/>
          </w:tcPr>
          <w:p>
            <w:pPr>
              <w:pStyle w:val="11"/>
            </w:pPr>
            <w:r>
              <w:t>266.29</w:t>
            </w:r>
          </w:p>
        </w:tc>
        <w:tc>
          <w:tcPr>
            <w:tcW w:w="2551" w:type="dxa"/>
            <w:vAlign w:val="center"/>
          </w:tcPr>
          <w:p>
            <w:pPr>
              <w:pStyle w:val="11"/>
            </w:pPr>
            <w:r>
              <w:t>656.00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656.00</w:t>
            </w:r>
          </w:p>
        </w:tc>
        <w:tc>
          <w:tcPr>
            <w:tcW w:w="2551" w:type="dxa"/>
            <w:vAlign w:val="center"/>
          </w:tcPr>
          <w:p>
            <w:pPr>
              <w:pStyle w:val="11"/>
            </w:pPr>
          </w:p>
        </w:tc>
        <w:tc>
          <w:tcPr>
            <w:tcW w:w="2551" w:type="dxa"/>
            <w:vAlign w:val="center"/>
          </w:tcPr>
          <w:p>
            <w:pPr>
              <w:pStyle w:val="11"/>
            </w:pPr>
            <w:r>
              <w:t>656.00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656.00</w:t>
            </w:r>
          </w:p>
        </w:tc>
        <w:tc>
          <w:tcPr>
            <w:tcW w:w="2551" w:type="dxa"/>
            <w:vAlign w:val="center"/>
          </w:tcPr>
          <w:p>
            <w:pPr>
              <w:pStyle w:val="11"/>
            </w:pPr>
          </w:p>
        </w:tc>
        <w:tc>
          <w:tcPr>
            <w:tcW w:w="2551" w:type="dxa"/>
            <w:vAlign w:val="center"/>
          </w:tcPr>
          <w:p>
            <w:pPr>
              <w:pStyle w:val="11"/>
            </w:pPr>
            <w:r>
              <w:t>656.00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266.29</w:t>
            </w:r>
          </w:p>
        </w:tc>
        <w:tc>
          <w:tcPr>
            <w:tcW w:w="2551" w:type="dxa"/>
            <w:vAlign w:val="center"/>
          </w:tcPr>
          <w:p>
            <w:pPr>
              <w:pStyle w:val="11"/>
            </w:pPr>
            <w:r>
              <w:t>266.29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266.29</w:t>
            </w:r>
          </w:p>
        </w:tc>
        <w:tc>
          <w:tcPr>
            <w:tcW w:w="2551" w:type="dxa"/>
            <w:vAlign w:val="center"/>
          </w:tcPr>
          <w:p>
            <w:pPr>
              <w:pStyle w:val="11"/>
            </w:pPr>
            <w:r>
              <w:t>266.29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51.22</w:t>
            </w:r>
          </w:p>
        </w:tc>
        <w:tc>
          <w:tcPr>
            <w:tcW w:w="2551" w:type="dxa"/>
            <w:vAlign w:val="center"/>
          </w:tcPr>
          <w:p>
            <w:pPr>
              <w:pStyle w:val="11"/>
            </w:pPr>
            <w:r>
              <w:t>51.22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51.22</w:t>
            </w:r>
          </w:p>
        </w:tc>
        <w:tc>
          <w:tcPr>
            <w:tcW w:w="2551" w:type="dxa"/>
            <w:vAlign w:val="center"/>
          </w:tcPr>
          <w:p>
            <w:pPr>
              <w:pStyle w:val="11"/>
            </w:pPr>
            <w:r>
              <w:t>51.22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7.38</w:t>
            </w:r>
          </w:p>
        </w:tc>
        <w:tc>
          <w:tcPr>
            <w:tcW w:w="2551" w:type="dxa"/>
            <w:vAlign w:val="center"/>
          </w:tcPr>
          <w:p>
            <w:pPr>
              <w:pStyle w:val="11"/>
            </w:pPr>
            <w:r>
              <w:t>7.38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29.23</w:t>
            </w:r>
          </w:p>
        </w:tc>
        <w:tc>
          <w:tcPr>
            <w:tcW w:w="2551" w:type="dxa"/>
            <w:vAlign w:val="center"/>
          </w:tcPr>
          <w:p>
            <w:pPr>
              <w:pStyle w:val="11"/>
            </w:pPr>
            <w:r>
              <w:t>29.23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14.33</w:t>
            </w:r>
          </w:p>
        </w:tc>
        <w:tc>
          <w:tcPr>
            <w:tcW w:w="2551" w:type="dxa"/>
            <w:vAlign w:val="center"/>
          </w:tcPr>
          <w:p>
            <w:pPr>
              <w:pStyle w:val="11"/>
            </w:pPr>
            <w:r>
              <w:t>14.33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14.33</w:t>
            </w:r>
          </w:p>
        </w:tc>
        <w:tc>
          <w:tcPr>
            <w:tcW w:w="2551" w:type="dxa"/>
            <w:vAlign w:val="center"/>
          </w:tcPr>
          <w:p>
            <w:pPr>
              <w:pStyle w:val="11"/>
            </w:pPr>
            <w:r>
              <w:t>14.33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14.33</w:t>
            </w:r>
          </w:p>
        </w:tc>
        <w:tc>
          <w:tcPr>
            <w:tcW w:w="2551" w:type="dxa"/>
            <w:vAlign w:val="center"/>
          </w:tcPr>
          <w:p>
            <w:pPr>
              <w:pStyle w:val="11"/>
            </w:pPr>
            <w:r>
              <w:t>14.33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331.85</w:t>
            </w:r>
          </w:p>
        </w:tc>
        <w:tc>
          <w:tcPr>
            <w:tcW w:w="2551" w:type="dxa"/>
            <w:vAlign w:val="center"/>
          </w:tcPr>
          <w:p>
            <w:pPr>
              <w:pStyle w:val="15"/>
            </w:pPr>
            <w:r>
              <w:t>294.29</w:t>
            </w:r>
          </w:p>
        </w:tc>
        <w:tc>
          <w:tcPr>
            <w:tcW w:w="2551" w:type="dxa"/>
            <w:vAlign w:val="center"/>
          </w:tcPr>
          <w:p>
            <w:pPr>
              <w:pStyle w:val="15"/>
            </w:pPr>
            <w:r>
              <w:t>37.56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286.91</w:t>
            </w:r>
          </w:p>
        </w:tc>
        <w:tc>
          <w:tcPr>
            <w:tcW w:w="2551" w:type="dxa"/>
            <w:vAlign w:val="center"/>
          </w:tcPr>
          <w:p>
            <w:pPr>
              <w:pStyle w:val="11"/>
            </w:pPr>
            <w:r>
              <w:t>286.91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195.68</w:t>
            </w:r>
          </w:p>
        </w:tc>
        <w:tc>
          <w:tcPr>
            <w:tcW w:w="2551" w:type="dxa"/>
            <w:vAlign w:val="center"/>
          </w:tcPr>
          <w:p>
            <w:pPr>
              <w:pStyle w:val="11"/>
            </w:pPr>
            <w:r>
              <w:t>195.68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19.91</w:t>
            </w:r>
          </w:p>
        </w:tc>
        <w:tc>
          <w:tcPr>
            <w:tcW w:w="2551" w:type="dxa"/>
            <w:vAlign w:val="center"/>
          </w:tcPr>
          <w:p>
            <w:pPr>
              <w:pStyle w:val="11"/>
            </w:pPr>
            <w:r>
              <w:t>19.91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6.24</w:t>
            </w:r>
          </w:p>
        </w:tc>
        <w:tc>
          <w:tcPr>
            <w:tcW w:w="2551" w:type="dxa"/>
            <w:vAlign w:val="center"/>
          </w:tcPr>
          <w:p>
            <w:pPr>
              <w:pStyle w:val="11"/>
            </w:pPr>
            <w:r>
              <w:t>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6.90</w:t>
            </w:r>
          </w:p>
        </w:tc>
        <w:tc>
          <w:tcPr>
            <w:tcW w:w="2551" w:type="dxa"/>
            <w:vAlign w:val="center"/>
          </w:tcPr>
          <w:p>
            <w:pPr>
              <w:pStyle w:val="11"/>
            </w:pPr>
            <w:r>
              <w:t>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29.23</w:t>
            </w:r>
          </w:p>
        </w:tc>
        <w:tc>
          <w:tcPr>
            <w:tcW w:w="2551" w:type="dxa"/>
            <w:vAlign w:val="center"/>
          </w:tcPr>
          <w:p>
            <w:pPr>
              <w:pStyle w:val="11"/>
            </w:pPr>
            <w:r>
              <w:t>29.23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14.33</w:t>
            </w:r>
          </w:p>
        </w:tc>
        <w:tc>
          <w:tcPr>
            <w:tcW w:w="2551" w:type="dxa"/>
            <w:vAlign w:val="center"/>
          </w:tcPr>
          <w:p>
            <w:pPr>
              <w:pStyle w:val="11"/>
            </w:pPr>
            <w:r>
              <w:t>14.33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37.56</w:t>
            </w:r>
          </w:p>
        </w:tc>
        <w:tc>
          <w:tcPr>
            <w:tcW w:w="2551" w:type="dxa"/>
            <w:vAlign w:val="center"/>
          </w:tcPr>
          <w:p>
            <w:pPr>
              <w:pStyle w:val="11"/>
            </w:pPr>
          </w:p>
        </w:tc>
        <w:tc>
          <w:tcPr>
            <w:tcW w:w="2551" w:type="dxa"/>
            <w:vAlign w:val="center"/>
          </w:tcPr>
          <w:p>
            <w:pPr>
              <w:pStyle w:val="11"/>
            </w:pPr>
            <w:r>
              <w:t>37.56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11.60</w:t>
            </w:r>
          </w:p>
        </w:tc>
        <w:tc>
          <w:tcPr>
            <w:tcW w:w="2551" w:type="dxa"/>
            <w:vAlign w:val="center"/>
          </w:tcPr>
          <w:p>
            <w:pPr>
              <w:pStyle w:val="11"/>
            </w:pPr>
          </w:p>
        </w:tc>
        <w:tc>
          <w:tcPr>
            <w:tcW w:w="2551" w:type="dxa"/>
            <w:vAlign w:val="center"/>
          </w:tcPr>
          <w:p>
            <w:pPr>
              <w:pStyle w:val="11"/>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6.70</w:t>
            </w:r>
          </w:p>
        </w:tc>
        <w:tc>
          <w:tcPr>
            <w:tcW w:w="2551" w:type="dxa"/>
            <w:vAlign w:val="center"/>
          </w:tcPr>
          <w:p>
            <w:pPr>
              <w:pStyle w:val="11"/>
            </w:pPr>
          </w:p>
        </w:tc>
        <w:tc>
          <w:tcPr>
            <w:tcW w:w="2551" w:type="dxa"/>
            <w:vAlign w:val="center"/>
          </w:tcPr>
          <w:p>
            <w:pPr>
              <w:pStyle w:val="11"/>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10.56</w:t>
            </w:r>
          </w:p>
        </w:tc>
        <w:tc>
          <w:tcPr>
            <w:tcW w:w="2551" w:type="dxa"/>
            <w:vAlign w:val="center"/>
          </w:tcPr>
          <w:p>
            <w:pPr>
              <w:pStyle w:val="11"/>
            </w:pPr>
          </w:p>
        </w:tc>
        <w:tc>
          <w:tcPr>
            <w:tcW w:w="2551" w:type="dxa"/>
            <w:vAlign w:val="center"/>
          </w:tcPr>
          <w:p>
            <w:pPr>
              <w:pStyle w:val="11"/>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7.38</w:t>
            </w:r>
          </w:p>
        </w:tc>
        <w:tc>
          <w:tcPr>
            <w:tcW w:w="2551" w:type="dxa"/>
            <w:vAlign w:val="center"/>
          </w:tcPr>
          <w:p>
            <w:pPr>
              <w:pStyle w:val="11"/>
            </w:pPr>
            <w:r>
              <w:t>7.38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7.38</w:t>
            </w:r>
          </w:p>
        </w:tc>
        <w:tc>
          <w:tcPr>
            <w:tcW w:w="2551" w:type="dxa"/>
            <w:vAlign w:val="center"/>
          </w:tcPr>
          <w:p>
            <w:pPr>
              <w:pStyle w:val="11"/>
            </w:pPr>
            <w:r>
              <w:t>7.38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6.70</w:t>
            </w:r>
          </w:p>
        </w:tc>
        <w:tc>
          <w:tcPr>
            <w:tcW w:w="2381" w:type="dxa"/>
            <w:vAlign w:val="center"/>
          </w:tcPr>
          <w:p>
            <w:pPr>
              <w:pStyle w:val="15"/>
            </w:pPr>
            <w:r>
              <w:t>6.70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6.70</w:t>
            </w:r>
          </w:p>
        </w:tc>
        <w:tc>
          <w:tcPr>
            <w:tcW w:w="2381" w:type="dxa"/>
            <w:vAlign w:val="center"/>
          </w:tcPr>
          <w:p>
            <w:pPr>
              <w:pStyle w:val="11"/>
            </w:pPr>
            <w:r>
              <w:t>6.70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6.70</w:t>
            </w:r>
          </w:p>
        </w:tc>
        <w:tc>
          <w:tcPr>
            <w:tcW w:w="2381" w:type="dxa"/>
            <w:vAlign w:val="center"/>
          </w:tcPr>
          <w:p>
            <w:pPr>
              <w:pStyle w:val="11"/>
            </w:pPr>
            <w:r>
              <w:t>6.70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6.70</w:t>
            </w:r>
          </w:p>
        </w:tc>
        <w:tc>
          <w:tcPr>
            <w:tcW w:w="2381" w:type="dxa"/>
            <w:vAlign w:val="center"/>
          </w:tcPr>
          <w:p>
            <w:pPr>
              <w:pStyle w:val="11"/>
            </w:pPr>
            <w:r>
              <w:t>6.70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魏县信访局2023年部门预算信息公开情况说明</w:t>
      </w:r>
    </w:p>
    <w:p>
      <w:pPr>
        <w:jc w:val="center"/>
      </w:pPr>
      <w:r>
        <w:rPr>
          <w:rFonts w:ascii="方正小标宋_GBK" w:hAnsi="方正小标宋_GBK" w:eastAsia="方正小标宋_GBK" w:cs="方正小标宋_GBK"/>
          <w:color w:val="000000"/>
          <w:sz w:val="44"/>
        </w:rPr>
        <w:t>魏县信访局2023年部门预算信息公开情况说明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按照《预算法》、《地方预决算公开操作规程》和《关于进一步推进预算公开工作的实施意见》规定，现将魏县信访局2023年部门预算公开如下：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研究提出全县信访工作思路，拟定信访工作制度，维护全县社会稳定。（2）办理人民群众来信，接待群众来访，受理群众网上投诉，查办信访案件，负责人民群众建议征集工作。（3）调查研究和综合分析全县信访形势及信访工作状况，总结推广信访工作经验，提出改进和加强信访工作的意见和建议。（4）参与组织、协调、指导全县社会治安综合治理和维护社会政治稳定工作，协助保障国家、省、市和县重大政治活动顺利进行，参与处理影响社会政治稳定的突发性、群体性事件。</w:t>
      </w:r>
    </w:p>
    <w:p>
      <w:pPr>
        <w:pStyle w:val="17"/>
      </w:pPr>
      <w:r>
        <w:t>（5）督促检查和指导各乡镇党委、政府和县直部门的信访工作,指导全县信访工作的业务建设。对各乡镇党委、政府和县直有关部门信访工作年度责任目标进行考核，对全县社会治安综合治理和维护社会政治稳定年度责任目标中有关信访工作进行考核。（6）协助国家、省和市信访局处理魏县群众进京、赴省到市上访工作，综合协调处理跨地区、跨部门、跨行业的重要信访问题，协助公安机关维护县委、县政府机关正常工作秩序。（7）负责县级领导和县直部门领导公开接访和包联案件的组织协调工作。 （8）承担县信访工作联席会议的日常工作，督促落实联席会议决定的事项。（9）完成县委、县政府以及国家、省和市信访局交办的其他任务。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按照预算管理有关规定，目前我县部门预算的编制实行综合预算管理，即全部收入和支出都反映在预算中。魏县信访局机关及所属事业单位的收支包含在部门预算中。</w:t>
      </w:r>
    </w:p>
    <w:p>
      <w:pPr>
        <w:pStyle w:val="18"/>
      </w:pPr>
      <w:r>
        <w:t>按照预算管理有关规定，目前我县部门预算的编制实行综合预算制度，即全部收入和支出都反映的预算中。</w:t>
      </w:r>
    </w:p>
    <w:p>
      <w:pPr>
        <w:pStyle w:val="18"/>
      </w:pPr>
      <w:r>
        <w:t>1、收入说明：2023年收入预算共计976.56万元，全部为财政拨款收入。</w:t>
      </w:r>
    </w:p>
    <w:p>
      <w:pPr>
        <w:pStyle w:val="18"/>
      </w:pPr>
      <w:r>
        <w:t>2、支出说明：2023年支出预算共计976.56万元，其中人员经费支出预算293.56万元，正常公用经费支出预算27万元，专项公用114万元，专项项目支出542万元。</w:t>
      </w:r>
    </w:p>
    <w:p>
      <w:pPr>
        <w:pStyle w:val="18"/>
      </w:pPr>
      <w:r>
        <w:t>3、比上年增减情况：经过对比测算，2023年财政拨款预算比2022年增加124.15万元，主要是：人员支出增加48.04万元(人员经费增加的主要因素为工资调标)、正常公用经费增加2万元（人员增加）、公用经费增加14万元（接访中心新增15个入驻部门，办公费增加）、项目经费增加60.11（驻京值班、解决疑难信访问题配套资金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w:t>
      </w:r>
      <w:r>
        <w:rPr>
          <w:rFonts w:hint="eastAsia" w:asciiTheme="minorEastAsia" w:hAnsiTheme="minorEastAsia" w:eastAsiaTheme="minorEastAsia"/>
          <w:lang w:eastAsia="zh-CN"/>
        </w:rPr>
        <w:t>37.56</w:t>
      </w:r>
      <w:r>
        <w:t>万元，主要用于保证正常办公的基本需要和维持单位日常业务运转，包括：人员经费、办公费、印刷费、邮电费、差旅费、福利费、手续费、劳务费、水费等。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eastAsiaTheme="minorEastAsia"/>
          <w:lang w:eastAsia="zh-CN"/>
        </w:rPr>
      </w:pPr>
      <w:r>
        <w:t>2023年，财政拨款“三公”经费预算安排6.7万元，其中因公出国(境)费0万元；公务用车购置及运维费6.7万元(其中：公务用车购置费为0万元，公务用车运行费6.7万元)。因</w:t>
      </w:r>
      <w:r>
        <w:rPr>
          <w:rFonts w:hint="eastAsia" w:eastAsiaTheme="minorEastAsia"/>
          <w:lang w:eastAsia="zh-CN"/>
        </w:rPr>
        <w:t>2022年</w:t>
      </w:r>
      <w:r>
        <w:t>“三公”经费预算安排</w:t>
      </w:r>
      <w:r>
        <w:rPr>
          <w:rFonts w:hint="eastAsia" w:eastAsiaTheme="minorEastAsia"/>
          <w:lang w:eastAsia="zh-CN"/>
        </w:rPr>
        <w:t>0</w:t>
      </w:r>
      <w:r>
        <w:t>万元，</w:t>
      </w:r>
      <w:r>
        <w:rPr>
          <w:rFonts w:hint="eastAsia" w:eastAsiaTheme="minorEastAsia"/>
          <w:lang w:eastAsia="zh-CN"/>
        </w:rPr>
        <w:t>2023年比上年增加6.7万元，主要是因为是赴京省和下乡镇调处信访案件。</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我单位在县委的坚强领导下，深入贯彻</w:t>
      </w:r>
      <w:r>
        <w:rPr>
          <w:rFonts w:hint="eastAsia"/>
          <w:lang w:eastAsia="zh-CN"/>
        </w:rPr>
        <w:t>党的二十大</w:t>
      </w:r>
      <w:r>
        <w:t>精神，紧扣县委、县政府确定的目标任务，凝神聚力，开拓创新，攻</w:t>
      </w:r>
      <w:r>
        <w:rPr>
          <w:rFonts w:hint="eastAsia"/>
          <w:lang w:val="en-US" w:eastAsia="zh-CN"/>
        </w:rPr>
        <w:t>坚</w:t>
      </w:r>
      <w:r>
        <w:t>克难，砥砺奋进，以更加高昂的激情，更加有力的措施，更加务实的作风，全面开创信访工作新局面，为建设经济强、百姓富、环境美、发展质量高的邯郸副中心城市提供和谐稳定的社会环境。</w:t>
      </w:r>
    </w:p>
    <w:p>
      <w:pPr>
        <w:spacing w:line="500" w:lineRule="exact"/>
        <w:ind w:firstLine="560"/>
      </w:pPr>
      <w:r>
        <w:rPr>
          <w:rFonts w:eastAsia="方正仿宋_GBK"/>
          <w:color w:val="000000"/>
          <w:sz w:val="28"/>
        </w:rPr>
        <w:t>（二）分项绩效目标</w:t>
      </w:r>
    </w:p>
    <w:p>
      <w:pPr>
        <w:pStyle w:val="22"/>
      </w:pPr>
      <w:r>
        <w:t>（1）接待、登记、受理信访事项、组织开展矛盾纠纷排查调处、协调处理重要事项、安排县领导公开接访、研究分析信访情况，对县级领导签批的信访事项及时交办、督办、督导等工作，使领导签批的意见得到实处，群众反映的问题得到解决，已经解决的问题进行整理、建立档案。</w:t>
      </w:r>
    </w:p>
    <w:p>
      <w:pPr>
        <w:pStyle w:val="22"/>
      </w:pPr>
      <w:r>
        <w:t>（2）确保中央、</w:t>
      </w:r>
      <w:r>
        <w:rPr>
          <w:rFonts w:hint="eastAsia" w:eastAsiaTheme="minorEastAsia"/>
          <w:lang w:eastAsia="zh-CN"/>
        </w:rPr>
        <w:t>省</w:t>
      </w:r>
      <w:r>
        <w:t>、市、县要结果信访案件按期办结，及时反馈结果。</w:t>
      </w:r>
    </w:p>
    <w:p>
      <w:pPr>
        <w:pStyle w:val="22"/>
      </w:pPr>
      <w:r>
        <w:t>（3）文件起草、会议安排，对信访工作的宣传报道，人民群众建议征集，对本级政府部门和下级的工作指导，机关日常管理。</w:t>
      </w:r>
    </w:p>
    <w:p>
      <w:pPr>
        <w:pStyle w:val="22"/>
      </w:pPr>
      <w:r>
        <w:t>（4）登记、受理信访事项，调处解决群众反映的信访事项，向来访群众宣传有关法律、法规和政策。</w:t>
      </w:r>
    </w:p>
    <w:p>
      <w:pPr>
        <w:spacing w:line="500" w:lineRule="exact"/>
        <w:ind w:firstLine="560"/>
      </w:pPr>
      <w:r>
        <w:rPr>
          <w:rFonts w:eastAsia="方正仿宋_GBK"/>
          <w:color w:val="000000"/>
          <w:sz w:val="28"/>
        </w:rPr>
        <w:t>（三）工作保障措施</w:t>
      </w:r>
    </w:p>
    <w:p>
      <w:pPr>
        <w:pStyle w:val="23"/>
      </w:pPr>
      <w:r>
        <w:t>一是加强宣传教育工作，进一步规范信访工作秩序。不断加大对《信访条例》等法律法规和信访政策的宣传力度，向每一名来访群众发放明白纸，进一步提高群众对有关法律规定和信访政策及信访程序的知晓程度，引导群众理性上访，合法合理反映诉求，减少盲目上访和越级上访，利用县级电视台和单位电子屏幕等形式对违法上访情况定期报道，起到教育作用。</w:t>
      </w:r>
    </w:p>
    <w:p>
      <w:pPr>
        <w:pStyle w:val="23"/>
      </w:pPr>
      <w:r>
        <w:t>二是注重源头治理防范，将信访问题化解在“萌芽”状态。做到关口前移，进一步加大排查化解力度。落实县级领导接访制度，实行县级领导首接责任制和案件首办责任制。</w:t>
      </w:r>
    </w:p>
    <w:p>
      <w:pPr>
        <w:pStyle w:val="23"/>
      </w:pPr>
      <w:r>
        <w:t>三是强化稳控工作措施，做好敏感时期的信访稳定工作。按照“非敏感期以化解问题为主，敏感期以稳控为主”的工作原则，全力做好重大敏感时期和重要时间节点的信访稳控化解工作，制定敏感时期和非敏感时期责任追究制度。</w:t>
      </w:r>
    </w:p>
    <w:p>
      <w:pPr>
        <w:pStyle w:val="23"/>
      </w:pPr>
      <w:r>
        <w:t>四、聚焦疑难信访问题，彻底化解一批积案难案。1.成立重点领域专项工作组深入到一线，深入群众，到基层现场下力度解决一批疑难积案。2.充分发挥群众工作中心入驻部门的作用，现场解决群众来访案件，解答群众的诉求问题。</w:t>
      </w:r>
    </w:p>
    <w:p>
      <w:pPr>
        <w:pStyle w:val="23"/>
      </w:pPr>
      <w:r>
        <w:t>五是坚持严格依法治访，严厉打击非法上访行为。积极配合公、检、法等部门做好对违法信访行为的依法处置工作，对违法上访、扰乱信访秩序的行为进行严厉打击，发生一起，处置一起，确保正常的信访工作秩序。</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1、电子政务外网光纤租赁费绩效目标表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1.处理网上信访1200件以上，对网上信访案件100%进行受理、登记、交办。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受理办理网上信访事项数量</w:t>
            </w:r>
          </w:p>
        </w:tc>
        <w:tc>
          <w:tcPr>
            <w:tcW w:w="2835" w:type="dxa"/>
            <w:vAlign w:val="center"/>
          </w:tcPr>
          <w:p>
            <w:pPr>
              <w:pStyle w:val="12"/>
            </w:pPr>
            <w:r>
              <w:t>受理办理网上信访事项数量</w:t>
            </w:r>
          </w:p>
        </w:tc>
        <w:tc>
          <w:tcPr>
            <w:tcW w:w="2551" w:type="dxa"/>
            <w:vAlign w:val="center"/>
          </w:tcPr>
          <w:p>
            <w:pPr>
              <w:pStyle w:val="12"/>
            </w:pPr>
            <w:r>
              <w:t>≥1200件</w:t>
            </w:r>
          </w:p>
        </w:tc>
        <w:tc>
          <w:tcPr>
            <w:tcW w:w="2268" w:type="dxa"/>
            <w:vAlign w:val="center"/>
          </w:tcPr>
          <w:p>
            <w:pPr>
              <w:pStyle w:val="12"/>
            </w:pPr>
            <w:r>
              <w:t>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保障电子政务外网系统的正常运行。</w:t>
            </w:r>
          </w:p>
        </w:tc>
        <w:tc>
          <w:tcPr>
            <w:tcW w:w="2551" w:type="dxa"/>
            <w:vAlign w:val="center"/>
          </w:tcPr>
          <w:p>
            <w:pPr>
              <w:pStyle w:val="12"/>
            </w:pPr>
            <w:r>
              <w:t>100%</w:t>
            </w:r>
          </w:p>
        </w:tc>
        <w:tc>
          <w:tcPr>
            <w:tcW w:w="2268" w:type="dxa"/>
            <w:vAlign w:val="center"/>
          </w:tcPr>
          <w:p>
            <w:pPr>
              <w:pStyle w:val="12"/>
            </w:pPr>
            <w:r>
              <w:t>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≤34万元</w:t>
            </w:r>
          </w:p>
        </w:tc>
        <w:tc>
          <w:tcPr>
            <w:tcW w:w="2268" w:type="dxa"/>
            <w:vAlign w:val="center"/>
          </w:tcPr>
          <w:p>
            <w:pPr>
              <w:pStyle w:val="12"/>
            </w:pPr>
            <w: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网上信访案件处理情况</w:t>
            </w:r>
          </w:p>
        </w:tc>
        <w:tc>
          <w:tcPr>
            <w:tcW w:w="2835" w:type="dxa"/>
            <w:vAlign w:val="center"/>
          </w:tcPr>
          <w:p>
            <w:pPr>
              <w:pStyle w:val="12"/>
            </w:pPr>
            <w:r>
              <w:t>高效处理网上信访案件</w:t>
            </w:r>
          </w:p>
        </w:tc>
        <w:tc>
          <w:tcPr>
            <w:tcW w:w="2551" w:type="dxa"/>
            <w:vAlign w:val="center"/>
          </w:tcPr>
          <w:p>
            <w:pPr>
              <w:pStyle w:val="12"/>
            </w:pPr>
            <w:r>
              <w:t>≥95%</w:t>
            </w:r>
          </w:p>
        </w:tc>
        <w:tc>
          <w:tcPr>
            <w:tcW w:w="2268" w:type="dxa"/>
            <w:vAlign w:val="center"/>
          </w:tcPr>
          <w:p>
            <w:pPr>
              <w:pStyle w:val="12"/>
            </w:pPr>
            <w:r>
              <w:t>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网上信访</w:t>
            </w:r>
          </w:p>
        </w:tc>
        <w:tc>
          <w:tcPr>
            <w:tcW w:w="2835" w:type="dxa"/>
            <w:vAlign w:val="center"/>
          </w:tcPr>
          <w:p>
            <w:pPr>
              <w:pStyle w:val="12"/>
            </w:pPr>
            <w:r>
              <w:t>网上信访安全可控</w:t>
            </w:r>
          </w:p>
        </w:tc>
        <w:tc>
          <w:tcPr>
            <w:tcW w:w="2551" w:type="dxa"/>
            <w:vAlign w:val="center"/>
          </w:tcPr>
          <w:p>
            <w:pPr>
              <w:pStyle w:val="12"/>
            </w:pPr>
            <w:r>
              <w:t>信访稳定</w:t>
            </w:r>
          </w:p>
        </w:tc>
        <w:tc>
          <w:tcPr>
            <w:tcW w:w="2268" w:type="dxa"/>
            <w:vAlign w:val="center"/>
          </w:tcPr>
          <w:p>
            <w:pPr>
              <w:pStyle w:val="12"/>
            </w:pPr>
            <w:r>
              <w:t>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2、国家、</w:t>
      </w:r>
      <w:r>
        <w:rPr>
          <w:rFonts w:hint="eastAsia" w:ascii="方正仿宋_GBK" w:hAnsi="方正仿宋_GBK" w:cs="方正仿宋_GBK" w:eastAsiaTheme="minorEastAsia"/>
          <w:b/>
          <w:color w:val="000000"/>
          <w:sz w:val="28"/>
          <w:lang w:eastAsia="zh-CN"/>
        </w:rPr>
        <w:t>省</w:t>
      </w:r>
      <w:r>
        <w:rPr>
          <w:rFonts w:ascii="方正仿宋_GBK" w:hAnsi="方正仿宋_GBK" w:eastAsia="方正仿宋_GBK" w:cs="方正仿宋_GBK"/>
          <w:b/>
          <w:color w:val="000000"/>
          <w:sz w:val="28"/>
        </w:rPr>
        <w:t>、市“两会”、北戴河暑期值班等经费‘绩效目标表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1.及时处理会议期间信访问题，确保我县社会信访稳定。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召开会议次数</w:t>
            </w:r>
          </w:p>
        </w:tc>
        <w:tc>
          <w:tcPr>
            <w:tcW w:w="2835" w:type="dxa"/>
            <w:vAlign w:val="center"/>
          </w:tcPr>
          <w:p>
            <w:pPr>
              <w:pStyle w:val="12"/>
            </w:pPr>
            <w:r>
              <w:t>召开会议次数</w:t>
            </w:r>
          </w:p>
        </w:tc>
        <w:tc>
          <w:tcPr>
            <w:tcW w:w="2551" w:type="dxa"/>
            <w:vAlign w:val="center"/>
          </w:tcPr>
          <w:p>
            <w:pPr>
              <w:pStyle w:val="12"/>
            </w:pPr>
            <w:r>
              <w:t>4次</w:t>
            </w:r>
          </w:p>
        </w:tc>
        <w:tc>
          <w:tcPr>
            <w:tcW w:w="2268" w:type="dxa"/>
            <w:vAlign w:val="center"/>
          </w:tcPr>
          <w:p>
            <w:pPr>
              <w:pStyle w:val="12"/>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会议圆满完成</w:t>
            </w:r>
          </w:p>
          <w:p>
            <w:pPr>
              <w:pStyle w:val="12"/>
            </w:pPr>
          </w:p>
          <w:p>
            <w:pPr>
              <w:pStyle w:val="12"/>
            </w:pPr>
          </w:p>
        </w:tc>
        <w:tc>
          <w:tcPr>
            <w:tcW w:w="2835" w:type="dxa"/>
            <w:vAlign w:val="center"/>
          </w:tcPr>
          <w:p>
            <w:pPr>
              <w:pStyle w:val="12"/>
            </w:pPr>
            <w:r>
              <w:t>会议圆满完成</w:t>
            </w:r>
          </w:p>
          <w:p>
            <w:pPr>
              <w:pStyle w:val="12"/>
            </w:pPr>
          </w:p>
          <w:p>
            <w:pPr>
              <w:pStyle w:val="12"/>
            </w:pPr>
          </w:p>
        </w:tc>
        <w:tc>
          <w:tcPr>
            <w:tcW w:w="2551" w:type="dxa"/>
            <w:vAlign w:val="center"/>
          </w:tcPr>
          <w:p>
            <w:pPr>
              <w:pStyle w:val="12"/>
            </w:pPr>
            <w:r>
              <w:t>100%</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任务完成及时率</w:t>
            </w:r>
          </w:p>
        </w:tc>
        <w:tc>
          <w:tcPr>
            <w:tcW w:w="2551" w:type="dxa"/>
            <w:vAlign w:val="center"/>
          </w:tcPr>
          <w:p>
            <w:pPr>
              <w:pStyle w:val="12"/>
            </w:pPr>
            <w:r>
              <w:t>100%</w:t>
            </w:r>
          </w:p>
          <w:p>
            <w:pPr>
              <w:pStyle w:val="12"/>
            </w:pPr>
          </w:p>
        </w:tc>
        <w:tc>
          <w:tcPr>
            <w:tcW w:w="2268" w:type="dxa"/>
            <w:vAlign w:val="center"/>
          </w:tcPr>
          <w:p>
            <w:pPr>
              <w:pStyle w:val="12"/>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≤10万元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群众反映问题处理情况</w:t>
            </w:r>
          </w:p>
        </w:tc>
        <w:tc>
          <w:tcPr>
            <w:tcW w:w="2835" w:type="dxa"/>
            <w:vAlign w:val="center"/>
          </w:tcPr>
          <w:p>
            <w:pPr>
              <w:pStyle w:val="12"/>
            </w:pPr>
            <w:r>
              <w:t>会议期间反映的各类信访问题要尽快处理</w:t>
            </w:r>
          </w:p>
        </w:tc>
        <w:tc>
          <w:tcPr>
            <w:tcW w:w="2551" w:type="dxa"/>
            <w:vAlign w:val="center"/>
          </w:tcPr>
          <w:p>
            <w:pPr>
              <w:pStyle w:val="12"/>
            </w:pPr>
            <w:r>
              <w:t>100</w:t>
            </w:r>
          </w:p>
          <w:p>
            <w:pPr>
              <w:pStyle w:val="12"/>
            </w:pPr>
            <w:r>
              <w:t>%</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维护会议期间社会稳定</w:t>
            </w:r>
          </w:p>
        </w:tc>
        <w:tc>
          <w:tcPr>
            <w:tcW w:w="2551" w:type="dxa"/>
            <w:vAlign w:val="center"/>
          </w:tcPr>
          <w:p>
            <w:pPr>
              <w:pStyle w:val="12"/>
            </w:pPr>
            <w:r>
              <w:t>社会稳定水平</w:t>
            </w:r>
          </w:p>
        </w:tc>
        <w:tc>
          <w:tcPr>
            <w:tcW w:w="2268" w:type="dxa"/>
            <w:vAlign w:val="center"/>
          </w:tcPr>
          <w:p>
            <w:pPr>
              <w:pStyle w:val="12"/>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p>
            <w:pPr>
              <w:pStyle w:val="12"/>
            </w:pPr>
            <w:r>
              <w:t>%</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3、接访中心运行经费绩效目标表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1.及时登记、受理来访群众反映的问题，群众反映问题化解率达到90%以上。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保障接访中心全年日常工作正常运转</w:t>
            </w:r>
          </w:p>
        </w:tc>
        <w:tc>
          <w:tcPr>
            <w:tcW w:w="2835" w:type="dxa"/>
            <w:vAlign w:val="center"/>
          </w:tcPr>
          <w:p>
            <w:pPr>
              <w:pStyle w:val="12"/>
            </w:pPr>
            <w:r>
              <w:t>工作天数</w:t>
            </w:r>
          </w:p>
        </w:tc>
        <w:tc>
          <w:tcPr>
            <w:tcW w:w="2551" w:type="dxa"/>
            <w:vAlign w:val="center"/>
          </w:tcPr>
          <w:p>
            <w:pPr>
              <w:pStyle w:val="12"/>
            </w:pPr>
            <w:r>
              <w:t>全年正常运转</w:t>
            </w:r>
          </w:p>
        </w:tc>
        <w:tc>
          <w:tcPr>
            <w:tcW w:w="2268" w:type="dxa"/>
            <w:vAlign w:val="center"/>
          </w:tcPr>
          <w:p>
            <w:pPr>
              <w:pStyle w:val="12"/>
            </w:pPr>
            <w:r>
              <w:t>工作天数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日常各项工作完成率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任务完成及时率</w:t>
            </w:r>
          </w:p>
        </w:tc>
        <w:tc>
          <w:tcPr>
            <w:tcW w:w="2551" w:type="dxa"/>
            <w:vAlign w:val="center"/>
          </w:tcPr>
          <w:p>
            <w:pPr>
              <w:pStyle w:val="12"/>
            </w:pPr>
            <w:r>
              <w:t>100%</w:t>
            </w:r>
          </w:p>
        </w:tc>
        <w:tc>
          <w:tcPr>
            <w:tcW w:w="2268" w:type="dxa"/>
            <w:vAlign w:val="center"/>
          </w:tcPr>
          <w:p>
            <w:pPr>
              <w:pStyle w:val="12"/>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合理支出办公经费，不超出预算数</w:t>
            </w:r>
          </w:p>
        </w:tc>
        <w:tc>
          <w:tcPr>
            <w:tcW w:w="2835" w:type="dxa"/>
            <w:vAlign w:val="center"/>
          </w:tcPr>
          <w:p>
            <w:pPr>
              <w:pStyle w:val="12"/>
            </w:pPr>
            <w:r>
              <w:t>预算数</w:t>
            </w:r>
          </w:p>
        </w:tc>
        <w:tc>
          <w:tcPr>
            <w:tcW w:w="2551" w:type="dxa"/>
            <w:vAlign w:val="center"/>
          </w:tcPr>
          <w:p>
            <w:pPr>
              <w:pStyle w:val="12"/>
            </w:pPr>
            <w:r>
              <w:t>≤10万元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反映的各类信访问题要尽快办理</w:t>
            </w:r>
          </w:p>
        </w:tc>
        <w:tc>
          <w:tcPr>
            <w:tcW w:w="2835" w:type="dxa"/>
            <w:vAlign w:val="center"/>
          </w:tcPr>
          <w:p>
            <w:pPr>
              <w:pStyle w:val="12"/>
            </w:pPr>
            <w:r>
              <w:t>群众反映问题处理情况</w:t>
            </w:r>
          </w:p>
        </w:tc>
        <w:tc>
          <w:tcPr>
            <w:tcW w:w="2551" w:type="dxa"/>
            <w:vAlign w:val="center"/>
          </w:tcPr>
          <w:p>
            <w:pPr>
              <w:pStyle w:val="12"/>
            </w:pPr>
            <w:r>
              <w:t>100%</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社会稳定水平</w:t>
            </w:r>
          </w:p>
        </w:tc>
        <w:tc>
          <w:tcPr>
            <w:tcW w:w="2268" w:type="dxa"/>
            <w:vAlign w:val="center"/>
          </w:tcPr>
          <w:p>
            <w:pPr>
              <w:pStyle w:val="12"/>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4、解决疑难信访问题配套资金绩效目标表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1.解决疑难信访问题98件以上。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使用配套资金解决案件的个数</w:t>
            </w:r>
          </w:p>
        </w:tc>
        <w:tc>
          <w:tcPr>
            <w:tcW w:w="2835" w:type="dxa"/>
            <w:vAlign w:val="center"/>
          </w:tcPr>
          <w:p>
            <w:pPr>
              <w:pStyle w:val="12"/>
            </w:pPr>
            <w:r>
              <w:t>案件数量</w:t>
            </w:r>
          </w:p>
        </w:tc>
        <w:tc>
          <w:tcPr>
            <w:tcW w:w="2551" w:type="dxa"/>
            <w:vAlign w:val="center"/>
          </w:tcPr>
          <w:p>
            <w:pPr>
              <w:pStyle w:val="12"/>
            </w:pPr>
            <w:r>
              <w:t>≥98个</w:t>
            </w:r>
          </w:p>
        </w:tc>
        <w:tc>
          <w:tcPr>
            <w:tcW w:w="2268" w:type="dxa"/>
            <w:vAlign w:val="center"/>
          </w:tcPr>
          <w:p>
            <w:pPr>
              <w:pStyle w:val="12"/>
            </w:pPr>
            <w:r>
              <w:t>解决每个案件使用资金的平均值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使用配套资金解决案件的化解率</w:t>
            </w:r>
          </w:p>
        </w:tc>
        <w:tc>
          <w:tcPr>
            <w:tcW w:w="2835" w:type="dxa"/>
            <w:vAlign w:val="center"/>
          </w:tcPr>
          <w:p>
            <w:pPr>
              <w:pStyle w:val="12"/>
            </w:pPr>
            <w:r>
              <w:t>案件化解率</w:t>
            </w:r>
          </w:p>
        </w:tc>
        <w:tc>
          <w:tcPr>
            <w:tcW w:w="2551" w:type="dxa"/>
            <w:vAlign w:val="center"/>
          </w:tcPr>
          <w:p>
            <w:pPr>
              <w:pStyle w:val="12"/>
            </w:pPr>
            <w:r>
              <w:t>≥95%</w:t>
            </w:r>
          </w:p>
        </w:tc>
        <w:tc>
          <w:tcPr>
            <w:tcW w:w="2268" w:type="dxa"/>
            <w:vAlign w:val="center"/>
          </w:tcPr>
          <w:p>
            <w:pPr>
              <w:pStyle w:val="12"/>
            </w:pPr>
            <w:r>
              <w:t>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及时发放救助金</w:t>
            </w:r>
          </w:p>
        </w:tc>
        <w:tc>
          <w:tcPr>
            <w:tcW w:w="2835" w:type="dxa"/>
            <w:vAlign w:val="center"/>
          </w:tcPr>
          <w:p>
            <w:pPr>
              <w:pStyle w:val="12"/>
            </w:pPr>
            <w:r>
              <w:t>发放率</w:t>
            </w:r>
          </w:p>
        </w:tc>
        <w:tc>
          <w:tcPr>
            <w:tcW w:w="2551" w:type="dxa"/>
            <w:vAlign w:val="center"/>
          </w:tcPr>
          <w:p>
            <w:pPr>
              <w:pStyle w:val="12"/>
            </w:pPr>
            <w:r>
              <w:t>100%</w:t>
            </w:r>
          </w:p>
        </w:tc>
        <w:tc>
          <w:tcPr>
            <w:tcW w:w="2268" w:type="dxa"/>
            <w:vAlign w:val="center"/>
          </w:tcPr>
          <w:p>
            <w:pPr>
              <w:pStyle w:val="12"/>
            </w:pPr>
            <w: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解决每个疑难信访案件的所使用的资金</w:t>
            </w:r>
          </w:p>
        </w:tc>
        <w:tc>
          <w:tcPr>
            <w:tcW w:w="2835" w:type="dxa"/>
            <w:vAlign w:val="center"/>
          </w:tcPr>
          <w:p>
            <w:pPr>
              <w:pStyle w:val="12"/>
            </w:pPr>
            <w:r>
              <w:t>案件成本</w:t>
            </w:r>
          </w:p>
        </w:tc>
        <w:tc>
          <w:tcPr>
            <w:tcW w:w="2551" w:type="dxa"/>
            <w:vAlign w:val="center"/>
          </w:tcPr>
          <w:p>
            <w:pPr>
              <w:pStyle w:val="12"/>
            </w:pPr>
            <w:r>
              <w:t>≤4万元</w:t>
            </w:r>
          </w:p>
        </w:tc>
        <w:tc>
          <w:tcPr>
            <w:tcW w:w="2268" w:type="dxa"/>
            <w:vAlign w:val="center"/>
          </w:tcPr>
          <w:p>
            <w:pPr>
              <w:pStyle w:val="12"/>
            </w:pPr>
            <w:r>
              <w:t>解决案件的个数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信访案件结案率</w:t>
            </w:r>
          </w:p>
        </w:tc>
        <w:tc>
          <w:tcPr>
            <w:tcW w:w="2835" w:type="dxa"/>
            <w:vAlign w:val="center"/>
          </w:tcPr>
          <w:p>
            <w:pPr>
              <w:pStyle w:val="12"/>
            </w:pPr>
            <w:r>
              <w:t>信访案件结案率</w:t>
            </w:r>
          </w:p>
        </w:tc>
        <w:tc>
          <w:tcPr>
            <w:tcW w:w="2551" w:type="dxa"/>
            <w:vAlign w:val="center"/>
          </w:tcPr>
          <w:p>
            <w:pPr>
              <w:pStyle w:val="12"/>
            </w:pPr>
            <w:r>
              <w:t>≥95%</w:t>
            </w:r>
          </w:p>
        </w:tc>
        <w:tc>
          <w:tcPr>
            <w:tcW w:w="2268" w:type="dxa"/>
            <w:vAlign w:val="center"/>
          </w:tcPr>
          <w:p>
            <w:pPr>
              <w:pStyle w:val="12"/>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社会稳定</w:t>
            </w:r>
          </w:p>
        </w:tc>
        <w:tc>
          <w:tcPr>
            <w:tcW w:w="2268" w:type="dxa"/>
            <w:vAlign w:val="center"/>
          </w:tcPr>
          <w:p>
            <w:pPr>
              <w:pStyle w:val="12"/>
            </w:pPr>
            <w:r>
              <w:t>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5、信访工作经费绩效目标表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1.保障全年365天日常工作正常运转。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保障全年日常工作正常运转</w:t>
            </w:r>
          </w:p>
        </w:tc>
        <w:tc>
          <w:tcPr>
            <w:tcW w:w="2835" w:type="dxa"/>
            <w:vAlign w:val="center"/>
          </w:tcPr>
          <w:p>
            <w:pPr>
              <w:pStyle w:val="12"/>
            </w:pPr>
            <w:r>
              <w:t>工作天数</w:t>
            </w:r>
          </w:p>
        </w:tc>
        <w:tc>
          <w:tcPr>
            <w:tcW w:w="2551" w:type="dxa"/>
            <w:vAlign w:val="center"/>
          </w:tcPr>
          <w:p>
            <w:pPr>
              <w:pStyle w:val="12"/>
            </w:pPr>
            <w:r>
              <w:t>365天</w:t>
            </w:r>
          </w:p>
        </w:tc>
        <w:tc>
          <w:tcPr>
            <w:tcW w:w="2268" w:type="dxa"/>
            <w:vAlign w:val="center"/>
          </w:tcPr>
          <w:p>
            <w:pPr>
              <w:pStyle w:val="12"/>
            </w:pPr>
            <w:r>
              <w:t>正常工作天数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日常各项工作完成率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任务完成及时率</w:t>
            </w:r>
          </w:p>
        </w:tc>
        <w:tc>
          <w:tcPr>
            <w:tcW w:w="2551" w:type="dxa"/>
            <w:vAlign w:val="center"/>
          </w:tcPr>
          <w:p>
            <w:pPr>
              <w:pStyle w:val="12"/>
            </w:pPr>
            <w:r>
              <w:t>100%</w:t>
            </w:r>
          </w:p>
        </w:tc>
        <w:tc>
          <w:tcPr>
            <w:tcW w:w="2268" w:type="dxa"/>
            <w:vAlign w:val="center"/>
          </w:tcPr>
          <w:p>
            <w:pPr>
              <w:pStyle w:val="12"/>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合理支出办公经费，不超出预算数</w:t>
            </w:r>
          </w:p>
        </w:tc>
        <w:tc>
          <w:tcPr>
            <w:tcW w:w="2835" w:type="dxa"/>
            <w:vAlign w:val="center"/>
          </w:tcPr>
          <w:p>
            <w:pPr>
              <w:pStyle w:val="12"/>
            </w:pPr>
            <w:r>
              <w:t>预算数</w:t>
            </w:r>
          </w:p>
        </w:tc>
        <w:tc>
          <w:tcPr>
            <w:tcW w:w="2551" w:type="dxa"/>
            <w:vAlign w:val="center"/>
          </w:tcPr>
          <w:p>
            <w:pPr>
              <w:pStyle w:val="12"/>
            </w:pPr>
            <w:r>
              <w:t>60万元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上访人数要同比下降。</w:t>
            </w:r>
          </w:p>
        </w:tc>
        <w:tc>
          <w:tcPr>
            <w:tcW w:w="2835" w:type="dxa"/>
            <w:vAlign w:val="center"/>
          </w:tcPr>
          <w:p>
            <w:pPr>
              <w:pStyle w:val="12"/>
            </w:pPr>
            <w:r>
              <w:t>上访群众人数下降率</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保障信访工作顺利进行，维护社会稳定</w:t>
            </w:r>
          </w:p>
        </w:tc>
        <w:tc>
          <w:tcPr>
            <w:tcW w:w="2835" w:type="dxa"/>
            <w:vAlign w:val="center"/>
          </w:tcPr>
          <w:p>
            <w:pPr>
              <w:pStyle w:val="12"/>
            </w:pPr>
            <w:r>
              <w:t>维护社会稳定</w:t>
            </w:r>
          </w:p>
        </w:tc>
        <w:tc>
          <w:tcPr>
            <w:tcW w:w="2551" w:type="dxa"/>
            <w:vAlign w:val="center"/>
          </w:tcPr>
          <w:p>
            <w:pPr>
              <w:pStyle w:val="12"/>
            </w:pPr>
            <w:r>
              <w:t>社会稳定</w:t>
            </w:r>
          </w:p>
        </w:tc>
        <w:tc>
          <w:tcPr>
            <w:tcW w:w="2268" w:type="dxa"/>
            <w:vAlign w:val="center"/>
          </w:tcPr>
          <w:p>
            <w:pPr>
              <w:pStyle w:val="12"/>
            </w:pPr>
            <w:r>
              <w:t>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6、驻京、</w:t>
      </w:r>
      <w:r>
        <w:rPr>
          <w:rFonts w:hint="eastAsia" w:ascii="方正仿宋_GBK" w:hAnsi="方正仿宋_GBK" w:cs="方正仿宋_GBK" w:eastAsiaTheme="minorEastAsia"/>
          <w:b/>
          <w:color w:val="000000"/>
          <w:sz w:val="28"/>
          <w:lang w:eastAsia="zh-CN"/>
        </w:rPr>
        <w:t>省</w:t>
      </w:r>
      <w:r>
        <w:rPr>
          <w:rFonts w:ascii="方正仿宋_GBK" w:hAnsi="方正仿宋_GBK" w:eastAsia="方正仿宋_GBK" w:cs="方正仿宋_GBK"/>
          <w:b/>
          <w:color w:val="000000"/>
          <w:sz w:val="28"/>
        </w:rPr>
        <w:t>信访群众服务联络处工作经费绩效目标表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1.及时处理进京、赴</w:t>
            </w:r>
            <w:r>
              <w:rPr>
                <w:rFonts w:hint="eastAsia" w:eastAsiaTheme="minorEastAsia"/>
                <w:lang w:eastAsia="zh-CN"/>
              </w:rPr>
              <w:t>省</w:t>
            </w:r>
            <w:r>
              <w:t>上访群众，力争做到零登记，确保全年信访稳定。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开展信访维稳保障工作天数</w:t>
            </w:r>
          </w:p>
        </w:tc>
        <w:tc>
          <w:tcPr>
            <w:tcW w:w="2835" w:type="dxa"/>
            <w:vAlign w:val="center"/>
          </w:tcPr>
          <w:p>
            <w:pPr>
              <w:pStyle w:val="12"/>
            </w:pPr>
            <w:r>
              <w:t>开展信访维稳保障工作天数</w:t>
            </w:r>
          </w:p>
        </w:tc>
        <w:tc>
          <w:tcPr>
            <w:tcW w:w="2551" w:type="dxa"/>
            <w:vAlign w:val="center"/>
          </w:tcPr>
          <w:p>
            <w:pPr>
              <w:pStyle w:val="12"/>
            </w:pPr>
            <w:r>
              <w:t>360天</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信访事项化解率(%)</w:t>
            </w:r>
          </w:p>
        </w:tc>
        <w:tc>
          <w:tcPr>
            <w:tcW w:w="2835" w:type="dxa"/>
            <w:vAlign w:val="center"/>
          </w:tcPr>
          <w:p>
            <w:pPr>
              <w:pStyle w:val="12"/>
            </w:pPr>
            <w:r>
              <w:t>信访事项化解率(%)</w:t>
            </w:r>
          </w:p>
        </w:tc>
        <w:tc>
          <w:tcPr>
            <w:tcW w:w="2551" w:type="dxa"/>
            <w:vAlign w:val="center"/>
          </w:tcPr>
          <w:p>
            <w:pPr>
              <w:pStyle w:val="12"/>
            </w:pPr>
            <w:r>
              <w:t>≥95%</w:t>
            </w:r>
          </w:p>
        </w:tc>
        <w:tc>
          <w:tcPr>
            <w:tcW w:w="2268" w:type="dxa"/>
            <w:vAlign w:val="center"/>
          </w:tcPr>
          <w:p>
            <w:pPr>
              <w:pStyle w:val="12"/>
            </w:pPr>
            <w:r>
              <w:t>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2835" w:type="dxa"/>
            <w:vAlign w:val="center"/>
          </w:tcPr>
          <w:p>
            <w:pPr>
              <w:pStyle w:val="12"/>
            </w:pPr>
            <w:r>
              <w:t>信访事项受理及时率</w:t>
            </w:r>
          </w:p>
        </w:tc>
        <w:tc>
          <w:tcPr>
            <w:tcW w:w="2551" w:type="dxa"/>
            <w:vAlign w:val="center"/>
          </w:tcPr>
          <w:p>
            <w:pPr>
              <w:pStyle w:val="12"/>
            </w:pPr>
            <w:r>
              <w:t>100%</w:t>
            </w:r>
          </w:p>
        </w:tc>
        <w:tc>
          <w:tcPr>
            <w:tcW w:w="2268" w:type="dxa"/>
            <w:vAlign w:val="center"/>
          </w:tcPr>
          <w:p>
            <w:pPr>
              <w:pStyle w:val="12"/>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≤150万元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保持全县信访形势总体平稳可控</w:t>
            </w:r>
          </w:p>
        </w:tc>
        <w:tc>
          <w:tcPr>
            <w:tcW w:w="2835" w:type="dxa"/>
            <w:vAlign w:val="center"/>
          </w:tcPr>
          <w:p>
            <w:pPr>
              <w:pStyle w:val="12"/>
            </w:pPr>
            <w:r>
              <w:t>保持全县信访形势总体平稳可控</w:t>
            </w:r>
          </w:p>
        </w:tc>
        <w:tc>
          <w:tcPr>
            <w:tcW w:w="2551" w:type="dxa"/>
            <w:vAlign w:val="center"/>
          </w:tcPr>
          <w:p>
            <w:pPr>
              <w:pStyle w:val="12"/>
            </w:pPr>
            <w:r>
              <w:t>信访平稳可控</w:t>
            </w:r>
          </w:p>
        </w:tc>
        <w:tc>
          <w:tcPr>
            <w:tcW w:w="2268" w:type="dxa"/>
            <w:vAlign w:val="center"/>
          </w:tcPr>
          <w:p>
            <w:pPr>
              <w:pStyle w:val="12"/>
            </w:pPr>
            <w:r>
              <w:t>信访稳定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持续提升社会稳定水平</w:t>
            </w:r>
          </w:p>
        </w:tc>
        <w:tc>
          <w:tcPr>
            <w:tcW w:w="2835" w:type="dxa"/>
            <w:vAlign w:val="center"/>
          </w:tcPr>
          <w:p>
            <w:pPr>
              <w:pStyle w:val="12"/>
            </w:pPr>
            <w:r>
              <w:t>持续提升社会稳定水平</w:t>
            </w:r>
          </w:p>
        </w:tc>
        <w:tc>
          <w:tcPr>
            <w:tcW w:w="2551" w:type="dxa"/>
            <w:vAlign w:val="center"/>
          </w:tcPr>
          <w:p>
            <w:pPr>
              <w:pStyle w:val="12"/>
            </w:pPr>
            <w:r>
              <w:t>社会稳定</w:t>
            </w:r>
          </w:p>
        </w:tc>
        <w:tc>
          <w:tcPr>
            <w:tcW w:w="2268" w:type="dxa"/>
            <w:vAlign w:val="center"/>
          </w:tcPr>
          <w:p>
            <w:pPr>
              <w:pStyle w:val="12"/>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2023年，魏县信访局安排政府采购预算0.00万元。具体内容见下表。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202魏县信访局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魏县信访局（含所属单位）上年末固定资产金额为0.00万元（详见下表）。本年度拟购置固定资产总额为0.00万元，已按要求列入政府采购预算，详见政府采购预算表。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202魏县信访局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p>
    <w:p>
      <w:pPr>
        <w:pStyle w:val="20"/>
        <w:rPr>
          <w:lang w:eastAsia="zh-CN"/>
        </w:rPr>
      </w:pPr>
      <w:r>
        <w:rPr>
          <w:lang w:eastAsia="zh-CN"/>
        </w:rPr>
        <w:tab/>
      </w:r>
    </w:p>
    <w:p>
      <w:pPr>
        <w:rPr>
          <w:rFonts w:eastAsiaTheme="minorEastAsia"/>
          <w:lang w:eastAsia="zh-CN"/>
        </w:rPr>
        <w:sectPr>
          <w:pgSz w:w="16840" w:h="11900" w:orient="landscape"/>
          <w:pgMar w:top="1361" w:right="1020" w:bottom="1134" w:left="1020" w:header="720" w:footer="720" w:gutter="0"/>
          <w:cols w:space="720" w:num="1"/>
        </w:sectPr>
      </w:pPr>
    </w:p>
    <w:p>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F35EC4"/>
    <w:rsid w:val="000C4395"/>
    <w:rsid w:val="00135EC1"/>
    <w:rsid w:val="001A467A"/>
    <w:rsid w:val="002D7339"/>
    <w:rsid w:val="00324DD4"/>
    <w:rsid w:val="00461577"/>
    <w:rsid w:val="004E314A"/>
    <w:rsid w:val="00501B2F"/>
    <w:rsid w:val="00661878"/>
    <w:rsid w:val="006C1D4D"/>
    <w:rsid w:val="00876182"/>
    <w:rsid w:val="008E0C0A"/>
    <w:rsid w:val="009B41AF"/>
    <w:rsid w:val="00A27F78"/>
    <w:rsid w:val="00AC6058"/>
    <w:rsid w:val="00C3245E"/>
    <w:rsid w:val="00D52AC7"/>
    <w:rsid w:val="00D66EEA"/>
    <w:rsid w:val="00E276D9"/>
    <w:rsid w:val="00E4782F"/>
    <w:rsid w:val="00E95505"/>
    <w:rsid w:val="00EA667D"/>
    <w:rsid w:val="00EE1743"/>
    <w:rsid w:val="00F35EC4"/>
    <w:rsid w:val="00F74784"/>
    <w:rsid w:val="00F92400"/>
    <w:rsid w:val="F77BD2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7843</Words>
  <Characters>9116</Characters>
  <Lines>89</Lines>
  <Paragraphs>25</Paragraphs>
  <TotalTime>39</TotalTime>
  <ScaleCrop>false</ScaleCrop>
  <LinksUpToDate>false</LinksUpToDate>
  <CharactersWithSpaces>9298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2023-02-24T16:55:00Z</dcterms:created>
  <dc:creator>信息化办</dc:creator>
  <cp:lastModifiedBy>wxak</cp:lastModifiedBy>
  <dcterms:modified xsi:type="dcterms:W3CDTF">2024-12-18T17:02:49Z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BBF98B83CDB84C2F9BC48DA81CC7CD4A_12</vt:lpwstr>
  </property>
</Properties>
</file>