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295.95</w:t>
            </w:r>
          </w:p>
        </w:tc>
        <w:tc>
          <w:tcPr>
            <w:tcW w:w="4535" w:type="dxa"/>
            <w:vAlign w:val="center"/>
          </w:tcPr>
          <w:p>
            <w:pPr>
              <w:pStyle w:val="14"/>
            </w:pPr>
            <w:r>
              <w:t>一、一般公共服务支出</w:t>
            </w:r>
          </w:p>
        </w:tc>
        <w:tc>
          <w:tcPr>
            <w:tcW w:w="2126" w:type="dxa"/>
            <w:vAlign w:val="center"/>
          </w:tcPr>
          <w:p>
            <w:pPr>
              <w:pStyle w:val="13"/>
            </w:pPr>
            <w:r>
              <w:t>242.56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295.95</w:t>
            </w:r>
          </w:p>
        </w:tc>
        <w:tc>
          <w:tcPr>
            <w:tcW w:w="4535" w:type="dxa"/>
            <w:vAlign w:val="center"/>
          </w:tcPr>
          <w:p>
            <w:pPr>
              <w:pStyle w:val="16"/>
            </w:pPr>
            <w:r>
              <w:t>本年支出合计</w:t>
            </w:r>
          </w:p>
        </w:tc>
        <w:tc>
          <w:tcPr>
            <w:tcW w:w="2126" w:type="dxa"/>
            <w:vAlign w:val="center"/>
          </w:tcPr>
          <w:p>
            <w:pPr>
              <w:pStyle w:val="17"/>
            </w:pPr>
            <w:r>
              <w:t>295.95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295.95</w:t>
            </w:r>
          </w:p>
        </w:tc>
        <w:tc>
          <w:tcPr>
            <w:tcW w:w="4535" w:type="dxa"/>
            <w:vAlign w:val="center"/>
          </w:tcPr>
          <w:p>
            <w:pPr>
              <w:pStyle w:val="16"/>
            </w:pPr>
            <w:r>
              <w:t>支出总计</w:t>
            </w:r>
          </w:p>
        </w:tc>
        <w:tc>
          <w:tcPr>
            <w:tcW w:w="2126" w:type="dxa"/>
            <w:vAlign w:val="center"/>
          </w:tcPr>
          <w:p>
            <w:pPr>
              <w:pStyle w:val="17"/>
            </w:pPr>
            <w:r>
              <w:t>295.95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295.95</w:t>
            </w:r>
          </w:p>
        </w:tc>
        <w:tc>
          <w:tcPr>
            <w:tcW w:w="1134" w:type="dxa"/>
            <w:vAlign w:val="center"/>
          </w:tcPr>
          <w:p>
            <w:pPr>
              <w:pStyle w:val="17"/>
            </w:pPr>
            <w:r>
              <w:t>295.95</w:t>
            </w:r>
          </w:p>
        </w:tc>
        <w:tc>
          <w:tcPr>
            <w:tcW w:w="1134" w:type="dxa"/>
            <w:vAlign w:val="center"/>
          </w:tcPr>
          <w:p>
            <w:pPr>
              <w:pStyle w:val="17"/>
            </w:pPr>
            <w:r>
              <w:t>295.95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242.56</w:t>
            </w:r>
          </w:p>
        </w:tc>
        <w:tc>
          <w:tcPr>
            <w:tcW w:w="1134" w:type="dxa"/>
            <w:vAlign w:val="center"/>
          </w:tcPr>
          <w:p>
            <w:pPr>
              <w:pStyle w:val="13"/>
            </w:pPr>
            <w:r>
              <w:t>242.56</w:t>
            </w:r>
          </w:p>
        </w:tc>
        <w:tc>
          <w:tcPr>
            <w:tcW w:w="1134" w:type="dxa"/>
            <w:vAlign w:val="center"/>
          </w:tcPr>
          <w:p>
            <w:pPr>
              <w:pStyle w:val="13"/>
            </w:pPr>
            <w:r>
              <w:t>242.56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224.89</w:t>
            </w:r>
          </w:p>
        </w:tc>
        <w:tc>
          <w:tcPr>
            <w:tcW w:w="1134" w:type="dxa"/>
            <w:vAlign w:val="center"/>
          </w:tcPr>
          <w:p>
            <w:pPr>
              <w:pStyle w:val="13"/>
            </w:pPr>
            <w:r>
              <w:t>224.89</w:t>
            </w:r>
          </w:p>
        </w:tc>
        <w:tc>
          <w:tcPr>
            <w:tcW w:w="1134" w:type="dxa"/>
            <w:vAlign w:val="center"/>
          </w:tcPr>
          <w:p>
            <w:pPr>
              <w:pStyle w:val="13"/>
            </w:pPr>
            <w:r>
              <w:t>224.89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224.89</w:t>
            </w:r>
          </w:p>
        </w:tc>
        <w:tc>
          <w:tcPr>
            <w:tcW w:w="1134" w:type="dxa"/>
            <w:vAlign w:val="center"/>
          </w:tcPr>
          <w:p>
            <w:pPr>
              <w:pStyle w:val="13"/>
            </w:pPr>
            <w:r>
              <w:t>224.89</w:t>
            </w:r>
          </w:p>
        </w:tc>
        <w:tc>
          <w:tcPr>
            <w:tcW w:w="1134" w:type="dxa"/>
            <w:vAlign w:val="center"/>
          </w:tcPr>
          <w:p>
            <w:pPr>
              <w:pStyle w:val="13"/>
            </w:pPr>
            <w:r>
              <w:t>224.89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2013202</w:t>
            </w:r>
          </w:p>
        </w:tc>
        <w:tc>
          <w:tcPr>
            <w:tcW w:w="1559" w:type="dxa"/>
            <w:vAlign w:val="center"/>
          </w:tcPr>
          <w:p>
            <w:pPr>
              <w:pStyle w:val="14"/>
            </w:pPr>
            <w:r>
              <w:t>一般行政管理事务</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39.27</w:t>
            </w:r>
          </w:p>
        </w:tc>
        <w:tc>
          <w:tcPr>
            <w:tcW w:w="1134" w:type="dxa"/>
            <w:vAlign w:val="center"/>
          </w:tcPr>
          <w:p>
            <w:pPr>
              <w:pStyle w:val="13"/>
            </w:pPr>
            <w:r>
              <w:t>39.27</w:t>
            </w:r>
          </w:p>
        </w:tc>
        <w:tc>
          <w:tcPr>
            <w:tcW w:w="1134" w:type="dxa"/>
            <w:vAlign w:val="center"/>
          </w:tcPr>
          <w:p>
            <w:pPr>
              <w:pStyle w:val="13"/>
            </w:pPr>
            <w:r>
              <w:t>39.27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39.27</w:t>
            </w:r>
          </w:p>
        </w:tc>
        <w:tc>
          <w:tcPr>
            <w:tcW w:w="1134" w:type="dxa"/>
            <w:vAlign w:val="center"/>
          </w:tcPr>
          <w:p>
            <w:pPr>
              <w:pStyle w:val="13"/>
            </w:pPr>
            <w:r>
              <w:t>39.27</w:t>
            </w:r>
          </w:p>
        </w:tc>
        <w:tc>
          <w:tcPr>
            <w:tcW w:w="1134" w:type="dxa"/>
            <w:vAlign w:val="center"/>
          </w:tcPr>
          <w:p>
            <w:pPr>
              <w:pStyle w:val="13"/>
            </w:pPr>
            <w:r>
              <w:t>39.27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2.31</w:t>
            </w:r>
          </w:p>
        </w:tc>
        <w:tc>
          <w:tcPr>
            <w:tcW w:w="1134" w:type="dxa"/>
            <w:vAlign w:val="center"/>
          </w:tcPr>
          <w:p>
            <w:pPr>
              <w:pStyle w:val="13"/>
            </w:pPr>
            <w:r>
              <w:t>2.31</w:t>
            </w:r>
          </w:p>
        </w:tc>
        <w:tc>
          <w:tcPr>
            <w:tcW w:w="1134" w:type="dxa"/>
            <w:vAlign w:val="center"/>
          </w:tcPr>
          <w:p>
            <w:pPr>
              <w:pStyle w:val="13"/>
            </w:pPr>
            <w:r>
              <w:t>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24.64</w:t>
            </w:r>
          </w:p>
        </w:tc>
        <w:tc>
          <w:tcPr>
            <w:tcW w:w="1134" w:type="dxa"/>
            <w:vAlign w:val="center"/>
          </w:tcPr>
          <w:p>
            <w:pPr>
              <w:pStyle w:val="13"/>
            </w:pPr>
            <w:r>
              <w:t>24.64</w:t>
            </w:r>
          </w:p>
        </w:tc>
        <w:tc>
          <w:tcPr>
            <w:tcW w:w="1134" w:type="dxa"/>
            <w:vAlign w:val="center"/>
          </w:tcPr>
          <w:p>
            <w:pPr>
              <w:pStyle w:val="13"/>
            </w:pPr>
            <w:r>
              <w:t>24.64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12.32</w:t>
            </w:r>
          </w:p>
        </w:tc>
        <w:tc>
          <w:tcPr>
            <w:tcW w:w="1134" w:type="dxa"/>
            <w:vAlign w:val="center"/>
          </w:tcPr>
          <w:p>
            <w:pPr>
              <w:pStyle w:val="13"/>
            </w:pPr>
            <w:r>
              <w:t>12.32</w:t>
            </w:r>
          </w:p>
        </w:tc>
        <w:tc>
          <w:tcPr>
            <w:tcW w:w="1134" w:type="dxa"/>
            <w:vAlign w:val="center"/>
          </w:tcPr>
          <w:p>
            <w:pPr>
              <w:pStyle w:val="13"/>
            </w:pPr>
            <w:r>
              <w:t>12.32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14.11</w:t>
            </w:r>
          </w:p>
        </w:tc>
        <w:tc>
          <w:tcPr>
            <w:tcW w:w="1134" w:type="dxa"/>
            <w:vAlign w:val="center"/>
          </w:tcPr>
          <w:p>
            <w:pPr>
              <w:pStyle w:val="13"/>
            </w:pPr>
            <w:r>
              <w:t>14.11</w:t>
            </w:r>
          </w:p>
        </w:tc>
        <w:tc>
          <w:tcPr>
            <w:tcW w:w="1134" w:type="dxa"/>
            <w:vAlign w:val="center"/>
          </w:tcPr>
          <w:p>
            <w:pPr>
              <w:pStyle w:val="13"/>
            </w:pPr>
            <w:r>
              <w:t>14.11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14.11</w:t>
            </w:r>
          </w:p>
        </w:tc>
        <w:tc>
          <w:tcPr>
            <w:tcW w:w="1134" w:type="dxa"/>
            <w:vAlign w:val="center"/>
          </w:tcPr>
          <w:p>
            <w:pPr>
              <w:pStyle w:val="13"/>
            </w:pPr>
            <w:r>
              <w:t>14.11</w:t>
            </w:r>
          </w:p>
        </w:tc>
        <w:tc>
          <w:tcPr>
            <w:tcW w:w="1134" w:type="dxa"/>
            <w:vAlign w:val="center"/>
          </w:tcPr>
          <w:p>
            <w:pPr>
              <w:pStyle w:val="13"/>
            </w:pPr>
            <w:r>
              <w:t>14.11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14.11</w:t>
            </w:r>
          </w:p>
        </w:tc>
        <w:tc>
          <w:tcPr>
            <w:tcW w:w="1134" w:type="dxa"/>
            <w:vAlign w:val="center"/>
          </w:tcPr>
          <w:p>
            <w:pPr>
              <w:pStyle w:val="13"/>
            </w:pPr>
            <w:r>
              <w:t>14.11</w:t>
            </w:r>
          </w:p>
        </w:tc>
        <w:tc>
          <w:tcPr>
            <w:tcW w:w="1134" w:type="dxa"/>
            <w:vAlign w:val="center"/>
          </w:tcPr>
          <w:p>
            <w:pPr>
              <w:pStyle w:val="13"/>
            </w:pPr>
            <w:r>
              <w:t>14.11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295.95</w:t>
            </w:r>
          </w:p>
        </w:tc>
        <w:tc>
          <w:tcPr>
            <w:tcW w:w="1361" w:type="dxa"/>
            <w:vAlign w:val="center"/>
          </w:tcPr>
          <w:p>
            <w:pPr>
              <w:pStyle w:val="17"/>
            </w:pPr>
            <w:r>
              <w:t>278.28</w:t>
            </w:r>
          </w:p>
        </w:tc>
        <w:tc>
          <w:tcPr>
            <w:tcW w:w="1361" w:type="dxa"/>
            <w:vAlign w:val="center"/>
          </w:tcPr>
          <w:p>
            <w:pPr>
              <w:pStyle w:val="17"/>
            </w:pPr>
            <w:r>
              <w:t>17.67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242.56</w:t>
            </w:r>
          </w:p>
        </w:tc>
        <w:tc>
          <w:tcPr>
            <w:tcW w:w="1361" w:type="dxa"/>
            <w:vAlign w:val="center"/>
          </w:tcPr>
          <w:p>
            <w:pPr>
              <w:pStyle w:val="13"/>
            </w:pPr>
            <w:r>
              <w:t>224.89</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224.89</w:t>
            </w:r>
          </w:p>
        </w:tc>
        <w:tc>
          <w:tcPr>
            <w:tcW w:w="1361" w:type="dxa"/>
            <w:vAlign w:val="center"/>
          </w:tcPr>
          <w:p>
            <w:pPr>
              <w:pStyle w:val="13"/>
            </w:pPr>
            <w:r>
              <w:t>224.89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224.89</w:t>
            </w:r>
          </w:p>
        </w:tc>
        <w:tc>
          <w:tcPr>
            <w:tcW w:w="1361" w:type="dxa"/>
            <w:vAlign w:val="center"/>
          </w:tcPr>
          <w:p>
            <w:pPr>
              <w:pStyle w:val="13"/>
            </w:pPr>
            <w:r>
              <w:t>224.89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2013202</w:t>
            </w:r>
          </w:p>
        </w:tc>
        <w:tc>
          <w:tcPr>
            <w:tcW w:w="4535" w:type="dxa"/>
            <w:vAlign w:val="center"/>
          </w:tcPr>
          <w:p>
            <w:pPr>
              <w:pStyle w:val="14"/>
            </w:pPr>
            <w:r>
              <w:t>一般行政管理事务</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39.27</w:t>
            </w:r>
          </w:p>
        </w:tc>
        <w:tc>
          <w:tcPr>
            <w:tcW w:w="1361" w:type="dxa"/>
            <w:vAlign w:val="center"/>
          </w:tcPr>
          <w:p>
            <w:pPr>
              <w:pStyle w:val="13"/>
            </w:pPr>
            <w:r>
              <w:t>39.27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39.27</w:t>
            </w:r>
          </w:p>
        </w:tc>
        <w:tc>
          <w:tcPr>
            <w:tcW w:w="1361" w:type="dxa"/>
            <w:vAlign w:val="center"/>
          </w:tcPr>
          <w:p>
            <w:pPr>
              <w:pStyle w:val="13"/>
            </w:pPr>
            <w:r>
              <w:t>39.27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2.31</w:t>
            </w:r>
          </w:p>
        </w:tc>
        <w:tc>
          <w:tcPr>
            <w:tcW w:w="1361" w:type="dxa"/>
            <w:vAlign w:val="center"/>
          </w:tcPr>
          <w:p>
            <w:pPr>
              <w:pStyle w:val="13"/>
            </w:pPr>
            <w:r>
              <w:t>2.31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24.64</w:t>
            </w:r>
          </w:p>
        </w:tc>
        <w:tc>
          <w:tcPr>
            <w:tcW w:w="1361" w:type="dxa"/>
            <w:vAlign w:val="center"/>
          </w:tcPr>
          <w:p>
            <w:pPr>
              <w:pStyle w:val="13"/>
            </w:pPr>
            <w:r>
              <w:t>24.64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12.32</w:t>
            </w:r>
          </w:p>
        </w:tc>
        <w:tc>
          <w:tcPr>
            <w:tcW w:w="1361" w:type="dxa"/>
            <w:vAlign w:val="center"/>
          </w:tcPr>
          <w:p>
            <w:pPr>
              <w:pStyle w:val="13"/>
            </w:pPr>
            <w:r>
              <w:t>12.32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14.11</w:t>
            </w:r>
          </w:p>
        </w:tc>
        <w:tc>
          <w:tcPr>
            <w:tcW w:w="1361" w:type="dxa"/>
            <w:vAlign w:val="center"/>
          </w:tcPr>
          <w:p>
            <w:pPr>
              <w:pStyle w:val="13"/>
            </w:pPr>
            <w:r>
              <w:t>14.11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14.11</w:t>
            </w:r>
          </w:p>
        </w:tc>
        <w:tc>
          <w:tcPr>
            <w:tcW w:w="1361" w:type="dxa"/>
            <w:vAlign w:val="center"/>
          </w:tcPr>
          <w:p>
            <w:pPr>
              <w:pStyle w:val="13"/>
            </w:pPr>
            <w:r>
              <w:t>14.11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14.11</w:t>
            </w:r>
          </w:p>
        </w:tc>
        <w:tc>
          <w:tcPr>
            <w:tcW w:w="1361" w:type="dxa"/>
            <w:vAlign w:val="center"/>
          </w:tcPr>
          <w:p>
            <w:pPr>
              <w:pStyle w:val="13"/>
            </w:pPr>
            <w:r>
              <w:t>14.11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295.95</w:t>
            </w:r>
          </w:p>
        </w:tc>
        <w:tc>
          <w:tcPr>
            <w:tcW w:w="3402" w:type="dxa"/>
            <w:vAlign w:val="center"/>
          </w:tcPr>
          <w:p>
            <w:pPr>
              <w:pStyle w:val="14"/>
            </w:pPr>
            <w:r>
              <w:t>一、一般公共服务支出</w:t>
            </w:r>
          </w:p>
        </w:tc>
        <w:tc>
          <w:tcPr>
            <w:tcW w:w="1474" w:type="dxa"/>
            <w:vAlign w:val="center"/>
          </w:tcPr>
          <w:p>
            <w:pPr>
              <w:pStyle w:val="13"/>
            </w:pPr>
            <w:r>
              <w:t>242.56</w:t>
            </w:r>
          </w:p>
        </w:tc>
        <w:tc>
          <w:tcPr>
            <w:tcW w:w="1474" w:type="dxa"/>
            <w:vAlign w:val="center"/>
          </w:tcPr>
          <w:p>
            <w:pPr>
              <w:pStyle w:val="13"/>
            </w:pPr>
            <w:r>
              <w:t>242.56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39.27</w:t>
            </w:r>
          </w:p>
        </w:tc>
        <w:tc>
          <w:tcPr>
            <w:tcW w:w="1474" w:type="dxa"/>
            <w:vAlign w:val="center"/>
          </w:tcPr>
          <w:p>
            <w:pPr>
              <w:pStyle w:val="13"/>
            </w:pPr>
            <w:r>
              <w:t>39.27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14.11</w:t>
            </w:r>
          </w:p>
        </w:tc>
        <w:tc>
          <w:tcPr>
            <w:tcW w:w="1474" w:type="dxa"/>
            <w:vAlign w:val="center"/>
          </w:tcPr>
          <w:p>
            <w:pPr>
              <w:pStyle w:val="13"/>
            </w:pPr>
            <w:r>
              <w:t>14.11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295.95</w:t>
            </w:r>
          </w:p>
        </w:tc>
        <w:tc>
          <w:tcPr>
            <w:tcW w:w="3402" w:type="dxa"/>
            <w:vAlign w:val="center"/>
          </w:tcPr>
          <w:p>
            <w:pPr>
              <w:pStyle w:val="16"/>
            </w:pPr>
            <w:r>
              <w:t>本年支出合计</w:t>
            </w:r>
          </w:p>
        </w:tc>
        <w:tc>
          <w:tcPr>
            <w:tcW w:w="1474" w:type="dxa"/>
            <w:vAlign w:val="center"/>
          </w:tcPr>
          <w:p>
            <w:pPr>
              <w:pStyle w:val="17"/>
            </w:pPr>
            <w:r>
              <w:t>295.95</w:t>
            </w:r>
          </w:p>
        </w:tc>
        <w:tc>
          <w:tcPr>
            <w:tcW w:w="1474" w:type="dxa"/>
            <w:vAlign w:val="center"/>
          </w:tcPr>
          <w:p>
            <w:pPr>
              <w:pStyle w:val="17"/>
            </w:pPr>
            <w:r>
              <w:t>295.95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295.95</w:t>
            </w:r>
          </w:p>
        </w:tc>
        <w:tc>
          <w:tcPr>
            <w:tcW w:w="3402" w:type="dxa"/>
            <w:vAlign w:val="center"/>
          </w:tcPr>
          <w:p>
            <w:pPr>
              <w:pStyle w:val="16"/>
            </w:pPr>
            <w:r>
              <w:t>支出总计</w:t>
            </w:r>
          </w:p>
        </w:tc>
        <w:tc>
          <w:tcPr>
            <w:tcW w:w="1474" w:type="dxa"/>
            <w:vAlign w:val="center"/>
          </w:tcPr>
          <w:p>
            <w:pPr>
              <w:pStyle w:val="17"/>
            </w:pPr>
            <w:r>
              <w:t>295.95</w:t>
            </w:r>
          </w:p>
        </w:tc>
        <w:tc>
          <w:tcPr>
            <w:tcW w:w="1474" w:type="dxa"/>
            <w:vAlign w:val="center"/>
          </w:tcPr>
          <w:p>
            <w:pPr>
              <w:pStyle w:val="17"/>
            </w:pPr>
            <w:r>
              <w:t>295.95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295.95</w:t>
            </w:r>
          </w:p>
        </w:tc>
        <w:tc>
          <w:tcPr>
            <w:tcW w:w="2551" w:type="dxa"/>
            <w:vAlign w:val="center"/>
          </w:tcPr>
          <w:p>
            <w:pPr>
              <w:pStyle w:val="17"/>
            </w:pPr>
            <w:r>
              <w:t>278.28</w:t>
            </w:r>
          </w:p>
        </w:tc>
        <w:tc>
          <w:tcPr>
            <w:tcW w:w="2551" w:type="dxa"/>
            <w:vAlign w:val="center"/>
          </w:tcPr>
          <w:p>
            <w:pPr>
              <w:pStyle w:val="17"/>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242.56</w:t>
            </w:r>
          </w:p>
        </w:tc>
        <w:tc>
          <w:tcPr>
            <w:tcW w:w="2551" w:type="dxa"/>
            <w:vAlign w:val="center"/>
          </w:tcPr>
          <w:p>
            <w:pPr>
              <w:pStyle w:val="13"/>
            </w:pPr>
            <w:r>
              <w:t>224.89</w:t>
            </w:r>
          </w:p>
        </w:tc>
        <w:tc>
          <w:tcPr>
            <w:tcW w:w="2551" w:type="dxa"/>
            <w:vAlign w:val="center"/>
          </w:tcPr>
          <w:p>
            <w:pPr>
              <w:pStyle w:val="13"/>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224.89</w:t>
            </w:r>
          </w:p>
        </w:tc>
        <w:tc>
          <w:tcPr>
            <w:tcW w:w="2551" w:type="dxa"/>
            <w:vAlign w:val="center"/>
          </w:tcPr>
          <w:p>
            <w:pPr>
              <w:pStyle w:val="13"/>
            </w:pPr>
            <w:r>
              <w:t>224.89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224.89</w:t>
            </w:r>
          </w:p>
        </w:tc>
        <w:tc>
          <w:tcPr>
            <w:tcW w:w="2551" w:type="dxa"/>
            <w:vAlign w:val="center"/>
          </w:tcPr>
          <w:p>
            <w:pPr>
              <w:pStyle w:val="13"/>
            </w:pPr>
            <w:r>
              <w:t>224.89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17.67</w:t>
            </w:r>
          </w:p>
        </w:tc>
        <w:tc>
          <w:tcPr>
            <w:tcW w:w="2551" w:type="dxa"/>
            <w:vAlign w:val="center"/>
          </w:tcPr>
          <w:p>
            <w:pPr>
              <w:pStyle w:val="13"/>
            </w:pPr>
          </w:p>
        </w:tc>
        <w:tc>
          <w:tcPr>
            <w:tcW w:w="2551" w:type="dxa"/>
            <w:vAlign w:val="center"/>
          </w:tcPr>
          <w:p>
            <w:pPr>
              <w:pStyle w:val="13"/>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2013202</w:t>
            </w:r>
          </w:p>
        </w:tc>
        <w:tc>
          <w:tcPr>
            <w:tcW w:w="4535" w:type="dxa"/>
            <w:vAlign w:val="center"/>
          </w:tcPr>
          <w:p>
            <w:pPr>
              <w:pStyle w:val="14"/>
            </w:pPr>
            <w:r>
              <w:t>一般行政管理事务</w:t>
            </w:r>
          </w:p>
        </w:tc>
        <w:tc>
          <w:tcPr>
            <w:tcW w:w="2551" w:type="dxa"/>
            <w:vAlign w:val="center"/>
          </w:tcPr>
          <w:p>
            <w:pPr>
              <w:pStyle w:val="13"/>
            </w:pPr>
            <w:r>
              <w:t>17.67</w:t>
            </w:r>
          </w:p>
        </w:tc>
        <w:tc>
          <w:tcPr>
            <w:tcW w:w="2551" w:type="dxa"/>
            <w:vAlign w:val="center"/>
          </w:tcPr>
          <w:p>
            <w:pPr>
              <w:pStyle w:val="13"/>
            </w:pPr>
          </w:p>
        </w:tc>
        <w:tc>
          <w:tcPr>
            <w:tcW w:w="2551" w:type="dxa"/>
            <w:vAlign w:val="center"/>
          </w:tcPr>
          <w:p>
            <w:pPr>
              <w:pStyle w:val="13"/>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39.27</w:t>
            </w:r>
          </w:p>
        </w:tc>
        <w:tc>
          <w:tcPr>
            <w:tcW w:w="2551" w:type="dxa"/>
            <w:vAlign w:val="center"/>
          </w:tcPr>
          <w:p>
            <w:pPr>
              <w:pStyle w:val="13"/>
            </w:pPr>
            <w:r>
              <w:t>39.27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39.27</w:t>
            </w:r>
          </w:p>
        </w:tc>
        <w:tc>
          <w:tcPr>
            <w:tcW w:w="2551" w:type="dxa"/>
            <w:vAlign w:val="center"/>
          </w:tcPr>
          <w:p>
            <w:pPr>
              <w:pStyle w:val="13"/>
            </w:pPr>
            <w:r>
              <w:t>39.27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2.31</w:t>
            </w:r>
          </w:p>
        </w:tc>
        <w:tc>
          <w:tcPr>
            <w:tcW w:w="2551" w:type="dxa"/>
            <w:vAlign w:val="center"/>
          </w:tcPr>
          <w:p>
            <w:pPr>
              <w:pStyle w:val="13"/>
            </w:pPr>
            <w:r>
              <w:t>2.31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24.64</w:t>
            </w:r>
          </w:p>
        </w:tc>
        <w:tc>
          <w:tcPr>
            <w:tcW w:w="2551" w:type="dxa"/>
            <w:vAlign w:val="center"/>
          </w:tcPr>
          <w:p>
            <w:pPr>
              <w:pStyle w:val="13"/>
            </w:pPr>
            <w:r>
              <w:t>24.64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12.32</w:t>
            </w:r>
          </w:p>
        </w:tc>
        <w:tc>
          <w:tcPr>
            <w:tcW w:w="2551" w:type="dxa"/>
            <w:vAlign w:val="center"/>
          </w:tcPr>
          <w:p>
            <w:pPr>
              <w:pStyle w:val="13"/>
            </w:pPr>
            <w:r>
              <w:t>12.32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14.11</w:t>
            </w:r>
          </w:p>
        </w:tc>
        <w:tc>
          <w:tcPr>
            <w:tcW w:w="2551" w:type="dxa"/>
            <w:vAlign w:val="center"/>
          </w:tcPr>
          <w:p>
            <w:pPr>
              <w:pStyle w:val="13"/>
            </w:pPr>
            <w:r>
              <w:t>14.11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14.11</w:t>
            </w:r>
          </w:p>
        </w:tc>
        <w:tc>
          <w:tcPr>
            <w:tcW w:w="2551" w:type="dxa"/>
            <w:vAlign w:val="center"/>
          </w:tcPr>
          <w:p>
            <w:pPr>
              <w:pStyle w:val="13"/>
            </w:pPr>
            <w:r>
              <w:t>14.11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14.11</w:t>
            </w:r>
          </w:p>
        </w:tc>
        <w:tc>
          <w:tcPr>
            <w:tcW w:w="2551" w:type="dxa"/>
            <w:vAlign w:val="center"/>
          </w:tcPr>
          <w:p>
            <w:pPr>
              <w:pStyle w:val="13"/>
            </w:pPr>
            <w:r>
              <w:t>14.11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278.28</w:t>
            </w:r>
          </w:p>
        </w:tc>
        <w:tc>
          <w:tcPr>
            <w:tcW w:w="2551" w:type="dxa"/>
            <w:vAlign w:val="center"/>
          </w:tcPr>
          <w:p>
            <w:pPr>
              <w:pStyle w:val="17"/>
            </w:pPr>
            <w:r>
              <w:t>241.74</w:t>
            </w:r>
          </w:p>
        </w:tc>
        <w:tc>
          <w:tcPr>
            <w:tcW w:w="2551" w:type="dxa"/>
            <w:vAlign w:val="center"/>
          </w:tcPr>
          <w:p>
            <w:pPr>
              <w:pStyle w:val="17"/>
            </w:pPr>
            <w:r>
              <w:t>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239.43</w:t>
            </w:r>
          </w:p>
        </w:tc>
        <w:tc>
          <w:tcPr>
            <w:tcW w:w="2551" w:type="dxa"/>
            <w:vAlign w:val="center"/>
          </w:tcPr>
          <w:p>
            <w:pPr>
              <w:pStyle w:val="13"/>
            </w:pPr>
            <w:r>
              <w:t>239.43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163.76</w:t>
            </w:r>
          </w:p>
        </w:tc>
        <w:tc>
          <w:tcPr>
            <w:tcW w:w="2551" w:type="dxa"/>
            <w:vAlign w:val="center"/>
          </w:tcPr>
          <w:p>
            <w:pPr>
              <w:pStyle w:val="13"/>
            </w:pPr>
            <w:r>
              <w:t>163.76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12.18</w:t>
            </w:r>
          </w:p>
        </w:tc>
        <w:tc>
          <w:tcPr>
            <w:tcW w:w="2551" w:type="dxa"/>
            <w:vAlign w:val="center"/>
          </w:tcPr>
          <w:p>
            <w:pPr>
              <w:pStyle w:val="13"/>
            </w:pPr>
            <w:r>
              <w:t>12.18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5.96</w:t>
            </w:r>
          </w:p>
        </w:tc>
        <w:tc>
          <w:tcPr>
            <w:tcW w:w="2551" w:type="dxa"/>
            <w:vAlign w:val="center"/>
          </w:tcPr>
          <w:p>
            <w:pPr>
              <w:pStyle w:val="13"/>
            </w:pPr>
            <w:r>
              <w:t>5.96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6.44</w:t>
            </w:r>
          </w:p>
        </w:tc>
        <w:tc>
          <w:tcPr>
            <w:tcW w:w="2551" w:type="dxa"/>
            <w:vAlign w:val="center"/>
          </w:tcPr>
          <w:p>
            <w:pPr>
              <w:pStyle w:val="13"/>
            </w:pPr>
            <w:r>
              <w:t>6.44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24.64</w:t>
            </w:r>
          </w:p>
        </w:tc>
        <w:tc>
          <w:tcPr>
            <w:tcW w:w="2551" w:type="dxa"/>
            <w:vAlign w:val="center"/>
          </w:tcPr>
          <w:p>
            <w:pPr>
              <w:pStyle w:val="13"/>
            </w:pPr>
            <w:r>
              <w:t>24.64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12.32</w:t>
            </w:r>
          </w:p>
        </w:tc>
        <w:tc>
          <w:tcPr>
            <w:tcW w:w="2551" w:type="dxa"/>
            <w:vAlign w:val="center"/>
          </w:tcPr>
          <w:p>
            <w:pPr>
              <w:pStyle w:val="13"/>
            </w:pPr>
            <w:r>
              <w:t>12.32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14.11</w:t>
            </w:r>
          </w:p>
        </w:tc>
        <w:tc>
          <w:tcPr>
            <w:tcW w:w="2551" w:type="dxa"/>
            <w:vAlign w:val="center"/>
          </w:tcPr>
          <w:p>
            <w:pPr>
              <w:pStyle w:val="13"/>
            </w:pPr>
            <w:r>
              <w:t>14.11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36.54</w:t>
            </w:r>
          </w:p>
        </w:tc>
        <w:tc>
          <w:tcPr>
            <w:tcW w:w="2551" w:type="dxa"/>
            <w:vAlign w:val="center"/>
          </w:tcPr>
          <w:p>
            <w:pPr>
              <w:pStyle w:val="13"/>
            </w:pPr>
          </w:p>
        </w:tc>
        <w:tc>
          <w:tcPr>
            <w:tcW w:w="2551" w:type="dxa"/>
            <w:vAlign w:val="center"/>
          </w:tcPr>
          <w:p>
            <w:pPr>
              <w:pStyle w:val="13"/>
            </w:pPr>
            <w:r>
              <w:t>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10.22</w:t>
            </w:r>
          </w:p>
        </w:tc>
        <w:tc>
          <w:tcPr>
            <w:tcW w:w="2551" w:type="dxa"/>
            <w:vAlign w:val="center"/>
          </w:tcPr>
          <w:p>
            <w:pPr>
              <w:pStyle w:val="13"/>
            </w:pPr>
          </w:p>
        </w:tc>
        <w:tc>
          <w:tcPr>
            <w:tcW w:w="2551" w:type="dxa"/>
            <w:vAlign w:val="center"/>
          </w:tcPr>
          <w:p>
            <w:pPr>
              <w:pStyle w:val="13"/>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1.78</w:t>
            </w:r>
          </w:p>
        </w:tc>
        <w:tc>
          <w:tcPr>
            <w:tcW w:w="2551" w:type="dxa"/>
            <w:vAlign w:val="center"/>
          </w:tcPr>
          <w:p>
            <w:pPr>
              <w:pStyle w:val="13"/>
            </w:pPr>
          </w:p>
        </w:tc>
        <w:tc>
          <w:tcPr>
            <w:tcW w:w="2551" w:type="dxa"/>
            <w:vAlign w:val="center"/>
          </w:tcPr>
          <w:p>
            <w:pPr>
              <w:pStyle w:val="13"/>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9.54</w:t>
            </w:r>
          </w:p>
        </w:tc>
        <w:tc>
          <w:tcPr>
            <w:tcW w:w="2551" w:type="dxa"/>
            <w:vAlign w:val="center"/>
          </w:tcPr>
          <w:p>
            <w:pPr>
              <w:pStyle w:val="13"/>
            </w:pPr>
          </w:p>
        </w:tc>
        <w:tc>
          <w:tcPr>
            <w:tcW w:w="2551" w:type="dxa"/>
            <w:vAlign w:val="center"/>
          </w:tcPr>
          <w:p>
            <w:pPr>
              <w:pStyle w:val="13"/>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2.31</w:t>
            </w:r>
          </w:p>
        </w:tc>
        <w:tc>
          <w:tcPr>
            <w:tcW w:w="2551" w:type="dxa"/>
            <w:vAlign w:val="center"/>
          </w:tcPr>
          <w:p>
            <w:pPr>
              <w:pStyle w:val="13"/>
            </w:pPr>
            <w:r>
              <w:t>2.31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2.31</w:t>
            </w:r>
          </w:p>
        </w:tc>
        <w:tc>
          <w:tcPr>
            <w:tcW w:w="2551" w:type="dxa"/>
            <w:vAlign w:val="center"/>
          </w:tcPr>
          <w:p>
            <w:pPr>
              <w:pStyle w:val="13"/>
            </w:pPr>
            <w:r>
              <w:t>2.31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中共魏县县委机构编制委员会办公室2023年部门预算信息公开情况说明</w:t>
      </w:r>
    </w:p>
    <w:p>
      <w:pPr>
        <w:jc w:val="center"/>
      </w:pPr>
      <w:r>
        <w:rPr>
          <w:rFonts w:ascii="方正小标宋_GBK" w:hAnsi="方正小标宋_GBK" w:eastAsia="方正小标宋_GBK" w:cs="方正小标宋_GBK"/>
          <w:color w:val="000000"/>
          <w:sz w:val="44"/>
        </w:rPr>
        <w:t>中共魏县县委机构编制委员会办公室2023年部门预算信息公开情况说明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按照《预算法》、《地方预决算公开操作规程》和《关于进一步推进预算公开工作的实施意见》规定，现将中共魏县县委机构编制委员会办公室2023年部门预算公开如下：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根据《中共魏县县委机构编制委员会办公室职能配置、内设机构和人员编制规定》， 中共魏县县委机构编制委员会办公室的主要职责是：</w:t>
      </w:r>
    </w:p>
    <w:p>
      <w:pPr>
        <w:pStyle w:val="19"/>
      </w:pPr>
      <w:r>
        <w:t>（一）贯彻落实党中央、国务院、省、市关于行政管理体制和机构改革以及机构编制管理的政策法规，组织拟订全县行政管理体制和机构改革以及机构管理的规范性文件并监督实施；管理和指导全县各级党政机关，人大、政协、法院、检察院机关，各民</w:t>
      </w:r>
      <w:r>
        <w:rPr>
          <w:rFonts w:hint="eastAsia"/>
          <w:lang w:val="en-US" w:eastAsia="zh-CN"/>
        </w:rPr>
        <w:t>主</w:t>
      </w:r>
      <w:r>
        <w:t>党派、人民团体机关的机构编制工作；管理和指导全县事业单位机构编制工作。</w:t>
      </w:r>
    </w:p>
    <w:p>
      <w:pPr>
        <w:pStyle w:val="19"/>
      </w:pPr>
      <w:r>
        <w:t>（二）组织拟订全县行政管理体制和机构改革总体方案并组织实施。审核县委、县政府各部门职能配置、机构设置、人员编制和领导职数。审核并管理全县各级各类人员编制总额。指导协调各乡镇行政管理体制和机构改革以及机构编制管理工作。</w:t>
      </w:r>
    </w:p>
    <w:p>
      <w:pPr>
        <w:pStyle w:val="19"/>
      </w:pPr>
      <w:r>
        <w:t>(三)协调县委、县政府各部门的职能配置及其调整。协调县委各部门之间、县政府各部门之间、县委各部门与县政府各部门之间以及县直各部门与乡镇之间的职责分工。研究提出参照公务员法管理事业单位的行政管理职能认定意见。</w:t>
      </w:r>
    </w:p>
    <w:p>
      <w:pPr>
        <w:pStyle w:val="19"/>
      </w:pPr>
      <w:r>
        <w:t>（四）审核县委、县政府及各部门派出机构的职能配置、机构设置、人员编制和领导职数。审核乡镇机构编制分类。负责上级垂直管理部门或双重管理部门需要承办的机构编制有关事宜。</w:t>
      </w:r>
    </w:p>
    <w:p>
      <w:pPr>
        <w:pStyle w:val="19"/>
      </w:pPr>
      <w:r>
        <w:t>（五）审核县人大、政协、法院、检察院、各民主党派、人民团体机关的职能配置、机构设置、人员编制和领导职数。</w:t>
      </w:r>
    </w:p>
    <w:p>
      <w:pPr>
        <w:pStyle w:val="19"/>
      </w:pPr>
      <w:r>
        <w:t>（六）组织拟订全县事业单位管理体制和机构改革方案，制定各类事业单位人员编制标准和管理办法，审核县委、县政府直属事业单位以及县直各部门所属事业单位的机构编制事宜。指导并协调乡镇及以下事业单位管理体制改革和机构编制管理工作。审核县委、县政府及县直各部门联系的各群众团体的机构编制事宜。负责全县事业单位法人登记管理和法人监督检查工作。</w:t>
      </w:r>
    </w:p>
    <w:p>
      <w:pPr>
        <w:pStyle w:val="19"/>
      </w:pPr>
      <w:r>
        <w:t>（七）负责全县机构编制的日常管理。负责对全县机构编制的总量控制、动态管理和机构编制标准化工作。负责全县机构编制实名制管理以及编制使用核准等工作。建立健全机构编制部门的各项规章制度，推进机构编制工作走向科学化、规范化、法制化轨道。</w:t>
      </w:r>
    </w:p>
    <w:p>
      <w:pPr>
        <w:pStyle w:val="19"/>
      </w:pPr>
      <w:r>
        <w:t>（八）负责对全县行政、事业单位管理体制和机构改革及机构编制执行情况的跟踪评估和监督检查。负责受理违反机构编制法规、纪律的检举、控告和投诉，对违反机构编制法规、纪律问题进行调查处理。</w:t>
      </w:r>
    </w:p>
    <w:p>
      <w:pPr>
        <w:pStyle w:val="19"/>
      </w:pPr>
      <w:r>
        <w:t>（九）负责全县机构编制信息管理和统计工作。负责全县机关事业单位中文域名注册管理工作。指导各乡镇机构编制信息化建设工作。负责县委、县政府有关机构编制工作和县机构编制委员会各类会务。</w:t>
      </w:r>
    </w:p>
    <w:p>
      <w:pPr>
        <w:pStyle w:val="19"/>
      </w:pPr>
      <w:r>
        <w:t>（十）负责县政府行政审批制度改革领导小组办公室的日常工作；指导和协调全县行政审批制度改革工作；组织拟订全县行政审批制度改革的地方性法规规章和政策性文件并监督实施；负责协调落实市政府取消下放的行政审批制度改革项目等事项；负责审核县级行政审批制度改革项目，提出取消、下放、保留的意见，制定有关监管的措施和规定并组织实施；负责行政审批项目的登记备案、取消调整、目录编制和审批流程等标准化管理工作；负责全县行政审批制度改革的监督检查和综合考核评价工作。</w:t>
      </w:r>
    </w:p>
    <w:p>
      <w:pPr>
        <w:pStyle w:val="19"/>
      </w:pPr>
      <w:r>
        <w:t>（十一）完成县委、县政府和县机构编制委员会交办的其它事项。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中共魏县县委机构编制委员会办公室本级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按照预算管理有关规定，目前我县部门预算的编制实行综合预算管理，即全部收入和支出都反映在预算中。中共魏县县委机构编制委员会办公室机关及所属事业单位的收支包含在部门预算中。</w:t>
      </w:r>
    </w:p>
    <w:p>
      <w:pPr>
        <w:pStyle w:val="20"/>
      </w:pPr>
      <w:r>
        <w:t>1、收入说明：2023年收入预算共计295.95万元，全部为财政拨款收入。</w:t>
      </w:r>
    </w:p>
    <w:p>
      <w:pPr>
        <w:pStyle w:val="20"/>
      </w:pPr>
      <w:r>
        <w:t>2、支出说明：2023年支出预算共计295.95万元，其中：人员经费支出预:251.28万元，日常公用经费支出预算27万元，专项项目支出17.67元。</w:t>
      </w:r>
    </w:p>
    <w:p>
      <w:pPr>
        <w:pStyle w:val="20"/>
      </w:pPr>
      <w:r>
        <w:t>3、比上年增减情况：经过对比测算，2023年财政拨款预算比2022年增加25.53万元，主要是：人员经费支出增加7.86万元，主要是人员正常晋级调资、绩效工资调整增加；日常公用经费支出减少1万元，主要是人员流动；专项项目经费增加17.67万元，主要是编办相关作开展需要。</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eastAsiaTheme="minorEastAsia"/>
          <w:lang w:eastAsia="zh-CN"/>
        </w:rPr>
        <w:t>36.54</w:t>
      </w:r>
      <w: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2万元，其中：因公出国(境)费0万元，与去年持平；公务用车购置及运维费2.0万元(其中：公务用车购置费为0万元，公务用车运行费2.0万元)，与去年持平；公务接待费0万元，与去年持平。主要原因是我单位根据单位业务需要和工作安排，按照有关要求，强化“三公”经费管理，压减相关经费支出已达最低线，未再对相关经费进行压减。</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以习近平新时代中国特色社会主义思想为指引，以推进国家治理体系和治理能力现代化为导向，深入贯彻中央十九大和</w:t>
      </w:r>
      <w:r>
        <w:rPr>
          <w:rFonts w:hint="eastAsia"/>
          <w:lang w:eastAsia="zh-CN"/>
        </w:rPr>
        <w:t>习近平总书记系列重要讲话精神</w:t>
      </w:r>
      <w:r>
        <w:t>，紧扣县委、县政府确定的目标任务，进一步优化部门职责配置，实现权责一致、履职到位、流程顺畅，进一步推进机构编制科学化规范化法定化，管住管好用活机构编制，严控总量、统筹使用，科学增减、妥善处理降低行政成本与满足发展需要之间关系。2023年，积极配合中央、省、市编办各项政策制定和执行，调整优化机构设置和职能配置，全力打造体制机制创新高地；开展事业单位改革试点“回头看”，重点围绕事业单位“三定”规定落实是否到位、人员划转及领导班子配备是否到位、“两清单、一章程”落实及公开是否到位，扎实推动各项改革措施落地落实。</w:t>
      </w:r>
    </w:p>
    <w:p>
      <w:pPr>
        <w:spacing w:line="500" w:lineRule="exact"/>
        <w:ind w:firstLine="560"/>
      </w:pPr>
      <w:r>
        <w:rPr>
          <w:rFonts w:eastAsia="方正仿宋_GBK"/>
          <w:color w:val="000000"/>
          <w:sz w:val="28"/>
        </w:rPr>
        <w:t>（二）分项绩效目标</w:t>
      </w:r>
    </w:p>
    <w:p>
      <w:pPr>
        <w:pStyle w:val="24"/>
      </w:pPr>
      <w:r>
        <w:t>1、行政单位管理体制和机构改革:推进县级机构改革,党群政法部门体制改革,经济发达镇行政管理体制改革试点，深化乡镇改革,各类功能园区管理体制机制改革，县人大、县政协、县监察委和县级各民主党派、人民团体机关改革。</w:t>
      </w:r>
    </w:p>
    <w:p>
      <w:pPr>
        <w:pStyle w:val="24"/>
      </w:pPr>
      <w:r>
        <w:t>2、事业单位管理体制和机构改革:扎实推进事业单位分类改革,扎实推进事业单位法人治理结构试点工作</w:t>
      </w:r>
    </w:p>
    <w:p>
      <w:pPr>
        <w:pStyle w:val="24"/>
      </w:pPr>
      <w:r>
        <w:t>3、机构编制监管：全面推行实名制管理和编制使用核准,及时查处机构编制违法违纪案件</w:t>
      </w:r>
    </w:p>
    <w:p>
      <w:pPr>
        <w:pStyle w:val="24"/>
      </w:pPr>
      <w:r>
        <w:t>4、机构编制标准化管理：制定适应我县发展的机关事业单位机构编制标准体系。</w:t>
      </w:r>
    </w:p>
    <w:p>
      <w:pPr>
        <w:pStyle w:val="24"/>
      </w:pPr>
      <w:r>
        <w:t>5、事业单位法人登记管理：加强完善事业单位登记管理工作。</w:t>
      </w:r>
    </w:p>
    <w:p>
      <w:pPr>
        <w:pStyle w:val="24"/>
      </w:pPr>
      <w:r>
        <w:t>6、党政群机关统一社会信用代码赋码管理工作：完成制定各类事业单位人员编制管理办法，负责推进事业单位机构编制标准体系建设。及时完成全县党政群机关统一社会信用代码赋码管理工作，各级党政机关权责清单动态调整工作整理县乡两级权责清单调整工作，根据上级要求，实现动态调整机制。</w:t>
      </w:r>
    </w:p>
    <w:p>
      <w:pPr>
        <w:pStyle w:val="24"/>
      </w:pPr>
      <w:r>
        <w:t>7、事业单位分类改革：加强全县事业单位分类改革的具体工作，推进事业单位分类改革共性问题的研究和衔接，指导并组织县直部门开展事业单位清理规范和分类工作。</w:t>
      </w:r>
    </w:p>
    <w:p>
      <w:pPr>
        <w:pStyle w:val="24"/>
      </w:pPr>
      <w:r>
        <w:t>8、综合事务管理：负责全县机构编制信息管理系统、电子政务和机构编制网站的建设和管理，全县机构编制统计、数据分析工作，全县机关事业单位中文域名管理。负责全县机构编制电子政务和信息化工作。负责全县机构编制统计工作；负责机构编制网站的建设管理以及网络安全工作；指导全县党政群机关、事业单位和其他非营利性单位网上名称管理工作；指导各乡镇机构编制电子政务建设和信息化建设工作。机构编制信息平台和网站运行，机关事业单位中文域名注册管理完成情况，县委县政府交办的其他任务完成情况。</w:t>
      </w:r>
    </w:p>
    <w:p>
      <w:pPr>
        <w:spacing w:line="500" w:lineRule="exact"/>
        <w:ind w:firstLine="560"/>
      </w:pPr>
      <w:r>
        <w:rPr>
          <w:rFonts w:eastAsia="方正仿宋_GBK"/>
          <w:color w:val="000000"/>
          <w:sz w:val="28"/>
        </w:rPr>
        <w:t>（三）工作保障措施</w:t>
      </w:r>
    </w:p>
    <w:p>
      <w:pPr>
        <w:pStyle w:val="25"/>
      </w:pPr>
      <w:r>
        <w:t>1、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p>
      <w:pPr>
        <w:pStyle w:val="25"/>
      </w:pPr>
      <w:r>
        <w:t>2、制定各类事业单位人员编制管理办法，负责推进事业单位机构编制标准体系建设。强化社会管理和公共服务。规范行政行为，加强行政执法部门建设，减少和规范行政审批。制定适应我县发展的机关事业单位机构编制标准体系。</w:t>
      </w:r>
    </w:p>
    <w:p>
      <w:pPr>
        <w:pStyle w:val="25"/>
      </w:pPr>
      <w:r>
        <w:t>3、全面整理县乡两级权责清单工作。开展加强动态调整权责清单改工作指导和培训。加强全县事业单位分类改革的具体，推进事业单位分类改革共性问题的研究和衔接，指导并组织县直部门开展事业单位清理规范和分类工作</w:t>
      </w:r>
    </w:p>
    <w:p>
      <w:pPr>
        <w:pStyle w:val="25"/>
      </w:pPr>
      <w:r>
        <w:t>4、做好机关人员管理及保障工作，为充分发挥职能作用提供有效保障。加强机关党组织建设，严格组织生活制度，丰富党建活动内容，做好党员发展、教育、管理和党务干部的教育培训工作，充分发挥党组织的战斗堡垒作用和党员的先锋模范作用。</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1、电子政务内网运行维护费绩效目标表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1.县级机构编制部门牵头负责组建“一网通办”工作，按照“应连尽连”原则，接入电子政务内网，资金需求5万元。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电子政务内网正常运行</w:t>
            </w:r>
          </w:p>
        </w:tc>
        <w:tc>
          <w:tcPr>
            <w:tcW w:w="2835" w:type="dxa"/>
            <w:vAlign w:val="center"/>
          </w:tcPr>
          <w:p>
            <w:pPr>
              <w:pStyle w:val="14"/>
            </w:pPr>
            <w:r>
              <w:t>电子政务内网正常运行率</w:t>
            </w:r>
          </w:p>
        </w:tc>
        <w:tc>
          <w:tcPr>
            <w:tcW w:w="2551" w:type="dxa"/>
            <w:vAlign w:val="center"/>
          </w:tcPr>
          <w:p>
            <w:pPr>
              <w:pStyle w:val="14"/>
            </w:pPr>
            <w:r>
              <w:t>100%</w:t>
            </w:r>
          </w:p>
        </w:tc>
        <w:tc>
          <w:tcPr>
            <w:tcW w:w="2268" w:type="dxa"/>
            <w:vAlign w:val="center"/>
          </w:tcPr>
          <w:p>
            <w:pPr>
              <w:pStyle w:val="14"/>
            </w:pPr>
            <w:r>
              <w:t>邯编办字[2020]234号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电子政务内网接入数量</w:t>
            </w:r>
          </w:p>
        </w:tc>
        <w:tc>
          <w:tcPr>
            <w:tcW w:w="2835" w:type="dxa"/>
            <w:vAlign w:val="center"/>
          </w:tcPr>
          <w:p>
            <w:pPr>
              <w:pStyle w:val="14"/>
            </w:pPr>
            <w:r>
              <w:t>组织人社编办财政等相关部门接入内网数量</w:t>
            </w:r>
          </w:p>
        </w:tc>
        <w:tc>
          <w:tcPr>
            <w:tcW w:w="2551" w:type="dxa"/>
            <w:vAlign w:val="center"/>
          </w:tcPr>
          <w:p>
            <w:pPr>
              <w:pStyle w:val="14"/>
            </w:pPr>
            <w:r>
              <w:t>4个</w:t>
            </w:r>
          </w:p>
        </w:tc>
        <w:tc>
          <w:tcPr>
            <w:tcW w:w="2268" w:type="dxa"/>
            <w:vAlign w:val="center"/>
          </w:tcPr>
          <w:p>
            <w:pPr>
              <w:pStyle w:val="14"/>
            </w:pPr>
            <w:r>
              <w:t>邯编办字[2020]234号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“一网通办”改革加快电子政务内网建设质量</w:t>
            </w:r>
          </w:p>
        </w:tc>
        <w:tc>
          <w:tcPr>
            <w:tcW w:w="2835" w:type="dxa"/>
            <w:vAlign w:val="center"/>
          </w:tcPr>
          <w:p>
            <w:pPr>
              <w:pStyle w:val="14"/>
            </w:pPr>
            <w:r>
              <w:t>通过建立“一网通办”，实现各部门信息共享，破解“信息孤岛”</w:t>
            </w:r>
          </w:p>
        </w:tc>
        <w:tc>
          <w:tcPr>
            <w:tcW w:w="2551" w:type="dxa"/>
            <w:vAlign w:val="center"/>
          </w:tcPr>
          <w:p>
            <w:pPr>
              <w:pStyle w:val="14"/>
            </w:pPr>
            <w:r>
              <w:t>100%</w:t>
            </w:r>
          </w:p>
        </w:tc>
        <w:tc>
          <w:tcPr>
            <w:tcW w:w="2268" w:type="dxa"/>
            <w:vAlign w:val="center"/>
          </w:tcPr>
          <w:p>
            <w:pPr>
              <w:pStyle w:val="14"/>
            </w:pPr>
            <w:r>
              <w:t>邯编办字[2020]234号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电子政务内网安装成本</w:t>
            </w:r>
          </w:p>
        </w:tc>
        <w:tc>
          <w:tcPr>
            <w:tcW w:w="2835" w:type="dxa"/>
            <w:vAlign w:val="center"/>
          </w:tcPr>
          <w:p>
            <w:pPr>
              <w:pStyle w:val="14"/>
            </w:pPr>
            <w:r>
              <w:t>电子政务内网安装设备、运行、管理等费用</w:t>
            </w:r>
          </w:p>
        </w:tc>
        <w:tc>
          <w:tcPr>
            <w:tcW w:w="2551" w:type="dxa"/>
            <w:vAlign w:val="center"/>
          </w:tcPr>
          <w:p>
            <w:pPr>
              <w:pStyle w:val="14"/>
            </w:pPr>
            <w:r>
              <w:t>≤50000元</w:t>
            </w:r>
          </w:p>
        </w:tc>
        <w:tc>
          <w:tcPr>
            <w:tcW w:w="2268" w:type="dxa"/>
            <w:vAlign w:val="center"/>
          </w:tcPr>
          <w:p>
            <w:pPr>
              <w:pStyle w:val="14"/>
            </w:pPr>
            <w:r>
              <w:t>邯编办字[2020]234号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优化机关人事管理工作质量</w:t>
            </w:r>
          </w:p>
        </w:tc>
        <w:tc>
          <w:tcPr>
            <w:tcW w:w="2835" w:type="dxa"/>
            <w:vAlign w:val="center"/>
          </w:tcPr>
          <w:p>
            <w:pPr>
              <w:pStyle w:val="14"/>
            </w:pPr>
            <w:r>
              <w:t>实现“一网通办”，依托全省电子政务内网，达到工作效果</w:t>
            </w:r>
          </w:p>
        </w:tc>
        <w:tc>
          <w:tcPr>
            <w:tcW w:w="2551" w:type="dxa"/>
            <w:vAlign w:val="center"/>
          </w:tcPr>
          <w:p>
            <w:pPr>
              <w:pStyle w:val="14"/>
            </w:pPr>
            <w:r>
              <w:t>≥90%</w:t>
            </w:r>
          </w:p>
        </w:tc>
        <w:tc>
          <w:tcPr>
            <w:tcW w:w="2268" w:type="dxa"/>
            <w:vAlign w:val="center"/>
          </w:tcPr>
          <w:p>
            <w:pPr>
              <w:pStyle w:val="14"/>
            </w:pPr>
            <w:r>
              <w:t>邯编办字[2020]234号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继续加大推进“一网通办”使用率</w:t>
            </w:r>
          </w:p>
        </w:tc>
        <w:tc>
          <w:tcPr>
            <w:tcW w:w="2835" w:type="dxa"/>
            <w:vAlign w:val="center"/>
          </w:tcPr>
          <w:p>
            <w:pPr>
              <w:pStyle w:val="14"/>
            </w:pPr>
            <w:r>
              <w:t>通过开展“一网通办”改革，电子政务内网长期使用率</w:t>
            </w:r>
          </w:p>
        </w:tc>
        <w:tc>
          <w:tcPr>
            <w:tcW w:w="2551" w:type="dxa"/>
            <w:vAlign w:val="center"/>
          </w:tcPr>
          <w:p>
            <w:pPr>
              <w:pStyle w:val="14"/>
            </w:pPr>
            <w:r>
              <w:t>≥90%</w:t>
            </w:r>
          </w:p>
        </w:tc>
        <w:tc>
          <w:tcPr>
            <w:tcW w:w="2268" w:type="dxa"/>
            <w:vAlign w:val="center"/>
          </w:tcPr>
          <w:p>
            <w:pPr>
              <w:pStyle w:val="14"/>
            </w:pPr>
            <w:r>
              <w:t>邯编办字[2020]234号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干部职工或者群众使用“一网通办”</w:t>
            </w:r>
          </w:p>
        </w:tc>
        <w:tc>
          <w:tcPr>
            <w:tcW w:w="2835" w:type="dxa"/>
            <w:vAlign w:val="center"/>
          </w:tcPr>
          <w:p>
            <w:pPr>
              <w:pStyle w:val="14"/>
            </w:pPr>
            <w:r>
              <w:t>干部职工或者群众使用“一网通办”满意干部职工或者群众使用“一网通办”满意度</w:t>
            </w:r>
          </w:p>
        </w:tc>
        <w:tc>
          <w:tcPr>
            <w:tcW w:w="2551" w:type="dxa"/>
            <w:vAlign w:val="center"/>
          </w:tcPr>
          <w:p>
            <w:pPr>
              <w:pStyle w:val="14"/>
            </w:pPr>
            <w:r>
              <w:t>≥95%</w:t>
            </w:r>
          </w:p>
        </w:tc>
        <w:tc>
          <w:tcPr>
            <w:tcW w:w="2268" w:type="dxa"/>
            <w:vAlign w:val="center"/>
          </w:tcPr>
          <w:p>
            <w:pPr>
              <w:pStyle w:val="14"/>
            </w:pPr>
            <w:r>
              <w:t>邯编办字[2020]234号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2、更换全县机关事业单位人员编制证专项费用绩效目标表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1.通过机关事业单位人员编制信息采集表统计，合计我县所有在编人员。需要发放编制证大约10000本，资金3万元。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在编在册人员数量</w:t>
            </w:r>
          </w:p>
        </w:tc>
        <w:tc>
          <w:tcPr>
            <w:tcW w:w="2835" w:type="dxa"/>
            <w:vAlign w:val="center"/>
          </w:tcPr>
          <w:p>
            <w:pPr>
              <w:pStyle w:val="14"/>
            </w:pPr>
            <w:r>
              <w:t>通过机关事业单位人员编制信息采集表统计，合计我县所有在编人员数量。</w:t>
            </w:r>
          </w:p>
        </w:tc>
        <w:tc>
          <w:tcPr>
            <w:tcW w:w="2551" w:type="dxa"/>
            <w:vAlign w:val="center"/>
          </w:tcPr>
          <w:p>
            <w:pPr>
              <w:pStyle w:val="14"/>
            </w:pPr>
            <w:r>
              <w:t>≤10000人</w:t>
            </w:r>
          </w:p>
        </w:tc>
        <w:tc>
          <w:tcPr>
            <w:tcW w:w="2268" w:type="dxa"/>
            <w:vAlign w:val="center"/>
          </w:tcPr>
          <w:p>
            <w:pPr>
              <w:pStyle w:val="14"/>
            </w:pPr>
            <w:r>
              <w:t>实际核查数量为准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建档换证工作完成质量</w:t>
            </w:r>
          </w:p>
        </w:tc>
        <w:tc>
          <w:tcPr>
            <w:tcW w:w="2835" w:type="dxa"/>
            <w:vAlign w:val="center"/>
          </w:tcPr>
          <w:p>
            <w:pPr>
              <w:pStyle w:val="14"/>
            </w:pPr>
            <w:r>
              <w:t>编办完成对实名编制管理人员进行建档换证工作</w:t>
            </w:r>
          </w:p>
        </w:tc>
        <w:tc>
          <w:tcPr>
            <w:tcW w:w="2551" w:type="dxa"/>
            <w:vAlign w:val="center"/>
          </w:tcPr>
          <w:p>
            <w:pPr>
              <w:pStyle w:val="14"/>
            </w:pPr>
            <w:r>
              <w:t>100%</w:t>
            </w:r>
          </w:p>
        </w:tc>
        <w:tc>
          <w:tcPr>
            <w:tcW w:w="2268" w:type="dxa"/>
            <w:vAlign w:val="center"/>
          </w:tcPr>
          <w:p>
            <w:pPr>
              <w:pStyle w:val="14"/>
            </w:pPr>
            <w:r>
              <w:t>上级关于编制证要求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建档换证工作换证完毕</w:t>
            </w:r>
          </w:p>
        </w:tc>
        <w:tc>
          <w:tcPr>
            <w:tcW w:w="2835" w:type="dxa"/>
            <w:vAlign w:val="center"/>
          </w:tcPr>
          <w:p>
            <w:pPr>
              <w:pStyle w:val="14"/>
            </w:pPr>
            <w:r>
              <w:t>根据在编在岗人员情况，按时发放我县干部职工编制证</w:t>
            </w:r>
          </w:p>
        </w:tc>
        <w:tc>
          <w:tcPr>
            <w:tcW w:w="2551" w:type="dxa"/>
            <w:vAlign w:val="center"/>
          </w:tcPr>
          <w:p>
            <w:pPr>
              <w:pStyle w:val="14"/>
            </w:pPr>
            <w:r>
              <w:t>≥12月</w:t>
            </w:r>
          </w:p>
        </w:tc>
        <w:tc>
          <w:tcPr>
            <w:tcW w:w="2268" w:type="dxa"/>
            <w:vAlign w:val="center"/>
          </w:tcPr>
          <w:p>
            <w:pPr>
              <w:pStyle w:val="14"/>
            </w:pPr>
            <w:r>
              <w:t>有关文件要求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编制证印制发放成本</w:t>
            </w:r>
          </w:p>
        </w:tc>
        <w:tc>
          <w:tcPr>
            <w:tcW w:w="2835" w:type="dxa"/>
            <w:vAlign w:val="center"/>
          </w:tcPr>
          <w:p>
            <w:pPr>
              <w:pStyle w:val="14"/>
            </w:pPr>
            <w:r>
              <w:t>我县在编在岗人员发放编制证</w:t>
            </w:r>
          </w:p>
        </w:tc>
        <w:tc>
          <w:tcPr>
            <w:tcW w:w="2551" w:type="dxa"/>
            <w:vAlign w:val="center"/>
          </w:tcPr>
          <w:p>
            <w:pPr>
              <w:pStyle w:val="14"/>
            </w:pPr>
            <w:r>
              <w:t>3元</w:t>
            </w:r>
          </w:p>
        </w:tc>
        <w:tc>
          <w:tcPr>
            <w:tcW w:w="2268" w:type="dxa"/>
            <w:vAlign w:val="center"/>
          </w:tcPr>
          <w:p>
            <w:pPr>
              <w:pStyle w:val="14"/>
            </w:pPr>
            <w:r>
              <w:t>市场行情控制成本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对在编人员规范管理化</w:t>
            </w:r>
          </w:p>
        </w:tc>
        <w:tc>
          <w:tcPr>
            <w:tcW w:w="2835" w:type="dxa"/>
            <w:vAlign w:val="center"/>
          </w:tcPr>
          <w:p>
            <w:pPr>
              <w:pStyle w:val="14"/>
            </w:pPr>
            <w:r>
              <w:t>编办建立实名制管理工作制度</w:t>
            </w:r>
          </w:p>
        </w:tc>
        <w:tc>
          <w:tcPr>
            <w:tcW w:w="2551" w:type="dxa"/>
            <w:vAlign w:val="center"/>
          </w:tcPr>
          <w:p>
            <w:pPr>
              <w:pStyle w:val="14"/>
            </w:pPr>
            <w:r>
              <w:t>编办对建档换证工作进行规范管理工作</w:t>
            </w:r>
          </w:p>
        </w:tc>
        <w:tc>
          <w:tcPr>
            <w:tcW w:w="2268" w:type="dxa"/>
            <w:vAlign w:val="center"/>
          </w:tcPr>
          <w:p>
            <w:pPr>
              <w:pStyle w:val="14"/>
            </w:pPr>
            <w:r>
              <w:t>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在编人员统一得到规范管理</w:t>
            </w:r>
          </w:p>
        </w:tc>
        <w:tc>
          <w:tcPr>
            <w:tcW w:w="2835" w:type="dxa"/>
            <w:vAlign w:val="center"/>
          </w:tcPr>
          <w:p>
            <w:pPr>
              <w:pStyle w:val="14"/>
            </w:pPr>
            <w:r>
              <w:t>通过建档换证工作，，加强机构编制管理，全面推进机构编制改革工作。</w:t>
            </w:r>
          </w:p>
        </w:tc>
        <w:tc>
          <w:tcPr>
            <w:tcW w:w="2551" w:type="dxa"/>
            <w:vAlign w:val="center"/>
          </w:tcPr>
          <w:p>
            <w:pPr>
              <w:pStyle w:val="14"/>
            </w:pPr>
            <w:r>
              <w:t>100%</w:t>
            </w:r>
          </w:p>
        </w:tc>
        <w:tc>
          <w:tcPr>
            <w:tcW w:w="2268" w:type="dxa"/>
            <w:vAlign w:val="center"/>
          </w:tcPr>
          <w:p>
            <w:pPr>
              <w:pStyle w:val="14"/>
            </w:pPr>
            <w:r>
              <w:t>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在编人员满意度</w:t>
            </w:r>
          </w:p>
        </w:tc>
        <w:tc>
          <w:tcPr>
            <w:tcW w:w="2835" w:type="dxa"/>
            <w:vAlign w:val="center"/>
          </w:tcPr>
          <w:p>
            <w:pPr>
              <w:pStyle w:val="14"/>
            </w:pPr>
            <w:r>
              <w:t>我县在编人员对建档换证工作满意度</w:t>
            </w:r>
          </w:p>
        </w:tc>
        <w:tc>
          <w:tcPr>
            <w:tcW w:w="2551" w:type="dxa"/>
            <w:vAlign w:val="center"/>
          </w:tcPr>
          <w:p>
            <w:pPr>
              <w:pStyle w:val="14"/>
            </w:pPr>
            <w:r>
              <w:t>≥95%</w:t>
            </w:r>
          </w:p>
        </w:tc>
        <w:tc>
          <w:tcPr>
            <w:tcW w:w="2268" w:type="dxa"/>
            <w:vAlign w:val="center"/>
          </w:tcPr>
          <w:p>
            <w:pPr>
              <w:pStyle w:val="14"/>
            </w:pPr>
            <w:r>
              <w:t>发放调查问卷或者信息反馈情况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3、全县编制工作专项经费绩效目标表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1.编制政府部门、乡镇、开发区权责清单,编制清单200本,经费控制在5万元以内。将编制公开权责清单公开，做到权责事项完整、准确、规范、公开，方便群众办事，接</w:t>
            </w:r>
            <w:r>
              <w:rPr>
                <w:rFonts w:hint="eastAsia"/>
                <w:lang w:val="en-US" w:eastAsia="zh-CN"/>
              </w:rPr>
              <w:t>受</w:t>
            </w:r>
            <w:r>
              <w:t>社会监督，促进依法行政和履行职责,清单公开使用率达到100%。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政府部门、乡镇、开发区全部完成</w:t>
            </w:r>
          </w:p>
        </w:tc>
        <w:tc>
          <w:tcPr>
            <w:tcW w:w="2835" w:type="dxa"/>
            <w:vAlign w:val="center"/>
          </w:tcPr>
          <w:p>
            <w:pPr>
              <w:pStyle w:val="14"/>
            </w:pPr>
            <w:r>
              <w:t>按照县委统一部署，全县政府部门、乡政及开发区，完成权责清单编制工作</w:t>
            </w:r>
          </w:p>
        </w:tc>
        <w:tc>
          <w:tcPr>
            <w:tcW w:w="2551" w:type="dxa"/>
            <w:vAlign w:val="center"/>
          </w:tcPr>
          <w:p>
            <w:pPr>
              <w:pStyle w:val="14"/>
            </w:pPr>
            <w:r>
              <w:t>≥150个</w:t>
            </w:r>
          </w:p>
        </w:tc>
        <w:tc>
          <w:tcPr>
            <w:tcW w:w="2268" w:type="dxa"/>
            <w:vAlign w:val="center"/>
          </w:tcPr>
          <w:p>
            <w:pPr>
              <w:pStyle w:val="14"/>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权责清单管理规范性</w:t>
            </w:r>
          </w:p>
        </w:tc>
        <w:tc>
          <w:tcPr>
            <w:tcW w:w="2835" w:type="dxa"/>
            <w:vAlign w:val="center"/>
          </w:tcPr>
          <w:p>
            <w:pPr>
              <w:pStyle w:val="14"/>
            </w:pPr>
            <w:r>
              <w:t>根据工作安排，编制部门权责清单，完善我县清单管理制度，提升清单管理标准化、信息化、智能化。</w:t>
            </w:r>
          </w:p>
        </w:tc>
        <w:tc>
          <w:tcPr>
            <w:tcW w:w="2551" w:type="dxa"/>
            <w:vAlign w:val="center"/>
          </w:tcPr>
          <w:p>
            <w:pPr>
              <w:pStyle w:val="14"/>
            </w:pPr>
            <w:r>
              <w:t>100%</w:t>
            </w:r>
          </w:p>
        </w:tc>
        <w:tc>
          <w:tcPr>
            <w:tcW w:w="2268" w:type="dxa"/>
            <w:vAlign w:val="center"/>
          </w:tcPr>
          <w:p>
            <w:pPr>
              <w:pStyle w:val="14"/>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根据时间节点逐步完成</w:t>
            </w:r>
          </w:p>
        </w:tc>
        <w:tc>
          <w:tcPr>
            <w:tcW w:w="2835" w:type="dxa"/>
            <w:vAlign w:val="center"/>
          </w:tcPr>
          <w:p>
            <w:pPr>
              <w:pStyle w:val="14"/>
            </w:pPr>
            <w:r>
              <w:t>权责清单编制工作分阶段完成</w:t>
            </w:r>
          </w:p>
        </w:tc>
        <w:tc>
          <w:tcPr>
            <w:tcW w:w="2551" w:type="dxa"/>
            <w:vAlign w:val="center"/>
          </w:tcPr>
          <w:p>
            <w:pPr>
              <w:pStyle w:val="14"/>
            </w:pPr>
            <w:r>
              <w:t>≤12月</w:t>
            </w:r>
          </w:p>
        </w:tc>
        <w:tc>
          <w:tcPr>
            <w:tcW w:w="2268" w:type="dxa"/>
            <w:vAlign w:val="center"/>
          </w:tcPr>
          <w:p>
            <w:pPr>
              <w:pStyle w:val="14"/>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权责清单编制编印</w:t>
            </w:r>
          </w:p>
        </w:tc>
        <w:tc>
          <w:tcPr>
            <w:tcW w:w="2835" w:type="dxa"/>
            <w:vAlign w:val="center"/>
          </w:tcPr>
          <w:p>
            <w:pPr>
              <w:pStyle w:val="14"/>
            </w:pPr>
            <w:r>
              <w:t>按照县委统一部署，把握时间节点，按时完成权责清单编制并整理印制工作</w:t>
            </w:r>
          </w:p>
        </w:tc>
        <w:tc>
          <w:tcPr>
            <w:tcW w:w="2551" w:type="dxa"/>
            <w:vAlign w:val="center"/>
          </w:tcPr>
          <w:p>
            <w:pPr>
              <w:pStyle w:val="14"/>
            </w:pPr>
            <w:r>
              <w:t>≥150本</w:t>
            </w:r>
          </w:p>
        </w:tc>
        <w:tc>
          <w:tcPr>
            <w:tcW w:w="2268" w:type="dxa"/>
            <w:vAlign w:val="center"/>
          </w:tcPr>
          <w:p>
            <w:pPr>
              <w:pStyle w:val="14"/>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改革完成后单位正常运转成功率</w:t>
            </w:r>
          </w:p>
        </w:tc>
        <w:tc>
          <w:tcPr>
            <w:tcW w:w="2835" w:type="dxa"/>
            <w:vAlign w:val="center"/>
          </w:tcPr>
          <w:p>
            <w:pPr>
              <w:pStyle w:val="14"/>
            </w:pPr>
            <w:r>
              <w:t>改革完成后单位正常运转成功率</w:t>
            </w:r>
          </w:p>
        </w:tc>
        <w:tc>
          <w:tcPr>
            <w:tcW w:w="2551" w:type="dxa"/>
            <w:vAlign w:val="center"/>
          </w:tcPr>
          <w:p>
            <w:pPr>
              <w:pStyle w:val="14"/>
            </w:pPr>
            <w:r>
              <w:t>100%</w:t>
            </w:r>
          </w:p>
        </w:tc>
        <w:tc>
          <w:tcPr>
            <w:tcW w:w="2268" w:type="dxa"/>
            <w:vAlign w:val="center"/>
          </w:tcPr>
          <w:p>
            <w:pPr>
              <w:pStyle w:val="14"/>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权责清单编制公开长期使用性</w:t>
            </w:r>
          </w:p>
        </w:tc>
        <w:tc>
          <w:tcPr>
            <w:tcW w:w="2835" w:type="dxa"/>
            <w:vAlign w:val="center"/>
          </w:tcPr>
          <w:p>
            <w:pPr>
              <w:pStyle w:val="14"/>
            </w:pPr>
            <w:r>
              <w:t>通过开展全县政府部门权责清单编制工作，让权责清单具有长期使用性。</w:t>
            </w:r>
          </w:p>
        </w:tc>
        <w:tc>
          <w:tcPr>
            <w:tcW w:w="2551" w:type="dxa"/>
            <w:vAlign w:val="center"/>
          </w:tcPr>
          <w:p>
            <w:pPr>
              <w:pStyle w:val="14"/>
            </w:pPr>
            <w:r>
              <w:t>≥5年</w:t>
            </w:r>
          </w:p>
        </w:tc>
        <w:tc>
          <w:tcPr>
            <w:tcW w:w="2268" w:type="dxa"/>
            <w:vAlign w:val="center"/>
          </w:tcPr>
          <w:p>
            <w:pPr>
              <w:pStyle w:val="14"/>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编制清单对象满意度</w:t>
            </w:r>
          </w:p>
        </w:tc>
        <w:tc>
          <w:tcPr>
            <w:tcW w:w="2835" w:type="dxa"/>
            <w:vAlign w:val="center"/>
          </w:tcPr>
          <w:p>
            <w:pPr>
              <w:pStyle w:val="14"/>
            </w:pPr>
            <w:r>
              <w:t>县直、乡镇及开发区对编制权责清单工作满意度</w:t>
            </w:r>
          </w:p>
        </w:tc>
        <w:tc>
          <w:tcPr>
            <w:tcW w:w="2551" w:type="dxa"/>
            <w:vAlign w:val="center"/>
          </w:tcPr>
          <w:p>
            <w:pPr>
              <w:pStyle w:val="14"/>
            </w:pPr>
            <w:r>
              <w:t>≥95%</w:t>
            </w:r>
          </w:p>
        </w:tc>
        <w:tc>
          <w:tcPr>
            <w:tcW w:w="2268" w:type="dxa"/>
            <w:vAlign w:val="center"/>
          </w:tcPr>
          <w:p>
            <w:pPr>
              <w:pStyle w:val="14"/>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4、中文域名注册登记费绩效目标表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1.我县党政机关事业单位中文域名注册按照中央编办有关文件要求，在规定时间内注册完毕，并进一步加强管理，所需费用为46700元。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中文域名注册数量</w:t>
            </w:r>
          </w:p>
        </w:tc>
        <w:tc>
          <w:tcPr>
            <w:tcW w:w="2835" w:type="dxa"/>
            <w:vAlign w:val="center"/>
          </w:tcPr>
          <w:p>
            <w:pPr>
              <w:pStyle w:val="14"/>
            </w:pPr>
            <w:r>
              <w:t>我县党政机关事业单位中文域名注册数量</w:t>
            </w:r>
          </w:p>
        </w:tc>
        <w:tc>
          <w:tcPr>
            <w:tcW w:w="2551" w:type="dxa"/>
            <w:vAlign w:val="center"/>
          </w:tcPr>
          <w:p>
            <w:pPr>
              <w:pStyle w:val="14"/>
            </w:pPr>
            <w:r>
              <w:t>467个</w:t>
            </w:r>
          </w:p>
        </w:tc>
        <w:tc>
          <w:tcPr>
            <w:tcW w:w="2268" w:type="dxa"/>
            <w:vAlign w:val="center"/>
          </w:tcPr>
          <w:p>
            <w:pPr>
              <w:pStyle w:val="14"/>
            </w:pPr>
            <w:r>
              <w:t>按照当年实际要求数量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中文域名注册率</w:t>
            </w:r>
          </w:p>
        </w:tc>
        <w:tc>
          <w:tcPr>
            <w:tcW w:w="2835" w:type="dxa"/>
            <w:vAlign w:val="center"/>
          </w:tcPr>
          <w:p>
            <w:pPr>
              <w:pStyle w:val="14"/>
            </w:pPr>
            <w:r>
              <w:t>我县党政机关事业单位中文域名注册率，达到100%</w:t>
            </w:r>
          </w:p>
        </w:tc>
        <w:tc>
          <w:tcPr>
            <w:tcW w:w="2551" w:type="dxa"/>
            <w:vAlign w:val="center"/>
          </w:tcPr>
          <w:p>
            <w:pPr>
              <w:pStyle w:val="14"/>
            </w:pPr>
            <w:r>
              <w:t>100%</w:t>
            </w:r>
          </w:p>
        </w:tc>
        <w:tc>
          <w:tcPr>
            <w:tcW w:w="2268" w:type="dxa"/>
            <w:vAlign w:val="center"/>
          </w:tcPr>
          <w:p>
            <w:pPr>
              <w:pStyle w:val="14"/>
            </w:pPr>
            <w:r>
              <w:t>省市县有关要求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按照中央编办有关文件要求，在规定时间内注册完毕</w:t>
            </w:r>
          </w:p>
        </w:tc>
        <w:tc>
          <w:tcPr>
            <w:tcW w:w="2835" w:type="dxa"/>
            <w:vAlign w:val="center"/>
          </w:tcPr>
          <w:p>
            <w:pPr>
              <w:pStyle w:val="14"/>
            </w:pPr>
            <w:r>
              <w:t>按照中央编办有关文件要求，在规定时间内注册完毕</w:t>
            </w:r>
          </w:p>
        </w:tc>
        <w:tc>
          <w:tcPr>
            <w:tcW w:w="2551" w:type="dxa"/>
            <w:vAlign w:val="center"/>
          </w:tcPr>
          <w:p>
            <w:pPr>
              <w:pStyle w:val="14"/>
            </w:pPr>
            <w:r>
              <w:t>≤12月</w:t>
            </w:r>
          </w:p>
        </w:tc>
        <w:tc>
          <w:tcPr>
            <w:tcW w:w="2268" w:type="dxa"/>
            <w:vAlign w:val="center"/>
          </w:tcPr>
          <w:p>
            <w:pPr>
              <w:pStyle w:val="14"/>
            </w:pPr>
            <w:r>
              <w:t>省市县有关要求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政务和公益域名注册费</w:t>
            </w:r>
          </w:p>
        </w:tc>
        <w:tc>
          <w:tcPr>
            <w:tcW w:w="2835" w:type="dxa"/>
            <w:vAlign w:val="center"/>
          </w:tcPr>
          <w:p>
            <w:pPr>
              <w:pStyle w:val="14"/>
            </w:pPr>
            <w:r>
              <w:t>按照中央编办有关文件要求，收取政务和公益域名注册费用</w:t>
            </w:r>
          </w:p>
        </w:tc>
        <w:tc>
          <w:tcPr>
            <w:tcW w:w="2551" w:type="dxa"/>
            <w:vAlign w:val="center"/>
          </w:tcPr>
          <w:p>
            <w:pPr>
              <w:pStyle w:val="14"/>
            </w:pPr>
            <w:r>
              <w:t>100元/年/个</w:t>
            </w:r>
          </w:p>
        </w:tc>
        <w:tc>
          <w:tcPr>
            <w:tcW w:w="2268" w:type="dxa"/>
            <w:vAlign w:val="center"/>
          </w:tcPr>
          <w:p>
            <w:pPr>
              <w:pStyle w:val="14"/>
            </w:pPr>
            <w:r>
              <w:t>省市县有关要求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中文域名注册管理使用率</w:t>
            </w:r>
          </w:p>
        </w:tc>
        <w:tc>
          <w:tcPr>
            <w:tcW w:w="2835" w:type="dxa"/>
            <w:vAlign w:val="center"/>
          </w:tcPr>
          <w:p>
            <w:pPr>
              <w:pStyle w:val="14"/>
            </w:pPr>
            <w:r>
              <w:t>我县所有党政机关事业单位全部注册完毕并使用。</w:t>
            </w:r>
          </w:p>
        </w:tc>
        <w:tc>
          <w:tcPr>
            <w:tcW w:w="2551" w:type="dxa"/>
            <w:vAlign w:val="center"/>
          </w:tcPr>
          <w:p>
            <w:pPr>
              <w:pStyle w:val="14"/>
            </w:pPr>
            <w:r>
              <w:t>≥90%</w:t>
            </w:r>
          </w:p>
        </w:tc>
        <w:tc>
          <w:tcPr>
            <w:tcW w:w="2268" w:type="dxa"/>
            <w:vAlign w:val="center"/>
          </w:tcPr>
          <w:p>
            <w:pPr>
              <w:pStyle w:val="14"/>
            </w:pPr>
            <w:r>
              <w:t>省市县有关要求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机构改革中充分发挥编办职能</w:t>
            </w:r>
          </w:p>
        </w:tc>
        <w:tc>
          <w:tcPr>
            <w:tcW w:w="2835" w:type="dxa"/>
            <w:vAlign w:val="center"/>
          </w:tcPr>
          <w:p>
            <w:pPr>
              <w:pStyle w:val="14"/>
            </w:pPr>
            <w:r>
              <w:t>通过网上域名注册管理，进一步加强我县机构编制业务。</w:t>
            </w:r>
          </w:p>
        </w:tc>
        <w:tc>
          <w:tcPr>
            <w:tcW w:w="2551" w:type="dxa"/>
            <w:vAlign w:val="center"/>
          </w:tcPr>
          <w:p>
            <w:pPr>
              <w:pStyle w:val="14"/>
            </w:pPr>
            <w:r>
              <w:t>≥90%</w:t>
            </w:r>
          </w:p>
        </w:tc>
        <w:tc>
          <w:tcPr>
            <w:tcW w:w="2268" w:type="dxa"/>
            <w:vAlign w:val="center"/>
          </w:tcPr>
          <w:p>
            <w:pPr>
              <w:pStyle w:val="14"/>
            </w:pPr>
            <w:r>
              <w:t>省市县有关要求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省市县有关要求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2023年，中共魏县县委机构编制委员会办公室安排政府采购预算0.00万元。具体内容见下表。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中共魏县县委机构编制委员会办公室（含所属单位）上年末固定资产金额为0.00万元（详见下表）。本年度拟购置固定资产总额为0.00万元，已按要求列入政府采购预算，详见政府采购预算表。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225中共魏县县委机构编制委员会办公室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jc w:val="both"/>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F770DE"/>
    <w:rsid w:val="003B6711"/>
    <w:rsid w:val="005170F7"/>
    <w:rsid w:val="00B25AD1"/>
    <w:rsid w:val="00F770DE"/>
    <w:rsid w:val="23BC1AA4"/>
    <w:rsid w:val="2FF13D72"/>
    <w:rsid w:val="5CC134BC"/>
    <w:rsid w:val="628F0543"/>
    <w:rsid w:val="7DEFD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3783</Words>
  <Characters>21567</Characters>
  <Lines>179</Lines>
  <Paragraphs>50</Paragraphs>
  <TotalTime>17</TotalTime>
  <ScaleCrop>false</ScaleCrop>
  <LinksUpToDate>false</LinksUpToDate>
  <CharactersWithSpaces>25300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2023-02-23T22:03:00Z</dcterms:created>
  <dc:creator>Administrator</dc:creator>
  <cp:lastModifiedBy>wxak</cp:lastModifiedBy>
  <dcterms:modified xsi:type="dcterms:W3CDTF">2024-12-04T16:26:19Z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C5898A92250D449D85DB0976E50F0FDD</vt:lpwstr>
  </property>
</Properties>
</file>