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ascii="黑体" w:hAnsi="黑体" w:eastAsia="黑体" w:cs="黑体"/>
          <w:b/>
          <w:bCs/>
          <w:color w:val="000000"/>
          <w:sz w:val="44"/>
          <w:szCs w:val="44"/>
        </w:rPr>
        <w:t>2023</w:t>
      </w:r>
      <w:r>
        <w:rPr>
          <w:rFonts w:hint="eastAsia" w:ascii="黑体" w:hAnsi="黑体" w:eastAsia="黑体" w:cs="黑体"/>
          <w:b/>
          <w:bCs/>
          <w:color w:val="000000"/>
          <w:sz w:val="44"/>
          <w:szCs w:val="44"/>
        </w:rPr>
        <w:t>年部门预算信息公开目录</w:t>
      </w:r>
    </w:p>
    <w:p>
      <w:pPr>
        <w:jc w:val="center"/>
        <w:rPr>
          <w:rFonts w:eastAsia="Times New Roman"/>
        </w:rPr>
      </w:pPr>
    </w:p>
    <w:p>
      <w:pPr>
        <w:jc w:val="center"/>
        <w:rPr>
          <w:rFonts w:eastAsia="Times New Roman"/>
        </w:rPr>
      </w:pPr>
      <w:r>
        <w:rPr>
          <w:rFonts w:hint="eastAsia" w:ascii="黑体" w:hAnsi="黑体" w:eastAsia="黑体" w:cs="黑体"/>
          <w:b/>
          <w:bCs/>
          <w:color w:val="000000"/>
          <w:sz w:val="30"/>
          <w:szCs w:val="30"/>
        </w:rPr>
        <w:t>第一部分</w:t>
      </w:r>
      <w:r>
        <w:rPr>
          <w:rFonts w:ascii="黑体" w:hAnsi="黑体" w:eastAsia="黑体" w:cs="黑体"/>
          <w:b/>
          <w:bCs/>
          <w:color w:val="000000"/>
          <w:sz w:val="30"/>
          <w:szCs w:val="30"/>
        </w:rPr>
        <w:t xml:space="preserve">  </w:t>
      </w:r>
      <w:r>
        <w:rPr>
          <w:rFonts w:hint="eastAsia" w:ascii="黑体" w:hAnsi="黑体" w:eastAsia="黑体" w:cs="黑体"/>
          <w:b/>
          <w:bCs/>
          <w:color w:val="000000"/>
          <w:sz w:val="30"/>
          <w:szCs w:val="30"/>
        </w:rPr>
        <w:t>部门预算</w:t>
      </w:r>
    </w:p>
    <w:p>
      <w:pPr>
        <w:rPr>
          <w:rFonts w:eastAsia="Times New Roman"/>
        </w:rPr>
      </w:pPr>
      <w:r>
        <w:rPr>
          <w:rFonts w:hint="eastAsia" w:ascii="方正楷体_GBK" w:hAnsi="方正楷体_GBK" w:eastAsia="方正楷体_GBK" w:cs="方正楷体_GBK"/>
          <w:b/>
          <w:bCs/>
          <w:color w:val="000000"/>
          <w:sz w:val="28"/>
          <w:szCs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fldChar w:fldCharType="begin"/>
      </w:r>
      <w:r>
        <w:instrText xml:space="preserve">PAGEREF _Toc_2_2_0000000002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fldChar w:fldCharType="begin"/>
      </w:r>
      <w:r>
        <w:instrText xml:space="preserve">PAGEREF _Toc_2_2_0000000003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cs="方正仿宋_GBK"/>
        </w:rP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2</w:t>
      </w:r>
      <w:r>
        <w:fldChar w:fldCharType="end"/>
      </w:r>
      <w:r>
        <w:fldChar w:fldCharType="end"/>
      </w:r>
    </w:p>
    <w:p>
      <w:r>
        <w:fldChar w:fldCharType="end"/>
      </w:r>
    </w:p>
    <w:p>
      <w:r>
        <w:rPr>
          <w:rFonts w:hint="eastAsia" w:ascii="方正楷体_GBK" w:hAnsi="方正楷体_GBK" w:eastAsia="方正楷体_GBK" w:cs="方正楷体_GBK"/>
          <w:b/>
          <w:bCs/>
          <w:color w:val="000000"/>
          <w:sz w:val="28"/>
          <w:szCs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cs="方正仿宋_GBK"/>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cs="方正仿宋_GBK"/>
        </w:rPr>
        <w:t>五、预算绩效信息</w:t>
      </w:r>
      <w:r>
        <w:tab/>
      </w:r>
      <w:r>
        <w:fldChar w:fldCharType="begin"/>
      </w:r>
      <w:r>
        <w:instrText xml:space="preserve">PAGEREF _Toc_3_3_0000000014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cs="方正仿宋_GBK"/>
        </w:rPr>
        <w:t>六、政府采购预算情况</w:t>
      </w:r>
      <w:r>
        <w:tab/>
      </w:r>
      <w:r>
        <w:fldChar w:fldCharType="begin"/>
      </w:r>
      <w:r>
        <w:instrText xml:space="preserve">PAGEREF _Toc_3_3_0000000015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cs="方正仿宋_GBK"/>
        </w:rP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cs="方正仿宋_GBK"/>
        </w:rPr>
        <w:t>八、名词解释</w:t>
      </w:r>
      <w:r>
        <w:tab/>
      </w:r>
      <w:r>
        <w:fldChar w:fldCharType="begin"/>
      </w:r>
      <w:r>
        <w:instrText xml:space="preserve">PAGEREF _Toc_3_3_0000000017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cs="方正仿宋_GBK"/>
        </w:rPr>
        <w:t>九、其他需要说明的事项</w:t>
      </w:r>
      <w:r>
        <w:tab/>
      </w:r>
      <w:r>
        <w:fldChar w:fldCharType="begin"/>
      </w:r>
      <w:r>
        <w:instrText xml:space="preserve">PAGEREF _Toc_3_3_0000000018 \h</w:instrText>
      </w:r>
      <w:r>
        <w:fldChar w:fldCharType="separate"/>
      </w:r>
      <w:r>
        <w:t>2</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szCs w:val="72"/>
        </w:rPr>
        <w:t>第一部分</w:t>
      </w:r>
      <w:r>
        <w:rPr>
          <w:rFonts w:ascii="方正小标宋_GBK" w:hAnsi="方正小标宋_GBK" w:eastAsia="方正小标宋_GBK" w:cs="方正小标宋_GBK"/>
          <w:color w:val="000000"/>
          <w:sz w:val="72"/>
          <w:szCs w:val="72"/>
        </w:rPr>
        <w:t xml:space="preserve">  </w:t>
      </w:r>
      <w:r>
        <w:rPr>
          <w:rFonts w:hint="eastAsia" w:ascii="方正小标宋_GBK" w:hAnsi="方正小标宋_GBK" w:eastAsia="方正小标宋_GBK" w:cs="方正小标宋_GBK"/>
          <w:color w:val="000000"/>
          <w:sz w:val="72"/>
          <w:szCs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6661" w:type="dxa"/>
            <w:gridSpan w:val="2"/>
            <w:vAlign w:val="center"/>
          </w:tcPr>
          <w:p>
            <w:pPr>
              <w:pStyle w:val="12"/>
              <w:rPr>
                <w:rFonts w:cs="Times New Roman"/>
              </w:rPr>
            </w:pPr>
            <w:r>
              <w:rPr>
                <w:rFonts w:hint="eastAsia"/>
              </w:rPr>
              <w:t>收入</w:t>
            </w:r>
          </w:p>
        </w:tc>
        <w:tc>
          <w:tcPr>
            <w:tcW w:w="6661" w:type="dxa"/>
            <w:gridSpan w:val="2"/>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rPr>
                <w:rFonts w:cs="Times New Roman"/>
              </w:rPr>
            </w:pPr>
            <w:r>
              <w:rPr>
                <w:rFonts w:hint="eastAsia"/>
              </w:rPr>
              <w:t>一、一般公共预算拨款收入</w:t>
            </w:r>
          </w:p>
        </w:tc>
        <w:tc>
          <w:tcPr>
            <w:tcW w:w="2126" w:type="dxa"/>
            <w:vAlign w:val="center"/>
          </w:tcPr>
          <w:p>
            <w:pPr>
              <w:pStyle w:val="13"/>
            </w:pPr>
            <w:r>
              <w:t>994.58</w:t>
            </w:r>
          </w:p>
        </w:tc>
        <w:tc>
          <w:tcPr>
            <w:tcW w:w="4535" w:type="dxa"/>
            <w:vAlign w:val="center"/>
          </w:tcPr>
          <w:p>
            <w:pPr>
              <w:pStyle w:val="14"/>
              <w:rPr>
                <w:rFonts w:cs="Times New Roman"/>
              </w:rPr>
            </w:pPr>
            <w:r>
              <w:rPr>
                <w:rFonts w:hint="eastAsia"/>
              </w:rPr>
              <w:t>一、一般公共服务支出</w:t>
            </w:r>
          </w:p>
        </w:tc>
        <w:tc>
          <w:tcPr>
            <w:tcW w:w="2126" w:type="dxa"/>
            <w:vAlign w:val="center"/>
          </w:tcPr>
          <w:p>
            <w:pPr>
              <w:pStyle w:val="13"/>
            </w:pPr>
            <w:r>
              <w:t>274.75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rPr>
                <w:rFonts w:cs="Times New Roman"/>
              </w:rPr>
            </w:pPr>
            <w:r>
              <w:rPr>
                <w:rFonts w:hint="eastAsia"/>
              </w:rPr>
              <w:t>二、政府性基金预算拨款收入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二、外交支出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rPr>
                <w:rFonts w:cs="Times New Roman"/>
              </w:rPr>
            </w:pPr>
            <w:r>
              <w:rPr>
                <w:rFonts w:hint="eastAsia"/>
              </w:rPr>
              <w:t>三、国有资本经营预算拨款收入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三、国防支出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rPr>
                <w:rFonts w:cs="Times New Roman"/>
              </w:rPr>
            </w:pPr>
            <w:r>
              <w:rPr>
                <w:rFonts w:hint="eastAsia"/>
              </w:rPr>
              <w:t>四、财政专户管理资金收入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四、公共安全支出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rPr>
                <w:rFonts w:cs="Times New Roman"/>
              </w:rPr>
            </w:pPr>
            <w:r>
              <w:rPr>
                <w:rFonts w:hint="eastAsia"/>
              </w:rPr>
              <w:t>五、事业收入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五、教育支出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rPr>
                <w:rFonts w:cs="Times New Roman"/>
              </w:rPr>
            </w:pPr>
            <w:r>
              <w:rPr>
                <w:rFonts w:hint="eastAsia"/>
              </w:rPr>
              <w:t>六、事业单位经营收入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六、科学技术支出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rPr>
                <w:rFonts w:cs="Times New Roman"/>
              </w:rPr>
            </w:pPr>
            <w:r>
              <w:rPr>
                <w:rFonts w:hint="eastAsia"/>
              </w:rPr>
              <w:t>七、上级补助收入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七、文化旅游体育与传媒支出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rPr>
                <w:rFonts w:cs="Times New Roman"/>
              </w:rPr>
            </w:pPr>
            <w:r>
              <w:rPr>
                <w:rFonts w:hint="eastAsia"/>
              </w:rPr>
              <w:t>八、附属单位上缴收入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八、社会保障和就业支出</w:t>
            </w:r>
          </w:p>
        </w:tc>
        <w:tc>
          <w:tcPr>
            <w:tcW w:w="2126" w:type="dxa"/>
            <w:vAlign w:val="center"/>
          </w:tcPr>
          <w:p>
            <w:pPr>
              <w:pStyle w:val="13"/>
            </w:pPr>
            <w:r>
              <w:t>51.81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rPr>
                <w:rFonts w:cs="Times New Roman"/>
              </w:rPr>
            </w:pPr>
            <w:r>
              <w:rPr>
                <w:rFonts w:hint="eastAsia"/>
              </w:rPr>
              <w:t>九、其他收入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九、社会保险基金支出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十、卫生健康支出</w:t>
            </w:r>
          </w:p>
        </w:tc>
        <w:tc>
          <w:tcPr>
            <w:tcW w:w="2126" w:type="dxa"/>
            <w:vAlign w:val="center"/>
          </w:tcPr>
          <w:p>
            <w:pPr>
              <w:pStyle w:val="13"/>
            </w:pPr>
            <w:r>
              <w:t>18.02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十一、节能环保支出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十二、城乡社区支出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十三、农林水支出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十四、交通运输支出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十五、资源勘探工业信息等支出</w:t>
            </w:r>
          </w:p>
        </w:tc>
        <w:tc>
          <w:tcPr>
            <w:tcW w:w="2126" w:type="dxa"/>
            <w:vAlign w:val="center"/>
          </w:tcPr>
          <w:p>
            <w:pPr>
              <w:pStyle w:val="13"/>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十六、商业服务业等支出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十七、金融支出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十八、援助其他地区支出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十九、自然资源海洋气象等支出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二十、住房保障支出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二十一、粮油物资储备支出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二十二、国有资本经营预算支出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二十三、灾害防治及应急管理支出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二十四、预备费</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二十五、其他支出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二十六、转移性支出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二十七、债务还本支出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二十八、债务付息支出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二十九、债务发行费用支出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三十、抗疫特别国债安排的支出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三十一、人行科目</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rPr>
                <w:rFonts w:cs="Times New Roman"/>
              </w:rPr>
            </w:pPr>
            <w:r>
              <w:rPr>
                <w:rFonts w:hint="eastAsia"/>
              </w:rPr>
              <w:t>本年收入合计</w:t>
            </w:r>
          </w:p>
        </w:tc>
        <w:tc>
          <w:tcPr>
            <w:tcW w:w="2126" w:type="dxa"/>
            <w:vAlign w:val="center"/>
          </w:tcPr>
          <w:p>
            <w:pPr>
              <w:pStyle w:val="17"/>
            </w:pPr>
            <w:r>
              <w:t>994.58</w:t>
            </w:r>
          </w:p>
        </w:tc>
        <w:tc>
          <w:tcPr>
            <w:tcW w:w="4535" w:type="dxa"/>
            <w:vAlign w:val="center"/>
          </w:tcPr>
          <w:p>
            <w:pPr>
              <w:pStyle w:val="16"/>
              <w:rPr>
                <w:rFonts w:cs="Times New Roman"/>
              </w:rPr>
            </w:pPr>
            <w:r>
              <w:rPr>
                <w:rFonts w:hint="eastAsia"/>
              </w:rPr>
              <w:t>本年支出合计</w:t>
            </w:r>
          </w:p>
        </w:tc>
        <w:tc>
          <w:tcPr>
            <w:tcW w:w="2126" w:type="dxa"/>
            <w:vAlign w:val="center"/>
          </w:tcPr>
          <w:p>
            <w:pPr>
              <w:pStyle w:val="17"/>
            </w:pPr>
            <w:r>
              <w:t>994.58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rPr>
                <w:rFonts w:cs="Times New Roman"/>
              </w:rPr>
            </w:pPr>
            <w:r>
              <w:rPr>
                <w:rFonts w:hint="eastAsia"/>
              </w:rPr>
              <w:t>上年结转结余</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年终结转结余</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rPr>
                <w:rFonts w:cs="Times New Roman"/>
              </w:rPr>
            </w:pPr>
            <w:r>
              <w:rPr>
                <w:rFonts w:hint="eastAsia"/>
              </w:rPr>
              <w:t>收入总计</w:t>
            </w:r>
          </w:p>
        </w:tc>
        <w:tc>
          <w:tcPr>
            <w:tcW w:w="2126" w:type="dxa"/>
            <w:vAlign w:val="center"/>
          </w:tcPr>
          <w:p>
            <w:pPr>
              <w:pStyle w:val="17"/>
            </w:pPr>
            <w:r>
              <w:t>994.58</w:t>
            </w:r>
          </w:p>
        </w:tc>
        <w:tc>
          <w:tcPr>
            <w:tcW w:w="4535" w:type="dxa"/>
            <w:vAlign w:val="center"/>
          </w:tcPr>
          <w:p>
            <w:pPr>
              <w:pStyle w:val="16"/>
              <w:rPr>
                <w:rFonts w:cs="Times New Roman"/>
              </w:rPr>
            </w:pPr>
            <w:r>
              <w:rPr>
                <w:rFonts w:hint="eastAsia"/>
              </w:rPr>
              <w:t>支出总计</w:t>
            </w:r>
          </w:p>
        </w:tc>
        <w:tc>
          <w:tcPr>
            <w:tcW w:w="2126" w:type="dxa"/>
            <w:vAlign w:val="center"/>
          </w:tcPr>
          <w:p>
            <w:pPr>
              <w:pStyle w:val="17"/>
            </w:pPr>
            <w:r>
              <w:t>994.58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cs="Times New Roman"/>
              </w:rPr>
            </w:pPr>
            <w:r>
              <w:rPr>
                <w:rFonts w:hint="eastAsia"/>
              </w:rPr>
              <w:t>序号</w:t>
            </w:r>
          </w:p>
        </w:tc>
        <w:tc>
          <w:tcPr>
            <w:tcW w:w="2551" w:type="dxa"/>
            <w:gridSpan w:val="2"/>
            <w:vAlign w:val="center"/>
          </w:tcPr>
          <w:p>
            <w:pPr>
              <w:pStyle w:val="12"/>
              <w:rPr>
                <w:rFonts w:cs="Times New Roman"/>
              </w:rPr>
            </w:pPr>
            <w:r>
              <w:rPr>
                <w:rFonts w:hint="eastAsia"/>
              </w:rPr>
              <w:t>功能分类科目</w:t>
            </w:r>
          </w:p>
        </w:tc>
        <w:tc>
          <w:tcPr>
            <w:tcW w:w="1134" w:type="dxa"/>
            <w:vMerge w:val="restart"/>
            <w:vAlign w:val="center"/>
          </w:tcPr>
          <w:p>
            <w:pPr>
              <w:pStyle w:val="12"/>
              <w:rPr>
                <w:rFonts w:cs="Times New Roman"/>
              </w:rPr>
            </w:pPr>
            <w:r>
              <w:rPr>
                <w:rFonts w:hint="eastAsia"/>
              </w:rPr>
              <w:t>合计</w:t>
            </w:r>
          </w:p>
        </w:tc>
        <w:tc>
          <w:tcPr>
            <w:tcW w:w="9071" w:type="dxa"/>
            <w:gridSpan w:val="8"/>
            <w:vAlign w:val="center"/>
          </w:tcPr>
          <w:p>
            <w:pPr>
              <w:pStyle w:val="12"/>
              <w:rPr>
                <w:rFonts w:cs="Times New Roman"/>
              </w:rPr>
            </w:pPr>
            <w:r>
              <w:rPr>
                <w:rFonts w:hint="eastAsia"/>
              </w:rPr>
              <w:t>本年收入</w:t>
            </w:r>
          </w:p>
        </w:tc>
        <w:tc>
          <w:tcPr>
            <w:tcW w:w="1134" w:type="dxa"/>
            <w:vMerge w:val="restart"/>
            <w:vAlign w:val="center"/>
          </w:tcPr>
          <w:p>
            <w:pPr>
              <w:pStyle w:val="12"/>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1559" w:type="dxa"/>
            <w:vAlign w:val="center"/>
          </w:tcPr>
          <w:p>
            <w:pPr>
              <w:pStyle w:val="12"/>
              <w:rPr>
                <w:rFonts w:cs="Times New Roman"/>
              </w:rPr>
            </w:pPr>
            <w:r>
              <w:rPr>
                <w:rFonts w:hint="eastAsia"/>
              </w:rPr>
              <w:t>科目名称</w:t>
            </w:r>
          </w:p>
        </w:tc>
        <w:tc>
          <w:tcPr>
            <w:tcW w:w="1134" w:type="dxa"/>
            <w:vMerge w:val="continue"/>
          </w:tcPr>
          <w:p/>
        </w:tc>
        <w:tc>
          <w:tcPr>
            <w:tcW w:w="1134" w:type="dxa"/>
            <w:vAlign w:val="center"/>
          </w:tcPr>
          <w:p>
            <w:pPr>
              <w:pStyle w:val="12"/>
              <w:rPr>
                <w:rFonts w:cs="Times New Roman"/>
              </w:rPr>
            </w:pPr>
            <w:r>
              <w:rPr>
                <w:rFonts w:hint="eastAsia"/>
              </w:rPr>
              <w:t>小计</w:t>
            </w:r>
          </w:p>
        </w:tc>
        <w:tc>
          <w:tcPr>
            <w:tcW w:w="1134" w:type="dxa"/>
            <w:vAlign w:val="center"/>
          </w:tcPr>
          <w:p>
            <w:pPr>
              <w:pStyle w:val="12"/>
              <w:rPr>
                <w:rFonts w:cs="Times New Roman"/>
              </w:rPr>
            </w:pPr>
            <w:r>
              <w:rPr>
                <w:rFonts w:hint="eastAsia"/>
              </w:rPr>
              <w:t>财政拨款</w:t>
            </w:r>
            <w:r>
              <w:t xml:space="preserve"> </w:t>
            </w:r>
            <w:r>
              <w:rPr>
                <w:rFonts w:hint="eastAsia"/>
              </w:rPr>
              <w:t>收入</w:t>
            </w:r>
          </w:p>
        </w:tc>
        <w:tc>
          <w:tcPr>
            <w:tcW w:w="1134" w:type="dxa"/>
            <w:vAlign w:val="center"/>
          </w:tcPr>
          <w:p>
            <w:pPr>
              <w:pStyle w:val="12"/>
              <w:rPr>
                <w:rFonts w:cs="Times New Roman"/>
              </w:rPr>
            </w:pPr>
            <w:r>
              <w:rPr>
                <w:rFonts w:hint="eastAsia"/>
              </w:rPr>
              <w:t>财政专户</w:t>
            </w:r>
            <w:r>
              <w:t xml:space="preserve"> </w:t>
            </w:r>
            <w:r>
              <w:rPr>
                <w:rFonts w:hint="eastAsia"/>
              </w:rPr>
              <w:t>收入</w:t>
            </w:r>
          </w:p>
        </w:tc>
        <w:tc>
          <w:tcPr>
            <w:tcW w:w="1134" w:type="dxa"/>
            <w:vAlign w:val="center"/>
          </w:tcPr>
          <w:p>
            <w:pPr>
              <w:pStyle w:val="12"/>
              <w:rPr>
                <w:rFonts w:cs="Times New Roman"/>
              </w:rPr>
            </w:pPr>
            <w:r>
              <w:rPr>
                <w:rFonts w:hint="eastAsia"/>
              </w:rPr>
              <w:t>事业收入</w:t>
            </w:r>
          </w:p>
        </w:tc>
        <w:tc>
          <w:tcPr>
            <w:tcW w:w="1134" w:type="dxa"/>
            <w:vAlign w:val="center"/>
          </w:tcPr>
          <w:p>
            <w:pPr>
              <w:pStyle w:val="12"/>
              <w:rPr>
                <w:rFonts w:cs="Times New Roman"/>
              </w:rPr>
            </w:pPr>
            <w:r>
              <w:rPr>
                <w:rFonts w:hint="eastAsia"/>
              </w:rPr>
              <w:t>经营收入</w:t>
            </w:r>
          </w:p>
        </w:tc>
        <w:tc>
          <w:tcPr>
            <w:tcW w:w="1134" w:type="dxa"/>
            <w:vAlign w:val="center"/>
          </w:tcPr>
          <w:p>
            <w:pPr>
              <w:pStyle w:val="12"/>
              <w:rPr>
                <w:rFonts w:cs="Times New Roman"/>
              </w:rPr>
            </w:pPr>
            <w:r>
              <w:rPr>
                <w:rFonts w:hint="eastAsia"/>
              </w:rPr>
              <w:t>上级补助收入</w:t>
            </w:r>
          </w:p>
        </w:tc>
        <w:tc>
          <w:tcPr>
            <w:tcW w:w="1134" w:type="dxa"/>
            <w:vAlign w:val="center"/>
          </w:tcPr>
          <w:p>
            <w:pPr>
              <w:pStyle w:val="12"/>
              <w:rPr>
                <w:rFonts w:cs="Times New Roman"/>
              </w:rPr>
            </w:pPr>
            <w:r>
              <w:rPr>
                <w:rFonts w:hint="eastAsia"/>
              </w:rPr>
              <w:t>附属单位上缴收入</w:t>
            </w:r>
          </w:p>
        </w:tc>
        <w:tc>
          <w:tcPr>
            <w:tcW w:w="1134" w:type="dxa"/>
            <w:vAlign w:val="center"/>
          </w:tcPr>
          <w:p>
            <w:pPr>
              <w:pStyle w:val="12"/>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cs="Times New Roman"/>
              </w:rPr>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rPr>
                <w:rFonts w:cs="Times New Roman"/>
              </w:rPr>
            </w:pPr>
          </w:p>
        </w:tc>
        <w:tc>
          <w:tcPr>
            <w:tcW w:w="1559" w:type="dxa"/>
            <w:vAlign w:val="center"/>
          </w:tcPr>
          <w:p>
            <w:pPr>
              <w:pStyle w:val="16"/>
              <w:rPr>
                <w:rFonts w:cs="Times New Roman"/>
              </w:rPr>
            </w:pPr>
            <w:r>
              <w:rPr>
                <w:rFonts w:hint="eastAsia"/>
              </w:rPr>
              <w:t>合计</w:t>
            </w:r>
          </w:p>
        </w:tc>
        <w:tc>
          <w:tcPr>
            <w:tcW w:w="1134" w:type="dxa"/>
            <w:vAlign w:val="center"/>
          </w:tcPr>
          <w:p>
            <w:pPr>
              <w:pStyle w:val="17"/>
            </w:pPr>
            <w:r>
              <w:t>994.58</w:t>
            </w:r>
          </w:p>
        </w:tc>
        <w:tc>
          <w:tcPr>
            <w:tcW w:w="1134" w:type="dxa"/>
            <w:vAlign w:val="center"/>
          </w:tcPr>
          <w:p>
            <w:pPr>
              <w:pStyle w:val="17"/>
            </w:pPr>
            <w:r>
              <w:t>994.58</w:t>
            </w:r>
          </w:p>
        </w:tc>
        <w:tc>
          <w:tcPr>
            <w:tcW w:w="1134" w:type="dxa"/>
            <w:vAlign w:val="center"/>
          </w:tcPr>
          <w:p>
            <w:pPr>
              <w:pStyle w:val="17"/>
            </w:pPr>
            <w:r>
              <w:t>994.58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rPr>
                <w:rFonts w:cs="Times New Roman"/>
              </w:rPr>
            </w:pPr>
            <w:r>
              <w:rPr>
                <w:rFonts w:hint="eastAsia"/>
              </w:rPr>
              <w:t>一般公共服务支出</w:t>
            </w:r>
          </w:p>
        </w:tc>
        <w:tc>
          <w:tcPr>
            <w:tcW w:w="1134" w:type="dxa"/>
            <w:vAlign w:val="center"/>
          </w:tcPr>
          <w:p>
            <w:pPr>
              <w:pStyle w:val="13"/>
            </w:pPr>
            <w:r>
              <w:t>274.75</w:t>
            </w:r>
          </w:p>
        </w:tc>
        <w:tc>
          <w:tcPr>
            <w:tcW w:w="1134" w:type="dxa"/>
            <w:vAlign w:val="center"/>
          </w:tcPr>
          <w:p>
            <w:pPr>
              <w:pStyle w:val="13"/>
            </w:pPr>
            <w:r>
              <w:t>274.75</w:t>
            </w:r>
          </w:p>
        </w:tc>
        <w:tc>
          <w:tcPr>
            <w:tcW w:w="1134" w:type="dxa"/>
            <w:vAlign w:val="center"/>
          </w:tcPr>
          <w:p>
            <w:pPr>
              <w:pStyle w:val="13"/>
            </w:pPr>
            <w:r>
              <w:t>274.75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rPr>
                <w:rFonts w:cs="Times New Roman"/>
              </w:rPr>
            </w:pPr>
            <w:r>
              <w:rPr>
                <w:rFonts w:hint="eastAsia"/>
              </w:rPr>
              <w:t>商贸事务</w:t>
            </w:r>
          </w:p>
        </w:tc>
        <w:tc>
          <w:tcPr>
            <w:tcW w:w="1134" w:type="dxa"/>
            <w:vAlign w:val="center"/>
          </w:tcPr>
          <w:p>
            <w:pPr>
              <w:pStyle w:val="13"/>
            </w:pPr>
            <w:r>
              <w:t>274.75</w:t>
            </w:r>
          </w:p>
        </w:tc>
        <w:tc>
          <w:tcPr>
            <w:tcW w:w="1134" w:type="dxa"/>
            <w:vAlign w:val="center"/>
          </w:tcPr>
          <w:p>
            <w:pPr>
              <w:pStyle w:val="13"/>
            </w:pPr>
            <w:r>
              <w:t>274.75</w:t>
            </w:r>
          </w:p>
        </w:tc>
        <w:tc>
          <w:tcPr>
            <w:tcW w:w="1134" w:type="dxa"/>
            <w:vAlign w:val="center"/>
          </w:tcPr>
          <w:p>
            <w:pPr>
              <w:pStyle w:val="13"/>
            </w:pPr>
            <w:r>
              <w:t>274.75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2011399</w:t>
            </w:r>
          </w:p>
        </w:tc>
        <w:tc>
          <w:tcPr>
            <w:tcW w:w="1559" w:type="dxa"/>
            <w:vAlign w:val="center"/>
          </w:tcPr>
          <w:p>
            <w:pPr>
              <w:pStyle w:val="14"/>
              <w:rPr>
                <w:rFonts w:cs="Times New Roman"/>
              </w:rPr>
            </w:pPr>
            <w:r>
              <w:rPr>
                <w:rFonts w:hint="eastAsia"/>
              </w:rPr>
              <w:t>其他商贸事务支出</w:t>
            </w:r>
          </w:p>
        </w:tc>
        <w:tc>
          <w:tcPr>
            <w:tcW w:w="1134" w:type="dxa"/>
            <w:vAlign w:val="center"/>
          </w:tcPr>
          <w:p>
            <w:pPr>
              <w:pStyle w:val="13"/>
            </w:pPr>
            <w:r>
              <w:t>274.75</w:t>
            </w:r>
          </w:p>
        </w:tc>
        <w:tc>
          <w:tcPr>
            <w:tcW w:w="1134" w:type="dxa"/>
            <w:vAlign w:val="center"/>
          </w:tcPr>
          <w:p>
            <w:pPr>
              <w:pStyle w:val="13"/>
            </w:pPr>
            <w:r>
              <w:t>274.75</w:t>
            </w:r>
          </w:p>
        </w:tc>
        <w:tc>
          <w:tcPr>
            <w:tcW w:w="1134" w:type="dxa"/>
            <w:vAlign w:val="center"/>
          </w:tcPr>
          <w:p>
            <w:pPr>
              <w:pStyle w:val="13"/>
            </w:pPr>
            <w:r>
              <w:t>274.75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rPr>
                <w:rFonts w:cs="Times New Roman"/>
              </w:rPr>
            </w:pPr>
            <w:r>
              <w:rPr>
                <w:rFonts w:hint="eastAsia"/>
              </w:rPr>
              <w:t>社会保障和就业支出</w:t>
            </w:r>
          </w:p>
        </w:tc>
        <w:tc>
          <w:tcPr>
            <w:tcW w:w="1134" w:type="dxa"/>
            <w:vAlign w:val="center"/>
          </w:tcPr>
          <w:p>
            <w:pPr>
              <w:pStyle w:val="13"/>
            </w:pPr>
            <w:r>
              <w:t>51.81</w:t>
            </w:r>
          </w:p>
        </w:tc>
        <w:tc>
          <w:tcPr>
            <w:tcW w:w="1134" w:type="dxa"/>
            <w:vAlign w:val="center"/>
          </w:tcPr>
          <w:p>
            <w:pPr>
              <w:pStyle w:val="13"/>
            </w:pPr>
            <w:r>
              <w:t>51.81</w:t>
            </w:r>
          </w:p>
        </w:tc>
        <w:tc>
          <w:tcPr>
            <w:tcW w:w="1134" w:type="dxa"/>
            <w:vAlign w:val="center"/>
          </w:tcPr>
          <w:p>
            <w:pPr>
              <w:pStyle w:val="13"/>
            </w:pPr>
            <w:r>
              <w:t>51.81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rPr>
                <w:rFonts w:cs="Times New Roman"/>
              </w:rPr>
            </w:pPr>
            <w:r>
              <w:rPr>
                <w:rFonts w:hint="eastAsia"/>
              </w:rPr>
              <w:t>行政事业单位养老支出</w:t>
            </w:r>
          </w:p>
        </w:tc>
        <w:tc>
          <w:tcPr>
            <w:tcW w:w="1134" w:type="dxa"/>
            <w:vAlign w:val="center"/>
          </w:tcPr>
          <w:p>
            <w:pPr>
              <w:pStyle w:val="13"/>
            </w:pPr>
            <w:r>
              <w:t>51.81</w:t>
            </w:r>
          </w:p>
        </w:tc>
        <w:tc>
          <w:tcPr>
            <w:tcW w:w="1134" w:type="dxa"/>
            <w:vAlign w:val="center"/>
          </w:tcPr>
          <w:p>
            <w:pPr>
              <w:pStyle w:val="13"/>
            </w:pPr>
            <w:r>
              <w:t>51.81</w:t>
            </w:r>
          </w:p>
        </w:tc>
        <w:tc>
          <w:tcPr>
            <w:tcW w:w="1134" w:type="dxa"/>
            <w:vAlign w:val="center"/>
          </w:tcPr>
          <w:p>
            <w:pPr>
              <w:pStyle w:val="13"/>
            </w:pPr>
            <w:r>
              <w:t>51.81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rPr>
                <w:rFonts w:cs="Times New Roman"/>
              </w:rPr>
            </w:pPr>
            <w:r>
              <w:rPr>
                <w:rFonts w:hint="eastAsia"/>
              </w:rPr>
              <w:t>行政单位离退休</w:t>
            </w:r>
          </w:p>
        </w:tc>
        <w:tc>
          <w:tcPr>
            <w:tcW w:w="1134" w:type="dxa"/>
            <w:vAlign w:val="center"/>
          </w:tcPr>
          <w:p>
            <w:pPr>
              <w:pStyle w:val="13"/>
            </w:pPr>
            <w:r>
              <w:t>0.91</w:t>
            </w:r>
          </w:p>
        </w:tc>
        <w:tc>
          <w:tcPr>
            <w:tcW w:w="1134" w:type="dxa"/>
            <w:vAlign w:val="center"/>
          </w:tcPr>
          <w:p>
            <w:pPr>
              <w:pStyle w:val="13"/>
            </w:pPr>
            <w:r>
              <w:t>0.91</w:t>
            </w:r>
          </w:p>
        </w:tc>
        <w:tc>
          <w:tcPr>
            <w:tcW w:w="1134" w:type="dxa"/>
            <w:vAlign w:val="center"/>
          </w:tcPr>
          <w:p>
            <w:pPr>
              <w:pStyle w:val="13"/>
            </w:pPr>
            <w:r>
              <w:t>0.91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rPr>
                <w:rFonts w:cs="Times New Roman"/>
              </w:rPr>
            </w:pPr>
            <w:r>
              <w:rPr>
                <w:rFonts w:hint="eastAsia"/>
              </w:rPr>
              <w:t>机关事业单位基本养老保险缴费支出</w:t>
            </w:r>
          </w:p>
        </w:tc>
        <w:tc>
          <w:tcPr>
            <w:tcW w:w="1134" w:type="dxa"/>
            <w:vAlign w:val="center"/>
          </w:tcPr>
          <w:p>
            <w:pPr>
              <w:pStyle w:val="13"/>
            </w:pPr>
            <w:r>
              <w:t>33.93</w:t>
            </w:r>
          </w:p>
        </w:tc>
        <w:tc>
          <w:tcPr>
            <w:tcW w:w="1134" w:type="dxa"/>
            <w:vAlign w:val="center"/>
          </w:tcPr>
          <w:p>
            <w:pPr>
              <w:pStyle w:val="13"/>
            </w:pPr>
            <w:r>
              <w:t>33.93</w:t>
            </w:r>
          </w:p>
        </w:tc>
        <w:tc>
          <w:tcPr>
            <w:tcW w:w="1134" w:type="dxa"/>
            <w:vAlign w:val="center"/>
          </w:tcPr>
          <w:p>
            <w:pPr>
              <w:pStyle w:val="13"/>
            </w:pPr>
            <w:r>
              <w:t>33.93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rPr>
                <w:rFonts w:cs="Times New Roman"/>
              </w:rPr>
            </w:pPr>
            <w:r>
              <w:rPr>
                <w:rFonts w:hint="eastAsia"/>
              </w:rPr>
              <w:t>机关事业单位职业年金缴费支出</w:t>
            </w:r>
          </w:p>
        </w:tc>
        <w:tc>
          <w:tcPr>
            <w:tcW w:w="1134" w:type="dxa"/>
            <w:vAlign w:val="center"/>
          </w:tcPr>
          <w:p>
            <w:pPr>
              <w:pStyle w:val="13"/>
            </w:pPr>
            <w:r>
              <w:t>16.97</w:t>
            </w:r>
          </w:p>
        </w:tc>
        <w:tc>
          <w:tcPr>
            <w:tcW w:w="1134" w:type="dxa"/>
            <w:vAlign w:val="center"/>
          </w:tcPr>
          <w:p>
            <w:pPr>
              <w:pStyle w:val="13"/>
            </w:pPr>
            <w:r>
              <w:t>16.97</w:t>
            </w:r>
          </w:p>
        </w:tc>
        <w:tc>
          <w:tcPr>
            <w:tcW w:w="1134" w:type="dxa"/>
            <w:vAlign w:val="center"/>
          </w:tcPr>
          <w:p>
            <w:pPr>
              <w:pStyle w:val="13"/>
            </w:pPr>
            <w:r>
              <w:t>16.97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rPr>
                <w:rFonts w:cs="Times New Roman"/>
              </w:rPr>
            </w:pPr>
            <w:r>
              <w:rPr>
                <w:rFonts w:hint="eastAsia"/>
              </w:rPr>
              <w:t>卫生健康支出</w:t>
            </w:r>
          </w:p>
        </w:tc>
        <w:tc>
          <w:tcPr>
            <w:tcW w:w="1134" w:type="dxa"/>
            <w:vAlign w:val="center"/>
          </w:tcPr>
          <w:p>
            <w:pPr>
              <w:pStyle w:val="13"/>
            </w:pPr>
            <w:r>
              <w:t>18.02</w:t>
            </w:r>
          </w:p>
        </w:tc>
        <w:tc>
          <w:tcPr>
            <w:tcW w:w="1134" w:type="dxa"/>
            <w:vAlign w:val="center"/>
          </w:tcPr>
          <w:p>
            <w:pPr>
              <w:pStyle w:val="13"/>
            </w:pPr>
            <w:r>
              <w:t>18.02</w:t>
            </w:r>
          </w:p>
        </w:tc>
        <w:tc>
          <w:tcPr>
            <w:tcW w:w="1134" w:type="dxa"/>
            <w:vAlign w:val="center"/>
          </w:tcPr>
          <w:p>
            <w:pPr>
              <w:pStyle w:val="13"/>
            </w:pPr>
            <w:r>
              <w:t>18.02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rPr>
                <w:rFonts w:cs="Times New Roman"/>
              </w:rPr>
            </w:pPr>
            <w:r>
              <w:rPr>
                <w:rFonts w:hint="eastAsia"/>
              </w:rPr>
              <w:t>财政对基本医疗保险基金的补助</w:t>
            </w:r>
          </w:p>
        </w:tc>
        <w:tc>
          <w:tcPr>
            <w:tcW w:w="1134" w:type="dxa"/>
            <w:vAlign w:val="center"/>
          </w:tcPr>
          <w:p>
            <w:pPr>
              <w:pStyle w:val="13"/>
            </w:pPr>
            <w:r>
              <w:t>18.02</w:t>
            </w:r>
          </w:p>
        </w:tc>
        <w:tc>
          <w:tcPr>
            <w:tcW w:w="1134" w:type="dxa"/>
            <w:vAlign w:val="center"/>
          </w:tcPr>
          <w:p>
            <w:pPr>
              <w:pStyle w:val="13"/>
            </w:pPr>
            <w:r>
              <w:t>18.02</w:t>
            </w:r>
          </w:p>
        </w:tc>
        <w:tc>
          <w:tcPr>
            <w:tcW w:w="1134" w:type="dxa"/>
            <w:vAlign w:val="center"/>
          </w:tcPr>
          <w:p>
            <w:pPr>
              <w:pStyle w:val="13"/>
            </w:pPr>
            <w:r>
              <w:t>18.02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rPr>
                <w:rFonts w:cs="Times New Roman"/>
              </w:rPr>
            </w:pPr>
            <w:r>
              <w:rPr>
                <w:rFonts w:hint="eastAsia"/>
              </w:rPr>
              <w:t>财政对职工基本医疗保险基金的补助</w:t>
            </w:r>
          </w:p>
        </w:tc>
        <w:tc>
          <w:tcPr>
            <w:tcW w:w="1134" w:type="dxa"/>
            <w:vAlign w:val="center"/>
          </w:tcPr>
          <w:p>
            <w:pPr>
              <w:pStyle w:val="13"/>
            </w:pPr>
            <w:r>
              <w:t>18.02</w:t>
            </w:r>
          </w:p>
        </w:tc>
        <w:tc>
          <w:tcPr>
            <w:tcW w:w="1134" w:type="dxa"/>
            <w:vAlign w:val="center"/>
          </w:tcPr>
          <w:p>
            <w:pPr>
              <w:pStyle w:val="13"/>
            </w:pPr>
            <w:r>
              <w:t>18.02</w:t>
            </w:r>
          </w:p>
        </w:tc>
        <w:tc>
          <w:tcPr>
            <w:tcW w:w="1134" w:type="dxa"/>
            <w:vAlign w:val="center"/>
          </w:tcPr>
          <w:p>
            <w:pPr>
              <w:pStyle w:val="13"/>
            </w:pPr>
            <w:r>
              <w:t>18.02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215</w:t>
            </w:r>
          </w:p>
        </w:tc>
        <w:tc>
          <w:tcPr>
            <w:tcW w:w="1559" w:type="dxa"/>
            <w:vAlign w:val="center"/>
          </w:tcPr>
          <w:p>
            <w:pPr>
              <w:pStyle w:val="14"/>
              <w:rPr>
                <w:rFonts w:cs="Times New Roman"/>
              </w:rPr>
            </w:pPr>
            <w:r>
              <w:rPr>
                <w:rFonts w:hint="eastAsia"/>
              </w:rPr>
              <w:t>资源勘探工业信息等支出</w:t>
            </w:r>
          </w:p>
        </w:tc>
        <w:tc>
          <w:tcPr>
            <w:tcW w:w="1134" w:type="dxa"/>
            <w:vAlign w:val="center"/>
          </w:tcPr>
          <w:p>
            <w:pPr>
              <w:pStyle w:val="13"/>
            </w:pPr>
            <w:r>
              <w:t>650.00</w:t>
            </w:r>
          </w:p>
        </w:tc>
        <w:tc>
          <w:tcPr>
            <w:tcW w:w="1134" w:type="dxa"/>
            <w:vAlign w:val="center"/>
          </w:tcPr>
          <w:p>
            <w:pPr>
              <w:pStyle w:val="13"/>
            </w:pPr>
            <w:r>
              <w:t>650.00</w:t>
            </w:r>
          </w:p>
        </w:tc>
        <w:tc>
          <w:tcPr>
            <w:tcW w:w="1134" w:type="dxa"/>
            <w:vAlign w:val="center"/>
          </w:tcPr>
          <w:p>
            <w:pPr>
              <w:pStyle w:val="13"/>
            </w:pPr>
            <w:r>
              <w:t>650.00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21508</w:t>
            </w:r>
          </w:p>
        </w:tc>
        <w:tc>
          <w:tcPr>
            <w:tcW w:w="1559" w:type="dxa"/>
            <w:vAlign w:val="center"/>
          </w:tcPr>
          <w:p>
            <w:pPr>
              <w:pStyle w:val="14"/>
              <w:rPr>
                <w:rFonts w:cs="Times New Roman"/>
              </w:rPr>
            </w:pPr>
            <w:r>
              <w:rPr>
                <w:rFonts w:hint="eastAsia"/>
              </w:rPr>
              <w:t>支持中小企业发展和管理支出</w:t>
            </w:r>
          </w:p>
        </w:tc>
        <w:tc>
          <w:tcPr>
            <w:tcW w:w="1134" w:type="dxa"/>
            <w:vAlign w:val="center"/>
          </w:tcPr>
          <w:p>
            <w:pPr>
              <w:pStyle w:val="13"/>
            </w:pPr>
            <w:r>
              <w:t>650.00</w:t>
            </w:r>
          </w:p>
        </w:tc>
        <w:tc>
          <w:tcPr>
            <w:tcW w:w="1134" w:type="dxa"/>
            <w:vAlign w:val="center"/>
          </w:tcPr>
          <w:p>
            <w:pPr>
              <w:pStyle w:val="13"/>
            </w:pPr>
            <w:r>
              <w:t>650.00</w:t>
            </w:r>
          </w:p>
        </w:tc>
        <w:tc>
          <w:tcPr>
            <w:tcW w:w="1134" w:type="dxa"/>
            <w:vAlign w:val="center"/>
          </w:tcPr>
          <w:p>
            <w:pPr>
              <w:pStyle w:val="13"/>
            </w:pPr>
            <w:r>
              <w:t>650.00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2150899</w:t>
            </w:r>
          </w:p>
        </w:tc>
        <w:tc>
          <w:tcPr>
            <w:tcW w:w="1559" w:type="dxa"/>
            <w:vAlign w:val="center"/>
          </w:tcPr>
          <w:p>
            <w:pPr>
              <w:pStyle w:val="14"/>
              <w:rPr>
                <w:rFonts w:cs="Times New Roman"/>
              </w:rPr>
            </w:pPr>
            <w:r>
              <w:rPr>
                <w:rFonts w:hint="eastAsia"/>
              </w:rPr>
              <w:t>其他支持中小企业发展和管理支出</w:t>
            </w:r>
          </w:p>
        </w:tc>
        <w:tc>
          <w:tcPr>
            <w:tcW w:w="1134" w:type="dxa"/>
            <w:vAlign w:val="center"/>
          </w:tcPr>
          <w:p>
            <w:pPr>
              <w:pStyle w:val="13"/>
            </w:pPr>
            <w:r>
              <w:t>650.00</w:t>
            </w:r>
          </w:p>
        </w:tc>
        <w:tc>
          <w:tcPr>
            <w:tcW w:w="1134" w:type="dxa"/>
            <w:vAlign w:val="center"/>
          </w:tcPr>
          <w:p>
            <w:pPr>
              <w:pStyle w:val="13"/>
            </w:pPr>
            <w:r>
              <w:t>650.00</w:t>
            </w:r>
          </w:p>
        </w:tc>
        <w:tc>
          <w:tcPr>
            <w:tcW w:w="1134" w:type="dxa"/>
            <w:vAlign w:val="center"/>
          </w:tcPr>
          <w:p>
            <w:pPr>
              <w:pStyle w:val="13"/>
            </w:pPr>
            <w:r>
              <w:t>650.00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528" w:type="dxa"/>
            <w:gridSpan w:val="2"/>
            <w:vAlign w:val="center"/>
          </w:tcPr>
          <w:p>
            <w:pPr>
              <w:pStyle w:val="12"/>
              <w:rPr>
                <w:rFonts w:cs="Times New Roman"/>
              </w:rPr>
            </w:pPr>
            <w:r>
              <w:rPr>
                <w:rFonts w:hint="eastAsia"/>
              </w:rPr>
              <w:t>功能分类科目</w:t>
            </w:r>
          </w:p>
        </w:tc>
        <w:tc>
          <w:tcPr>
            <w:tcW w:w="1361" w:type="dxa"/>
            <w:vMerge w:val="restart"/>
            <w:vAlign w:val="center"/>
          </w:tcPr>
          <w:p>
            <w:pPr>
              <w:pStyle w:val="12"/>
              <w:rPr>
                <w:rFonts w:cs="Times New Roman"/>
              </w:rPr>
            </w:pPr>
            <w:r>
              <w:rPr>
                <w:rFonts w:hint="eastAsia"/>
              </w:rPr>
              <w:t>合计</w:t>
            </w:r>
          </w:p>
        </w:tc>
        <w:tc>
          <w:tcPr>
            <w:tcW w:w="1361" w:type="dxa"/>
            <w:vMerge w:val="restart"/>
            <w:vAlign w:val="center"/>
          </w:tcPr>
          <w:p>
            <w:pPr>
              <w:pStyle w:val="12"/>
              <w:rPr>
                <w:rFonts w:cs="Times New Roman"/>
              </w:rPr>
            </w:pPr>
            <w:r>
              <w:rPr>
                <w:rFonts w:hint="eastAsia"/>
              </w:rPr>
              <w:t>基本支出</w:t>
            </w:r>
          </w:p>
        </w:tc>
        <w:tc>
          <w:tcPr>
            <w:tcW w:w="1361" w:type="dxa"/>
            <w:vMerge w:val="restart"/>
            <w:vAlign w:val="center"/>
          </w:tcPr>
          <w:p>
            <w:pPr>
              <w:pStyle w:val="12"/>
              <w:rPr>
                <w:rFonts w:cs="Times New Roman"/>
              </w:rPr>
            </w:pPr>
            <w:r>
              <w:rPr>
                <w:rFonts w:hint="eastAsia"/>
              </w:rPr>
              <w:t>项目支出</w:t>
            </w:r>
          </w:p>
        </w:tc>
        <w:tc>
          <w:tcPr>
            <w:tcW w:w="1361" w:type="dxa"/>
            <w:vMerge w:val="restart"/>
            <w:vAlign w:val="center"/>
          </w:tcPr>
          <w:p>
            <w:pPr>
              <w:pStyle w:val="12"/>
              <w:rPr>
                <w:rFonts w:cs="Times New Roman"/>
              </w:rPr>
            </w:pPr>
            <w:r>
              <w:rPr>
                <w:rFonts w:hint="eastAsia"/>
              </w:rPr>
              <w:t>经营支出</w:t>
            </w:r>
          </w:p>
        </w:tc>
        <w:tc>
          <w:tcPr>
            <w:tcW w:w="1361" w:type="dxa"/>
            <w:vMerge w:val="restart"/>
            <w:vAlign w:val="center"/>
          </w:tcPr>
          <w:p>
            <w:pPr>
              <w:pStyle w:val="12"/>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2"/>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4535" w:type="dxa"/>
            <w:vAlign w:val="center"/>
          </w:tcPr>
          <w:p>
            <w:pPr>
              <w:pStyle w:val="12"/>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1361" w:type="dxa"/>
            <w:vAlign w:val="center"/>
          </w:tcPr>
          <w:p>
            <w:pPr>
              <w:pStyle w:val="17"/>
            </w:pPr>
            <w:r>
              <w:t>994.58</w:t>
            </w:r>
          </w:p>
        </w:tc>
        <w:tc>
          <w:tcPr>
            <w:tcW w:w="1361" w:type="dxa"/>
            <w:vAlign w:val="center"/>
          </w:tcPr>
          <w:p>
            <w:pPr>
              <w:pStyle w:val="17"/>
            </w:pPr>
            <w:r>
              <w:t>344.58</w:t>
            </w:r>
          </w:p>
        </w:tc>
        <w:tc>
          <w:tcPr>
            <w:tcW w:w="1361" w:type="dxa"/>
            <w:vAlign w:val="center"/>
          </w:tcPr>
          <w:p>
            <w:pPr>
              <w:pStyle w:val="17"/>
            </w:pPr>
            <w:r>
              <w:t>650.00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1361" w:type="dxa"/>
            <w:vAlign w:val="center"/>
          </w:tcPr>
          <w:p>
            <w:pPr>
              <w:pStyle w:val="13"/>
            </w:pPr>
            <w:r>
              <w:t>274.75</w:t>
            </w:r>
          </w:p>
        </w:tc>
        <w:tc>
          <w:tcPr>
            <w:tcW w:w="1361" w:type="dxa"/>
            <w:vAlign w:val="center"/>
          </w:tcPr>
          <w:p>
            <w:pPr>
              <w:pStyle w:val="13"/>
            </w:pPr>
            <w:r>
              <w:t>274.75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rPr>
                <w:rFonts w:cs="Times New Roman"/>
              </w:rPr>
            </w:pPr>
            <w:r>
              <w:rPr>
                <w:rFonts w:hint="eastAsia"/>
              </w:rPr>
              <w:t>商贸事务</w:t>
            </w:r>
          </w:p>
        </w:tc>
        <w:tc>
          <w:tcPr>
            <w:tcW w:w="1361" w:type="dxa"/>
            <w:vAlign w:val="center"/>
          </w:tcPr>
          <w:p>
            <w:pPr>
              <w:pStyle w:val="13"/>
            </w:pPr>
            <w:r>
              <w:t>274.75</w:t>
            </w:r>
          </w:p>
        </w:tc>
        <w:tc>
          <w:tcPr>
            <w:tcW w:w="1361" w:type="dxa"/>
            <w:vAlign w:val="center"/>
          </w:tcPr>
          <w:p>
            <w:pPr>
              <w:pStyle w:val="13"/>
            </w:pPr>
            <w:r>
              <w:t>274.75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2011399</w:t>
            </w:r>
          </w:p>
        </w:tc>
        <w:tc>
          <w:tcPr>
            <w:tcW w:w="4535" w:type="dxa"/>
            <w:vAlign w:val="center"/>
          </w:tcPr>
          <w:p>
            <w:pPr>
              <w:pStyle w:val="14"/>
              <w:rPr>
                <w:rFonts w:cs="Times New Roman"/>
              </w:rPr>
            </w:pPr>
            <w:r>
              <w:rPr>
                <w:rFonts w:hint="eastAsia"/>
              </w:rPr>
              <w:t>其他商贸事务支出</w:t>
            </w:r>
          </w:p>
        </w:tc>
        <w:tc>
          <w:tcPr>
            <w:tcW w:w="1361" w:type="dxa"/>
            <w:vAlign w:val="center"/>
          </w:tcPr>
          <w:p>
            <w:pPr>
              <w:pStyle w:val="13"/>
            </w:pPr>
            <w:r>
              <w:t>274.75</w:t>
            </w:r>
          </w:p>
        </w:tc>
        <w:tc>
          <w:tcPr>
            <w:tcW w:w="1361" w:type="dxa"/>
            <w:vAlign w:val="center"/>
          </w:tcPr>
          <w:p>
            <w:pPr>
              <w:pStyle w:val="13"/>
            </w:pPr>
            <w:r>
              <w:t>274.75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1361" w:type="dxa"/>
            <w:vAlign w:val="center"/>
          </w:tcPr>
          <w:p>
            <w:pPr>
              <w:pStyle w:val="13"/>
            </w:pPr>
            <w:r>
              <w:t>51.81</w:t>
            </w:r>
          </w:p>
        </w:tc>
        <w:tc>
          <w:tcPr>
            <w:tcW w:w="1361" w:type="dxa"/>
            <w:vAlign w:val="center"/>
          </w:tcPr>
          <w:p>
            <w:pPr>
              <w:pStyle w:val="13"/>
            </w:pPr>
            <w:r>
              <w:t>51.81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1361" w:type="dxa"/>
            <w:vAlign w:val="center"/>
          </w:tcPr>
          <w:p>
            <w:pPr>
              <w:pStyle w:val="13"/>
            </w:pPr>
            <w:r>
              <w:t>51.81</w:t>
            </w:r>
          </w:p>
        </w:tc>
        <w:tc>
          <w:tcPr>
            <w:tcW w:w="1361" w:type="dxa"/>
            <w:vAlign w:val="center"/>
          </w:tcPr>
          <w:p>
            <w:pPr>
              <w:pStyle w:val="13"/>
            </w:pPr>
            <w:r>
              <w:t>51.81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1361" w:type="dxa"/>
            <w:vAlign w:val="center"/>
          </w:tcPr>
          <w:p>
            <w:pPr>
              <w:pStyle w:val="13"/>
            </w:pPr>
            <w:r>
              <w:t>0.91</w:t>
            </w:r>
          </w:p>
        </w:tc>
        <w:tc>
          <w:tcPr>
            <w:tcW w:w="1361" w:type="dxa"/>
            <w:vAlign w:val="center"/>
          </w:tcPr>
          <w:p>
            <w:pPr>
              <w:pStyle w:val="13"/>
            </w:pPr>
            <w:r>
              <w:t>0.91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1361" w:type="dxa"/>
            <w:vAlign w:val="center"/>
          </w:tcPr>
          <w:p>
            <w:pPr>
              <w:pStyle w:val="13"/>
            </w:pPr>
            <w:r>
              <w:t>33.93</w:t>
            </w:r>
          </w:p>
        </w:tc>
        <w:tc>
          <w:tcPr>
            <w:tcW w:w="1361" w:type="dxa"/>
            <w:vAlign w:val="center"/>
          </w:tcPr>
          <w:p>
            <w:pPr>
              <w:pStyle w:val="13"/>
            </w:pPr>
            <w:r>
              <w:t>33.93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rPr>
                <w:rFonts w:cs="Times New Roman"/>
              </w:rPr>
            </w:pPr>
            <w:r>
              <w:rPr>
                <w:rFonts w:hint="eastAsia"/>
              </w:rPr>
              <w:t>机关事业单位职业年金缴费支出</w:t>
            </w:r>
          </w:p>
        </w:tc>
        <w:tc>
          <w:tcPr>
            <w:tcW w:w="1361" w:type="dxa"/>
            <w:vAlign w:val="center"/>
          </w:tcPr>
          <w:p>
            <w:pPr>
              <w:pStyle w:val="13"/>
            </w:pPr>
            <w:r>
              <w:t>16.97</w:t>
            </w:r>
          </w:p>
        </w:tc>
        <w:tc>
          <w:tcPr>
            <w:tcW w:w="1361" w:type="dxa"/>
            <w:vAlign w:val="center"/>
          </w:tcPr>
          <w:p>
            <w:pPr>
              <w:pStyle w:val="13"/>
            </w:pPr>
            <w:r>
              <w:t>16.97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1361" w:type="dxa"/>
            <w:vAlign w:val="center"/>
          </w:tcPr>
          <w:p>
            <w:pPr>
              <w:pStyle w:val="13"/>
            </w:pPr>
            <w:r>
              <w:t>18.02</w:t>
            </w:r>
          </w:p>
        </w:tc>
        <w:tc>
          <w:tcPr>
            <w:tcW w:w="1361" w:type="dxa"/>
            <w:vAlign w:val="center"/>
          </w:tcPr>
          <w:p>
            <w:pPr>
              <w:pStyle w:val="13"/>
            </w:pPr>
            <w:r>
              <w:t>18.02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rPr>
                <w:rFonts w:cs="Times New Roman"/>
              </w:rPr>
            </w:pPr>
            <w:r>
              <w:rPr>
                <w:rFonts w:hint="eastAsia"/>
              </w:rPr>
              <w:t>财政对基本医疗保险基金的补助</w:t>
            </w:r>
          </w:p>
        </w:tc>
        <w:tc>
          <w:tcPr>
            <w:tcW w:w="1361" w:type="dxa"/>
            <w:vAlign w:val="center"/>
          </w:tcPr>
          <w:p>
            <w:pPr>
              <w:pStyle w:val="13"/>
            </w:pPr>
            <w:r>
              <w:t>18.02</w:t>
            </w:r>
          </w:p>
        </w:tc>
        <w:tc>
          <w:tcPr>
            <w:tcW w:w="1361" w:type="dxa"/>
            <w:vAlign w:val="center"/>
          </w:tcPr>
          <w:p>
            <w:pPr>
              <w:pStyle w:val="13"/>
            </w:pPr>
            <w:r>
              <w:t>18.02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rPr>
                <w:rFonts w:cs="Times New Roman"/>
              </w:rPr>
            </w:pPr>
            <w:r>
              <w:rPr>
                <w:rFonts w:hint="eastAsia"/>
              </w:rPr>
              <w:t>财政对职工基本医疗保险基金的补助</w:t>
            </w:r>
          </w:p>
        </w:tc>
        <w:tc>
          <w:tcPr>
            <w:tcW w:w="1361" w:type="dxa"/>
            <w:vAlign w:val="center"/>
          </w:tcPr>
          <w:p>
            <w:pPr>
              <w:pStyle w:val="13"/>
            </w:pPr>
            <w:r>
              <w:t>18.02</w:t>
            </w:r>
          </w:p>
        </w:tc>
        <w:tc>
          <w:tcPr>
            <w:tcW w:w="1361" w:type="dxa"/>
            <w:vAlign w:val="center"/>
          </w:tcPr>
          <w:p>
            <w:pPr>
              <w:pStyle w:val="13"/>
            </w:pPr>
            <w:r>
              <w:t>18.02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215</w:t>
            </w:r>
          </w:p>
        </w:tc>
        <w:tc>
          <w:tcPr>
            <w:tcW w:w="4535" w:type="dxa"/>
            <w:vAlign w:val="center"/>
          </w:tcPr>
          <w:p>
            <w:pPr>
              <w:pStyle w:val="14"/>
              <w:rPr>
                <w:rFonts w:cs="Times New Roman"/>
              </w:rPr>
            </w:pPr>
            <w:r>
              <w:rPr>
                <w:rFonts w:hint="eastAsia"/>
              </w:rPr>
              <w:t>资源勘探工业信息等支出</w:t>
            </w:r>
          </w:p>
        </w:tc>
        <w:tc>
          <w:tcPr>
            <w:tcW w:w="1361" w:type="dxa"/>
            <w:vAlign w:val="center"/>
          </w:tcPr>
          <w:p>
            <w:pPr>
              <w:pStyle w:val="13"/>
            </w:pPr>
            <w:r>
              <w:t>650.00</w:t>
            </w:r>
          </w:p>
        </w:tc>
        <w:tc>
          <w:tcPr>
            <w:tcW w:w="1361" w:type="dxa"/>
            <w:vAlign w:val="center"/>
          </w:tcPr>
          <w:p>
            <w:pPr>
              <w:pStyle w:val="13"/>
            </w:pPr>
          </w:p>
        </w:tc>
        <w:tc>
          <w:tcPr>
            <w:tcW w:w="1361" w:type="dxa"/>
            <w:vAlign w:val="center"/>
          </w:tcPr>
          <w:p>
            <w:pPr>
              <w:pStyle w:val="13"/>
            </w:pPr>
            <w:r>
              <w:t>650.00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21508</w:t>
            </w:r>
          </w:p>
        </w:tc>
        <w:tc>
          <w:tcPr>
            <w:tcW w:w="4535" w:type="dxa"/>
            <w:vAlign w:val="center"/>
          </w:tcPr>
          <w:p>
            <w:pPr>
              <w:pStyle w:val="14"/>
              <w:rPr>
                <w:rFonts w:cs="Times New Roman"/>
              </w:rPr>
            </w:pPr>
            <w:r>
              <w:rPr>
                <w:rFonts w:hint="eastAsia"/>
              </w:rPr>
              <w:t>支持中小企业发展和管理支出</w:t>
            </w:r>
          </w:p>
        </w:tc>
        <w:tc>
          <w:tcPr>
            <w:tcW w:w="1361" w:type="dxa"/>
            <w:vAlign w:val="center"/>
          </w:tcPr>
          <w:p>
            <w:pPr>
              <w:pStyle w:val="13"/>
            </w:pPr>
            <w:r>
              <w:t>650.00</w:t>
            </w:r>
          </w:p>
        </w:tc>
        <w:tc>
          <w:tcPr>
            <w:tcW w:w="1361" w:type="dxa"/>
            <w:vAlign w:val="center"/>
          </w:tcPr>
          <w:p>
            <w:pPr>
              <w:pStyle w:val="13"/>
            </w:pPr>
          </w:p>
        </w:tc>
        <w:tc>
          <w:tcPr>
            <w:tcW w:w="1361" w:type="dxa"/>
            <w:vAlign w:val="center"/>
          </w:tcPr>
          <w:p>
            <w:pPr>
              <w:pStyle w:val="13"/>
            </w:pPr>
            <w:r>
              <w:t>650.00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2150899</w:t>
            </w:r>
          </w:p>
        </w:tc>
        <w:tc>
          <w:tcPr>
            <w:tcW w:w="4535" w:type="dxa"/>
            <w:vAlign w:val="center"/>
          </w:tcPr>
          <w:p>
            <w:pPr>
              <w:pStyle w:val="14"/>
              <w:rPr>
                <w:rFonts w:cs="Times New Roman"/>
              </w:rPr>
            </w:pPr>
            <w:r>
              <w:rPr>
                <w:rFonts w:hint="eastAsia"/>
              </w:rPr>
              <w:t>其他支持中小企业发展和管理支出</w:t>
            </w:r>
          </w:p>
        </w:tc>
        <w:tc>
          <w:tcPr>
            <w:tcW w:w="1361" w:type="dxa"/>
            <w:vAlign w:val="center"/>
          </w:tcPr>
          <w:p>
            <w:pPr>
              <w:pStyle w:val="13"/>
            </w:pPr>
            <w:r>
              <w:t>650.00</w:t>
            </w:r>
          </w:p>
        </w:tc>
        <w:tc>
          <w:tcPr>
            <w:tcW w:w="1361" w:type="dxa"/>
            <w:vAlign w:val="center"/>
          </w:tcPr>
          <w:p>
            <w:pPr>
              <w:pStyle w:val="13"/>
            </w:pPr>
          </w:p>
        </w:tc>
        <w:tc>
          <w:tcPr>
            <w:tcW w:w="1361" w:type="dxa"/>
            <w:vAlign w:val="center"/>
          </w:tcPr>
          <w:p>
            <w:pPr>
              <w:pStyle w:val="13"/>
            </w:pPr>
            <w:r>
              <w:t>650.00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4876" w:type="dxa"/>
            <w:gridSpan w:val="2"/>
            <w:vAlign w:val="center"/>
          </w:tcPr>
          <w:p>
            <w:pPr>
              <w:pStyle w:val="12"/>
              <w:rPr>
                <w:rFonts w:cs="Times New Roman"/>
              </w:rPr>
            </w:pPr>
            <w:r>
              <w:rPr>
                <w:rFonts w:hint="eastAsia"/>
              </w:rPr>
              <w:t>收入</w:t>
            </w:r>
          </w:p>
        </w:tc>
        <w:tc>
          <w:tcPr>
            <w:tcW w:w="9298" w:type="dxa"/>
            <w:gridSpan w:val="5"/>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金额</w:t>
            </w: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合计</w:t>
            </w:r>
          </w:p>
        </w:tc>
        <w:tc>
          <w:tcPr>
            <w:tcW w:w="1474" w:type="dxa"/>
            <w:vAlign w:val="center"/>
          </w:tcPr>
          <w:p>
            <w:pPr>
              <w:pStyle w:val="12"/>
              <w:rPr>
                <w:rFonts w:cs="Times New Roman"/>
              </w:rPr>
            </w:pPr>
            <w:r>
              <w:rPr>
                <w:rFonts w:hint="eastAsia"/>
              </w:rPr>
              <w:t>一般公共预算财政拨款</w:t>
            </w:r>
          </w:p>
        </w:tc>
        <w:tc>
          <w:tcPr>
            <w:tcW w:w="1474" w:type="dxa"/>
            <w:vAlign w:val="center"/>
          </w:tcPr>
          <w:p>
            <w:pPr>
              <w:pStyle w:val="12"/>
              <w:rPr>
                <w:rFonts w:cs="Times New Roman"/>
              </w:rPr>
            </w:pPr>
            <w:r>
              <w:rPr>
                <w:rFonts w:hint="eastAsia"/>
              </w:rPr>
              <w:t>政府性基金预算财政</w:t>
            </w:r>
            <w:r>
              <w:t xml:space="preserve">    </w:t>
            </w:r>
            <w:r>
              <w:rPr>
                <w:rFonts w:hint="eastAsia"/>
              </w:rPr>
              <w:t>拨款</w:t>
            </w:r>
          </w:p>
        </w:tc>
        <w:tc>
          <w:tcPr>
            <w:tcW w:w="1474" w:type="dxa"/>
            <w:vAlign w:val="center"/>
          </w:tcPr>
          <w:p>
            <w:pPr>
              <w:pStyle w:val="12"/>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pPr>
            <w:r>
              <w:t>994.58</w:t>
            </w:r>
          </w:p>
        </w:tc>
        <w:tc>
          <w:tcPr>
            <w:tcW w:w="3402" w:type="dxa"/>
            <w:vAlign w:val="center"/>
          </w:tcPr>
          <w:p>
            <w:pPr>
              <w:pStyle w:val="14"/>
              <w:rPr>
                <w:rFonts w:cs="Times New Roman"/>
              </w:rPr>
            </w:pPr>
            <w:r>
              <w:rPr>
                <w:rFonts w:hint="eastAsia"/>
              </w:rPr>
              <w:t>一、一般公共服务支出</w:t>
            </w:r>
          </w:p>
        </w:tc>
        <w:tc>
          <w:tcPr>
            <w:tcW w:w="1474" w:type="dxa"/>
            <w:vAlign w:val="center"/>
          </w:tcPr>
          <w:p>
            <w:pPr>
              <w:pStyle w:val="13"/>
            </w:pPr>
            <w:r>
              <w:t>274.75</w:t>
            </w:r>
          </w:p>
        </w:tc>
        <w:tc>
          <w:tcPr>
            <w:tcW w:w="1474" w:type="dxa"/>
            <w:vAlign w:val="center"/>
          </w:tcPr>
          <w:p>
            <w:pPr>
              <w:pStyle w:val="13"/>
            </w:pPr>
            <w:r>
              <w:t>274.75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二、外交支出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三、国防支出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四、公共安全支出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五、教育支出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六、科学技术支出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七、文化旅游体育与传媒支出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八、社会保障和就业支出</w:t>
            </w:r>
          </w:p>
        </w:tc>
        <w:tc>
          <w:tcPr>
            <w:tcW w:w="1474" w:type="dxa"/>
            <w:vAlign w:val="center"/>
          </w:tcPr>
          <w:p>
            <w:pPr>
              <w:pStyle w:val="13"/>
            </w:pPr>
            <w:r>
              <w:t>51.81</w:t>
            </w:r>
          </w:p>
        </w:tc>
        <w:tc>
          <w:tcPr>
            <w:tcW w:w="1474" w:type="dxa"/>
            <w:vAlign w:val="center"/>
          </w:tcPr>
          <w:p>
            <w:pPr>
              <w:pStyle w:val="13"/>
            </w:pPr>
            <w:r>
              <w:t>51.81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九、社会保险基金支出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十、卫生健康支出</w:t>
            </w:r>
          </w:p>
        </w:tc>
        <w:tc>
          <w:tcPr>
            <w:tcW w:w="1474" w:type="dxa"/>
            <w:vAlign w:val="center"/>
          </w:tcPr>
          <w:p>
            <w:pPr>
              <w:pStyle w:val="13"/>
            </w:pPr>
            <w:r>
              <w:t>18.02</w:t>
            </w:r>
          </w:p>
        </w:tc>
        <w:tc>
          <w:tcPr>
            <w:tcW w:w="1474" w:type="dxa"/>
            <w:vAlign w:val="center"/>
          </w:tcPr>
          <w:p>
            <w:pPr>
              <w:pStyle w:val="13"/>
            </w:pPr>
            <w:r>
              <w:t>18.02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十一、节能环保支出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十二、城乡社区支出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十三、农林水支出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十四、交通运输支出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十五、资源勘探工业信息等支出</w:t>
            </w:r>
          </w:p>
        </w:tc>
        <w:tc>
          <w:tcPr>
            <w:tcW w:w="1474" w:type="dxa"/>
            <w:vAlign w:val="center"/>
          </w:tcPr>
          <w:p>
            <w:pPr>
              <w:pStyle w:val="13"/>
            </w:pPr>
            <w:r>
              <w:t>650.00</w:t>
            </w:r>
          </w:p>
        </w:tc>
        <w:tc>
          <w:tcPr>
            <w:tcW w:w="1474" w:type="dxa"/>
            <w:vAlign w:val="center"/>
          </w:tcPr>
          <w:p>
            <w:pPr>
              <w:pStyle w:val="13"/>
            </w:pPr>
            <w:r>
              <w:t>650.00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十六、商业服务业等支出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十七、金融支出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十八、援助其他地区支出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十九、自然资源海洋气象等支出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二十、住房保障支出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二十一、粮油物资储备支出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二十二、国有资本经营预算支出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二十三、灾害防治及应急管理支出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二十四、预备费</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二十五、其他支出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二十六、转移性支出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二十七、债务还本支出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二十八、债务付息支出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二十九、债务发行费用支出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三十、抗疫特别国债安排的支出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三十一、人行科目</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rPr>
                <w:rFonts w:cs="Times New Roman"/>
              </w:rPr>
            </w:pPr>
            <w:r>
              <w:rPr>
                <w:rFonts w:hint="eastAsia"/>
              </w:rPr>
              <w:t>本年收入合计</w:t>
            </w:r>
          </w:p>
        </w:tc>
        <w:tc>
          <w:tcPr>
            <w:tcW w:w="1474" w:type="dxa"/>
            <w:vAlign w:val="center"/>
          </w:tcPr>
          <w:p>
            <w:pPr>
              <w:pStyle w:val="17"/>
            </w:pPr>
            <w:r>
              <w:t>994.58</w:t>
            </w:r>
          </w:p>
        </w:tc>
        <w:tc>
          <w:tcPr>
            <w:tcW w:w="3402" w:type="dxa"/>
            <w:vAlign w:val="center"/>
          </w:tcPr>
          <w:p>
            <w:pPr>
              <w:pStyle w:val="16"/>
              <w:rPr>
                <w:rFonts w:cs="Times New Roman"/>
              </w:rPr>
            </w:pPr>
            <w:r>
              <w:rPr>
                <w:rFonts w:hint="eastAsia"/>
              </w:rPr>
              <w:t>本年支出合计</w:t>
            </w:r>
          </w:p>
        </w:tc>
        <w:tc>
          <w:tcPr>
            <w:tcW w:w="1474" w:type="dxa"/>
            <w:vAlign w:val="center"/>
          </w:tcPr>
          <w:p>
            <w:pPr>
              <w:pStyle w:val="17"/>
            </w:pPr>
            <w:r>
              <w:t>994.58</w:t>
            </w:r>
          </w:p>
        </w:tc>
        <w:tc>
          <w:tcPr>
            <w:tcW w:w="1474" w:type="dxa"/>
            <w:vAlign w:val="center"/>
          </w:tcPr>
          <w:p>
            <w:pPr>
              <w:pStyle w:val="17"/>
            </w:pPr>
            <w:r>
              <w:t>994.58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rPr>
                <w:rFonts w:cs="Times New Roman"/>
              </w:rPr>
            </w:pPr>
            <w:r>
              <w:rPr>
                <w:rFonts w:hint="eastAsia"/>
              </w:rPr>
              <w:t>年初财政拨款结转和结余</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年末财政拨款结转和结余</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rPr>
                <w:rFonts w:cs="Times New Roman"/>
              </w:rPr>
            </w:pPr>
            <w:r>
              <w:rPr>
                <w:rFonts w:hint="eastAsia"/>
              </w:rPr>
              <w:t>收入总计</w:t>
            </w:r>
          </w:p>
        </w:tc>
        <w:tc>
          <w:tcPr>
            <w:tcW w:w="1474" w:type="dxa"/>
            <w:vAlign w:val="center"/>
          </w:tcPr>
          <w:p>
            <w:pPr>
              <w:pStyle w:val="17"/>
            </w:pPr>
            <w:r>
              <w:t>994.58</w:t>
            </w:r>
          </w:p>
        </w:tc>
        <w:tc>
          <w:tcPr>
            <w:tcW w:w="3402" w:type="dxa"/>
            <w:vAlign w:val="center"/>
          </w:tcPr>
          <w:p>
            <w:pPr>
              <w:pStyle w:val="16"/>
              <w:rPr>
                <w:rFonts w:cs="Times New Roman"/>
              </w:rPr>
            </w:pPr>
            <w:r>
              <w:rPr>
                <w:rFonts w:hint="eastAsia"/>
              </w:rPr>
              <w:t>支出总计</w:t>
            </w:r>
          </w:p>
        </w:tc>
        <w:tc>
          <w:tcPr>
            <w:tcW w:w="1474" w:type="dxa"/>
            <w:vAlign w:val="center"/>
          </w:tcPr>
          <w:p>
            <w:pPr>
              <w:pStyle w:val="17"/>
            </w:pPr>
            <w:r>
              <w:t>994.58</w:t>
            </w:r>
          </w:p>
        </w:tc>
        <w:tc>
          <w:tcPr>
            <w:tcW w:w="1474" w:type="dxa"/>
            <w:vAlign w:val="center"/>
          </w:tcPr>
          <w:p>
            <w:pPr>
              <w:pStyle w:val="17"/>
            </w:pPr>
            <w:r>
              <w:t>994.58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994.58</w:t>
            </w:r>
          </w:p>
        </w:tc>
        <w:tc>
          <w:tcPr>
            <w:tcW w:w="2551" w:type="dxa"/>
            <w:vAlign w:val="center"/>
          </w:tcPr>
          <w:p>
            <w:pPr>
              <w:pStyle w:val="17"/>
            </w:pPr>
            <w:r>
              <w:t>344.58</w:t>
            </w:r>
          </w:p>
        </w:tc>
        <w:tc>
          <w:tcPr>
            <w:tcW w:w="2551" w:type="dxa"/>
            <w:vAlign w:val="center"/>
          </w:tcPr>
          <w:p>
            <w:pPr>
              <w:pStyle w:val="17"/>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2551" w:type="dxa"/>
            <w:vAlign w:val="center"/>
          </w:tcPr>
          <w:p>
            <w:pPr>
              <w:pStyle w:val="13"/>
            </w:pPr>
            <w:r>
              <w:t>274.75</w:t>
            </w:r>
          </w:p>
        </w:tc>
        <w:tc>
          <w:tcPr>
            <w:tcW w:w="2551" w:type="dxa"/>
            <w:vAlign w:val="center"/>
          </w:tcPr>
          <w:p>
            <w:pPr>
              <w:pStyle w:val="13"/>
            </w:pPr>
            <w:r>
              <w:t>274.75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rPr>
                <w:rFonts w:cs="Times New Roman"/>
              </w:rPr>
            </w:pPr>
            <w:r>
              <w:rPr>
                <w:rFonts w:hint="eastAsia"/>
              </w:rPr>
              <w:t>商贸事务</w:t>
            </w:r>
          </w:p>
        </w:tc>
        <w:tc>
          <w:tcPr>
            <w:tcW w:w="2551" w:type="dxa"/>
            <w:vAlign w:val="center"/>
          </w:tcPr>
          <w:p>
            <w:pPr>
              <w:pStyle w:val="13"/>
            </w:pPr>
            <w:r>
              <w:t>274.75</w:t>
            </w:r>
          </w:p>
        </w:tc>
        <w:tc>
          <w:tcPr>
            <w:tcW w:w="2551" w:type="dxa"/>
            <w:vAlign w:val="center"/>
          </w:tcPr>
          <w:p>
            <w:pPr>
              <w:pStyle w:val="13"/>
            </w:pPr>
            <w:r>
              <w:t>274.75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2011399</w:t>
            </w:r>
          </w:p>
        </w:tc>
        <w:tc>
          <w:tcPr>
            <w:tcW w:w="4535" w:type="dxa"/>
            <w:vAlign w:val="center"/>
          </w:tcPr>
          <w:p>
            <w:pPr>
              <w:pStyle w:val="14"/>
              <w:rPr>
                <w:rFonts w:cs="Times New Roman"/>
              </w:rPr>
            </w:pPr>
            <w:r>
              <w:rPr>
                <w:rFonts w:hint="eastAsia"/>
              </w:rPr>
              <w:t>其他商贸事务支出</w:t>
            </w:r>
          </w:p>
        </w:tc>
        <w:tc>
          <w:tcPr>
            <w:tcW w:w="2551" w:type="dxa"/>
            <w:vAlign w:val="center"/>
          </w:tcPr>
          <w:p>
            <w:pPr>
              <w:pStyle w:val="13"/>
            </w:pPr>
            <w:r>
              <w:t>274.75</w:t>
            </w:r>
          </w:p>
        </w:tc>
        <w:tc>
          <w:tcPr>
            <w:tcW w:w="2551" w:type="dxa"/>
            <w:vAlign w:val="center"/>
          </w:tcPr>
          <w:p>
            <w:pPr>
              <w:pStyle w:val="13"/>
            </w:pPr>
            <w:r>
              <w:t>274.75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2551" w:type="dxa"/>
            <w:vAlign w:val="center"/>
          </w:tcPr>
          <w:p>
            <w:pPr>
              <w:pStyle w:val="13"/>
            </w:pPr>
            <w:r>
              <w:t>51.81</w:t>
            </w:r>
          </w:p>
        </w:tc>
        <w:tc>
          <w:tcPr>
            <w:tcW w:w="2551" w:type="dxa"/>
            <w:vAlign w:val="center"/>
          </w:tcPr>
          <w:p>
            <w:pPr>
              <w:pStyle w:val="13"/>
            </w:pPr>
            <w:r>
              <w:t>51.81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2551" w:type="dxa"/>
            <w:vAlign w:val="center"/>
          </w:tcPr>
          <w:p>
            <w:pPr>
              <w:pStyle w:val="13"/>
            </w:pPr>
            <w:r>
              <w:t>51.81</w:t>
            </w:r>
          </w:p>
        </w:tc>
        <w:tc>
          <w:tcPr>
            <w:tcW w:w="2551" w:type="dxa"/>
            <w:vAlign w:val="center"/>
          </w:tcPr>
          <w:p>
            <w:pPr>
              <w:pStyle w:val="13"/>
            </w:pPr>
            <w:r>
              <w:t>51.81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2551" w:type="dxa"/>
            <w:vAlign w:val="center"/>
          </w:tcPr>
          <w:p>
            <w:pPr>
              <w:pStyle w:val="13"/>
            </w:pPr>
            <w:r>
              <w:t>0.91</w:t>
            </w:r>
          </w:p>
        </w:tc>
        <w:tc>
          <w:tcPr>
            <w:tcW w:w="2551" w:type="dxa"/>
            <w:vAlign w:val="center"/>
          </w:tcPr>
          <w:p>
            <w:pPr>
              <w:pStyle w:val="13"/>
            </w:pPr>
            <w:r>
              <w:t>0.91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2551" w:type="dxa"/>
            <w:vAlign w:val="center"/>
          </w:tcPr>
          <w:p>
            <w:pPr>
              <w:pStyle w:val="13"/>
            </w:pPr>
            <w:r>
              <w:t>33.93</w:t>
            </w:r>
          </w:p>
        </w:tc>
        <w:tc>
          <w:tcPr>
            <w:tcW w:w="2551" w:type="dxa"/>
            <w:vAlign w:val="center"/>
          </w:tcPr>
          <w:p>
            <w:pPr>
              <w:pStyle w:val="13"/>
            </w:pPr>
            <w:r>
              <w:t>33.93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rPr>
                <w:rFonts w:cs="Times New Roman"/>
              </w:rPr>
            </w:pPr>
            <w:r>
              <w:rPr>
                <w:rFonts w:hint="eastAsia"/>
              </w:rPr>
              <w:t>机关事业单位职业年金缴费支出</w:t>
            </w:r>
          </w:p>
        </w:tc>
        <w:tc>
          <w:tcPr>
            <w:tcW w:w="2551" w:type="dxa"/>
            <w:vAlign w:val="center"/>
          </w:tcPr>
          <w:p>
            <w:pPr>
              <w:pStyle w:val="13"/>
            </w:pPr>
            <w:r>
              <w:t>16.97</w:t>
            </w:r>
          </w:p>
        </w:tc>
        <w:tc>
          <w:tcPr>
            <w:tcW w:w="2551" w:type="dxa"/>
            <w:vAlign w:val="center"/>
          </w:tcPr>
          <w:p>
            <w:pPr>
              <w:pStyle w:val="13"/>
            </w:pPr>
            <w:r>
              <w:t>16.97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2551" w:type="dxa"/>
            <w:vAlign w:val="center"/>
          </w:tcPr>
          <w:p>
            <w:pPr>
              <w:pStyle w:val="13"/>
            </w:pPr>
            <w:r>
              <w:t>18.02</w:t>
            </w:r>
          </w:p>
        </w:tc>
        <w:tc>
          <w:tcPr>
            <w:tcW w:w="2551" w:type="dxa"/>
            <w:vAlign w:val="center"/>
          </w:tcPr>
          <w:p>
            <w:pPr>
              <w:pStyle w:val="13"/>
            </w:pPr>
            <w:r>
              <w:t>18.02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rPr>
                <w:rFonts w:cs="Times New Roman"/>
              </w:rPr>
            </w:pPr>
            <w:r>
              <w:rPr>
                <w:rFonts w:hint="eastAsia"/>
              </w:rPr>
              <w:t>财政对基本医疗保险基金的补助</w:t>
            </w:r>
          </w:p>
        </w:tc>
        <w:tc>
          <w:tcPr>
            <w:tcW w:w="2551" w:type="dxa"/>
            <w:vAlign w:val="center"/>
          </w:tcPr>
          <w:p>
            <w:pPr>
              <w:pStyle w:val="13"/>
            </w:pPr>
            <w:r>
              <w:t>18.02</w:t>
            </w:r>
          </w:p>
        </w:tc>
        <w:tc>
          <w:tcPr>
            <w:tcW w:w="2551" w:type="dxa"/>
            <w:vAlign w:val="center"/>
          </w:tcPr>
          <w:p>
            <w:pPr>
              <w:pStyle w:val="13"/>
            </w:pPr>
            <w:r>
              <w:t>18.02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rPr>
                <w:rFonts w:cs="Times New Roman"/>
              </w:rPr>
            </w:pPr>
            <w:r>
              <w:rPr>
                <w:rFonts w:hint="eastAsia"/>
              </w:rPr>
              <w:t>财政对职工基本医疗保险基金的补助</w:t>
            </w:r>
          </w:p>
        </w:tc>
        <w:tc>
          <w:tcPr>
            <w:tcW w:w="2551" w:type="dxa"/>
            <w:vAlign w:val="center"/>
          </w:tcPr>
          <w:p>
            <w:pPr>
              <w:pStyle w:val="13"/>
            </w:pPr>
            <w:r>
              <w:t>18.02</w:t>
            </w:r>
          </w:p>
        </w:tc>
        <w:tc>
          <w:tcPr>
            <w:tcW w:w="2551" w:type="dxa"/>
            <w:vAlign w:val="center"/>
          </w:tcPr>
          <w:p>
            <w:pPr>
              <w:pStyle w:val="13"/>
            </w:pPr>
            <w:r>
              <w:t>18.02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215</w:t>
            </w:r>
          </w:p>
        </w:tc>
        <w:tc>
          <w:tcPr>
            <w:tcW w:w="4535" w:type="dxa"/>
            <w:vAlign w:val="center"/>
          </w:tcPr>
          <w:p>
            <w:pPr>
              <w:pStyle w:val="14"/>
              <w:rPr>
                <w:rFonts w:cs="Times New Roman"/>
              </w:rPr>
            </w:pPr>
            <w:r>
              <w:rPr>
                <w:rFonts w:hint="eastAsia"/>
              </w:rPr>
              <w:t>资源勘探工业信息等支出</w:t>
            </w:r>
          </w:p>
        </w:tc>
        <w:tc>
          <w:tcPr>
            <w:tcW w:w="2551" w:type="dxa"/>
            <w:vAlign w:val="center"/>
          </w:tcPr>
          <w:p>
            <w:pPr>
              <w:pStyle w:val="13"/>
            </w:pPr>
            <w:r>
              <w:t>650.00</w:t>
            </w:r>
          </w:p>
        </w:tc>
        <w:tc>
          <w:tcPr>
            <w:tcW w:w="2551" w:type="dxa"/>
            <w:vAlign w:val="center"/>
          </w:tcPr>
          <w:p>
            <w:pPr>
              <w:pStyle w:val="13"/>
            </w:pPr>
          </w:p>
        </w:tc>
        <w:tc>
          <w:tcPr>
            <w:tcW w:w="2551" w:type="dxa"/>
            <w:vAlign w:val="center"/>
          </w:tcPr>
          <w:p>
            <w:pPr>
              <w:pStyle w:val="13"/>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21508</w:t>
            </w:r>
          </w:p>
        </w:tc>
        <w:tc>
          <w:tcPr>
            <w:tcW w:w="4535" w:type="dxa"/>
            <w:vAlign w:val="center"/>
          </w:tcPr>
          <w:p>
            <w:pPr>
              <w:pStyle w:val="14"/>
              <w:rPr>
                <w:rFonts w:cs="Times New Roman"/>
              </w:rPr>
            </w:pPr>
            <w:r>
              <w:rPr>
                <w:rFonts w:hint="eastAsia"/>
              </w:rPr>
              <w:t>支持中小企业发展和管理支出</w:t>
            </w:r>
          </w:p>
        </w:tc>
        <w:tc>
          <w:tcPr>
            <w:tcW w:w="2551" w:type="dxa"/>
            <w:vAlign w:val="center"/>
          </w:tcPr>
          <w:p>
            <w:pPr>
              <w:pStyle w:val="13"/>
            </w:pPr>
            <w:r>
              <w:t>650.00</w:t>
            </w:r>
          </w:p>
        </w:tc>
        <w:tc>
          <w:tcPr>
            <w:tcW w:w="2551" w:type="dxa"/>
            <w:vAlign w:val="center"/>
          </w:tcPr>
          <w:p>
            <w:pPr>
              <w:pStyle w:val="13"/>
            </w:pPr>
          </w:p>
        </w:tc>
        <w:tc>
          <w:tcPr>
            <w:tcW w:w="2551" w:type="dxa"/>
            <w:vAlign w:val="center"/>
          </w:tcPr>
          <w:p>
            <w:pPr>
              <w:pStyle w:val="13"/>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2150899</w:t>
            </w:r>
          </w:p>
        </w:tc>
        <w:tc>
          <w:tcPr>
            <w:tcW w:w="4535" w:type="dxa"/>
            <w:vAlign w:val="center"/>
          </w:tcPr>
          <w:p>
            <w:pPr>
              <w:pStyle w:val="14"/>
              <w:rPr>
                <w:rFonts w:cs="Times New Roman"/>
              </w:rPr>
            </w:pPr>
            <w:r>
              <w:rPr>
                <w:rFonts w:hint="eastAsia"/>
              </w:rPr>
              <w:t>其他支持中小企业发展和管理支出</w:t>
            </w:r>
          </w:p>
        </w:tc>
        <w:tc>
          <w:tcPr>
            <w:tcW w:w="2551" w:type="dxa"/>
            <w:vAlign w:val="center"/>
          </w:tcPr>
          <w:p>
            <w:pPr>
              <w:pStyle w:val="13"/>
            </w:pPr>
            <w:r>
              <w:t>650.00</w:t>
            </w:r>
          </w:p>
        </w:tc>
        <w:tc>
          <w:tcPr>
            <w:tcW w:w="2551" w:type="dxa"/>
            <w:vAlign w:val="center"/>
          </w:tcPr>
          <w:p>
            <w:pPr>
              <w:pStyle w:val="13"/>
            </w:pPr>
          </w:p>
        </w:tc>
        <w:tc>
          <w:tcPr>
            <w:tcW w:w="2551" w:type="dxa"/>
            <w:vAlign w:val="center"/>
          </w:tcPr>
          <w:p>
            <w:pPr>
              <w:pStyle w:val="13"/>
            </w:pPr>
            <w:r>
              <w:t>650.00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支出部门经济分类科目</w:t>
            </w:r>
          </w:p>
        </w:tc>
        <w:tc>
          <w:tcPr>
            <w:tcW w:w="7654" w:type="dxa"/>
            <w:gridSpan w:val="3"/>
            <w:vAlign w:val="center"/>
          </w:tcPr>
          <w:p>
            <w:pPr>
              <w:pStyle w:val="12"/>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Align w:val="center"/>
          </w:tcPr>
          <w:p>
            <w:pPr>
              <w:pStyle w:val="12"/>
              <w:rPr>
                <w:rFonts w:cs="Times New Roman"/>
              </w:rPr>
            </w:pPr>
            <w:r>
              <w:rPr>
                <w:rFonts w:hint="eastAsia"/>
              </w:rPr>
              <w:t>合计</w:t>
            </w:r>
          </w:p>
        </w:tc>
        <w:tc>
          <w:tcPr>
            <w:tcW w:w="2551" w:type="dxa"/>
            <w:vAlign w:val="center"/>
          </w:tcPr>
          <w:p>
            <w:pPr>
              <w:pStyle w:val="12"/>
              <w:rPr>
                <w:rFonts w:cs="Times New Roman"/>
              </w:rPr>
            </w:pPr>
            <w:r>
              <w:rPr>
                <w:rFonts w:hint="eastAsia"/>
              </w:rPr>
              <w:t>人员经费</w:t>
            </w:r>
          </w:p>
        </w:tc>
        <w:tc>
          <w:tcPr>
            <w:tcW w:w="2551" w:type="dxa"/>
            <w:vAlign w:val="center"/>
          </w:tcPr>
          <w:p>
            <w:pPr>
              <w:pStyle w:val="12"/>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344.58</w:t>
            </w:r>
          </w:p>
        </w:tc>
        <w:tc>
          <w:tcPr>
            <w:tcW w:w="2551" w:type="dxa"/>
            <w:vAlign w:val="center"/>
          </w:tcPr>
          <w:p>
            <w:pPr>
              <w:pStyle w:val="17"/>
            </w:pPr>
            <w:r>
              <w:t>328.14</w:t>
            </w:r>
          </w:p>
        </w:tc>
        <w:tc>
          <w:tcPr>
            <w:tcW w:w="2551" w:type="dxa"/>
            <w:vAlign w:val="center"/>
          </w:tcPr>
          <w:p>
            <w:pPr>
              <w:pStyle w:val="17"/>
            </w:pPr>
            <w:r>
              <w:t>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rPr>
                <w:rFonts w:cs="Times New Roman"/>
              </w:rPr>
            </w:pPr>
            <w:r>
              <w:rPr>
                <w:rFonts w:hint="eastAsia"/>
              </w:rPr>
              <w:t>工资福利支出</w:t>
            </w:r>
          </w:p>
        </w:tc>
        <w:tc>
          <w:tcPr>
            <w:tcW w:w="2551" w:type="dxa"/>
            <w:vAlign w:val="center"/>
          </w:tcPr>
          <w:p>
            <w:pPr>
              <w:pStyle w:val="13"/>
            </w:pPr>
            <w:r>
              <w:t>325.59</w:t>
            </w:r>
          </w:p>
        </w:tc>
        <w:tc>
          <w:tcPr>
            <w:tcW w:w="2551" w:type="dxa"/>
            <w:vAlign w:val="center"/>
          </w:tcPr>
          <w:p>
            <w:pPr>
              <w:pStyle w:val="13"/>
            </w:pPr>
            <w:r>
              <w:t>325.59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rPr>
                <w:rFonts w:cs="Times New Roman"/>
              </w:rPr>
            </w:pPr>
            <w:r>
              <w:rPr>
                <w:rFonts w:hint="eastAsia"/>
              </w:rPr>
              <w:t>基本工资</w:t>
            </w:r>
          </w:p>
        </w:tc>
        <w:tc>
          <w:tcPr>
            <w:tcW w:w="2551" w:type="dxa"/>
            <w:vAlign w:val="center"/>
          </w:tcPr>
          <w:p>
            <w:pPr>
              <w:pStyle w:val="13"/>
            </w:pPr>
            <w:r>
              <w:t>224.76</w:t>
            </w:r>
          </w:p>
        </w:tc>
        <w:tc>
          <w:tcPr>
            <w:tcW w:w="2551" w:type="dxa"/>
            <w:vAlign w:val="center"/>
          </w:tcPr>
          <w:p>
            <w:pPr>
              <w:pStyle w:val="13"/>
            </w:pPr>
            <w:r>
              <w:t>224.76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rPr>
                <w:rFonts w:cs="Times New Roman"/>
              </w:rPr>
            </w:pPr>
            <w:r>
              <w:rPr>
                <w:rFonts w:hint="eastAsia"/>
              </w:rPr>
              <w:t>津贴补贴</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rPr>
                <w:rFonts w:cs="Times New Roman"/>
              </w:rPr>
            </w:pPr>
            <w:r>
              <w:rPr>
                <w:rFonts w:hint="eastAsia"/>
              </w:rPr>
              <w:t>奖金</w:t>
            </w:r>
          </w:p>
        </w:tc>
        <w:tc>
          <w:tcPr>
            <w:tcW w:w="2551" w:type="dxa"/>
            <w:vAlign w:val="center"/>
          </w:tcPr>
          <w:p>
            <w:pPr>
              <w:pStyle w:val="13"/>
            </w:pPr>
            <w:r>
              <w:t>4.93</w:t>
            </w:r>
          </w:p>
        </w:tc>
        <w:tc>
          <w:tcPr>
            <w:tcW w:w="2551" w:type="dxa"/>
            <w:vAlign w:val="center"/>
          </w:tcPr>
          <w:p>
            <w:pPr>
              <w:pStyle w:val="13"/>
            </w:pPr>
            <w:r>
              <w:t>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rPr>
                <w:rFonts w:cs="Times New Roman"/>
              </w:rPr>
            </w:pPr>
            <w:r>
              <w:rPr>
                <w:rFonts w:hint="eastAsia"/>
              </w:rPr>
              <w:t>绩效工资</w:t>
            </w:r>
          </w:p>
        </w:tc>
        <w:tc>
          <w:tcPr>
            <w:tcW w:w="2551" w:type="dxa"/>
            <w:vAlign w:val="center"/>
          </w:tcPr>
          <w:p>
            <w:pPr>
              <w:pStyle w:val="13"/>
            </w:pPr>
            <w:r>
              <w:t>11.98</w:t>
            </w:r>
          </w:p>
        </w:tc>
        <w:tc>
          <w:tcPr>
            <w:tcW w:w="2551" w:type="dxa"/>
            <w:vAlign w:val="center"/>
          </w:tcPr>
          <w:p>
            <w:pPr>
              <w:pStyle w:val="13"/>
            </w:pPr>
            <w:r>
              <w:t>11.98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rPr>
                <w:rFonts w:cs="Times New Roman"/>
              </w:rPr>
            </w:pPr>
            <w:r>
              <w:rPr>
                <w:rFonts w:hint="eastAsia"/>
              </w:rPr>
              <w:t>机关事业单位基本养老保险缴费</w:t>
            </w:r>
          </w:p>
        </w:tc>
        <w:tc>
          <w:tcPr>
            <w:tcW w:w="2551" w:type="dxa"/>
            <w:vAlign w:val="center"/>
          </w:tcPr>
          <w:p>
            <w:pPr>
              <w:pStyle w:val="13"/>
            </w:pPr>
            <w:r>
              <w:t>33.93</w:t>
            </w:r>
          </w:p>
        </w:tc>
        <w:tc>
          <w:tcPr>
            <w:tcW w:w="2551" w:type="dxa"/>
            <w:vAlign w:val="center"/>
          </w:tcPr>
          <w:p>
            <w:pPr>
              <w:pStyle w:val="13"/>
            </w:pPr>
            <w:r>
              <w:t>33.93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rPr>
                <w:rFonts w:cs="Times New Roman"/>
              </w:rPr>
            </w:pPr>
            <w:r>
              <w:rPr>
                <w:rFonts w:hint="eastAsia"/>
              </w:rPr>
              <w:t>职业年金缴费</w:t>
            </w:r>
          </w:p>
        </w:tc>
        <w:tc>
          <w:tcPr>
            <w:tcW w:w="2551" w:type="dxa"/>
            <w:vAlign w:val="center"/>
          </w:tcPr>
          <w:p>
            <w:pPr>
              <w:pStyle w:val="13"/>
            </w:pPr>
            <w:r>
              <w:t>16.97</w:t>
            </w:r>
          </w:p>
        </w:tc>
        <w:tc>
          <w:tcPr>
            <w:tcW w:w="2551" w:type="dxa"/>
            <w:vAlign w:val="center"/>
          </w:tcPr>
          <w:p>
            <w:pPr>
              <w:pStyle w:val="13"/>
            </w:pPr>
            <w:r>
              <w:t>16.97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rPr>
                <w:rFonts w:cs="Times New Roman"/>
              </w:rPr>
            </w:pPr>
            <w:r>
              <w:rPr>
                <w:rFonts w:hint="eastAsia"/>
              </w:rPr>
              <w:t>职工基本医疗保险缴费</w:t>
            </w:r>
          </w:p>
        </w:tc>
        <w:tc>
          <w:tcPr>
            <w:tcW w:w="2551" w:type="dxa"/>
            <w:vAlign w:val="center"/>
          </w:tcPr>
          <w:p>
            <w:pPr>
              <w:pStyle w:val="13"/>
            </w:pPr>
            <w:r>
              <w:t>18.02</w:t>
            </w:r>
          </w:p>
        </w:tc>
        <w:tc>
          <w:tcPr>
            <w:tcW w:w="2551" w:type="dxa"/>
            <w:vAlign w:val="center"/>
          </w:tcPr>
          <w:p>
            <w:pPr>
              <w:pStyle w:val="13"/>
            </w:pPr>
            <w:r>
              <w:t>18.02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rPr>
                <w:rFonts w:cs="Times New Roman"/>
              </w:rPr>
            </w:pPr>
            <w:r>
              <w:rPr>
                <w:rFonts w:hint="eastAsia"/>
              </w:rPr>
              <w:t>商品和服务支出</w:t>
            </w:r>
          </w:p>
        </w:tc>
        <w:tc>
          <w:tcPr>
            <w:tcW w:w="2551" w:type="dxa"/>
            <w:vAlign w:val="center"/>
          </w:tcPr>
          <w:p>
            <w:pPr>
              <w:pStyle w:val="13"/>
            </w:pPr>
            <w:r>
              <w:t>16.44</w:t>
            </w:r>
          </w:p>
        </w:tc>
        <w:tc>
          <w:tcPr>
            <w:tcW w:w="2551" w:type="dxa"/>
            <w:vAlign w:val="center"/>
          </w:tcPr>
          <w:p>
            <w:pPr>
              <w:pStyle w:val="13"/>
            </w:pPr>
          </w:p>
        </w:tc>
        <w:tc>
          <w:tcPr>
            <w:tcW w:w="2551" w:type="dxa"/>
            <w:vAlign w:val="center"/>
          </w:tcPr>
          <w:p>
            <w:pPr>
              <w:pStyle w:val="13"/>
            </w:pPr>
            <w:r>
              <w:t>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30239</w:t>
            </w:r>
          </w:p>
        </w:tc>
        <w:tc>
          <w:tcPr>
            <w:tcW w:w="4535" w:type="dxa"/>
            <w:vAlign w:val="center"/>
          </w:tcPr>
          <w:p>
            <w:pPr>
              <w:pStyle w:val="14"/>
              <w:rPr>
                <w:rFonts w:cs="Times New Roman"/>
              </w:rPr>
            </w:pPr>
            <w:r>
              <w:rPr>
                <w:rFonts w:hint="eastAsia"/>
              </w:rPr>
              <w:t>其他交通费用</w:t>
            </w:r>
          </w:p>
        </w:tc>
        <w:tc>
          <w:tcPr>
            <w:tcW w:w="2551" w:type="dxa"/>
            <w:vAlign w:val="center"/>
          </w:tcPr>
          <w:p>
            <w:pPr>
              <w:pStyle w:val="13"/>
            </w:pPr>
            <w:r>
              <w:t>16.44</w:t>
            </w:r>
          </w:p>
        </w:tc>
        <w:tc>
          <w:tcPr>
            <w:tcW w:w="2551" w:type="dxa"/>
            <w:vAlign w:val="center"/>
          </w:tcPr>
          <w:p>
            <w:pPr>
              <w:pStyle w:val="13"/>
            </w:pPr>
          </w:p>
        </w:tc>
        <w:tc>
          <w:tcPr>
            <w:tcW w:w="2551" w:type="dxa"/>
            <w:vAlign w:val="center"/>
          </w:tcPr>
          <w:p>
            <w:pPr>
              <w:pStyle w:val="13"/>
            </w:pPr>
            <w:r>
              <w:t>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w:t>
            </w:r>
          </w:p>
        </w:tc>
        <w:tc>
          <w:tcPr>
            <w:tcW w:w="4535" w:type="dxa"/>
            <w:vAlign w:val="center"/>
          </w:tcPr>
          <w:p>
            <w:pPr>
              <w:pStyle w:val="14"/>
              <w:rPr>
                <w:rFonts w:cs="Times New Roman"/>
              </w:rPr>
            </w:pPr>
            <w:r>
              <w:rPr>
                <w:rFonts w:hint="eastAsia"/>
              </w:rPr>
              <w:t>对个人和家庭的补助</w:t>
            </w:r>
          </w:p>
        </w:tc>
        <w:tc>
          <w:tcPr>
            <w:tcW w:w="2551" w:type="dxa"/>
            <w:vAlign w:val="center"/>
          </w:tcPr>
          <w:p>
            <w:pPr>
              <w:pStyle w:val="13"/>
            </w:pPr>
            <w:r>
              <w:t>2.55</w:t>
            </w:r>
          </w:p>
        </w:tc>
        <w:tc>
          <w:tcPr>
            <w:tcW w:w="2551" w:type="dxa"/>
            <w:vAlign w:val="center"/>
          </w:tcPr>
          <w:p>
            <w:pPr>
              <w:pStyle w:val="13"/>
            </w:pPr>
            <w:r>
              <w:t>2.55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30302</w:t>
            </w:r>
          </w:p>
        </w:tc>
        <w:tc>
          <w:tcPr>
            <w:tcW w:w="4535" w:type="dxa"/>
            <w:vAlign w:val="center"/>
          </w:tcPr>
          <w:p>
            <w:pPr>
              <w:pStyle w:val="14"/>
              <w:rPr>
                <w:rFonts w:cs="Times New Roman"/>
              </w:rPr>
            </w:pPr>
            <w:r>
              <w:rPr>
                <w:rFonts w:hint="eastAsia"/>
              </w:rPr>
              <w:t>退休费</w:t>
            </w:r>
          </w:p>
        </w:tc>
        <w:tc>
          <w:tcPr>
            <w:tcW w:w="2551" w:type="dxa"/>
            <w:vAlign w:val="center"/>
          </w:tcPr>
          <w:p>
            <w:pPr>
              <w:pStyle w:val="13"/>
            </w:pPr>
            <w:r>
              <w:t>0.91</w:t>
            </w:r>
          </w:p>
        </w:tc>
        <w:tc>
          <w:tcPr>
            <w:tcW w:w="2551" w:type="dxa"/>
            <w:vAlign w:val="center"/>
          </w:tcPr>
          <w:p>
            <w:pPr>
              <w:pStyle w:val="13"/>
            </w:pPr>
            <w:r>
              <w:t>0.91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30305</w:t>
            </w:r>
          </w:p>
        </w:tc>
        <w:tc>
          <w:tcPr>
            <w:tcW w:w="4535" w:type="dxa"/>
            <w:vAlign w:val="center"/>
          </w:tcPr>
          <w:p>
            <w:pPr>
              <w:pStyle w:val="14"/>
              <w:rPr>
                <w:rFonts w:cs="Times New Roman"/>
              </w:rPr>
            </w:pPr>
            <w:r>
              <w:rPr>
                <w:rFonts w:hint="eastAsia"/>
              </w:rPr>
              <w:t>生活补助</w:t>
            </w:r>
          </w:p>
        </w:tc>
        <w:tc>
          <w:tcPr>
            <w:tcW w:w="2551" w:type="dxa"/>
            <w:vAlign w:val="center"/>
          </w:tcPr>
          <w:p>
            <w:pPr>
              <w:pStyle w:val="13"/>
            </w:pPr>
            <w:r>
              <w:t>1.64</w:t>
            </w:r>
          </w:p>
        </w:tc>
        <w:tc>
          <w:tcPr>
            <w:tcW w:w="2551" w:type="dxa"/>
            <w:vAlign w:val="center"/>
          </w:tcPr>
          <w:p>
            <w:pPr>
              <w:pStyle w:val="13"/>
            </w:pPr>
            <w:r>
              <w:t>1.64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3798" w:type="dxa"/>
            <w:vMerge w:val="restart"/>
            <w:vAlign w:val="center"/>
          </w:tcPr>
          <w:p>
            <w:pPr>
              <w:pStyle w:val="12"/>
              <w:rPr>
                <w:rFonts w:cs="Times New Roman"/>
              </w:rPr>
            </w:pPr>
            <w:r>
              <w:rPr>
                <w:rFonts w:hint="eastAsia"/>
              </w:rPr>
              <w:t>项</w:t>
            </w:r>
            <w:r>
              <w:t xml:space="preserve">  </w:t>
            </w:r>
            <w:r>
              <w:rPr>
                <w:rFonts w:hint="eastAsia"/>
              </w:rPr>
              <w:t>目</w:t>
            </w:r>
          </w:p>
        </w:tc>
        <w:tc>
          <w:tcPr>
            <w:tcW w:w="9524" w:type="dxa"/>
            <w:gridSpan w:val="4"/>
            <w:vAlign w:val="center"/>
          </w:tcPr>
          <w:p>
            <w:pPr>
              <w:pStyle w:val="12"/>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rPr>
                <w:rFonts w:cs="Times New Roman"/>
              </w:rPr>
            </w:pPr>
            <w:r>
              <w:rPr>
                <w:rFonts w:hint="eastAsia"/>
              </w:rPr>
              <w:t>合计</w:t>
            </w:r>
          </w:p>
        </w:tc>
        <w:tc>
          <w:tcPr>
            <w:tcW w:w="2381" w:type="dxa"/>
            <w:vAlign w:val="center"/>
          </w:tcPr>
          <w:p>
            <w:pPr>
              <w:pStyle w:val="12"/>
              <w:rPr>
                <w:rFonts w:cs="Times New Roman"/>
              </w:rPr>
            </w:pPr>
            <w:r>
              <w:rPr>
                <w:rFonts w:hint="eastAsia"/>
              </w:rPr>
              <w:t>一般公共预算</w:t>
            </w:r>
            <w:r>
              <w:t xml:space="preserve">              </w:t>
            </w:r>
            <w:r>
              <w:rPr>
                <w:rFonts w:hint="eastAsia"/>
              </w:rPr>
              <w:t>财政拨款</w:t>
            </w:r>
          </w:p>
        </w:tc>
        <w:tc>
          <w:tcPr>
            <w:tcW w:w="2381" w:type="dxa"/>
            <w:vAlign w:val="center"/>
          </w:tcPr>
          <w:p>
            <w:pPr>
              <w:pStyle w:val="12"/>
              <w:rPr>
                <w:rFonts w:cs="Times New Roman"/>
              </w:rPr>
            </w:pPr>
            <w:r>
              <w:rPr>
                <w:rFonts w:hint="eastAsia"/>
              </w:rPr>
              <w:t>政府性基金</w:t>
            </w:r>
            <w:r>
              <w:t xml:space="preserve">                  </w:t>
            </w:r>
            <w:r>
              <w:rPr>
                <w:rFonts w:hint="eastAsia"/>
              </w:rPr>
              <w:t>预算拨款</w:t>
            </w:r>
          </w:p>
        </w:tc>
        <w:tc>
          <w:tcPr>
            <w:tcW w:w="2381" w:type="dxa"/>
            <w:vAlign w:val="center"/>
          </w:tcPr>
          <w:p>
            <w:pPr>
              <w:pStyle w:val="12"/>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cs="Times New Roman"/>
              </w:rPr>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cs="Times New Roman"/>
              </w:rPr>
            </w:pPr>
          </w:p>
        </w:tc>
        <w:tc>
          <w:tcPr>
            <w:tcW w:w="3798" w:type="dxa"/>
            <w:vAlign w:val="center"/>
          </w:tcPr>
          <w:p>
            <w:pPr>
              <w:pStyle w:val="14"/>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bl>
    <w:p>
      <w:pPr>
        <w:ind w:firstLine="420"/>
      </w:pPr>
      <w:r>
        <w:rPr>
          <w:rFonts w:hint="eastAsia" w:ascii="方正书宋_GBK" w:hAnsi="方正书宋_GBK" w:eastAsia="方正书宋_GBK" w:cs="方正书宋_GBK"/>
          <w:color w:val="000000"/>
          <w:sz w:val="21"/>
          <w:szCs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河北魏县经济开发区管理委员会</w:t>
      </w:r>
      <w:r>
        <w:rPr>
          <w:rFonts w:ascii="方正书宋_GBK" w:hAnsi="方正书宋_GBK" w:eastAsia="方正书宋_GBK" w:cs="方正书宋_GBK"/>
          <w:color w:val="FFFFFF"/>
          <w:sz w:val="21"/>
          <w:szCs w:val="21"/>
        </w:rPr>
        <w:t>2023</w:t>
      </w:r>
      <w:r>
        <w:rPr>
          <w:rFonts w:hint="eastAsia" w:ascii="方正书宋_GBK" w:hAnsi="方正书宋_GBK" w:eastAsia="方正书宋_GBK" w:cs="方正书宋_GBK"/>
          <w:color w:val="FFFFFF"/>
          <w:sz w:val="21"/>
          <w:szCs w:val="21"/>
        </w:rPr>
        <w:t>年部门预算信息公开情况说明</w:t>
      </w:r>
    </w:p>
    <w:p>
      <w:pPr>
        <w:jc w:val="center"/>
      </w:pPr>
      <w:r>
        <w:rPr>
          <w:rFonts w:hint="eastAsia" w:ascii="方正小标宋_GBK" w:hAnsi="方正小标宋_GBK" w:eastAsia="方正小标宋_GBK" w:cs="方正小标宋_GBK"/>
          <w:color w:val="000000"/>
          <w:sz w:val="44"/>
          <w:szCs w:val="44"/>
        </w:rPr>
        <w:t>河北魏县经济开发区管理委员会</w:t>
      </w:r>
      <w:r>
        <w:rPr>
          <w:rFonts w:ascii="方正小标宋_GBK" w:hAnsi="方正小标宋_GBK" w:eastAsia="方正小标宋_GBK" w:cs="方正小标宋_GBK"/>
          <w:color w:val="000000"/>
          <w:sz w:val="44"/>
          <w:szCs w:val="44"/>
        </w:rPr>
        <w:t>2023</w:t>
      </w:r>
      <w:r>
        <w:rPr>
          <w:rFonts w:hint="eastAsia" w:ascii="方正小标宋_GBK" w:hAnsi="方正小标宋_GBK" w:eastAsia="方正小标宋_GBK" w:cs="方正小标宋_GBK"/>
          <w:color w:val="000000"/>
          <w:sz w:val="44"/>
          <w:szCs w:val="44"/>
        </w:rPr>
        <w:t>年部门预算信息公开情况说明</w:t>
      </w:r>
    </w:p>
    <w:p>
      <w:pPr>
        <w:spacing w:line="500" w:lineRule="exact"/>
        <w:ind w:firstLine="560"/>
      </w:pPr>
      <w:r>
        <w:rPr>
          <w:rFonts w:hint="eastAsia" w:eastAsia="方正仿宋_GBK" w:cs="方正仿宋_GBK"/>
          <w:color w:val="000000"/>
          <w:sz w:val="28"/>
          <w:szCs w:val="28"/>
        </w:rPr>
        <w:t>按照《预算法》、《地方预决算公开操作规程》和《关于进一步推进预算公开工作的实施意见》规定，现将河北魏县经济开发区管理委员会</w:t>
      </w:r>
      <w:r>
        <w:rPr>
          <w:rFonts w:eastAsia="方正仿宋_GBK"/>
          <w:color w:val="000000"/>
          <w:sz w:val="28"/>
          <w:szCs w:val="28"/>
        </w:rPr>
        <w:t>2023</w:t>
      </w:r>
      <w:r>
        <w:rPr>
          <w:rFonts w:hint="eastAsia" w:eastAsia="方正仿宋_GBK" w:cs="方正仿宋_GBK"/>
          <w:color w:val="000000"/>
          <w:sz w:val="28"/>
          <w:szCs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pPr>
        <w:ind w:firstLine="640"/>
      </w:pPr>
      <w:r>
        <w:rPr>
          <w:rFonts w:hint="eastAsia" w:ascii="方正楷体_GBK" w:hAnsi="方正楷体_GBK" w:eastAsia="方正楷体_GBK" w:cs="方正楷体_GBK"/>
          <w:b/>
          <w:bCs/>
          <w:color w:val="000000"/>
          <w:sz w:val="32"/>
          <w:szCs w:val="32"/>
        </w:rPr>
        <w:t>部门职责：</w:t>
      </w:r>
    </w:p>
    <w:p>
      <w:pPr>
        <w:pStyle w:val="19"/>
      </w:pPr>
      <w:r>
        <w:t>1</w:t>
      </w:r>
      <w:r>
        <w:rPr>
          <w:rFonts w:hint="eastAsia" w:cs="方正仿宋_GBK"/>
        </w:rPr>
        <w:t>、编制辖区内总体规划和经济社会发展规划；编制辖区内区域性城市发展规划、国土利用规划。</w:t>
      </w:r>
    </w:p>
    <w:p>
      <w:pPr>
        <w:pStyle w:val="19"/>
      </w:pPr>
      <w:r>
        <w:t>2</w:t>
      </w:r>
      <w:r>
        <w:rPr>
          <w:rFonts w:hint="eastAsia" w:cs="方正仿宋_GBK"/>
        </w:rPr>
        <w:t>、审批或审核固定资产投资项目。</w:t>
      </w:r>
    </w:p>
    <w:p>
      <w:pPr>
        <w:pStyle w:val="19"/>
      </w:pPr>
      <w:r>
        <w:t>3</w:t>
      </w:r>
      <w:r>
        <w:rPr>
          <w:rFonts w:hint="eastAsia" w:cs="方正仿宋_GBK"/>
        </w:rPr>
        <w:t>、负责辖区内基础设施和公用设施的建设和管理。</w:t>
      </w:r>
    </w:p>
    <w:p>
      <w:pPr>
        <w:pStyle w:val="19"/>
      </w:pPr>
      <w:r>
        <w:t>4</w:t>
      </w:r>
      <w:r>
        <w:rPr>
          <w:rFonts w:hint="eastAsia" w:cs="方正仿宋_GBK"/>
        </w:rPr>
        <w:t>、负责招商引资、进出口贸易、国内外经济技术合作。</w:t>
      </w:r>
    </w:p>
    <w:p>
      <w:pPr>
        <w:pStyle w:val="19"/>
      </w:pPr>
      <w:r>
        <w:t>5</w:t>
      </w:r>
      <w:r>
        <w:rPr>
          <w:rFonts w:hint="eastAsia" w:cs="方正仿宋_GBK"/>
        </w:rPr>
        <w:t>、负责辖区内环境和安全生产监管。</w:t>
      </w:r>
    </w:p>
    <w:p>
      <w:pPr>
        <w:pStyle w:val="19"/>
      </w:pPr>
      <w:r>
        <w:t>6</w:t>
      </w:r>
      <w:r>
        <w:rPr>
          <w:rFonts w:hint="eastAsia" w:cs="方正仿宋_GBK"/>
        </w:rPr>
        <w:t>、加快就业服务体系建设和专业技术人才的引进和培养，规范企业用工。</w:t>
      </w:r>
    </w:p>
    <w:p>
      <w:pPr>
        <w:pStyle w:val="19"/>
      </w:pPr>
      <w:r>
        <w:t>7</w:t>
      </w:r>
      <w:r>
        <w:rPr>
          <w:rFonts w:hint="eastAsia" w:cs="方正仿宋_GBK"/>
        </w:rPr>
        <w:t>、协调和保障上级有关部门派驻开发区机构的正常工作。</w:t>
      </w:r>
    </w:p>
    <w:p>
      <w:pPr>
        <w:pStyle w:val="19"/>
      </w:pPr>
      <w:r>
        <w:t>8</w:t>
      </w:r>
      <w:r>
        <w:rPr>
          <w:rFonts w:hint="eastAsia" w:cs="方正仿宋_GBK"/>
        </w:rPr>
        <w:t>、贯彻落实党的路线、方针、政策和上级党委决议、研究和制定辖区内重大经济和社会问题、宣传和精神文明建设工作、社会管理、综合治理工作和维稳工作党的纪律检查工作、辖区内工、青、妇等群团工作。</w:t>
      </w:r>
    </w:p>
    <w:p>
      <w:pPr>
        <w:pStyle w:val="19"/>
      </w:pPr>
      <w:r>
        <w:t>9</w:t>
      </w:r>
      <w:r>
        <w:rPr>
          <w:rFonts w:hint="eastAsia" w:cs="方正仿宋_GBK"/>
        </w:rPr>
        <w:t>、负责管理和使用辖区建设发展专项资金。</w:t>
      </w: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cs="Times New Roman"/>
              </w:rPr>
            </w:pPr>
            <w:r>
              <w:rPr>
                <w:rFonts w:hint="eastAsia"/>
              </w:rPr>
              <w:t>单位名称</w:t>
            </w:r>
          </w:p>
        </w:tc>
        <w:tc>
          <w:tcPr>
            <w:tcW w:w="1843" w:type="dxa"/>
            <w:vAlign w:val="center"/>
          </w:tcPr>
          <w:p>
            <w:pPr>
              <w:pStyle w:val="12"/>
              <w:rPr>
                <w:rFonts w:cs="Times New Roman"/>
              </w:rPr>
            </w:pPr>
            <w:r>
              <w:rPr>
                <w:rFonts w:hint="eastAsia"/>
              </w:rPr>
              <w:t>单位性质</w:t>
            </w:r>
          </w:p>
        </w:tc>
        <w:tc>
          <w:tcPr>
            <w:tcW w:w="2126" w:type="dxa"/>
            <w:vAlign w:val="center"/>
          </w:tcPr>
          <w:p>
            <w:pPr>
              <w:pStyle w:val="12"/>
              <w:rPr>
                <w:rFonts w:cs="Times New Roman"/>
              </w:rPr>
            </w:pPr>
            <w:r>
              <w:rPr>
                <w:rFonts w:hint="eastAsia"/>
              </w:rPr>
              <w:t>单位规格</w:t>
            </w:r>
          </w:p>
        </w:tc>
        <w:tc>
          <w:tcPr>
            <w:tcW w:w="3827" w:type="dxa"/>
            <w:vAlign w:val="center"/>
          </w:tcPr>
          <w:p>
            <w:pPr>
              <w:pStyle w:val="12"/>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cs="Times New Roman"/>
              </w:rPr>
            </w:pPr>
            <w:r>
              <w:rPr>
                <w:rFonts w:hint="eastAsia"/>
              </w:rPr>
              <w:t>河北魏县经济开发区管理委员会本级</w:t>
            </w:r>
          </w:p>
        </w:tc>
        <w:tc>
          <w:tcPr>
            <w:tcW w:w="1843" w:type="dxa"/>
            <w:vAlign w:val="center"/>
          </w:tcPr>
          <w:p>
            <w:pPr>
              <w:pStyle w:val="15"/>
              <w:rPr>
                <w:rFonts w:cs="Times New Roman"/>
              </w:rPr>
            </w:pPr>
            <w:r>
              <w:rPr>
                <w:rFonts w:hint="eastAsia"/>
              </w:rPr>
              <w:t>事业</w:t>
            </w:r>
          </w:p>
        </w:tc>
        <w:tc>
          <w:tcPr>
            <w:tcW w:w="2126" w:type="dxa"/>
            <w:vAlign w:val="center"/>
          </w:tcPr>
          <w:p>
            <w:pPr>
              <w:pStyle w:val="15"/>
              <w:rPr>
                <w:rFonts w:cs="Times New Roman"/>
              </w:rPr>
            </w:pPr>
            <w:r>
              <w:rPr>
                <w:rFonts w:hint="eastAsia"/>
              </w:rPr>
              <w:t>副处（县）级</w:t>
            </w:r>
          </w:p>
        </w:tc>
        <w:tc>
          <w:tcPr>
            <w:tcW w:w="3827" w:type="dxa"/>
            <w:vAlign w:val="center"/>
          </w:tcPr>
          <w:p>
            <w:pPr>
              <w:pStyle w:val="15"/>
              <w:rPr>
                <w:rFonts w:cs="Times New Roman"/>
              </w:rPr>
            </w:pPr>
            <w:r>
              <w:rPr>
                <w:rFonts w:hint="eastAsia"/>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szCs w:val="32"/>
        </w:rPr>
        <w:t>二、部门预算安排的总体情况</w:t>
      </w:r>
      <w:bookmarkEnd w:id="10"/>
    </w:p>
    <w:p>
      <w:pPr>
        <w:spacing w:line="500" w:lineRule="exact"/>
        <w:ind w:firstLine="560"/>
      </w:pPr>
      <w:r>
        <w:rPr>
          <w:rFonts w:hint="eastAsia" w:eastAsia="方正仿宋_GBK" w:cs="方正仿宋_GBK"/>
          <w:color w:val="000000"/>
          <w:sz w:val="28"/>
          <w:szCs w:val="28"/>
        </w:rPr>
        <w:t>按照预算管理有关规定，目前我</w:t>
      </w:r>
      <w:r>
        <w:rPr>
          <w:rFonts w:hint="eastAsia" w:eastAsia="方正仿宋_GBK" w:cs="方正仿宋_GBK"/>
          <w:color w:val="000000"/>
          <w:sz w:val="28"/>
          <w:szCs w:val="28"/>
          <w:lang w:eastAsia="zh-CN"/>
        </w:rPr>
        <w:t>县</w:t>
      </w:r>
      <w:r>
        <w:rPr>
          <w:rFonts w:hint="eastAsia" w:eastAsia="方正仿宋_GBK" w:cs="方正仿宋_GBK"/>
          <w:color w:val="000000"/>
          <w:sz w:val="28"/>
          <w:szCs w:val="28"/>
        </w:rPr>
        <w:t>部门预算的编制实行综合预算管理，即全部收入和支出都反映在预算中。河北魏县经济开发区管理委员会机关及所属事业单位的收支包含在部门预算中。</w:t>
      </w:r>
    </w:p>
    <w:p>
      <w:pPr>
        <w:pStyle w:val="20"/>
      </w:pPr>
      <w:r>
        <w:t>1</w:t>
      </w:r>
      <w:r>
        <w:rPr>
          <w:rFonts w:hint="eastAsia" w:cs="方正仿宋_GBK"/>
        </w:rPr>
        <w:t>、收入说明：</w:t>
      </w:r>
      <w:r>
        <w:t>2023</w:t>
      </w:r>
      <w:r>
        <w:rPr>
          <w:rFonts w:hint="eastAsia" w:cs="方正仿宋_GBK"/>
        </w:rPr>
        <w:t>年收入预算共计</w:t>
      </w:r>
      <w:r>
        <w:rPr>
          <w:rFonts w:hint="eastAsia"/>
          <w:lang w:eastAsia="zh-CN"/>
        </w:rPr>
        <w:t>994.85</w:t>
      </w:r>
      <w:r>
        <w:rPr>
          <w:rFonts w:hint="eastAsia" w:cs="方正仿宋_GBK"/>
        </w:rPr>
        <w:t>万元，全部为财政拨款收入。</w:t>
      </w:r>
    </w:p>
    <w:p>
      <w:pPr>
        <w:pStyle w:val="20"/>
      </w:pPr>
      <w:r>
        <w:t>2</w:t>
      </w:r>
      <w:r>
        <w:rPr>
          <w:rFonts w:hint="eastAsia" w:cs="方正仿宋_GBK"/>
        </w:rPr>
        <w:t>、支出说明：</w:t>
      </w:r>
      <w:r>
        <w:t>2023</w:t>
      </w:r>
      <w:r>
        <w:rPr>
          <w:rFonts w:hint="eastAsia" w:cs="方正仿宋_GBK"/>
        </w:rPr>
        <w:t>年支出预算共计</w:t>
      </w:r>
      <w:r>
        <w:rPr>
          <w:rFonts w:hint="eastAsia"/>
          <w:lang w:eastAsia="zh-CN"/>
        </w:rPr>
        <w:t>994.85</w:t>
      </w:r>
      <w:r>
        <w:rPr>
          <w:rFonts w:hint="eastAsia" w:cs="方正仿宋_GBK"/>
        </w:rPr>
        <w:t>元，其中：人员经费支出预算</w:t>
      </w:r>
      <w:r>
        <w:rPr>
          <w:rFonts w:hint="eastAsia"/>
          <w:lang w:eastAsia="zh-CN"/>
        </w:rPr>
        <w:t>344.58</w:t>
      </w:r>
      <w:r>
        <w:rPr>
          <w:rFonts w:hint="eastAsia" w:cs="方正仿宋_GBK"/>
        </w:rPr>
        <w:t>万元，公用经费支出</w:t>
      </w:r>
      <w:r>
        <w:t>0</w:t>
      </w:r>
      <w:r>
        <w:rPr>
          <w:rFonts w:hint="eastAsia" w:cs="方正仿宋_GBK"/>
        </w:rPr>
        <w:t>万元，项目支出</w:t>
      </w:r>
      <w:r>
        <w:t>650</w:t>
      </w:r>
      <w:r>
        <w:rPr>
          <w:rFonts w:hint="eastAsia" w:cs="方正仿宋_GBK"/>
        </w:rPr>
        <w:t>万元（其中：包干基数用于项目支出预算</w:t>
      </w:r>
      <w:r>
        <w:t>550</w:t>
      </w:r>
      <w:r>
        <w:rPr>
          <w:rFonts w:hint="eastAsia" w:cs="方正仿宋_GBK"/>
        </w:rPr>
        <w:t>万元，安排基数外支持企业发展项目</w:t>
      </w:r>
      <w:r>
        <w:t>100</w:t>
      </w:r>
      <w:r>
        <w:rPr>
          <w:rFonts w:hint="eastAsia" w:cs="方正仿宋_GBK"/>
        </w:rPr>
        <w:t>万元）。</w:t>
      </w:r>
      <w:r>
        <w:rPr>
          <w:color w:val="auto"/>
        </w:rPr>
        <w:t>经过对比测算，202</w:t>
      </w:r>
      <w:r>
        <w:rPr>
          <w:rFonts w:hint="eastAsia"/>
          <w:color w:val="auto"/>
          <w:lang w:val="en-US" w:eastAsia="zh-CN"/>
        </w:rPr>
        <w:t>3</w:t>
      </w:r>
      <w:r>
        <w:rPr>
          <w:color w:val="auto"/>
        </w:rPr>
        <w:t>财政拨款预算比202</w:t>
      </w:r>
      <w:r>
        <w:rPr>
          <w:rFonts w:hint="eastAsia"/>
          <w:color w:val="auto"/>
          <w:lang w:val="en-US" w:eastAsia="zh-CN"/>
        </w:rPr>
        <w:t>2</w:t>
      </w:r>
      <w:r>
        <w:rPr>
          <w:color w:val="auto"/>
        </w:rPr>
        <w:t>年</w:t>
      </w:r>
      <w:r>
        <w:rPr>
          <w:rFonts w:hint="eastAsia"/>
          <w:color w:val="auto"/>
          <w:lang w:eastAsia="zh-CN"/>
        </w:rPr>
        <w:t>增加</w:t>
      </w:r>
      <w:r>
        <w:rPr>
          <w:rFonts w:hint="eastAsia"/>
          <w:color w:val="auto"/>
          <w:lang w:val="en-US" w:eastAsia="zh-CN"/>
        </w:rPr>
        <w:t>129.42</w:t>
      </w:r>
      <w:r>
        <w:rPr>
          <w:color w:val="auto"/>
        </w:rPr>
        <w:t>万元。其中：</w:t>
      </w:r>
      <w:r>
        <w:t>人员经费支出增加</w:t>
      </w:r>
      <w:r>
        <w:rPr>
          <w:rFonts w:hint="eastAsia"/>
          <w:lang w:val="en-US" w:eastAsia="zh-CN"/>
        </w:rPr>
        <w:t>29.15</w:t>
      </w:r>
      <w:r>
        <w:t>万元，主要原因是人员工资调整；公用经费支出0万元，与上年比没有增减变动，</w:t>
      </w:r>
      <w:r>
        <w:rPr>
          <w:rFonts w:hint="eastAsia" w:cs="方正仿宋_GBK"/>
        </w:rPr>
        <w:t>开发区从</w:t>
      </w:r>
      <w:r>
        <w:t>2019</w:t>
      </w:r>
      <w:r>
        <w:rPr>
          <w:rFonts w:hint="eastAsia" w:cs="方正仿宋_GBK"/>
        </w:rPr>
        <w:t>年开始实施</w:t>
      </w:r>
      <w:r>
        <w:t>“</w:t>
      </w:r>
      <w:r>
        <w:rPr>
          <w:rFonts w:hint="eastAsia" w:cs="方正仿宋_GBK"/>
        </w:rPr>
        <w:t>独立财政</w:t>
      </w:r>
      <w:r>
        <w:t>”</w:t>
      </w:r>
      <w:r>
        <w:rPr>
          <w:rFonts w:hint="eastAsia" w:cs="方正仿宋_GBK"/>
        </w:rPr>
        <w:t>体制改革以来，开发区实施一级财政管理，财政实行核定了财政转移支付基数</w:t>
      </w:r>
      <w:r>
        <w:rPr>
          <w:rFonts w:hint="eastAsia"/>
          <w:lang w:val="en-US" w:eastAsia="zh-CN"/>
        </w:rPr>
        <w:t>650</w:t>
      </w:r>
      <w:r>
        <w:rPr>
          <w:rFonts w:hint="eastAsia" w:cs="方正仿宋_GBK"/>
        </w:rPr>
        <w:t>万元（其中：包干基数用于项目支出预算</w:t>
      </w:r>
      <w:r>
        <w:t>550</w:t>
      </w:r>
      <w:r>
        <w:rPr>
          <w:rFonts w:hint="eastAsia" w:cs="方正仿宋_GBK"/>
        </w:rPr>
        <w:t>万元，安排基数外支持企业发展项目</w:t>
      </w:r>
      <w:r>
        <w:t>100</w:t>
      </w:r>
      <w:r>
        <w:rPr>
          <w:rFonts w:hint="eastAsia" w:cs="方正仿宋_GBK"/>
        </w:rPr>
        <w:t>万元），将所有经费纳入转移支付基数，由开发区统筹安排用于人员、公用和项目支出。</w:t>
      </w:r>
    </w:p>
    <w:p>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pPr>
        <w:pStyle w:val="21"/>
      </w:pPr>
      <w:r>
        <w:rPr>
          <w:rFonts w:hint="eastAsia" w:cs="方正仿宋_GBK"/>
        </w:rPr>
        <w:t>机关运行经费共计安排</w:t>
      </w:r>
      <w:r>
        <w:rPr>
          <w:rFonts w:hint="eastAsia"/>
          <w:lang w:eastAsia="zh-CN"/>
        </w:rPr>
        <w:t>16.44</w:t>
      </w:r>
      <w:r>
        <w:rPr>
          <w:rFonts w:hint="eastAsia" w:cs="方正仿宋_GBK"/>
        </w:rPr>
        <w:t>万元（从开发区体制补助</w:t>
      </w:r>
      <w:r>
        <w:t>550</w:t>
      </w:r>
      <w:r>
        <w:rPr>
          <w:rFonts w:hint="eastAsia" w:cs="方正仿宋_GBK"/>
        </w:rPr>
        <w:t>万元基数中统筹解决，未单独予以安排），根据体制改革要求，未单独向县财政报送。机关运行经费主要用于保证正常办公的基本需要和维持单位日常业务运转，包括：办公费、邮电费、差旅费、福利费、手续费、公务接待费、工会经费、其他交通费和离退休干部经费。主要是：根据省、市开发区改革意见和县委、县政府印发的魏县开发区改革意见和有关政府纪要，按照开发区改革后的职能职责，需将人才培训、招商引资、信访维稳等公务活动纳入开发管理，为确保开发区改革后的管理水平提升和日常业务运行，促进开发区高质量发展，需增加财政拨款预算。</w:t>
      </w:r>
    </w:p>
    <w:p>
      <w:pPr>
        <w:spacing w:before="10" w:after="10" w:line="360" w:lineRule="auto"/>
        <w:ind w:firstLine="640"/>
        <w:outlineLvl w:val="2"/>
      </w:pPr>
      <w:bookmarkStart w:id="12" w:name="_Toc_3_3_0000000013"/>
      <w:r>
        <w:rPr>
          <w:rFonts w:hint="eastAsia" w:ascii="黑体" w:hAnsi="黑体" w:eastAsia="黑体" w:cs="黑体"/>
          <w:color w:val="000000"/>
          <w:sz w:val="32"/>
          <w:szCs w:val="32"/>
        </w:rPr>
        <w:t>四、财政拨款“三公”经费预算情况及增减变化原因</w:t>
      </w:r>
      <w:bookmarkEnd w:id="12"/>
    </w:p>
    <w:p>
      <w:pPr>
        <w:pStyle w:val="22"/>
      </w:pPr>
      <w:r>
        <w:t>2023</w:t>
      </w:r>
      <w:r>
        <w:rPr>
          <w:rFonts w:hint="eastAsia" w:cs="方正仿宋_GBK"/>
        </w:rPr>
        <w:t>年，财政拨款</w:t>
      </w:r>
      <w:r>
        <w:t>“</w:t>
      </w:r>
      <w:r>
        <w:rPr>
          <w:rFonts w:hint="eastAsia" w:cs="方正仿宋_GBK"/>
        </w:rPr>
        <w:t>三公</w:t>
      </w:r>
      <w:r>
        <w:t>”</w:t>
      </w:r>
      <w:r>
        <w:rPr>
          <w:rFonts w:hint="eastAsia" w:cs="方正仿宋_GBK"/>
        </w:rPr>
        <w:t>经费预算安排</w:t>
      </w:r>
      <w:r>
        <w:t>0</w:t>
      </w:r>
      <w:r>
        <w:rPr>
          <w:rFonts w:hint="eastAsia" w:cs="方正仿宋_GBK"/>
        </w:rPr>
        <w:t>万元，其中：因公出国</w:t>
      </w:r>
      <w:r>
        <w:t>(</w:t>
      </w:r>
      <w:r>
        <w:rPr>
          <w:rFonts w:hint="eastAsia" w:cs="方正仿宋_GBK"/>
        </w:rPr>
        <w:t>境</w:t>
      </w:r>
      <w:r>
        <w:t>)</w:t>
      </w:r>
      <w:r>
        <w:rPr>
          <w:rFonts w:hint="eastAsia" w:cs="方正仿宋_GBK"/>
        </w:rPr>
        <w:t>费</w:t>
      </w:r>
      <w:r>
        <w:t>0</w:t>
      </w:r>
      <w:r>
        <w:rPr>
          <w:rFonts w:hint="eastAsia" w:cs="方正仿宋_GBK"/>
        </w:rPr>
        <w:t>万元，公务用车购置及运维费</w:t>
      </w:r>
      <w:r>
        <w:t>0</w:t>
      </w:r>
      <w:r>
        <w:rPr>
          <w:rFonts w:hint="eastAsia" w:cs="方正仿宋_GBK"/>
        </w:rPr>
        <w:t>万元</w:t>
      </w:r>
      <w:r>
        <w:t>(</w:t>
      </w:r>
      <w:r>
        <w:rPr>
          <w:rFonts w:hint="eastAsia" w:cs="方正仿宋_GBK"/>
        </w:rPr>
        <w:t>其中：公务用车购置费为</w:t>
      </w:r>
      <w:r>
        <w:t>0</w:t>
      </w:r>
      <w:r>
        <w:rPr>
          <w:rFonts w:hint="eastAsia" w:cs="方正仿宋_GBK"/>
        </w:rPr>
        <w:t>万元，公务用车运行费</w:t>
      </w:r>
      <w:r>
        <w:t>0</w:t>
      </w:r>
      <w:r>
        <w:rPr>
          <w:rFonts w:hint="eastAsia" w:cs="方正仿宋_GBK"/>
        </w:rPr>
        <w:t>万元</w:t>
      </w:r>
      <w:r>
        <w:t>)</w:t>
      </w:r>
      <w:r>
        <w:rPr>
          <w:rFonts w:hint="eastAsia" w:cs="方正仿宋_GBK"/>
        </w:rPr>
        <w:t>，公务接待费</w:t>
      </w:r>
      <w:r>
        <w:t>0</w:t>
      </w:r>
      <w:r>
        <w:rPr>
          <w:rFonts w:hint="eastAsia" w:cs="方正仿宋_GBK"/>
        </w:rPr>
        <w:t>万元。</w:t>
      </w:r>
    </w:p>
    <w:p>
      <w:pPr>
        <w:pStyle w:val="22"/>
      </w:pPr>
      <w:r>
        <w:rPr>
          <w:rFonts w:hint="eastAsia" w:cs="方正仿宋_GBK"/>
        </w:rPr>
        <w:t>与</w:t>
      </w:r>
      <w:r>
        <w:t>2022</w:t>
      </w:r>
      <w:r>
        <w:rPr>
          <w:rFonts w:hint="eastAsia" w:cs="方正仿宋_GBK"/>
        </w:rPr>
        <w:t>年相比，因公出国</w:t>
      </w:r>
      <w:r>
        <w:t>(</w:t>
      </w:r>
      <w:r>
        <w:rPr>
          <w:rFonts w:hint="eastAsia" w:cs="方正仿宋_GBK"/>
        </w:rPr>
        <w:t>境</w:t>
      </w:r>
      <w:r>
        <w:t>)</w:t>
      </w:r>
      <w:r>
        <w:rPr>
          <w:rFonts w:hint="eastAsia" w:cs="方正仿宋_GBK"/>
        </w:rPr>
        <w:t>费、公务用车运行费、公务接待费没有增减变动，均与去年持平。主要原因是我单位根据实际情况，未安排出国经费，公务车辆按照有关规定已报废，目前没有公务车辆，也未安排相关经费，公务接待费实行</w:t>
      </w:r>
      <w:r>
        <w:t>“</w:t>
      </w:r>
      <w:r>
        <w:rPr>
          <w:rFonts w:hint="eastAsia" w:cs="方正仿宋_GBK"/>
        </w:rPr>
        <w:t>零招待</w:t>
      </w:r>
      <w:r>
        <w:t>”</w:t>
      </w:r>
      <w:r>
        <w:rPr>
          <w:rFonts w:hint="eastAsia" w:cs="方正仿宋_GBK"/>
        </w:rPr>
        <w:t>制度，也未进行安排。</w:t>
      </w:r>
    </w:p>
    <w:p>
      <w:pPr>
        <w:spacing w:before="10" w:after="10" w:line="360" w:lineRule="auto"/>
        <w:ind w:firstLine="640"/>
        <w:outlineLvl w:val="2"/>
      </w:pPr>
      <w:bookmarkStart w:id="13" w:name="_Toc_3_3_0000000014"/>
      <w:r>
        <w:rPr>
          <w:rFonts w:hint="eastAsia" w:ascii="黑体" w:hAnsi="黑体" w:eastAsia="黑体" w:cs="黑体"/>
          <w:color w:val="000000"/>
          <w:sz w:val="32"/>
          <w:szCs w:val="32"/>
        </w:rPr>
        <w:t>五、预算绩效信息</w:t>
      </w:r>
      <w:bookmarkEnd w:id="13"/>
    </w:p>
    <w:p>
      <w:pPr>
        <w:ind w:firstLine="640"/>
      </w:pPr>
      <w:r>
        <w:rPr>
          <w:rFonts w:hint="eastAsia" w:ascii="方正楷体_GBK" w:hAnsi="方正楷体_GBK" w:eastAsia="方正楷体_GBK" w:cs="方正楷体_GBK"/>
          <w:b/>
          <w:bCs/>
          <w:color w:val="000000"/>
          <w:sz w:val="32"/>
          <w:szCs w:val="32"/>
        </w:rPr>
        <w:t>第一部分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rPr>
        <w:t>部门整体绩效目标</w:t>
      </w:r>
    </w:p>
    <w:p>
      <w:pPr>
        <w:spacing w:line="500" w:lineRule="exact"/>
        <w:ind w:firstLine="560"/>
      </w:pPr>
      <w:r>
        <w:rPr>
          <w:rFonts w:hint="eastAsia" w:eastAsia="方正仿宋_GBK" w:cs="方正仿宋_GBK"/>
          <w:color w:val="000000"/>
          <w:sz w:val="28"/>
          <w:szCs w:val="28"/>
        </w:rPr>
        <w:t>（一）总体绩效目标</w:t>
      </w:r>
    </w:p>
    <w:p>
      <w:pPr>
        <w:pStyle w:val="23"/>
      </w:pPr>
      <w:r>
        <w:rPr>
          <w:rFonts w:hint="eastAsia" w:cs="方正仿宋_GBK"/>
        </w:rPr>
        <w:t>总体绩效目标</w:t>
      </w:r>
    </w:p>
    <w:p>
      <w:pPr>
        <w:pStyle w:val="23"/>
      </w:pPr>
      <w:r>
        <w:rPr>
          <w:rFonts w:hint="eastAsia" w:cs="方正仿宋_GBK"/>
        </w:rPr>
        <w:t>部门职责绩效目标</w:t>
      </w:r>
      <w:r>
        <w:t>1</w:t>
      </w:r>
      <w:r>
        <w:rPr>
          <w:rFonts w:hint="eastAsia" w:cs="方正仿宋_GBK"/>
        </w:rPr>
        <w:t>：</w:t>
      </w:r>
    </w:p>
    <w:p>
      <w:pPr>
        <w:pStyle w:val="23"/>
      </w:pPr>
      <w:r>
        <w:rPr>
          <w:rFonts w:hint="eastAsia" w:cs="方正仿宋_GBK"/>
        </w:rPr>
        <w:t>编制规划：编制辖区内总体规划和经济社会发展规划；编制辖区内区域性城市发展规划、国土利用规划。</w:t>
      </w:r>
      <w:r>
        <w:tab/>
      </w:r>
      <w:r>
        <w:rPr>
          <w:rFonts w:hint="eastAsia" w:cs="方正仿宋_GBK"/>
        </w:rPr>
        <w:t>加强开发区内规划管理，协调辖区空间发展布局，促进开发区经济社会全面协调可持续发展。</w:t>
      </w:r>
      <w:r>
        <w:tab/>
      </w:r>
      <w:r>
        <w:tab/>
      </w:r>
    </w:p>
    <w:p>
      <w:pPr>
        <w:pStyle w:val="23"/>
      </w:pPr>
      <w:r>
        <w:rPr>
          <w:rFonts w:hint="eastAsia" w:cs="方正仿宋_GBK"/>
        </w:rPr>
        <w:t>部门职责绩效目标</w:t>
      </w:r>
      <w:r>
        <w:t>2</w:t>
      </w:r>
      <w:r>
        <w:rPr>
          <w:rFonts w:hint="eastAsia" w:cs="方正仿宋_GBK"/>
        </w:rPr>
        <w:t>：</w:t>
      </w:r>
    </w:p>
    <w:p>
      <w:pPr>
        <w:pStyle w:val="23"/>
      </w:pPr>
      <w:r>
        <w:rPr>
          <w:rFonts w:hint="eastAsia" w:cs="方正仿宋_GBK"/>
        </w:rPr>
        <w:t>审批或审核：审批或审核固定资产投资项目组织对入区固定资产投资项目的审批和审核</w:t>
      </w:r>
      <w:r>
        <w:tab/>
      </w:r>
      <w:r>
        <w:rPr>
          <w:rFonts w:hint="eastAsia" w:cs="方正仿宋_GBK"/>
        </w:rPr>
        <w:t>。</w:t>
      </w:r>
      <w:r>
        <w:tab/>
      </w:r>
      <w:r>
        <w:tab/>
      </w:r>
      <w:r>
        <w:tab/>
      </w:r>
      <w:r>
        <w:tab/>
      </w:r>
    </w:p>
    <w:p>
      <w:pPr>
        <w:pStyle w:val="23"/>
      </w:pPr>
      <w:r>
        <w:rPr>
          <w:rFonts w:hint="eastAsia" w:cs="方正仿宋_GBK"/>
        </w:rPr>
        <w:t>部门职责绩效目标</w:t>
      </w:r>
      <w:r>
        <w:t>3</w:t>
      </w:r>
      <w:r>
        <w:rPr>
          <w:rFonts w:hint="eastAsia" w:cs="方正仿宋_GBK"/>
        </w:rPr>
        <w:t>：</w:t>
      </w:r>
    </w:p>
    <w:p>
      <w:pPr>
        <w:pStyle w:val="23"/>
      </w:pPr>
      <w:r>
        <w:rPr>
          <w:rFonts w:hint="eastAsia" w:cs="方正仿宋_GBK"/>
        </w:rPr>
        <w:t>基础和公用设施建设管理：负责辖区内基础设施和公用设施的建设和管理；按照规划对区内基础设施和公用设施进行建设并进行管理。</w:t>
      </w:r>
      <w:r>
        <w:tab/>
      </w:r>
      <w:r>
        <w:tab/>
      </w:r>
      <w:r>
        <w:tab/>
      </w:r>
      <w:r>
        <w:tab/>
      </w:r>
      <w:r>
        <w:tab/>
      </w:r>
      <w:r>
        <w:tab/>
      </w:r>
      <w:r>
        <w:tab/>
      </w:r>
    </w:p>
    <w:p>
      <w:pPr>
        <w:pStyle w:val="23"/>
      </w:pPr>
      <w:r>
        <w:rPr>
          <w:rFonts w:hint="eastAsia" w:cs="方正仿宋_GBK"/>
        </w:rPr>
        <w:t>部门职责绩效目标</w:t>
      </w:r>
      <w:r>
        <w:t>4</w:t>
      </w:r>
      <w:r>
        <w:rPr>
          <w:rFonts w:hint="eastAsia" w:cs="方正仿宋_GBK"/>
        </w:rPr>
        <w:t>：</w:t>
      </w:r>
    </w:p>
    <w:p>
      <w:pPr>
        <w:pStyle w:val="23"/>
      </w:pPr>
      <w:r>
        <w:rPr>
          <w:rFonts w:hint="eastAsia" w:cs="方正仿宋_GBK"/>
        </w:rPr>
        <w:t>招商、贸易、合作：负责招商引资、进出口贸易、国内外经济技术合作</w:t>
      </w:r>
      <w:r>
        <w:tab/>
      </w:r>
      <w:r>
        <w:tab/>
      </w:r>
      <w:r>
        <w:tab/>
      </w:r>
      <w:r>
        <w:tab/>
      </w:r>
      <w:r>
        <w:tab/>
      </w:r>
      <w:r>
        <w:tab/>
      </w:r>
      <w:r>
        <w:tab/>
      </w:r>
    </w:p>
    <w:p>
      <w:pPr>
        <w:pStyle w:val="23"/>
      </w:pPr>
      <w:r>
        <w:rPr>
          <w:rFonts w:hint="eastAsia" w:cs="方正仿宋_GBK"/>
        </w:rPr>
        <w:t>部门职责绩效目标</w:t>
      </w:r>
      <w:r>
        <w:t>5</w:t>
      </w:r>
      <w:r>
        <w:rPr>
          <w:rFonts w:hint="eastAsia" w:cs="方正仿宋_GBK"/>
        </w:rPr>
        <w:t>：</w:t>
      </w:r>
    </w:p>
    <w:p>
      <w:pPr>
        <w:pStyle w:val="23"/>
      </w:pPr>
      <w:r>
        <w:rPr>
          <w:rFonts w:hint="eastAsia" w:cs="方正仿宋_GBK"/>
        </w:rPr>
        <w:t>辖区环境和安全生产监督管理工作：环境和安全生监管和按照有关要求加强监督管理。</w:t>
      </w:r>
      <w:r>
        <w:tab/>
      </w:r>
      <w:r>
        <w:tab/>
      </w:r>
      <w:r>
        <w:tab/>
      </w:r>
      <w:r>
        <w:tab/>
      </w:r>
      <w:r>
        <w:tab/>
      </w:r>
    </w:p>
    <w:p>
      <w:pPr>
        <w:pStyle w:val="23"/>
      </w:pPr>
      <w:r>
        <w:rPr>
          <w:rFonts w:hint="eastAsia" w:cs="方正仿宋_GBK"/>
        </w:rPr>
        <w:t>部门职责绩效目标</w:t>
      </w:r>
      <w:r>
        <w:t>6</w:t>
      </w:r>
      <w:r>
        <w:rPr>
          <w:rFonts w:hint="eastAsia" w:cs="方正仿宋_GBK"/>
        </w:rPr>
        <w:t>：</w:t>
      </w:r>
    </w:p>
    <w:p>
      <w:pPr>
        <w:pStyle w:val="23"/>
      </w:pPr>
      <w:r>
        <w:rPr>
          <w:rFonts w:hint="eastAsia" w:cs="方正仿宋_GBK"/>
        </w:rPr>
        <w:t>辖区的人力资源和社会保障工作：加快就业服务体系建设和专业技术人才的引进和培养，规范企业用工。加强人才队伍建设，引进高素质人才，规范劳动关系，保障劳动者权益。</w:t>
      </w:r>
      <w:r>
        <w:tab/>
      </w:r>
    </w:p>
    <w:p>
      <w:pPr>
        <w:pStyle w:val="23"/>
      </w:pPr>
      <w:r>
        <w:rPr>
          <w:rFonts w:hint="eastAsia" w:cs="方正仿宋_GBK"/>
        </w:rPr>
        <w:t>部门职责绩效目标</w:t>
      </w:r>
      <w:r>
        <w:t>7</w:t>
      </w:r>
      <w:r>
        <w:rPr>
          <w:rFonts w:hint="eastAsia" w:cs="方正仿宋_GBK"/>
        </w:rPr>
        <w:t>：</w:t>
      </w:r>
    </w:p>
    <w:p>
      <w:pPr>
        <w:pStyle w:val="23"/>
      </w:pPr>
      <w:r>
        <w:rPr>
          <w:rFonts w:hint="eastAsia" w:cs="方正仿宋_GBK"/>
        </w:rPr>
        <w:t>辖区内上级有关部门派驻机构的工作：协调和保障上级有关部门派驻开发区机构的正常工作；保证派驻机构办公用房、办公用品等正常运行。</w:t>
      </w:r>
      <w:r>
        <w:tab/>
      </w:r>
      <w:r>
        <w:tab/>
      </w:r>
      <w:r>
        <w:tab/>
      </w:r>
      <w:r>
        <w:tab/>
      </w:r>
      <w:r>
        <w:tab/>
      </w:r>
      <w:r>
        <w:tab/>
      </w:r>
    </w:p>
    <w:p>
      <w:pPr>
        <w:pStyle w:val="23"/>
      </w:pPr>
      <w:r>
        <w:rPr>
          <w:rFonts w:hint="eastAsia" w:cs="方正仿宋_GBK"/>
        </w:rPr>
        <w:t>部门职责绩效目标</w:t>
      </w:r>
      <w:r>
        <w:t>8</w:t>
      </w:r>
      <w:r>
        <w:rPr>
          <w:rFonts w:hint="eastAsia" w:cs="方正仿宋_GBK"/>
        </w:rPr>
        <w:t>：</w:t>
      </w:r>
    </w:p>
    <w:p>
      <w:pPr>
        <w:pStyle w:val="23"/>
      </w:pPr>
      <w:r>
        <w:rPr>
          <w:rFonts w:hint="eastAsia" w:cs="方正仿宋_GBK"/>
        </w:rPr>
        <w:t>党建工作：贯彻落实党的路线、方针、政策和上级党委决议、研究和制定辖区内重大经济和社会问题、宣传和精神文明建设工作、社会管理、综合治理工作和维稳工作党的纪律检查工作、辖区内工、青、妇等群团工作。</w:t>
      </w:r>
    </w:p>
    <w:p>
      <w:pPr>
        <w:pStyle w:val="23"/>
      </w:pPr>
      <w:r>
        <w:rPr>
          <w:rFonts w:hint="eastAsia" w:cs="方正仿宋_GBK"/>
        </w:rPr>
        <w:t>部门职责绩效目标</w:t>
      </w:r>
      <w:r>
        <w:t>9</w:t>
      </w:r>
      <w:r>
        <w:rPr>
          <w:rFonts w:hint="eastAsia" w:cs="方正仿宋_GBK"/>
        </w:rPr>
        <w:t>：</w:t>
      </w:r>
    </w:p>
    <w:p>
      <w:pPr>
        <w:pStyle w:val="23"/>
      </w:pPr>
      <w:r>
        <w:rPr>
          <w:rFonts w:hint="eastAsia" w:cs="方正仿宋_GBK"/>
        </w:rPr>
        <w:t>专项资金管理：负责管理和使用辖区建设发展专项资金。</w:t>
      </w:r>
    </w:p>
    <w:p>
      <w:pPr>
        <w:spacing w:line="500" w:lineRule="exact"/>
        <w:ind w:firstLine="560"/>
      </w:pPr>
      <w:r>
        <w:rPr>
          <w:rFonts w:hint="eastAsia" w:eastAsia="方正仿宋_GBK" w:cs="方正仿宋_GBK"/>
          <w:color w:val="000000"/>
          <w:sz w:val="28"/>
          <w:szCs w:val="28"/>
        </w:rPr>
        <w:t>（二）分项绩效目标</w:t>
      </w:r>
    </w:p>
    <w:p>
      <w:pPr>
        <w:pStyle w:val="24"/>
      </w:pPr>
      <w:r>
        <w:rPr>
          <w:rFonts w:hint="eastAsia" w:cs="方正仿宋_GBK"/>
        </w:rPr>
        <w:t>分项绩效目标</w:t>
      </w:r>
    </w:p>
    <w:p>
      <w:pPr>
        <w:pStyle w:val="24"/>
      </w:pPr>
      <w:r>
        <w:rPr>
          <w:rFonts w:hint="eastAsia" w:cs="方正仿宋_GBK"/>
        </w:rPr>
        <w:t>部门职责绩效目标</w:t>
      </w:r>
      <w:r>
        <w:t>1</w:t>
      </w:r>
      <w:r>
        <w:rPr>
          <w:rFonts w:hint="eastAsia" w:cs="方正仿宋_GBK"/>
        </w:rPr>
        <w:t>：</w:t>
      </w:r>
    </w:p>
    <w:p>
      <w:pPr>
        <w:pStyle w:val="24"/>
      </w:pPr>
      <w:r>
        <w:rPr>
          <w:rFonts w:hint="eastAsia" w:cs="方正仿宋_GBK"/>
        </w:rPr>
        <w:t>编制规划绩效目标：</w:t>
      </w:r>
    </w:p>
    <w:p>
      <w:pPr>
        <w:pStyle w:val="24"/>
      </w:pPr>
      <w:r>
        <w:rPr>
          <w:rFonts w:hint="eastAsia" w:cs="方正仿宋_GBK"/>
        </w:rPr>
        <w:t>规划制定、实施和监管</w:t>
      </w:r>
      <w:r>
        <w:tab/>
      </w:r>
      <w:r>
        <w:rPr>
          <w:rFonts w:hint="eastAsia" w:cs="方正仿宋_GBK"/>
        </w:rPr>
        <w:t>依法编制开发区总体规划、经济社会发展规划、区域性城市发展规划和国土利用规划等，并向有关部门报批，对依法批准的规划进行监督实施</w:t>
      </w:r>
      <w:r>
        <w:tab/>
      </w:r>
      <w:r>
        <w:rPr>
          <w:rFonts w:hint="eastAsia" w:cs="方正仿宋_GBK"/>
        </w:rPr>
        <w:t>完成规划的编制、报批及对依法批准的规划进行监管实施。负责辖区内建设用地和建设工程的规划管理，审查设计方案，参与区内建设验线、跟踪管理、规划验收。监督检查各种违法占地和违法建设行为。</w:t>
      </w:r>
    </w:p>
    <w:p>
      <w:pPr>
        <w:pStyle w:val="24"/>
      </w:pPr>
      <w:r>
        <w:rPr>
          <w:rFonts w:hint="eastAsia" w:cs="方正仿宋_GBK"/>
        </w:rPr>
        <w:t>各类规划的完成率、审批率等</w:t>
      </w:r>
      <w:r>
        <w:tab/>
      </w:r>
      <w:r>
        <w:rPr>
          <w:rFonts w:hint="eastAsia" w:cs="方正仿宋_GBK"/>
        </w:rPr>
        <w:t>完成规划的编制、报批及对依法批准的规划进行监管实施的数量。</w:t>
      </w:r>
      <w:r>
        <w:tab/>
      </w:r>
    </w:p>
    <w:p>
      <w:pPr>
        <w:pStyle w:val="24"/>
      </w:pPr>
      <w:r>
        <w:rPr>
          <w:rFonts w:hint="eastAsia" w:cs="方正仿宋_GBK"/>
        </w:rPr>
        <w:t>部门职责绩效目标</w:t>
      </w:r>
      <w:r>
        <w:t>2</w:t>
      </w:r>
      <w:r>
        <w:rPr>
          <w:rFonts w:hint="eastAsia" w:cs="方正仿宋_GBK"/>
        </w:rPr>
        <w:t>：</w:t>
      </w:r>
    </w:p>
    <w:p>
      <w:pPr>
        <w:pStyle w:val="24"/>
      </w:pPr>
      <w:r>
        <w:rPr>
          <w:rFonts w:hint="eastAsia" w:cs="方正仿宋_GBK"/>
        </w:rPr>
        <w:t>审批或审核绩效目标：</w:t>
      </w:r>
    </w:p>
    <w:p>
      <w:pPr>
        <w:pStyle w:val="24"/>
      </w:pPr>
      <w:r>
        <w:rPr>
          <w:rFonts w:hint="eastAsia" w:cs="方正仿宋_GBK"/>
        </w:rPr>
        <w:t>审批和审核区内固定资产投资项目</w:t>
      </w:r>
      <w:r>
        <w:tab/>
      </w:r>
      <w:r>
        <w:rPr>
          <w:rFonts w:hint="eastAsia" w:cs="方正仿宋_GBK"/>
        </w:rPr>
        <w:t>审批入区固定资产投资项目</w:t>
      </w:r>
      <w:r>
        <w:tab/>
      </w:r>
      <w:r>
        <w:rPr>
          <w:rFonts w:hint="eastAsia" w:cs="方正仿宋_GBK"/>
        </w:rPr>
        <w:t>根据国家有关规定和《入区协议书》《入区项目企业管理办法》对入区固定资产投资进行审批，根据投资方提供的有关资料对其固定资产投资进行审核。</w:t>
      </w:r>
    </w:p>
    <w:p>
      <w:pPr>
        <w:pStyle w:val="24"/>
      </w:pPr>
      <w:r>
        <w:rPr>
          <w:rFonts w:hint="eastAsia" w:cs="方正仿宋_GBK"/>
        </w:rPr>
        <w:t>监管覆盖率和审批入区固定资产投资项目监管企业数量。</w:t>
      </w:r>
      <w:r>
        <w:tab/>
      </w:r>
    </w:p>
    <w:p>
      <w:pPr>
        <w:pStyle w:val="24"/>
      </w:pPr>
      <w:r>
        <w:rPr>
          <w:rFonts w:hint="eastAsia" w:cs="方正仿宋_GBK"/>
        </w:rPr>
        <w:t>部门职责绩效目标</w:t>
      </w:r>
      <w:r>
        <w:t>3</w:t>
      </w:r>
      <w:r>
        <w:rPr>
          <w:rFonts w:hint="eastAsia" w:cs="方正仿宋_GBK"/>
        </w:rPr>
        <w:t>：</w:t>
      </w:r>
    </w:p>
    <w:p>
      <w:pPr>
        <w:pStyle w:val="24"/>
      </w:pPr>
      <w:r>
        <w:rPr>
          <w:rFonts w:hint="eastAsia" w:cs="方正仿宋_GBK"/>
        </w:rPr>
        <w:t>基础和公用设施建设管理绩效目标：</w:t>
      </w:r>
      <w:r>
        <w:t xml:space="preserve"> 1</w:t>
      </w:r>
      <w:r>
        <w:rPr>
          <w:rFonts w:hint="eastAsia" w:cs="方正仿宋_GBK"/>
        </w:rPr>
        <w:t>、辖区内基础设施和公用设施建设、基础设施和公用设施建设、</w:t>
      </w:r>
      <w:r>
        <w:tab/>
      </w:r>
      <w:r>
        <w:rPr>
          <w:rFonts w:hint="eastAsia" w:cs="方正仿宋_GBK"/>
        </w:rPr>
        <w:t>组织实施区内基础设施和公用设施建设、保质保量完成建设任务。基础设施和公用设施建设完成数</w:t>
      </w:r>
      <w:r>
        <w:t>2</w:t>
      </w:r>
      <w:r>
        <w:rPr>
          <w:rFonts w:hint="eastAsia" w:cs="方正仿宋_GBK"/>
        </w:rPr>
        <w:t>、辖区内基础设施和公用设施管理</w:t>
      </w:r>
      <w:r>
        <w:tab/>
      </w:r>
      <w:r>
        <w:rPr>
          <w:rFonts w:hint="eastAsia" w:cs="方正仿宋_GBK"/>
        </w:rPr>
        <w:t>基础设施和公用设施管理</w:t>
      </w:r>
      <w:r>
        <w:tab/>
      </w:r>
      <w:r>
        <w:rPr>
          <w:rFonts w:hint="eastAsia" w:cs="方正仿宋_GBK"/>
        </w:rPr>
        <w:t>。设施运行和维护、各种设施完好率、设施运行和维护的完好程度。</w:t>
      </w:r>
      <w:r>
        <w:tab/>
      </w:r>
    </w:p>
    <w:p>
      <w:pPr>
        <w:pStyle w:val="24"/>
      </w:pPr>
      <w:r>
        <w:rPr>
          <w:rFonts w:hint="eastAsia" w:cs="方正仿宋_GBK"/>
        </w:rPr>
        <w:t>部门职责绩效目标</w:t>
      </w:r>
      <w:r>
        <w:t>4</w:t>
      </w:r>
      <w:r>
        <w:rPr>
          <w:rFonts w:hint="eastAsia" w:cs="方正仿宋_GBK"/>
        </w:rPr>
        <w:t>：</w:t>
      </w:r>
    </w:p>
    <w:p>
      <w:pPr>
        <w:pStyle w:val="24"/>
      </w:pPr>
      <w:r>
        <w:rPr>
          <w:rFonts w:hint="eastAsia" w:cs="方正仿宋_GBK"/>
        </w:rPr>
        <w:t>招商、贸易、合作绩效目标：</w:t>
      </w:r>
    </w:p>
    <w:p>
      <w:pPr>
        <w:pStyle w:val="24"/>
      </w:pPr>
      <w:r>
        <w:rPr>
          <w:rFonts w:hint="eastAsia" w:cs="方正仿宋_GBK"/>
        </w:rPr>
        <w:t>组织开展招商引资工作，区内企业进出口贸易和开展国际国内合作，根据开发区产业发展发布招商信息、进行商务考察，接待客商考察组织区内企业进行进出口贸易组织区内项目企业与国内外企业、高校和科研机构进行经济技术合作。</w:t>
      </w:r>
    </w:p>
    <w:p>
      <w:pPr>
        <w:pStyle w:val="24"/>
      </w:pPr>
      <w:r>
        <w:rPr>
          <w:rFonts w:hint="eastAsia" w:cs="方正仿宋_GBK"/>
        </w:rPr>
        <w:t>部门职责绩效目标</w:t>
      </w:r>
      <w:r>
        <w:t>5</w:t>
      </w:r>
      <w:r>
        <w:rPr>
          <w:rFonts w:hint="eastAsia" w:cs="方正仿宋_GBK"/>
        </w:rPr>
        <w:t>：</w:t>
      </w:r>
    </w:p>
    <w:p>
      <w:pPr>
        <w:pStyle w:val="24"/>
      </w:pPr>
      <w:r>
        <w:rPr>
          <w:rFonts w:hint="eastAsia" w:cs="方正仿宋_GBK"/>
        </w:rPr>
        <w:t>辖区环境和安全生产监督管理工作，环境和安全生监管</w:t>
      </w:r>
      <w:r>
        <w:tab/>
      </w:r>
      <w:r>
        <w:rPr>
          <w:rFonts w:hint="eastAsia" w:cs="方正仿宋_GBK"/>
        </w:rPr>
        <w:t>按照有关要求加强监督管理绩效目标：</w:t>
      </w:r>
    </w:p>
    <w:p>
      <w:pPr>
        <w:pStyle w:val="24"/>
      </w:pPr>
      <w:r>
        <w:t>1</w:t>
      </w:r>
      <w:r>
        <w:rPr>
          <w:rFonts w:hint="eastAsia" w:cs="方正仿宋_GBK"/>
        </w:rPr>
        <w:t>、环境监督管理、环境监管、加强环境监察与督查、企业排放达标率</w:t>
      </w:r>
      <w:r>
        <w:tab/>
      </w:r>
      <w:r>
        <w:rPr>
          <w:rFonts w:hint="eastAsia" w:cs="方正仿宋_GBK"/>
        </w:rPr>
        <w:t>企业排放达标程度。</w:t>
      </w:r>
    </w:p>
    <w:p>
      <w:pPr>
        <w:pStyle w:val="24"/>
      </w:pPr>
      <w:r>
        <w:t>2</w:t>
      </w:r>
      <w:r>
        <w:rPr>
          <w:rFonts w:hint="eastAsia" w:cs="方正仿宋_GBK"/>
        </w:rPr>
        <w:t>、安全生产监督管理</w:t>
      </w:r>
      <w:r>
        <w:tab/>
      </w:r>
      <w:r>
        <w:rPr>
          <w:rFonts w:hint="eastAsia" w:cs="方正仿宋_GBK"/>
        </w:rPr>
        <w:t>企业安全生监督管理，按照《安全生产法》加强企业安全生产、督导、检查、整改</w:t>
      </w:r>
      <w:r>
        <w:tab/>
      </w:r>
      <w:r>
        <w:rPr>
          <w:rFonts w:hint="eastAsia" w:cs="方正仿宋_GBK"/>
        </w:rPr>
        <w:t>安全生产达标率和安全生产达标程度。</w:t>
      </w:r>
    </w:p>
    <w:p>
      <w:pPr>
        <w:pStyle w:val="24"/>
      </w:pPr>
      <w:r>
        <w:rPr>
          <w:rFonts w:hint="eastAsia" w:cs="方正仿宋_GBK"/>
        </w:rPr>
        <w:t>部门职责绩效目标</w:t>
      </w:r>
      <w:r>
        <w:t>6</w:t>
      </w:r>
    </w:p>
    <w:p>
      <w:pPr>
        <w:pStyle w:val="24"/>
      </w:pPr>
      <w:r>
        <w:rPr>
          <w:rFonts w:hint="eastAsia" w:cs="方正仿宋_GBK"/>
        </w:rPr>
        <w:t>辖区的人力资源和社会保障工作</w:t>
      </w:r>
      <w:r>
        <w:tab/>
      </w:r>
      <w:r>
        <w:rPr>
          <w:rFonts w:hint="eastAsia" w:cs="方正仿宋_GBK"/>
        </w:rPr>
        <w:t>加快就业服务体系建设和专业技术人才的引进和培养，规范企业用工，加强人才队伍建设，引进高素质人才，规范劳动关系，保障劳动者权益绩效目标：人力资源和社会保障工作</w:t>
      </w:r>
      <w:r>
        <w:tab/>
      </w:r>
      <w:r>
        <w:rPr>
          <w:rFonts w:hint="eastAsia" w:cs="方正仿宋_GBK"/>
        </w:rPr>
        <w:t>围绕企业用工需求，引进专业技术人才。规范劳动关系</w:t>
      </w:r>
      <w:r>
        <w:tab/>
      </w:r>
      <w:r>
        <w:rPr>
          <w:rFonts w:hint="eastAsia" w:cs="方正仿宋_GBK"/>
        </w:rPr>
        <w:t>建立区内企业用工需求数据库，并实时更新，加强用需对接，规范区内企业劳动用工，保障劳动者合法权益</w:t>
      </w:r>
      <w:r>
        <w:tab/>
      </w:r>
      <w:r>
        <w:rPr>
          <w:rFonts w:hint="eastAsia" w:cs="方正仿宋_GBK"/>
        </w:rPr>
        <w:t>引进人才落实率。</w:t>
      </w:r>
    </w:p>
    <w:p>
      <w:pPr>
        <w:pStyle w:val="24"/>
      </w:pPr>
      <w:r>
        <w:rPr>
          <w:rFonts w:hint="eastAsia" w:cs="方正仿宋_GBK"/>
        </w:rPr>
        <w:t>企业用工合同签订率</w:t>
      </w:r>
      <w:r>
        <w:tab/>
      </w:r>
      <w:r>
        <w:rPr>
          <w:rFonts w:hint="eastAsia" w:cs="方正仿宋_GBK"/>
        </w:rPr>
        <w:t>引进人才数量及企业用工合同签订数量。</w:t>
      </w:r>
    </w:p>
    <w:p>
      <w:pPr>
        <w:pStyle w:val="24"/>
      </w:pPr>
      <w:r>
        <w:rPr>
          <w:rFonts w:hint="eastAsia" w:cs="方正仿宋_GBK"/>
        </w:rPr>
        <w:t>部门职责绩效目标</w:t>
      </w:r>
      <w:r>
        <w:t>7</w:t>
      </w:r>
      <w:r>
        <w:rPr>
          <w:rFonts w:hint="eastAsia" w:cs="方正仿宋_GBK"/>
        </w:rPr>
        <w:t>：</w:t>
      </w:r>
    </w:p>
    <w:p>
      <w:pPr>
        <w:pStyle w:val="24"/>
      </w:pPr>
      <w:r>
        <w:rPr>
          <w:rFonts w:hint="eastAsia" w:cs="方正仿宋_GBK"/>
        </w:rPr>
        <w:t>辖区内上级有关部门派驻机构的工作绩效目标：协调和保障上级有关部门派驻开发区机构的正常工作</w:t>
      </w:r>
      <w:r>
        <w:tab/>
      </w:r>
      <w:r>
        <w:rPr>
          <w:rFonts w:hint="eastAsia" w:cs="方正仿宋_GBK"/>
        </w:rPr>
        <w:t>保证派驻机构办公用房、办公用品等正常运行。</w:t>
      </w:r>
    </w:p>
    <w:p>
      <w:pPr>
        <w:pStyle w:val="24"/>
      </w:pPr>
      <w:r>
        <w:rPr>
          <w:rFonts w:hint="eastAsia" w:cs="方正仿宋_GBK"/>
        </w:rPr>
        <w:t>部门职责绩效目标</w:t>
      </w:r>
      <w:r>
        <w:t>8</w:t>
      </w:r>
    </w:p>
    <w:p>
      <w:pPr>
        <w:pStyle w:val="24"/>
      </w:pPr>
      <w:r>
        <w:rPr>
          <w:rFonts w:hint="eastAsia" w:cs="方正仿宋_GBK"/>
        </w:rPr>
        <w:t>党建工作绩效目标：</w:t>
      </w:r>
    </w:p>
    <w:p>
      <w:pPr>
        <w:pStyle w:val="24"/>
      </w:pPr>
      <w:r>
        <w:t>1</w:t>
      </w:r>
      <w:r>
        <w:rPr>
          <w:rFonts w:hint="eastAsia" w:cs="方正仿宋_GBK"/>
        </w:rPr>
        <w:t>、组织建设：指导各级党组织加强组织建设，党组织和党员作用发挥突出。党组织评议满意度和党组织评议满意程度。</w:t>
      </w:r>
    </w:p>
    <w:p>
      <w:pPr>
        <w:pStyle w:val="24"/>
      </w:pPr>
      <w:r>
        <w:t>2</w:t>
      </w:r>
      <w:r>
        <w:rPr>
          <w:rFonts w:hint="eastAsia" w:cs="方正仿宋_GBK"/>
        </w:rPr>
        <w:t>、思想政治建设</w:t>
      </w:r>
      <w:r>
        <w:t xml:space="preserve"> </w:t>
      </w:r>
      <w:r>
        <w:rPr>
          <w:rFonts w:hint="eastAsia" w:cs="方正仿宋_GBK"/>
        </w:rPr>
        <w:t>：指导各级党组织抓好党的思想、作风建设，加强党的纪律检查工作。</w:t>
      </w:r>
      <w:r>
        <w:tab/>
      </w:r>
      <w:r>
        <w:rPr>
          <w:rFonts w:hint="eastAsia" w:cs="方正仿宋_GBK"/>
        </w:rPr>
        <w:t>加强学习和作风建设，利用各载体开展精神文明创建工作。</w:t>
      </w:r>
    </w:p>
    <w:p>
      <w:pPr>
        <w:pStyle w:val="24"/>
      </w:pPr>
      <w:r>
        <w:t>3</w:t>
      </w:r>
      <w:r>
        <w:rPr>
          <w:rFonts w:hint="eastAsia" w:cs="方正仿宋_GBK"/>
        </w:rPr>
        <w:t>、工青妇等群团工作：在企业建立健全工、青、妇群团组织并开展工作，群团组织建立健全，工作得到落实，作用发挥明显。公众参与率</w:t>
      </w:r>
      <w:r>
        <w:tab/>
      </w:r>
      <w:r>
        <w:rPr>
          <w:rFonts w:hint="eastAsia" w:cs="方正仿宋_GBK"/>
        </w:rPr>
        <w:t>公众参与数量。</w:t>
      </w:r>
    </w:p>
    <w:p>
      <w:pPr>
        <w:pStyle w:val="24"/>
      </w:pPr>
      <w:r>
        <w:t>4</w:t>
      </w:r>
      <w:r>
        <w:rPr>
          <w:rFonts w:hint="eastAsia" w:cs="方正仿宋_GBK"/>
        </w:rPr>
        <w:t>、</w:t>
      </w:r>
      <w:r>
        <w:rPr>
          <w:rFonts w:hint="eastAsia" w:cs="方正仿宋_GBK"/>
          <w:lang w:eastAsia="zh-CN"/>
        </w:rPr>
        <w:t>县委、县政府</w:t>
      </w:r>
      <w:r>
        <w:rPr>
          <w:rFonts w:hint="eastAsia" w:cs="方正仿宋_GBK"/>
        </w:rPr>
        <w:t>交办的其它事项</w:t>
      </w:r>
    </w:p>
    <w:p>
      <w:pPr>
        <w:pStyle w:val="24"/>
      </w:pPr>
      <w:r>
        <w:rPr>
          <w:rFonts w:hint="eastAsia" w:cs="方正仿宋_GBK"/>
          <w:lang w:eastAsia="zh-CN"/>
        </w:rPr>
        <w:t>县委县政府</w:t>
      </w:r>
      <w:r>
        <w:rPr>
          <w:rFonts w:hint="eastAsia" w:cs="方正仿宋_GBK"/>
        </w:rPr>
        <w:t>交办的其它重要工作和临时性工作。</w:t>
      </w:r>
      <w:r>
        <w:tab/>
      </w:r>
      <w:r>
        <w:rPr>
          <w:rFonts w:hint="eastAsia" w:cs="方正仿宋_GBK"/>
        </w:rPr>
        <w:t>按要求高质量、高标准完成。</w:t>
      </w:r>
      <w:r>
        <w:tab/>
      </w:r>
      <w:r>
        <w:tab/>
      </w:r>
      <w:r>
        <w:tab/>
      </w:r>
      <w:r>
        <w:tab/>
      </w:r>
      <w:r>
        <w:tab/>
      </w:r>
      <w:r>
        <w:tab/>
      </w:r>
    </w:p>
    <w:p>
      <w:pPr>
        <w:pStyle w:val="24"/>
      </w:pPr>
      <w:r>
        <w:rPr>
          <w:rFonts w:hint="eastAsia" w:cs="方正仿宋_GBK"/>
        </w:rPr>
        <w:t>部门职责绩效目标</w:t>
      </w:r>
      <w:r>
        <w:t>9</w:t>
      </w:r>
    </w:p>
    <w:p>
      <w:pPr>
        <w:pStyle w:val="24"/>
      </w:pPr>
      <w:r>
        <w:rPr>
          <w:rFonts w:hint="eastAsia" w:cs="方正仿宋_GBK"/>
        </w:rPr>
        <w:t>专项资金管理</w:t>
      </w:r>
      <w:r>
        <w:rPr>
          <w:rFonts w:hint="eastAsia" w:cs="方正仿宋_GBK"/>
          <w:lang w:eastAsia="zh-CN"/>
        </w:rPr>
        <w:t>，</w:t>
      </w:r>
      <w:r>
        <w:rPr>
          <w:rFonts w:hint="eastAsia" w:cs="方正仿宋_GBK"/>
        </w:rPr>
        <w:t>负责管理和使用辖区建设发展专项资金绩效目标：建设专项资金使用管理</w:t>
      </w:r>
      <w:r>
        <w:tab/>
      </w:r>
      <w:r>
        <w:rPr>
          <w:rFonts w:hint="eastAsia" w:cs="方正仿宋_GBK"/>
        </w:rPr>
        <w:t>负责管理和使用辖区建设发展专项资金</w:t>
      </w:r>
      <w:r>
        <w:rPr>
          <w:rFonts w:hint="eastAsia"/>
          <w:lang w:eastAsia="zh-CN"/>
        </w:rPr>
        <w:t>，</w:t>
      </w:r>
      <w:r>
        <w:rPr>
          <w:rFonts w:hint="eastAsia" w:cs="方正仿宋_GBK"/>
        </w:rPr>
        <w:t>专项资金专款专用，充分发挥作用。</w:t>
      </w:r>
      <w:r>
        <w:tab/>
      </w:r>
    </w:p>
    <w:p>
      <w:pPr>
        <w:spacing w:line="500" w:lineRule="exact"/>
        <w:ind w:firstLine="560"/>
      </w:pPr>
      <w:r>
        <w:rPr>
          <w:rFonts w:hint="eastAsia" w:eastAsia="方正仿宋_GBK" w:cs="方正仿宋_GBK"/>
          <w:color w:val="000000"/>
          <w:sz w:val="28"/>
          <w:szCs w:val="28"/>
        </w:rPr>
        <w:t>（三）工作保障措施</w:t>
      </w:r>
    </w:p>
    <w:p>
      <w:pPr>
        <w:pStyle w:val="25"/>
      </w:pPr>
      <w:r>
        <w:rPr>
          <w:rFonts w:hint="eastAsia" w:cs="方正仿宋_GBK"/>
        </w:rPr>
        <w:t>按照确定的发展目标，结合工作实际，重点推动实施六项重点工作，即打造产业聚集平台，增强招商引资实效，加快特色园区建设、推进土地集约利用、提升科技创新能力，优化营商投资环境。</w:t>
      </w:r>
    </w:p>
    <w:p>
      <w:pPr>
        <w:pStyle w:val="25"/>
      </w:pPr>
      <w:r>
        <w:rPr>
          <w:rFonts w:hint="eastAsia" w:cs="方正仿宋_GBK"/>
        </w:rPr>
        <w:t>（一）规划产业集聚平台</w:t>
      </w:r>
    </w:p>
    <w:p>
      <w:pPr>
        <w:pStyle w:val="25"/>
      </w:pPr>
      <w:r>
        <w:rPr>
          <w:rFonts w:hint="eastAsia" w:cs="方正仿宋_GBK"/>
        </w:rPr>
        <w:t>（</w:t>
      </w:r>
      <w:r>
        <w:t>1</w:t>
      </w:r>
      <w:r>
        <w:rPr>
          <w:rFonts w:hint="eastAsia" w:cs="方正仿宋_GBK"/>
        </w:rPr>
        <w:t>）科学编制园区规划。抢抓魏县经济开发区规划区域调整和京津冀协同发展机遇，结合县经济开发区产业发展实际，深入研究我县特色优势，高起点制定、完善经济开发区总体规划、产业发展规划和环境评价等工作，坚持规划引领，使经济开发区建设有规可依，有章可循，全力拉开经济开发区框架，提升经济开发区承载能力。</w:t>
      </w:r>
    </w:p>
    <w:p>
      <w:pPr>
        <w:pStyle w:val="25"/>
      </w:pPr>
      <w:r>
        <w:rPr>
          <w:rFonts w:hint="eastAsia" w:cs="方正仿宋_GBK"/>
        </w:rPr>
        <w:t>（</w:t>
      </w:r>
      <w:r>
        <w:t>2</w:t>
      </w:r>
      <w:r>
        <w:rPr>
          <w:rFonts w:hint="eastAsia" w:cs="方正仿宋_GBK"/>
        </w:rPr>
        <w:t>）不断完善园区功能。加快经济开发区天雨路、天泽路、建业大街、敬业大街雨污分流和道路改造工程、经济开发区污水处理厂扩建工程建设进度；开工建设天泽路西延、水城路西延工程；努力打造</w:t>
      </w:r>
      <w:r>
        <w:t>“</w:t>
      </w:r>
      <w:r>
        <w:rPr>
          <w:rFonts w:hint="eastAsia" w:cs="方正仿宋_GBK"/>
        </w:rPr>
        <w:t>信息通、市场通、法规通、配套通、物流通、资金通、人才通、技术通、服务通和双创平台</w:t>
      </w:r>
      <w:r>
        <w:t>”</w:t>
      </w:r>
      <w:r>
        <w:rPr>
          <w:rFonts w:hint="eastAsia" w:cs="方正仿宋_GBK"/>
        </w:rPr>
        <w:t>的新</w:t>
      </w:r>
      <w:r>
        <w:t>“</w:t>
      </w:r>
      <w:r>
        <w:rPr>
          <w:rFonts w:hint="eastAsia" w:cs="方正仿宋_GBK"/>
        </w:rPr>
        <w:t>九通一平</w:t>
      </w:r>
      <w:r>
        <w:t>”</w:t>
      </w:r>
      <w:r>
        <w:rPr>
          <w:rFonts w:hint="eastAsia" w:cs="方正仿宋_GBK"/>
        </w:rPr>
        <w:t>；加强产业配套能力和公共服务体系建设，不断完善园区功能，加快智慧经济开发区建设进程，提升园区安全、大气质量监测、企业能耗监测等智慧化管理水平。</w:t>
      </w:r>
    </w:p>
    <w:p>
      <w:pPr>
        <w:pStyle w:val="25"/>
      </w:pPr>
      <w:r>
        <w:rPr>
          <w:rFonts w:hint="eastAsia" w:cs="方正仿宋_GBK"/>
        </w:rPr>
        <w:t>（</w:t>
      </w:r>
      <w:r>
        <w:t>3</w:t>
      </w:r>
      <w:r>
        <w:rPr>
          <w:rFonts w:hint="eastAsia" w:cs="方正仿宋_GBK"/>
        </w:rPr>
        <w:t>）精准对接京津产业。紧抓雄安新区建设和京津产业转移带来的政策和资源溢出机遇，围绕先进装备制造、节能环保、新型材料、食品加工四大产业，定向精准承接京津产业和创新资源转移，促进产业合作和项目对接，打造对接京津开放平台。强力推进中瑞汽车魏县专用车制造基地项目投产达效、二期开工建设；药用玻璃及相关产业基地初步形成；北京二锅头酿造车间建成投产。借力京津冀协同发展，促进经济开发区优势产业规模壮大、产业升级。</w:t>
      </w:r>
    </w:p>
    <w:p>
      <w:pPr>
        <w:pStyle w:val="25"/>
      </w:pPr>
      <w:r>
        <w:rPr>
          <w:rFonts w:hint="eastAsia" w:cs="方正仿宋_GBK"/>
        </w:rPr>
        <w:t>（</w:t>
      </w:r>
      <w:r>
        <w:t>4</w:t>
      </w:r>
      <w:r>
        <w:rPr>
          <w:rFonts w:hint="eastAsia" w:cs="方正仿宋_GBK"/>
        </w:rPr>
        <w:t>）强力推进央企合作。紧抓国资委持续帮扶的机遇，依托中建材、中国中车、中国航天、北京重工等央企打造合作示范区，加快推进中建材凯盛君恒药玻药用包材产业化形成，加快中国中车防松螺母和北京重工整体搬迁项目建设，充分挖掘和发挥央企的行业优势、资金优势和品牌效应，靠大联强促进园区企业跨越发展，把经济开发区培育成邯郸央地合作高质量发展示范性园区。</w:t>
      </w:r>
    </w:p>
    <w:p>
      <w:pPr>
        <w:pStyle w:val="25"/>
      </w:pPr>
      <w:r>
        <w:rPr>
          <w:rFonts w:hint="eastAsia" w:cs="方正仿宋_GBK"/>
        </w:rPr>
        <w:t>（</w:t>
      </w:r>
      <w:r>
        <w:t>5</w:t>
      </w:r>
      <w:r>
        <w:rPr>
          <w:rFonts w:hint="eastAsia" w:cs="方正仿宋_GBK"/>
        </w:rPr>
        <w:t>）努力打造优势平台。充分发挥聚银电镀污水处理中心得天独厚的优势，依托聚银企业服务中心这个平台，加快二期</w:t>
      </w:r>
      <w:r>
        <w:t>30</w:t>
      </w:r>
      <w:r>
        <w:rPr>
          <w:rFonts w:hint="eastAsia" w:cs="方正仿宋_GBK"/>
        </w:rPr>
        <w:t>栋厂房建设，以优质的服务、高端的设备，吸引高、精、尖的紧固件制造企业向园区聚集，加快魏县紧固件产业园建设，打造华北地区高端紧固件制造基地。</w:t>
      </w:r>
    </w:p>
    <w:p>
      <w:pPr>
        <w:pStyle w:val="25"/>
      </w:pPr>
      <w:r>
        <w:rPr>
          <w:rFonts w:hint="eastAsia" w:cs="方正仿宋_GBK"/>
        </w:rPr>
        <w:t>（二）增强招商引资实效</w:t>
      </w:r>
    </w:p>
    <w:p>
      <w:pPr>
        <w:pStyle w:val="25"/>
      </w:pPr>
      <w:r>
        <w:rPr>
          <w:rFonts w:hint="eastAsia" w:cs="方正仿宋_GBK"/>
        </w:rPr>
        <w:t>（</w:t>
      </w:r>
      <w:r>
        <w:t>1</w:t>
      </w:r>
      <w:r>
        <w:rPr>
          <w:rFonts w:hint="eastAsia" w:cs="方正仿宋_GBK"/>
        </w:rPr>
        <w:t>）聚焦产业精准招商。坚持</w:t>
      </w:r>
      <w:r>
        <w:t>“</w:t>
      </w:r>
      <w:r>
        <w:rPr>
          <w:rFonts w:hint="eastAsia" w:cs="方正仿宋_GBK"/>
        </w:rPr>
        <w:t>项目为零、一切为零，招商为零、一切为负</w:t>
      </w:r>
      <w:r>
        <w:t>”</w:t>
      </w:r>
      <w:r>
        <w:rPr>
          <w:rFonts w:hint="eastAsia" w:cs="方正仿宋_GBK"/>
        </w:rPr>
        <w:t>和</w:t>
      </w:r>
      <w:r>
        <w:t>“</w:t>
      </w:r>
      <w:r>
        <w:rPr>
          <w:rFonts w:hint="eastAsia" w:cs="方正仿宋_GBK"/>
        </w:rPr>
        <w:t>项目为王</w:t>
      </w:r>
      <w:r>
        <w:t>”</w:t>
      </w:r>
      <w:r>
        <w:rPr>
          <w:rFonts w:hint="eastAsia" w:cs="方正仿宋_GBK"/>
        </w:rPr>
        <w:t>理念，全力推进招商引资工作，大力开展以产业发展规划为指导的产业链招商、专业化招商，引进一批技术水平高、产业关联度高、发展空间大、带动力强的内外资大项目、好项目。充分利用大型知名展会，积极参加国家、省、市集中组织的大型招商活动，挖掘客商资源，坚持集中推介和专业招商团队相结合，有针对性的开展招商活动。围绕</w:t>
      </w:r>
      <w:r>
        <w:t>“</w:t>
      </w:r>
      <w:r>
        <w:rPr>
          <w:rFonts w:hint="eastAsia" w:cs="方正仿宋_GBK"/>
        </w:rPr>
        <w:t>四大产业</w:t>
      </w:r>
      <w:r>
        <w:t>”</w:t>
      </w:r>
      <w:r>
        <w:rPr>
          <w:rFonts w:hint="eastAsia" w:cs="方正仿宋_GBK"/>
        </w:rPr>
        <w:t>，全面整合现有入区项目企业上下游产业，紧盯产业链进行精准招商。围绕我县四大产业及其上下游产业，实施精准招商，实现补链、壮链、强链。至少引进</w:t>
      </w:r>
      <w:r>
        <w:t>10</w:t>
      </w:r>
      <w:r>
        <w:rPr>
          <w:rFonts w:hint="eastAsia" w:cs="方正仿宋_GBK"/>
        </w:rPr>
        <w:t>个投资亿元以上的战略性新兴产业项目。装备制造产业：建成安钢兆通、中车重工、瑞隆液压、徐州产业园等项目，引进宗申农机、中瑞汽车、恒跃机械等上下游企业，壮大装备制造产业。新材料产业：围绕药玻产业，完成凯盛君恒公司科创板上市，实现与国药集团、山东维高合作，打造药玻之都。围绕量子点产业，建成量子点产业园，入驻企业</w:t>
      </w:r>
      <w:r>
        <w:t>10</w:t>
      </w:r>
      <w:r>
        <w:rPr>
          <w:rFonts w:hint="eastAsia" w:cs="方正仿宋_GBK"/>
        </w:rPr>
        <w:t>家以上。节能环保产业：以沃茵环保为龙头，吸引山东中扬联创、广东方瞳科技等环保产业入驻经济开发区，形成研发、制造一体化产业。蓝盾威尔实现批量生产，并孵化完成，新增地建设。</w:t>
      </w:r>
    </w:p>
    <w:p>
      <w:pPr>
        <w:pStyle w:val="25"/>
      </w:pPr>
      <w:r>
        <w:rPr>
          <w:rFonts w:hint="eastAsia" w:cs="方正仿宋_GBK"/>
        </w:rPr>
        <w:t>（</w:t>
      </w:r>
      <w:r>
        <w:t>2</w:t>
      </w:r>
      <w:r>
        <w:rPr>
          <w:rFonts w:hint="eastAsia" w:cs="方正仿宋_GBK"/>
        </w:rPr>
        <w:t>）利用外资重点突破。实施经济开发区利用外资提升行动，围绕集聚主导产业，大力度做好外资引进和入统工作，努力扩大外资规模，着力提高外资增量，确保完成外资引进和增速任务。打造适宜特定国别（地区）高端要素聚集的良好环境，围绕国际合作产业园开展针对性定向招商，培育特色龙头企业，加快形成优势产业集群。在园区规划、基础设施建设、财政支持、土地政策等方面加大扶持力度，扶持国际合作产业园做大做强</w:t>
      </w:r>
    </w:p>
    <w:p>
      <w:pPr>
        <w:pStyle w:val="25"/>
      </w:pPr>
      <w:r>
        <w:rPr>
          <w:rFonts w:hint="eastAsia" w:cs="方正仿宋_GBK"/>
        </w:rPr>
        <w:t>（三）加快特色园区建设</w:t>
      </w:r>
    </w:p>
    <w:p>
      <w:pPr>
        <w:pStyle w:val="25"/>
      </w:pPr>
      <w:r>
        <w:rPr>
          <w:rFonts w:hint="eastAsia" w:cs="方正仿宋_GBK"/>
        </w:rPr>
        <w:t>（</w:t>
      </w:r>
      <w:r>
        <w:t>1</w:t>
      </w:r>
      <w:r>
        <w:rPr>
          <w:rFonts w:hint="eastAsia" w:cs="方正仿宋_GBK"/>
        </w:rPr>
        <w:t>）特种车辆产业园。以中瑞汽车为龙头，推进恒昇机械、威可特科技、中车重工整体搬迁等项目，加快建设特种车辆整车制造基地。</w:t>
      </w:r>
      <w:r>
        <w:t>2023</w:t>
      </w:r>
      <w:r>
        <w:rPr>
          <w:rFonts w:hint="eastAsia" w:cs="方正仿宋_GBK"/>
        </w:rPr>
        <w:t>年，河北中瑞汽车制造有限公司实现量产，徐州瑞隆液压项目、北京重工整体搬迁项目开工建设。</w:t>
      </w:r>
    </w:p>
    <w:p>
      <w:pPr>
        <w:pStyle w:val="25"/>
      </w:pPr>
      <w:r>
        <w:rPr>
          <w:rFonts w:hint="eastAsia" w:cs="方正仿宋_GBK"/>
        </w:rPr>
        <w:t>（</w:t>
      </w:r>
      <w:r>
        <w:t>2</w:t>
      </w:r>
      <w:r>
        <w:rPr>
          <w:rFonts w:hint="eastAsia" w:cs="方正仿宋_GBK"/>
        </w:rPr>
        <w:t>）高端农机产业园。以河北宗申白俄罗斯大型高端农机装备产业园项目为龙头，扩大农机产量，增加农机型号，开拓华北农机市场。</w:t>
      </w:r>
      <w:r>
        <w:t>2023</w:t>
      </w:r>
      <w:r>
        <w:rPr>
          <w:rFonts w:hint="eastAsia" w:cs="方正仿宋_GBK"/>
        </w:rPr>
        <w:t>年，宗申农机生产突破</w:t>
      </w:r>
      <w:r>
        <w:t>2000</w:t>
      </w:r>
      <w:r>
        <w:rPr>
          <w:rFonts w:hint="eastAsia" w:cs="方正仿宋_GBK"/>
        </w:rPr>
        <w:t>台。建成北方重要的农机生产基地，省内重要的国别产业园。</w:t>
      </w:r>
    </w:p>
    <w:p>
      <w:pPr>
        <w:pStyle w:val="25"/>
      </w:pPr>
      <w:r>
        <w:rPr>
          <w:rFonts w:hint="eastAsia" w:cs="方正仿宋_GBK"/>
        </w:rPr>
        <w:t>（</w:t>
      </w:r>
      <w:r>
        <w:t>3</w:t>
      </w:r>
      <w:r>
        <w:rPr>
          <w:rFonts w:hint="eastAsia" w:cs="方正仿宋_GBK"/>
        </w:rPr>
        <w:t>）中国中车产业园。以中车防松螺母和中车重工为核心，积极推动与中国中车集团合作，加快防松螺母项目建设，实现达产达效。</w:t>
      </w:r>
    </w:p>
    <w:p>
      <w:pPr>
        <w:pStyle w:val="25"/>
      </w:pPr>
      <w:r>
        <w:rPr>
          <w:rFonts w:hint="eastAsia" w:cs="方正仿宋_GBK"/>
        </w:rPr>
        <w:t>（</w:t>
      </w:r>
      <w:r>
        <w:t>4</w:t>
      </w:r>
      <w:r>
        <w:rPr>
          <w:rFonts w:hint="eastAsia" w:cs="方正仿宋_GBK"/>
        </w:rPr>
        <w:t>）药用玻璃产业园。全面加快中建材凯盛君恒药玻一期建设，</w:t>
      </w:r>
      <w:r>
        <w:t>2023</w:t>
      </w:r>
      <w:r>
        <w:rPr>
          <w:rFonts w:hint="eastAsia" w:cs="方正仿宋_GBK"/>
        </w:rPr>
        <w:t>年初，三炉六线全部投产达效，实现科创版上市，并积极推动药用玻璃下游产业发展；积极打造全国药用包材之都。</w:t>
      </w:r>
    </w:p>
    <w:p>
      <w:pPr>
        <w:pStyle w:val="25"/>
      </w:pPr>
      <w:r>
        <w:rPr>
          <w:rFonts w:hint="eastAsia" w:cs="方正仿宋_GBK"/>
        </w:rPr>
        <w:t>（</w:t>
      </w:r>
      <w:r>
        <w:t>5</w:t>
      </w:r>
      <w:r>
        <w:rPr>
          <w:rFonts w:hint="eastAsia" w:cs="方正仿宋_GBK"/>
        </w:rPr>
        <w:t>）中普精钢产业园。中普精钢项目一期达产达效，加快中普二期建设进度，</w:t>
      </w:r>
      <w:r>
        <w:t xml:space="preserve"> 2023</w:t>
      </w:r>
      <w:r>
        <w:rPr>
          <w:rFonts w:hint="eastAsia" w:cs="方正仿宋_GBK"/>
        </w:rPr>
        <w:t>年开工建设并达产达效。</w:t>
      </w:r>
    </w:p>
    <w:p>
      <w:pPr>
        <w:pStyle w:val="25"/>
      </w:pPr>
      <w:r>
        <w:rPr>
          <w:rFonts w:hint="eastAsia" w:cs="方正仿宋_GBK"/>
        </w:rPr>
        <w:t>（四）推进集约节约用地</w:t>
      </w:r>
    </w:p>
    <w:p>
      <w:pPr>
        <w:pStyle w:val="25"/>
      </w:pPr>
      <w:r>
        <w:rPr>
          <w:rFonts w:hint="eastAsia" w:cs="方正仿宋_GBK"/>
        </w:rPr>
        <w:t>（</w:t>
      </w:r>
      <w:r>
        <w:t>1</w:t>
      </w:r>
      <w:r>
        <w:rPr>
          <w:rFonts w:hint="eastAsia" w:cs="方正仿宋_GBK"/>
        </w:rPr>
        <w:t>）全面清理闲置土地。持续开展</w:t>
      </w:r>
      <w:r>
        <w:t>“</w:t>
      </w:r>
      <w:r>
        <w:rPr>
          <w:rFonts w:hint="eastAsia" w:cs="方正仿宋_GBK"/>
        </w:rPr>
        <w:t>五未土地</w:t>
      </w:r>
      <w:r>
        <w:t>”</w:t>
      </w:r>
      <w:r>
        <w:rPr>
          <w:rFonts w:hint="eastAsia" w:cs="方正仿宋_GBK"/>
        </w:rPr>
        <w:t>清理专项行动，全面排查经济开发区批准范围内</w:t>
      </w:r>
      <w:r>
        <w:t>“</w:t>
      </w:r>
      <w:r>
        <w:rPr>
          <w:rFonts w:hint="eastAsia" w:cs="方正仿宋_GBK"/>
        </w:rPr>
        <w:t>五未土地</w:t>
      </w:r>
      <w:r>
        <w:t>”</w:t>
      </w:r>
      <w:r>
        <w:rPr>
          <w:rFonts w:hint="eastAsia" w:cs="方正仿宋_GBK"/>
        </w:rPr>
        <w:t>数量，摸清项目土地利用现状、数量、原因等底数，建立工作台账，严格依据有关法律法规，采取收回土地使用权、延长动工开发期限、调整土地用途和规划条件等方式予以处置，将收回的闲置土地全部纳入土地储备或重新安排使用。实现减存量、控增量，可持续发展。</w:t>
      </w:r>
    </w:p>
    <w:p>
      <w:pPr>
        <w:pStyle w:val="25"/>
      </w:pPr>
      <w:r>
        <w:rPr>
          <w:rFonts w:hint="eastAsia" w:cs="方正仿宋_GBK"/>
        </w:rPr>
        <w:t>（</w:t>
      </w:r>
      <w:r>
        <w:t>2</w:t>
      </w:r>
      <w:r>
        <w:rPr>
          <w:rFonts w:hint="eastAsia" w:cs="方正仿宋_GBK"/>
        </w:rPr>
        <w:t>）强化土地集约利用。引进一批资金密集、技术密集、用地集约、环境友好的高端高新项目。坚持</w:t>
      </w:r>
      <w:r>
        <w:t>“1234”</w:t>
      </w:r>
      <w:r>
        <w:rPr>
          <w:rFonts w:hint="eastAsia" w:cs="方正仿宋_GBK"/>
        </w:rPr>
        <w:t>标准，强化对经济开发区入区企业单位面积税收等</w:t>
      </w:r>
      <w:r>
        <w:t>“</w:t>
      </w:r>
      <w:r>
        <w:rPr>
          <w:rFonts w:hint="eastAsia" w:cs="方正仿宋_GBK"/>
        </w:rPr>
        <w:t>亩均产出</w:t>
      </w:r>
      <w:r>
        <w:t>”</w:t>
      </w:r>
      <w:r>
        <w:rPr>
          <w:rFonts w:hint="eastAsia" w:cs="方正仿宋_GBK"/>
        </w:rPr>
        <w:t>要求，完善和强化亩均效益考核管理机制，加大低效用地再开发力度。积极稳妥推进</w:t>
      </w:r>
      <w:r>
        <w:t>“</w:t>
      </w:r>
      <w:r>
        <w:rPr>
          <w:rFonts w:hint="eastAsia" w:cs="方正仿宋_GBK"/>
        </w:rPr>
        <w:t>僵瘫企业</w:t>
      </w:r>
      <w:r>
        <w:t>”</w:t>
      </w:r>
      <w:r>
        <w:rPr>
          <w:rFonts w:hint="eastAsia" w:cs="方正仿宋_GBK"/>
        </w:rPr>
        <w:t>平稳退出，利用存量用地发展新兴产业和现代服务业、建设创新创业平台等。探索推进</w:t>
      </w:r>
      <w:r>
        <w:t>“</w:t>
      </w:r>
      <w:r>
        <w:rPr>
          <w:rFonts w:hint="eastAsia" w:cs="方正仿宋_GBK"/>
        </w:rPr>
        <w:t>标准地</w:t>
      </w:r>
      <w:r>
        <w:t>+</w:t>
      </w:r>
      <w:r>
        <w:rPr>
          <w:rFonts w:hint="eastAsia" w:cs="方正仿宋_GBK"/>
        </w:rPr>
        <w:t>承诺制</w:t>
      </w:r>
      <w:r>
        <w:t>”</w:t>
      </w:r>
      <w:r>
        <w:rPr>
          <w:rFonts w:hint="eastAsia" w:cs="方正仿宋_GBK"/>
        </w:rPr>
        <w:t>，加快项目建设进度，提高土地使用效率；推进实际投资验收和优惠政策挂钩，有效提高土地利用效率。集中建设企业非生产性配套设施，提高基础设施共享程度和利用效率。鼓励建设使用多层标准厂房、下沉式厂房，统筹地上地下有序开发，实施</w:t>
      </w:r>
      <w:r>
        <w:t>“</w:t>
      </w:r>
      <w:r>
        <w:rPr>
          <w:rFonts w:hint="eastAsia" w:cs="方正仿宋_GBK"/>
        </w:rPr>
        <w:t>零增地</w:t>
      </w:r>
      <w:r>
        <w:t>”</w:t>
      </w:r>
      <w:r>
        <w:rPr>
          <w:rFonts w:hint="eastAsia" w:cs="方正仿宋_GBK"/>
        </w:rPr>
        <w:t>技术改造。</w:t>
      </w:r>
    </w:p>
    <w:p>
      <w:pPr>
        <w:pStyle w:val="25"/>
      </w:pPr>
      <w:r>
        <w:rPr>
          <w:rFonts w:hint="eastAsia" w:cs="方正仿宋_GBK"/>
        </w:rPr>
        <w:t>（五）提升科技创新能力</w:t>
      </w:r>
    </w:p>
    <w:p>
      <w:pPr>
        <w:pStyle w:val="25"/>
      </w:pPr>
      <w:r>
        <w:rPr>
          <w:rFonts w:hint="eastAsia" w:cs="方正仿宋_GBK"/>
        </w:rPr>
        <w:t>（</w:t>
      </w:r>
      <w:r>
        <w:t>1</w:t>
      </w:r>
      <w:r>
        <w:rPr>
          <w:rFonts w:hint="eastAsia" w:cs="方正仿宋_GBK"/>
        </w:rPr>
        <w:t>）培育壮大创新主体。强化企业创新主体作用，加快引进和培育高新技术企业和国家级科技型中小企业。到高新技术企业新增</w:t>
      </w:r>
      <w:r>
        <w:t>3</w:t>
      </w:r>
      <w:r>
        <w:rPr>
          <w:rFonts w:hint="eastAsia" w:cs="方正仿宋_GBK"/>
        </w:rPr>
        <w:t>家以上，国家级科技型中小企业新增</w:t>
      </w:r>
      <w:r>
        <w:t>17</w:t>
      </w:r>
      <w:r>
        <w:rPr>
          <w:rFonts w:hint="eastAsia" w:cs="方正仿宋_GBK"/>
        </w:rPr>
        <w:t>家以上。专精特新企业增加</w:t>
      </w:r>
      <w:r>
        <w:t>3</w:t>
      </w:r>
      <w:r>
        <w:rPr>
          <w:rFonts w:hint="eastAsia" w:cs="方正仿宋_GBK"/>
        </w:rPr>
        <w:t>家，科技小巨人企业新增</w:t>
      </w:r>
      <w:r>
        <w:t>1</w:t>
      </w:r>
      <w:r>
        <w:rPr>
          <w:rFonts w:hint="eastAsia" w:cs="方正仿宋_GBK"/>
        </w:rPr>
        <w:t>家。支持企业建立研发中心和积极申请专利，增强企业竞争力。</w:t>
      </w:r>
    </w:p>
    <w:p>
      <w:pPr>
        <w:pStyle w:val="25"/>
      </w:pPr>
      <w:r>
        <w:rPr>
          <w:rFonts w:hint="eastAsia" w:cs="方正仿宋_GBK"/>
        </w:rPr>
        <w:t>（</w:t>
      </w:r>
      <w:r>
        <w:t>2</w:t>
      </w:r>
      <w:r>
        <w:rPr>
          <w:rFonts w:hint="eastAsia" w:cs="方正仿宋_GBK"/>
        </w:rPr>
        <w:t>）建设科技创新平台。实施</w:t>
      </w:r>
      <w:r>
        <w:t>“</w:t>
      </w:r>
      <w:r>
        <w:rPr>
          <w:rFonts w:hint="eastAsia" w:cs="方正仿宋_GBK"/>
        </w:rPr>
        <w:t>创新机构倍增计划</w:t>
      </w:r>
      <w:r>
        <w:t>”</w:t>
      </w:r>
      <w:r>
        <w:rPr>
          <w:rFonts w:hint="eastAsia" w:cs="方正仿宋_GBK"/>
        </w:rPr>
        <w:t>，依托龙头企业，建设一批产业共性技术创新平台，到</w:t>
      </w:r>
      <w:r>
        <w:t>2023</w:t>
      </w:r>
      <w:r>
        <w:rPr>
          <w:rFonts w:hint="eastAsia" w:cs="方正仿宋_GBK"/>
        </w:rPr>
        <w:t>年新增省级以上创新平台</w:t>
      </w:r>
      <w:r>
        <w:t>1</w:t>
      </w:r>
      <w:r>
        <w:rPr>
          <w:rFonts w:hint="eastAsia" w:cs="方正仿宋_GBK"/>
        </w:rPr>
        <w:t>家以上。支持经济开发区企业与高等学校、科研院所联合开展技术攻关、联合申报重点科研项目、联合推动科技成果转化。</w:t>
      </w:r>
    </w:p>
    <w:p>
      <w:pPr>
        <w:pStyle w:val="25"/>
      </w:pPr>
      <w:r>
        <w:rPr>
          <w:rFonts w:hint="eastAsia" w:cs="方正仿宋_GBK"/>
        </w:rPr>
        <w:t>（</w:t>
      </w:r>
      <w:r>
        <w:t>3</w:t>
      </w:r>
      <w:r>
        <w:rPr>
          <w:rFonts w:hint="eastAsia" w:cs="方正仿宋_GBK"/>
        </w:rPr>
        <w:t>）引进培养创新型人才。根据创新和产业发展需求，着力引进海内外高层次专家团队，为各类高端人才提供定制化服务，营造良好的人才发展环境。着力培养应用型高层次人才团队，聚焦重点产业集群，培养工程技术、科技类应用型紧缺专业人才团队，进行生产工艺升级和新产品研发，提升产品质量档次和产业水平。加强</w:t>
      </w:r>
      <w:r>
        <w:t>“</w:t>
      </w:r>
      <w:r>
        <w:rPr>
          <w:rFonts w:hint="eastAsia" w:cs="方正仿宋_GBK"/>
        </w:rPr>
        <w:t>区校合作</w:t>
      </w:r>
      <w:r>
        <w:t>”</w:t>
      </w:r>
      <w:r>
        <w:rPr>
          <w:rFonts w:hint="eastAsia" w:cs="方正仿宋_GBK"/>
        </w:rPr>
        <w:t>，培养适应经济开发区产业发展需要的高技术技能人才、实用型技术人才和工程师后备人才。</w:t>
      </w:r>
    </w:p>
    <w:p>
      <w:pPr>
        <w:pStyle w:val="25"/>
      </w:pPr>
      <w:r>
        <w:rPr>
          <w:rFonts w:hint="eastAsia" w:cs="方正仿宋_GBK"/>
        </w:rPr>
        <w:t>（</w:t>
      </w:r>
      <w:r>
        <w:t>4</w:t>
      </w:r>
      <w:r>
        <w:rPr>
          <w:rFonts w:hint="eastAsia" w:cs="方正仿宋_GBK"/>
        </w:rPr>
        <w:t>）加大科研扶持力度</w:t>
      </w:r>
      <w:r>
        <w:t xml:space="preserve"> </w:t>
      </w:r>
      <w:r>
        <w:rPr>
          <w:rFonts w:hint="eastAsia" w:cs="方正仿宋_GBK"/>
        </w:rPr>
        <w:t>不断增加县级研发资金投入力度，并向经济开发区企业项目倾斜，助力企业开展技术研究，攻克一批</w:t>
      </w:r>
      <w:r>
        <w:t>“</w:t>
      </w:r>
      <w:r>
        <w:rPr>
          <w:rFonts w:hint="eastAsia" w:cs="方正仿宋_GBK"/>
        </w:rPr>
        <w:t>卡脖子、杀手锏</w:t>
      </w:r>
      <w:r>
        <w:t>”</w:t>
      </w:r>
      <w:r>
        <w:rPr>
          <w:rFonts w:hint="eastAsia" w:cs="方正仿宋_GBK"/>
        </w:rPr>
        <w:t>技术难关。加强与科研院所和高等院校的合作，加快科技成果转化。利用好高新技术企业科技孵化园，实施企业孵化器和众创空间倍增计划，加强专业化孵化器和众创空间建设，到</w:t>
      </w:r>
      <w:r>
        <w:t>2023</w:t>
      </w:r>
      <w:r>
        <w:rPr>
          <w:rFonts w:hint="eastAsia" w:cs="方正仿宋_GBK"/>
        </w:rPr>
        <w:t>年，新增省级孵化器或众创空间</w:t>
      </w:r>
      <w:r>
        <w:t>1</w:t>
      </w:r>
      <w:r>
        <w:rPr>
          <w:rFonts w:hint="eastAsia" w:cs="方正仿宋_GBK"/>
        </w:rPr>
        <w:t>家。高限完成经济开发区创新能力建设的各项任务指标。</w:t>
      </w:r>
    </w:p>
    <w:p>
      <w:pPr>
        <w:pStyle w:val="25"/>
      </w:pPr>
      <w:r>
        <w:rPr>
          <w:rFonts w:hint="eastAsia" w:cs="方正仿宋_GBK"/>
        </w:rPr>
        <w:t>（六）优化营商投资环境</w:t>
      </w:r>
    </w:p>
    <w:p>
      <w:pPr>
        <w:pStyle w:val="25"/>
      </w:pPr>
      <w:r>
        <w:rPr>
          <w:rFonts w:hint="eastAsia" w:cs="方正仿宋_GBK"/>
        </w:rPr>
        <w:t>（</w:t>
      </w:r>
      <w:r>
        <w:t>1</w:t>
      </w:r>
      <w:r>
        <w:rPr>
          <w:rFonts w:hint="eastAsia" w:cs="方正仿宋_GBK"/>
        </w:rPr>
        <w:t>）深化行政审批制度改革。全面贯彻落实省、市、县优化营商环境的重要决策部署，在政务服务大厅设立</w:t>
      </w:r>
      <w:r>
        <w:t>“</w:t>
      </w:r>
      <w:r>
        <w:rPr>
          <w:rFonts w:hint="eastAsia" w:cs="方正仿宋_GBK"/>
        </w:rPr>
        <w:t>经济开发区重点项目审批专区</w:t>
      </w:r>
      <w:r>
        <w:t>”</w:t>
      </w:r>
      <w:r>
        <w:rPr>
          <w:rFonts w:hint="eastAsia" w:cs="方正仿宋_GBK"/>
        </w:rPr>
        <w:t>，开辟绿色通道，实行容缺受理，主动帮办和服务经济开发区重点项目，着力打造</w:t>
      </w:r>
      <w:r>
        <w:t>“</w:t>
      </w:r>
      <w:r>
        <w:rPr>
          <w:rFonts w:hint="eastAsia" w:cs="方正仿宋_GBK"/>
        </w:rPr>
        <w:t>一站式受理、一条龙服务</w:t>
      </w:r>
      <w:r>
        <w:t xml:space="preserve"> ”</w:t>
      </w:r>
      <w:r>
        <w:rPr>
          <w:rFonts w:hint="eastAsia" w:cs="方正仿宋_GBK"/>
        </w:rPr>
        <w:t>的快速审批模式，为经济开发区重点项目提供企业注册、立项、环评和人防审批服务，同时协调相关部门提供水、电、气、通讯安装等全生命周期服务。</w:t>
      </w:r>
    </w:p>
    <w:p>
      <w:pPr>
        <w:pStyle w:val="25"/>
      </w:pPr>
      <w:r>
        <w:rPr>
          <w:rFonts w:hint="eastAsia" w:cs="方正仿宋_GBK"/>
        </w:rPr>
        <w:t>（</w:t>
      </w:r>
      <w:r>
        <w:t>2</w:t>
      </w:r>
      <w:r>
        <w:rPr>
          <w:rFonts w:hint="eastAsia" w:cs="方正仿宋_GBK"/>
        </w:rPr>
        <w:t>）实施营商环境提升行动。在经济开发区硬环境基本达到</w:t>
      </w:r>
      <w:r>
        <w:t>“</w:t>
      </w:r>
      <w:r>
        <w:rPr>
          <w:rFonts w:hint="eastAsia" w:cs="方正仿宋_GBK"/>
        </w:rPr>
        <w:t>九通一平</w:t>
      </w:r>
      <w:r>
        <w:t>”</w:t>
      </w:r>
      <w:r>
        <w:rPr>
          <w:rFonts w:hint="eastAsia" w:cs="方正仿宋_GBK"/>
        </w:rPr>
        <w:t>的基础上，力争到</w:t>
      </w:r>
      <w:r>
        <w:t>2023</w:t>
      </w:r>
      <w:r>
        <w:rPr>
          <w:rFonts w:hint="eastAsia" w:cs="方正仿宋_GBK"/>
        </w:rPr>
        <w:t>年实现</w:t>
      </w:r>
      <w:r>
        <w:t>“</w:t>
      </w:r>
      <w:r>
        <w:rPr>
          <w:rFonts w:hint="eastAsia" w:cs="方正仿宋_GBK"/>
        </w:rPr>
        <w:t>新九通一平</w:t>
      </w:r>
      <w:r>
        <w:t>”</w:t>
      </w:r>
      <w:r>
        <w:rPr>
          <w:rFonts w:hint="eastAsia" w:cs="方正仿宋_GBK"/>
        </w:rPr>
        <w:t>，加强园区配套设施建设，打造宜居宜业的投资和创业环境。进一步压减行政审批环节，缩短审批时限，加快行政审批进度。充分发挥科技孵化基地作用，为研发设计、技术成果转移、科研机构落地、科研仪器设备共享、科技咨询服务、创业辅导、知识产权服务等提供发展平台。加快推进现代物流业和电子商务，促进企业产品流通。加快推进智慧园区平台建设，对园区企业的环境监控、能耗管理、安全监控、消防联网、安全生产监督、信息发布等事项实行有效对接，提高园区管理水平，打造安全、智能、高效、物联、节能的智慧型产业园区。</w:t>
      </w:r>
    </w:p>
    <w:p>
      <w:pPr>
        <w:pStyle w:val="25"/>
      </w:pPr>
      <w:r>
        <w:rPr>
          <w:rFonts w:hint="eastAsia" w:cs="方正仿宋_GBK"/>
        </w:rPr>
        <w:t>（</w:t>
      </w:r>
      <w:r>
        <w:t>3</w:t>
      </w:r>
      <w:r>
        <w:rPr>
          <w:rFonts w:hint="eastAsia" w:cs="方正仿宋_GBK"/>
        </w:rPr>
        <w:t>）加强投融资平台建设。加快推进魏县开发投资有限公司的规范化运营，进一步拓宽业务、充实实力，形成平台实体化、运作专业化、融资多元化的市场主体，不断创新投融资模式，大力度支持企业发展，形成</w:t>
      </w:r>
      <w:r>
        <w:t>“</w:t>
      </w:r>
      <w:r>
        <w:rPr>
          <w:rFonts w:hint="eastAsia" w:cs="方正仿宋_GBK"/>
        </w:rPr>
        <w:t>政府产业资金（基金）引导撬动社会资本</w:t>
      </w:r>
      <w:r>
        <w:t>”</w:t>
      </w:r>
      <w:r>
        <w:rPr>
          <w:rFonts w:hint="eastAsia" w:cs="方正仿宋_GBK"/>
        </w:rPr>
        <w:t>的良好模式。</w:t>
      </w:r>
    </w:p>
    <w:p>
      <w:pPr>
        <w:ind w:firstLine="640"/>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b/>
          <w:bCs/>
          <w:color w:val="000000"/>
          <w:sz w:val="32"/>
          <w:szCs w:val="32"/>
        </w:rPr>
        <w:t>第二部分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rPr>
        <w:t>专项资金绩效目标</w:t>
      </w:r>
    </w:p>
    <w:p>
      <w:pPr>
        <w:ind w:firstLine="640"/>
        <w:rPr>
          <w:rFonts w:hint="eastAsia" w:ascii="方正楷体_GBK" w:hAnsi="方正楷体_GBK" w:eastAsia="方正楷体_GBK" w:cs="方正楷体_GBK"/>
          <w:b/>
          <w:bCs/>
          <w:color w:val="000000"/>
          <w:sz w:val="32"/>
          <w:szCs w:val="32"/>
        </w:rPr>
      </w:pPr>
    </w:p>
    <w:p>
      <w:pPr>
        <w:ind w:firstLine="640"/>
        <w:rPr>
          <w:rFonts w:hint="eastAsia" w:ascii="方正楷体_GBK" w:hAnsi="方正楷体_GBK" w:cs="方正楷体_GBK" w:eastAsiaTheme="minorEastAsia"/>
          <w:color w:val="000000"/>
          <w:sz w:val="28"/>
          <w:szCs w:val="28"/>
          <w:lang w:eastAsia="zh-CN"/>
        </w:rPr>
      </w:pPr>
    </w:p>
    <w:p>
      <w:pPr>
        <w:ind w:firstLine="640"/>
        <w:rPr>
          <w:rFonts w:hint="eastAsia" w:ascii="方正楷体_GBK" w:hAnsi="方正楷体_GBK" w:eastAsia="方正楷体_GBK" w:cs="方正楷体_GBK"/>
          <w:b/>
          <w:bCs/>
          <w:color w:val="000000"/>
          <w:sz w:val="32"/>
          <w:szCs w:val="32"/>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color w:val="000000"/>
          <w:sz w:val="28"/>
          <w:szCs w:val="28"/>
          <w:lang w:eastAsia="zh-CN"/>
        </w:rPr>
        <w:t>本年度未安排专项资金</w:t>
      </w:r>
    </w:p>
    <w:p>
      <w:p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bCs/>
          <w:color w:val="000000"/>
          <w:sz w:val="32"/>
          <w:szCs w:val="32"/>
        </w:rPr>
        <w:t>第三部分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rPr>
        <w:t>预算项目绩效目标</w:t>
      </w: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w:t>
      </w:r>
      <w:r>
        <w:rPr>
          <w:rFonts w:ascii="方正仿宋_GBK" w:hAnsi="方正仿宋_GBK" w:eastAsia="方正仿宋_GBK" w:cs="方正仿宋_GBK"/>
          <w:b/>
          <w:bCs/>
          <w:color w:val="000000"/>
          <w:sz w:val="28"/>
          <w:szCs w:val="28"/>
        </w:rPr>
        <w:t>2023</w:t>
      </w:r>
      <w:r>
        <w:rPr>
          <w:rFonts w:hint="eastAsia" w:ascii="方正仿宋_GBK" w:hAnsi="方正仿宋_GBK" w:eastAsia="方正仿宋_GBK" w:cs="方正仿宋_GBK"/>
          <w:b/>
          <w:bCs/>
          <w:color w:val="000000"/>
          <w:sz w:val="28"/>
          <w:szCs w:val="28"/>
        </w:rPr>
        <w:t>年经济开发区财政体制改革补助绩效目标表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创造良好的招商环境、助推魏县经济发展，年度开展外出招商</w:t>
            </w:r>
            <w:r>
              <w:t>12</w:t>
            </w:r>
            <w:r>
              <w:rPr>
                <w:rFonts w:hint="eastAsia"/>
              </w:rPr>
              <w:t>次以上，优质项目占比</w:t>
            </w:r>
            <w:r>
              <w:t>70%</w:t>
            </w:r>
            <w:r>
              <w:rPr>
                <w:rFonts w:hint="eastAsia"/>
              </w:rPr>
              <w:t>以上。</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招商活动开展次数</w:t>
            </w:r>
          </w:p>
        </w:tc>
        <w:tc>
          <w:tcPr>
            <w:tcW w:w="2835" w:type="dxa"/>
            <w:vAlign w:val="center"/>
          </w:tcPr>
          <w:p>
            <w:pPr>
              <w:pStyle w:val="14"/>
              <w:rPr>
                <w:rFonts w:cs="Times New Roman"/>
              </w:rPr>
            </w:pPr>
            <w:r>
              <w:rPr>
                <w:rFonts w:hint="eastAsia"/>
              </w:rPr>
              <w:t>外出招商活动开展次数</w:t>
            </w:r>
          </w:p>
        </w:tc>
        <w:tc>
          <w:tcPr>
            <w:tcW w:w="2551" w:type="dxa"/>
            <w:vAlign w:val="center"/>
          </w:tcPr>
          <w:p>
            <w:pPr>
              <w:pStyle w:val="14"/>
              <w:rPr>
                <w:rFonts w:cs="Times New Roman"/>
              </w:rPr>
            </w:pPr>
            <w:r>
              <w:rPr>
                <w:rFonts w:hint="eastAsia"/>
              </w:rPr>
              <w:t>≥</w:t>
            </w:r>
            <w:r>
              <w:t>12</w:t>
            </w:r>
            <w:r>
              <w:rPr>
                <w:rFonts w:hint="eastAsia"/>
              </w:rPr>
              <w:t>次</w:t>
            </w:r>
          </w:p>
        </w:tc>
        <w:tc>
          <w:tcPr>
            <w:tcW w:w="2268" w:type="dxa"/>
            <w:vAlign w:val="center"/>
          </w:tcPr>
          <w:p>
            <w:pPr>
              <w:pStyle w:val="14"/>
              <w:rPr>
                <w:rFonts w:cs="Times New Roman"/>
              </w:rPr>
            </w:pPr>
            <w:r>
              <w:rPr>
                <w:rFonts w:hint="eastAsia"/>
              </w:rPr>
              <w:t>招商引资工作考核结果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项目合格率</w:t>
            </w:r>
          </w:p>
        </w:tc>
        <w:tc>
          <w:tcPr>
            <w:tcW w:w="2835" w:type="dxa"/>
            <w:vAlign w:val="center"/>
          </w:tcPr>
          <w:p>
            <w:pPr>
              <w:pStyle w:val="14"/>
              <w:rPr>
                <w:rFonts w:cs="Times New Roman"/>
              </w:rPr>
            </w:pPr>
            <w:r>
              <w:rPr>
                <w:rFonts w:hint="eastAsia"/>
              </w:rPr>
              <w:t>招商落地项目占总量的比值</w:t>
            </w:r>
          </w:p>
        </w:tc>
        <w:tc>
          <w:tcPr>
            <w:tcW w:w="2551" w:type="dxa"/>
            <w:vAlign w:val="center"/>
          </w:tcPr>
          <w:p>
            <w:pPr>
              <w:pStyle w:val="14"/>
            </w:pPr>
            <w:r>
              <w:rPr>
                <w:rFonts w:hint="eastAsia"/>
              </w:rPr>
              <w:t>≥</w:t>
            </w:r>
            <w:r>
              <w:t>70%</w:t>
            </w:r>
          </w:p>
        </w:tc>
        <w:tc>
          <w:tcPr>
            <w:tcW w:w="2268" w:type="dxa"/>
            <w:vAlign w:val="center"/>
          </w:tcPr>
          <w:p>
            <w:pPr>
              <w:pStyle w:val="14"/>
              <w:rPr>
                <w:rFonts w:cs="Times New Roman"/>
              </w:rPr>
            </w:pPr>
            <w:r>
              <w:rPr>
                <w:rFonts w:hint="eastAsia"/>
              </w:rPr>
              <w:t>招商引资工作考核结果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年度招商工作完成度</w:t>
            </w:r>
          </w:p>
        </w:tc>
        <w:tc>
          <w:tcPr>
            <w:tcW w:w="2835" w:type="dxa"/>
            <w:vAlign w:val="center"/>
          </w:tcPr>
          <w:p>
            <w:pPr>
              <w:pStyle w:val="14"/>
              <w:rPr>
                <w:rFonts w:cs="Times New Roman"/>
              </w:rPr>
            </w:pPr>
            <w:r>
              <w:rPr>
                <w:rFonts w:hint="eastAsia"/>
              </w:rPr>
              <w:t>招商任务是否在规定的时间内按时完成</w:t>
            </w:r>
          </w:p>
        </w:tc>
        <w:tc>
          <w:tcPr>
            <w:tcW w:w="2551" w:type="dxa"/>
            <w:vAlign w:val="center"/>
          </w:tcPr>
          <w:p>
            <w:pPr>
              <w:pStyle w:val="14"/>
              <w:rPr>
                <w:rFonts w:cs="Times New Roman"/>
              </w:rPr>
            </w:pPr>
            <w:r>
              <w:t>23</w:t>
            </w:r>
            <w:r>
              <w:rPr>
                <w:rFonts w:hint="eastAsia"/>
              </w:rPr>
              <w:t>年</w:t>
            </w:r>
            <w:r>
              <w:t>12</w:t>
            </w:r>
            <w:r>
              <w:rPr>
                <w:rFonts w:hint="eastAsia"/>
              </w:rPr>
              <w:t>月底</w:t>
            </w:r>
          </w:p>
        </w:tc>
        <w:tc>
          <w:tcPr>
            <w:tcW w:w="2268" w:type="dxa"/>
            <w:vAlign w:val="center"/>
          </w:tcPr>
          <w:p>
            <w:pPr>
              <w:pStyle w:val="14"/>
              <w:rPr>
                <w:rFonts w:cs="Times New Roman"/>
              </w:rPr>
            </w:pPr>
            <w:r>
              <w:rPr>
                <w:rFonts w:hint="eastAsia"/>
              </w:rPr>
              <w:t>招商引资工作考核结果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成本控制</w:t>
            </w:r>
          </w:p>
        </w:tc>
        <w:tc>
          <w:tcPr>
            <w:tcW w:w="2835" w:type="dxa"/>
            <w:vAlign w:val="center"/>
          </w:tcPr>
          <w:p>
            <w:pPr>
              <w:pStyle w:val="14"/>
              <w:rPr>
                <w:rFonts w:cs="Times New Roman"/>
              </w:rPr>
            </w:pPr>
            <w:r>
              <w:rPr>
                <w:rFonts w:hint="eastAsia"/>
              </w:rPr>
              <w:t>成本控制</w:t>
            </w:r>
          </w:p>
        </w:tc>
        <w:tc>
          <w:tcPr>
            <w:tcW w:w="2551" w:type="dxa"/>
            <w:vAlign w:val="center"/>
          </w:tcPr>
          <w:p>
            <w:pPr>
              <w:pStyle w:val="14"/>
              <w:rPr>
                <w:rFonts w:cs="Times New Roman"/>
              </w:rPr>
            </w:pPr>
            <w:r>
              <w:rPr>
                <w:rFonts w:hint="eastAsia"/>
              </w:rPr>
              <w:t>≤</w:t>
            </w:r>
            <w:r>
              <w:t>550</w:t>
            </w:r>
            <w:r>
              <w:rPr>
                <w:rFonts w:hint="eastAsia"/>
              </w:rPr>
              <w:t>万元</w:t>
            </w:r>
          </w:p>
        </w:tc>
        <w:tc>
          <w:tcPr>
            <w:tcW w:w="2268" w:type="dxa"/>
            <w:vAlign w:val="center"/>
          </w:tcPr>
          <w:p>
            <w:pPr>
              <w:pStyle w:val="14"/>
              <w:rPr>
                <w:rFonts w:cs="Times New Roman"/>
              </w:rPr>
            </w:pPr>
            <w:r>
              <w:rPr>
                <w:rFonts w:hint="eastAsia"/>
              </w:rP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招商项目完成率</w:t>
            </w:r>
          </w:p>
        </w:tc>
        <w:tc>
          <w:tcPr>
            <w:tcW w:w="2835" w:type="dxa"/>
            <w:vAlign w:val="center"/>
          </w:tcPr>
          <w:p>
            <w:pPr>
              <w:pStyle w:val="14"/>
              <w:rPr>
                <w:rFonts w:cs="Times New Roman"/>
              </w:rPr>
            </w:pPr>
            <w:r>
              <w:rPr>
                <w:rFonts w:hint="eastAsia"/>
              </w:rPr>
              <w:t>预定招商项目落地情况，完成率（政府任务目标）</w:t>
            </w:r>
          </w:p>
        </w:tc>
        <w:tc>
          <w:tcPr>
            <w:tcW w:w="2551" w:type="dxa"/>
            <w:vAlign w:val="center"/>
          </w:tcPr>
          <w:p>
            <w:pPr>
              <w:pStyle w:val="14"/>
            </w:pPr>
            <w:r>
              <w:rPr>
                <w:rFonts w:hint="eastAsia"/>
              </w:rPr>
              <w:t>≥</w:t>
            </w:r>
            <w:r>
              <w:t>95%</w:t>
            </w:r>
          </w:p>
        </w:tc>
        <w:tc>
          <w:tcPr>
            <w:tcW w:w="2268" w:type="dxa"/>
            <w:vAlign w:val="center"/>
          </w:tcPr>
          <w:p>
            <w:pPr>
              <w:pStyle w:val="14"/>
              <w:rPr>
                <w:rFonts w:cs="Times New Roman"/>
              </w:rPr>
            </w:pPr>
            <w:r>
              <w:rPr>
                <w:rFonts w:hint="eastAsia"/>
              </w:rPr>
              <w:t>政府责任目标和年底考核情况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项目对社会效益提升比</w:t>
            </w:r>
          </w:p>
        </w:tc>
        <w:tc>
          <w:tcPr>
            <w:tcW w:w="2835" w:type="dxa"/>
            <w:vAlign w:val="center"/>
          </w:tcPr>
          <w:p>
            <w:pPr>
              <w:pStyle w:val="14"/>
              <w:rPr>
                <w:rFonts w:cs="Times New Roman"/>
              </w:rPr>
            </w:pPr>
            <w:r>
              <w:rPr>
                <w:rFonts w:hint="eastAsia"/>
              </w:rPr>
              <w:t>招商引资的项目对社会效益（税收）增值率</w:t>
            </w:r>
          </w:p>
        </w:tc>
        <w:tc>
          <w:tcPr>
            <w:tcW w:w="2551" w:type="dxa"/>
            <w:vAlign w:val="center"/>
          </w:tcPr>
          <w:p>
            <w:pPr>
              <w:pStyle w:val="14"/>
            </w:pPr>
            <w:r>
              <w:rPr>
                <w:rFonts w:hint="eastAsia"/>
              </w:rPr>
              <w:t>≥</w:t>
            </w:r>
            <w:r>
              <w:t>6%</w:t>
            </w:r>
          </w:p>
        </w:tc>
        <w:tc>
          <w:tcPr>
            <w:tcW w:w="2268" w:type="dxa"/>
            <w:vAlign w:val="center"/>
          </w:tcPr>
          <w:p>
            <w:pPr>
              <w:pStyle w:val="14"/>
              <w:rPr>
                <w:rFonts w:cs="Times New Roman"/>
              </w:rPr>
            </w:pPr>
            <w:r>
              <w:rPr>
                <w:rFonts w:hint="eastAsia"/>
              </w:rPr>
              <w:t>开发区企业年度税收总额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可持续影响指标</w:t>
            </w:r>
          </w:p>
        </w:tc>
        <w:tc>
          <w:tcPr>
            <w:tcW w:w="2835" w:type="dxa"/>
            <w:vAlign w:val="center"/>
          </w:tcPr>
          <w:p>
            <w:pPr>
              <w:pStyle w:val="14"/>
              <w:rPr>
                <w:rFonts w:cs="Times New Roman"/>
              </w:rPr>
            </w:pPr>
            <w:r>
              <w:rPr>
                <w:rFonts w:hint="eastAsia"/>
              </w:rPr>
              <w:t>项目持续发挥作用</w:t>
            </w:r>
          </w:p>
        </w:tc>
        <w:tc>
          <w:tcPr>
            <w:tcW w:w="2835" w:type="dxa"/>
            <w:vAlign w:val="center"/>
          </w:tcPr>
          <w:p>
            <w:pPr>
              <w:pStyle w:val="14"/>
              <w:rPr>
                <w:rFonts w:cs="Times New Roman"/>
              </w:rPr>
            </w:pPr>
            <w:r>
              <w:rPr>
                <w:rFonts w:hint="eastAsia"/>
              </w:rPr>
              <w:t>吸引上下游企业、增加周边务工岗位等持续影响</w:t>
            </w:r>
          </w:p>
        </w:tc>
        <w:tc>
          <w:tcPr>
            <w:tcW w:w="2551" w:type="dxa"/>
            <w:vAlign w:val="center"/>
          </w:tcPr>
          <w:p>
            <w:pPr>
              <w:pStyle w:val="14"/>
              <w:rPr>
                <w:rFonts w:cs="Times New Roman"/>
              </w:rPr>
            </w:pPr>
            <w:r>
              <w:rPr>
                <w:rFonts w:hint="eastAsia"/>
              </w:rPr>
              <w:t>持续影响周边务工、吸引项目上下游企业等发展</w:t>
            </w:r>
          </w:p>
        </w:tc>
        <w:tc>
          <w:tcPr>
            <w:tcW w:w="2268" w:type="dxa"/>
            <w:vAlign w:val="center"/>
          </w:tcPr>
          <w:p>
            <w:pPr>
              <w:pStyle w:val="14"/>
              <w:rPr>
                <w:rFonts w:cs="Times New Roman"/>
              </w:rPr>
            </w:pPr>
            <w:r>
              <w:rPr>
                <w:rFonts w:hint="eastAsia"/>
              </w:rPr>
              <w:t>招商引资工作考核结果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服务对象满意度</w:t>
            </w:r>
          </w:p>
        </w:tc>
        <w:tc>
          <w:tcPr>
            <w:tcW w:w="2835" w:type="dxa"/>
            <w:vAlign w:val="center"/>
          </w:tcPr>
          <w:p>
            <w:pPr>
              <w:pStyle w:val="14"/>
              <w:rPr>
                <w:rFonts w:cs="Times New Roman"/>
              </w:rPr>
            </w:pPr>
            <w:r>
              <w:rPr>
                <w:rFonts w:hint="eastAsia"/>
              </w:rPr>
              <w:t>服务对象满意度</w:t>
            </w:r>
          </w:p>
        </w:tc>
        <w:tc>
          <w:tcPr>
            <w:tcW w:w="2551" w:type="dxa"/>
            <w:vAlign w:val="center"/>
          </w:tcPr>
          <w:p>
            <w:pPr>
              <w:pStyle w:val="14"/>
            </w:pPr>
            <w:r>
              <w:rPr>
                <w:rFonts w:hint="eastAsia"/>
              </w:rPr>
              <w:t>≥</w:t>
            </w:r>
            <w:r>
              <w:t>95%</w:t>
            </w:r>
          </w:p>
        </w:tc>
        <w:tc>
          <w:tcPr>
            <w:tcW w:w="2268" w:type="dxa"/>
            <w:vAlign w:val="center"/>
          </w:tcPr>
          <w:p>
            <w:pPr>
              <w:pStyle w:val="14"/>
              <w:rPr>
                <w:rFonts w:cs="Times New Roman"/>
              </w:rPr>
            </w:pPr>
            <w:r>
              <w:rPr>
                <w:rFonts w:hint="eastAsia"/>
              </w:rPr>
              <w:t>年度调查问卷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、经济开发区亩产效益考核奖励金绩效目标表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建立开发区企业能进能出机制，使经济开发区步入良性发展轨道，更好地推动我县经济开发区转型升级</w:t>
            </w:r>
            <w:r>
              <w:rPr>
                <w:rFonts w:cs="Times New Roman"/>
              </w:rPr>
              <w:tab/>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全年考核次数</w:t>
            </w:r>
          </w:p>
        </w:tc>
        <w:tc>
          <w:tcPr>
            <w:tcW w:w="2835" w:type="dxa"/>
            <w:vAlign w:val="center"/>
          </w:tcPr>
          <w:p>
            <w:pPr>
              <w:pStyle w:val="14"/>
              <w:rPr>
                <w:rFonts w:cs="Times New Roman"/>
              </w:rPr>
            </w:pPr>
            <w:r>
              <w:rPr>
                <w:rFonts w:hint="eastAsia"/>
              </w:rPr>
              <w:t>全年考核次数</w:t>
            </w:r>
          </w:p>
        </w:tc>
        <w:tc>
          <w:tcPr>
            <w:tcW w:w="2551" w:type="dxa"/>
            <w:vAlign w:val="center"/>
          </w:tcPr>
          <w:p>
            <w:pPr>
              <w:pStyle w:val="14"/>
              <w:rPr>
                <w:rFonts w:cs="Times New Roman"/>
              </w:rPr>
            </w:pPr>
            <w:r>
              <w:rPr>
                <w:rFonts w:hint="eastAsia"/>
              </w:rPr>
              <w:t>≥</w:t>
            </w:r>
            <w:r>
              <w:t>1</w:t>
            </w:r>
            <w:r>
              <w:rPr>
                <w:rFonts w:hint="eastAsia"/>
              </w:rPr>
              <w:t>次</w:t>
            </w:r>
          </w:p>
        </w:tc>
        <w:tc>
          <w:tcPr>
            <w:tcW w:w="2268" w:type="dxa"/>
            <w:vAlign w:val="center"/>
          </w:tcPr>
          <w:p>
            <w:pPr>
              <w:pStyle w:val="14"/>
              <w:rPr>
                <w:rFonts w:cs="Times New Roman"/>
              </w:rPr>
            </w:pPr>
            <w:r>
              <w:rPr>
                <w:rFonts w:hint="eastAsia"/>
              </w:rP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年度考核覆盖范围</w:t>
            </w:r>
          </w:p>
        </w:tc>
        <w:tc>
          <w:tcPr>
            <w:tcW w:w="2835" w:type="dxa"/>
            <w:vAlign w:val="center"/>
          </w:tcPr>
          <w:p>
            <w:pPr>
              <w:pStyle w:val="14"/>
              <w:rPr>
                <w:rFonts w:cs="Times New Roman"/>
              </w:rPr>
            </w:pPr>
            <w:r>
              <w:rPr>
                <w:rFonts w:hint="eastAsia"/>
              </w:rPr>
              <w:t>年度考核覆盖范围</w:t>
            </w:r>
          </w:p>
        </w:tc>
        <w:tc>
          <w:tcPr>
            <w:tcW w:w="2551" w:type="dxa"/>
            <w:vAlign w:val="center"/>
          </w:tcPr>
          <w:p>
            <w:pPr>
              <w:pStyle w:val="14"/>
            </w:pPr>
            <w:r>
              <w:rPr>
                <w:rFonts w:hint="eastAsia"/>
              </w:rPr>
              <w:t>≥</w:t>
            </w:r>
            <w:r>
              <w:t>98%</w:t>
            </w:r>
          </w:p>
        </w:tc>
        <w:tc>
          <w:tcPr>
            <w:tcW w:w="2268" w:type="dxa"/>
            <w:vAlign w:val="center"/>
          </w:tcPr>
          <w:p>
            <w:pPr>
              <w:pStyle w:val="14"/>
              <w:rPr>
                <w:rFonts w:cs="Times New Roman"/>
              </w:rPr>
            </w:pPr>
            <w:r>
              <w:rPr>
                <w:rFonts w:hint="eastAsia"/>
              </w:rP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组织考核，提交考核结果</w:t>
            </w:r>
          </w:p>
        </w:tc>
        <w:tc>
          <w:tcPr>
            <w:tcW w:w="2835" w:type="dxa"/>
            <w:vAlign w:val="center"/>
          </w:tcPr>
          <w:p>
            <w:pPr>
              <w:pStyle w:val="14"/>
              <w:rPr>
                <w:rFonts w:cs="Times New Roman"/>
              </w:rPr>
            </w:pPr>
            <w:r>
              <w:rPr>
                <w:rFonts w:hint="eastAsia"/>
              </w:rPr>
              <w:t>组织考核，按时提交考核结果</w:t>
            </w:r>
          </w:p>
        </w:tc>
        <w:tc>
          <w:tcPr>
            <w:tcW w:w="2551" w:type="dxa"/>
            <w:vAlign w:val="center"/>
          </w:tcPr>
          <w:p>
            <w:pPr>
              <w:pStyle w:val="14"/>
              <w:rPr>
                <w:rFonts w:cs="Times New Roman"/>
              </w:rPr>
            </w:pPr>
            <w:r>
              <w:t>23</w:t>
            </w:r>
            <w:r>
              <w:rPr>
                <w:rFonts w:hint="eastAsia"/>
              </w:rPr>
              <w:t>年</w:t>
            </w:r>
            <w:r>
              <w:t>12</w:t>
            </w:r>
            <w:r>
              <w:rPr>
                <w:rFonts w:hint="eastAsia"/>
              </w:rPr>
              <w:t>月底</w:t>
            </w:r>
          </w:p>
        </w:tc>
        <w:tc>
          <w:tcPr>
            <w:tcW w:w="2268" w:type="dxa"/>
            <w:vAlign w:val="center"/>
          </w:tcPr>
          <w:p>
            <w:pPr>
              <w:pStyle w:val="14"/>
              <w:rPr>
                <w:rFonts w:cs="Times New Roman"/>
              </w:rPr>
            </w:pPr>
            <w:r>
              <w:rPr>
                <w:rFonts w:hint="eastAsia"/>
              </w:rP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总成本控制</w:t>
            </w:r>
          </w:p>
        </w:tc>
        <w:tc>
          <w:tcPr>
            <w:tcW w:w="2835" w:type="dxa"/>
            <w:vAlign w:val="center"/>
          </w:tcPr>
          <w:p>
            <w:pPr>
              <w:pStyle w:val="14"/>
              <w:rPr>
                <w:rFonts w:cs="Times New Roman"/>
              </w:rPr>
            </w:pPr>
            <w:r>
              <w:rPr>
                <w:rFonts w:hint="eastAsia"/>
              </w:rPr>
              <w:t>总成本控制</w:t>
            </w:r>
          </w:p>
        </w:tc>
        <w:tc>
          <w:tcPr>
            <w:tcW w:w="2551" w:type="dxa"/>
            <w:vAlign w:val="center"/>
          </w:tcPr>
          <w:p>
            <w:pPr>
              <w:pStyle w:val="14"/>
              <w:rPr>
                <w:rFonts w:cs="Times New Roman"/>
              </w:rPr>
            </w:pPr>
            <w:r>
              <w:rPr>
                <w:rFonts w:hint="eastAsia"/>
              </w:rPr>
              <w:t>≤</w:t>
            </w:r>
            <w:r>
              <w:t>100</w:t>
            </w:r>
            <w:r>
              <w:rPr>
                <w:rFonts w:hint="eastAsia"/>
              </w:rPr>
              <w:t>万</w:t>
            </w:r>
          </w:p>
        </w:tc>
        <w:tc>
          <w:tcPr>
            <w:tcW w:w="2268" w:type="dxa"/>
            <w:vAlign w:val="center"/>
          </w:tcPr>
          <w:p>
            <w:pPr>
              <w:pStyle w:val="14"/>
              <w:rPr>
                <w:rFonts w:cs="Times New Roman"/>
              </w:rPr>
            </w:pPr>
            <w:r>
              <w:rPr>
                <w:rFonts w:hint="eastAsia"/>
              </w:rP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开发区企业产值增长率</w:t>
            </w:r>
          </w:p>
        </w:tc>
        <w:tc>
          <w:tcPr>
            <w:tcW w:w="2835" w:type="dxa"/>
            <w:vAlign w:val="center"/>
          </w:tcPr>
          <w:p>
            <w:pPr>
              <w:pStyle w:val="14"/>
              <w:rPr>
                <w:rFonts w:cs="Times New Roman"/>
              </w:rPr>
            </w:pPr>
            <w:r>
              <w:rPr>
                <w:rFonts w:hint="eastAsia"/>
              </w:rPr>
              <w:t>开发区企业产值增长率</w:t>
            </w:r>
          </w:p>
        </w:tc>
        <w:tc>
          <w:tcPr>
            <w:tcW w:w="2551" w:type="dxa"/>
            <w:vAlign w:val="center"/>
          </w:tcPr>
          <w:p>
            <w:pPr>
              <w:pStyle w:val="14"/>
            </w:pPr>
            <w:r>
              <w:rPr>
                <w:rFonts w:hint="eastAsia"/>
              </w:rPr>
              <w:t>≥</w:t>
            </w:r>
            <w:r>
              <w:t>3.5%</w:t>
            </w:r>
          </w:p>
        </w:tc>
        <w:tc>
          <w:tcPr>
            <w:tcW w:w="2268" w:type="dxa"/>
            <w:vAlign w:val="center"/>
          </w:tcPr>
          <w:p>
            <w:pPr>
              <w:pStyle w:val="14"/>
              <w:rPr>
                <w:rFonts w:cs="Times New Roman"/>
              </w:rPr>
            </w:pPr>
            <w:r>
              <w:rPr>
                <w:rFonts w:hint="eastAsia"/>
              </w:rPr>
              <w:t>产值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可持续影响指标</w:t>
            </w:r>
          </w:p>
        </w:tc>
        <w:tc>
          <w:tcPr>
            <w:tcW w:w="2835" w:type="dxa"/>
            <w:vAlign w:val="center"/>
          </w:tcPr>
          <w:p>
            <w:pPr>
              <w:pStyle w:val="14"/>
              <w:rPr>
                <w:rFonts w:cs="Times New Roman"/>
              </w:rPr>
            </w:pPr>
            <w:r>
              <w:rPr>
                <w:rFonts w:hint="eastAsia"/>
              </w:rPr>
              <w:t>项目持续发挥作用</w:t>
            </w:r>
          </w:p>
        </w:tc>
        <w:tc>
          <w:tcPr>
            <w:tcW w:w="2835" w:type="dxa"/>
            <w:vAlign w:val="center"/>
          </w:tcPr>
          <w:p>
            <w:pPr>
              <w:pStyle w:val="14"/>
              <w:rPr>
                <w:rFonts w:cs="Times New Roman"/>
              </w:rPr>
            </w:pPr>
            <w:r>
              <w:rPr>
                <w:rFonts w:hint="eastAsia"/>
              </w:rPr>
              <w:t>项目持续发挥作用促进企业达产达效创造税收</w:t>
            </w:r>
          </w:p>
        </w:tc>
        <w:tc>
          <w:tcPr>
            <w:tcW w:w="2551" w:type="dxa"/>
            <w:vAlign w:val="center"/>
          </w:tcPr>
          <w:p>
            <w:pPr>
              <w:pStyle w:val="14"/>
            </w:pPr>
            <w:r>
              <w:rPr>
                <w:rFonts w:hint="eastAsia"/>
              </w:rPr>
              <w:t>≥</w:t>
            </w:r>
            <w:r>
              <w:t>4%</w:t>
            </w:r>
          </w:p>
        </w:tc>
        <w:tc>
          <w:tcPr>
            <w:tcW w:w="2268" w:type="dxa"/>
            <w:vAlign w:val="center"/>
          </w:tcPr>
          <w:p>
            <w:pPr>
              <w:pStyle w:val="14"/>
              <w:rPr>
                <w:rFonts w:cs="Times New Roman"/>
              </w:rPr>
            </w:pPr>
            <w:r>
              <w:rPr>
                <w:rFonts w:hint="eastAsia"/>
              </w:rPr>
              <w:t>总体纳税情况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服务对象满意度</w:t>
            </w:r>
          </w:p>
        </w:tc>
        <w:tc>
          <w:tcPr>
            <w:tcW w:w="2835" w:type="dxa"/>
            <w:vAlign w:val="center"/>
          </w:tcPr>
          <w:p>
            <w:pPr>
              <w:pStyle w:val="14"/>
              <w:rPr>
                <w:rFonts w:cs="Times New Roman"/>
              </w:rPr>
            </w:pPr>
            <w:r>
              <w:rPr>
                <w:rFonts w:hint="eastAsia"/>
              </w:rPr>
              <w:t>服务对象满意度</w:t>
            </w:r>
          </w:p>
        </w:tc>
        <w:tc>
          <w:tcPr>
            <w:tcW w:w="2551" w:type="dxa"/>
            <w:vAlign w:val="center"/>
          </w:tcPr>
          <w:p>
            <w:pPr>
              <w:pStyle w:val="14"/>
            </w:pPr>
            <w:r>
              <w:rPr>
                <w:rFonts w:hint="eastAsia"/>
              </w:rPr>
              <w:t>≥</w:t>
            </w:r>
            <w:r>
              <w:t>95%</w:t>
            </w:r>
          </w:p>
        </w:tc>
        <w:tc>
          <w:tcPr>
            <w:tcW w:w="2268" w:type="dxa"/>
            <w:vAlign w:val="center"/>
          </w:tcPr>
          <w:p>
            <w:pPr>
              <w:pStyle w:val="14"/>
              <w:rPr>
                <w:rFonts w:cs="Times New Roman"/>
              </w:rPr>
            </w:pPr>
            <w:r>
              <w:rPr>
                <w:rFonts w:hint="eastAsia"/>
              </w:rPr>
              <w:t>年度考核结果附表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szCs w:val="32"/>
        </w:rPr>
        <w:t>六、政府采购预算情况</w:t>
      </w:r>
      <w:bookmarkEnd w:id="14"/>
    </w:p>
    <w:p>
      <w:pPr>
        <w:spacing w:line="500" w:lineRule="exact"/>
        <w:ind w:firstLine="560"/>
      </w:pPr>
      <w:r>
        <w:rPr>
          <w:rFonts w:eastAsia="方正仿宋_GBK"/>
          <w:color w:val="000000"/>
          <w:sz w:val="28"/>
          <w:szCs w:val="28"/>
        </w:rPr>
        <w:t>2023</w:t>
      </w:r>
      <w:r>
        <w:rPr>
          <w:rFonts w:hint="eastAsia" w:eastAsia="方正仿宋_GBK" w:cs="方正仿宋_GBK"/>
          <w:color w:val="000000"/>
          <w:sz w:val="28"/>
          <w:szCs w:val="28"/>
        </w:rPr>
        <w:t>年，河北魏县经济开发区管理委员会安排政府采购预算</w:t>
      </w:r>
      <w:r>
        <w:rPr>
          <w:rFonts w:eastAsia="方正仿宋_GBK"/>
          <w:color w:val="000000"/>
          <w:sz w:val="28"/>
          <w:szCs w:val="28"/>
        </w:rPr>
        <w:t>0.00</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8674" w:type="dxa"/>
            <w:gridSpan w:val="9"/>
            <w:tcBorders>
              <w:top w:val="single" w:color="FFFFFF" w:sz="6" w:space="0"/>
              <w:left w:val="single" w:color="FFFFFF" w:sz="6" w:space="0"/>
              <w:right w:val="single" w:color="FFFFFF" w:sz="6" w:space="0"/>
            </w:tcBorders>
            <w:vAlign w:val="center"/>
          </w:tcPr>
          <w:p>
            <w:pPr>
              <w:pStyle w:val="26"/>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cs="Times New Roman"/>
              </w:rPr>
            </w:pPr>
            <w:r>
              <w:rPr>
                <w:rFonts w:hint="eastAsia"/>
              </w:rPr>
              <w:t>政府采购项目来源</w:t>
            </w:r>
          </w:p>
        </w:tc>
        <w:tc>
          <w:tcPr>
            <w:tcW w:w="1134" w:type="dxa"/>
            <w:vMerge w:val="restart"/>
            <w:vAlign w:val="center"/>
          </w:tcPr>
          <w:p>
            <w:pPr>
              <w:pStyle w:val="12"/>
              <w:rPr>
                <w:rFonts w:cs="Times New Roman"/>
              </w:rPr>
            </w:pPr>
            <w:r>
              <w:rPr>
                <w:rFonts w:hint="eastAsia"/>
              </w:rPr>
              <w:t>采购物品名称</w:t>
            </w:r>
          </w:p>
        </w:tc>
        <w:tc>
          <w:tcPr>
            <w:tcW w:w="1134" w:type="dxa"/>
            <w:vMerge w:val="restart"/>
            <w:vAlign w:val="center"/>
          </w:tcPr>
          <w:p>
            <w:pPr>
              <w:pStyle w:val="12"/>
              <w:rPr>
                <w:rFonts w:cs="Times New Roman"/>
              </w:rPr>
            </w:pPr>
            <w:r>
              <w:rPr>
                <w:rFonts w:hint="eastAsia"/>
              </w:rPr>
              <w:t>政府采购目录序号</w:t>
            </w:r>
          </w:p>
        </w:tc>
        <w:tc>
          <w:tcPr>
            <w:tcW w:w="709" w:type="dxa"/>
            <w:vMerge w:val="restart"/>
            <w:vAlign w:val="center"/>
          </w:tcPr>
          <w:p>
            <w:pPr>
              <w:pStyle w:val="12"/>
              <w:rPr>
                <w:rFonts w:cs="Times New Roman"/>
              </w:rPr>
            </w:pPr>
            <w:r>
              <w:rPr>
                <w:rFonts w:hint="eastAsia"/>
              </w:rPr>
              <w:t>计量</w:t>
            </w:r>
            <w:r>
              <w:t xml:space="preserve">  </w:t>
            </w:r>
            <w:r>
              <w:rPr>
                <w:rFonts w:hint="eastAsia"/>
              </w:rPr>
              <w:t>单位</w:t>
            </w:r>
          </w:p>
        </w:tc>
        <w:tc>
          <w:tcPr>
            <w:tcW w:w="850" w:type="dxa"/>
            <w:vMerge w:val="restart"/>
            <w:vAlign w:val="center"/>
          </w:tcPr>
          <w:p>
            <w:pPr>
              <w:pStyle w:val="12"/>
              <w:rPr>
                <w:rFonts w:cs="Times New Roman"/>
              </w:rPr>
            </w:pPr>
            <w:r>
              <w:rPr>
                <w:rFonts w:hint="eastAsia"/>
              </w:rPr>
              <w:t>数量</w:t>
            </w:r>
          </w:p>
        </w:tc>
        <w:tc>
          <w:tcPr>
            <w:tcW w:w="850" w:type="dxa"/>
            <w:vMerge w:val="restart"/>
            <w:vAlign w:val="center"/>
          </w:tcPr>
          <w:p>
            <w:pPr>
              <w:pStyle w:val="12"/>
              <w:rPr>
                <w:rFonts w:cs="Times New Roman"/>
              </w:rPr>
            </w:pPr>
            <w:r>
              <w:rPr>
                <w:rFonts w:hint="eastAsia"/>
              </w:rPr>
              <w:t>单价</w:t>
            </w:r>
          </w:p>
        </w:tc>
        <w:tc>
          <w:tcPr>
            <w:tcW w:w="7710" w:type="dxa"/>
            <w:gridSpan w:val="8"/>
            <w:vAlign w:val="center"/>
          </w:tcPr>
          <w:p>
            <w:pPr>
              <w:pStyle w:val="12"/>
              <w:rPr>
                <w:rFonts w:cs="Times New Roman"/>
              </w:rPr>
            </w:pPr>
            <w:r>
              <w:rPr>
                <w:rFonts w:hint="eastAsia"/>
              </w:rPr>
              <w:t>政府采购金额（当年部门预算安排资金）</w:t>
            </w:r>
          </w:p>
        </w:tc>
        <w:tc>
          <w:tcPr>
            <w:tcW w:w="964" w:type="dxa"/>
            <w:vMerge w:val="restart"/>
            <w:vAlign w:val="center"/>
          </w:tcPr>
          <w:p>
            <w:pPr>
              <w:pStyle w:val="12"/>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cs="Times New Roman"/>
              </w:rPr>
            </w:pPr>
            <w:r>
              <w:rPr>
                <w:rFonts w:hint="eastAsia"/>
              </w:rPr>
              <w:t>项目名称</w:t>
            </w:r>
          </w:p>
        </w:tc>
        <w:tc>
          <w:tcPr>
            <w:tcW w:w="964" w:type="dxa"/>
            <w:vAlign w:val="center"/>
          </w:tcPr>
          <w:p>
            <w:pPr>
              <w:pStyle w:val="12"/>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rPr>
                <w:rFonts w:cs="Times New Roman"/>
              </w:rPr>
            </w:pPr>
            <w:r>
              <w:rPr>
                <w:rFonts w:hint="eastAsia"/>
              </w:rPr>
              <w:t>合计</w:t>
            </w:r>
          </w:p>
        </w:tc>
        <w:tc>
          <w:tcPr>
            <w:tcW w:w="964" w:type="dxa"/>
            <w:vAlign w:val="center"/>
          </w:tcPr>
          <w:p>
            <w:pPr>
              <w:pStyle w:val="12"/>
              <w:rPr>
                <w:rFonts w:cs="Times New Roman"/>
              </w:rPr>
            </w:pPr>
            <w:r>
              <w:rPr>
                <w:rFonts w:hint="eastAsia"/>
              </w:rPr>
              <w:t>一般公共预算拨款</w:t>
            </w:r>
          </w:p>
        </w:tc>
        <w:tc>
          <w:tcPr>
            <w:tcW w:w="964" w:type="dxa"/>
            <w:vAlign w:val="center"/>
          </w:tcPr>
          <w:p>
            <w:pPr>
              <w:pStyle w:val="12"/>
              <w:rPr>
                <w:rFonts w:cs="Times New Roman"/>
              </w:rPr>
            </w:pPr>
            <w:r>
              <w:rPr>
                <w:rFonts w:hint="eastAsia"/>
              </w:rPr>
              <w:t>基金预算拨款</w:t>
            </w:r>
          </w:p>
        </w:tc>
        <w:tc>
          <w:tcPr>
            <w:tcW w:w="964" w:type="dxa"/>
            <w:vAlign w:val="center"/>
          </w:tcPr>
          <w:p>
            <w:pPr>
              <w:pStyle w:val="12"/>
              <w:rPr>
                <w:rFonts w:cs="Times New Roman"/>
              </w:rPr>
            </w:pPr>
            <w:r>
              <w:rPr>
                <w:rFonts w:hint="eastAsia"/>
              </w:rPr>
              <w:t>国有资本经营预算拨款</w:t>
            </w:r>
          </w:p>
        </w:tc>
        <w:tc>
          <w:tcPr>
            <w:tcW w:w="964" w:type="dxa"/>
            <w:vAlign w:val="center"/>
          </w:tcPr>
          <w:p>
            <w:pPr>
              <w:pStyle w:val="12"/>
              <w:rPr>
                <w:rFonts w:cs="Times New Roman"/>
              </w:rPr>
            </w:pPr>
            <w:r>
              <w:rPr>
                <w:rFonts w:hint="eastAsia"/>
              </w:rPr>
              <w:t>财政专户核拨</w:t>
            </w:r>
          </w:p>
        </w:tc>
        <w:tc>
          <w:tcPr>
            <w:tcW w:w="964" w:type="dxa"/>
            <w:vAlign w:val="center"/>
          </w:tcPr>
          <w:p>
            <w:pPr>
              <w:pStyle w:val="12"/>
              <w:rPr>
                <w:rFonts w:cs="Times New Roman"/>
              </w:rPr>
            </w:pPr>
            <w:r>
              <w:rPr>
                <w:rFonts w:hint="eastAsia"/>
              </w:rPr>
              <w:t>单位</w:t>
            </w:r>
            <w:r>
              <w:t xml:space="preserve">    </w:t>
            </w:r>
            <w:r>
              <w:rPr>
                <w:rFonts w:hint="eastAsia"/>
              </w:rPr>
              <w:t>资金</w:t>
            </w:r>
          </w:p>
        </w:tc>
        <w:tc>
          <w:tcPr>
            <w:tcW w:w="964" w:type="dxa"/>
            <w:vAlign w:val="center"/>
          </w:tcPr>
          <w:p>
            <w:pPr>
              <w:pStyle w:val="12"/>
              <w:rPr>
                <w:rFonts w:cs="Times New Roman"/>
              </w:rPr>
            </w:pPr>
            <w:r>
              <w:rPr>
                <w:rFonts w:hint="eastAsia"/>
              </w:rPr>
              <w:t>财政拨</w:t>
            </w:r>
            <w:r>
              <w:t xml:space="preserve">    </w:t>
            </w:r>
            <w:r>
              <w:rPr>
                <w:rFonts w:hint="eastAsia"/>
              </w:rPr>
              <w:t>款结转</w:t>
            </w:r>
          </w:p>
        </w:tc>
        <w:tc>
          <w:tcPr>
            <w:tcW w:w="964" w:type="dxa"/>
            <w:vAlign w:val="center"/>
          </w:tcPr>
          <w:p>
            <w:pPr>
              <w:pStyle w:val="12"/>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cs="Times New Roman"/>
              </w:rPr>
            </w:pPr>
          </w:p>
        </w:tc>
        <w:tc>
          <w:tcPr>
            <w:tcW w:w="964" w:type="dxa"/>
            <w:vAlign w:val="center"/>
          </w:tcPr>
          <w:p>
            <w:pPr>
              <w:pStyle w:val="13"/>
              <w:rPr>
                <w:rFonts w:cs="Times New Roman"/>
              </w:rPr>
            </w:pPr>
          </w:p>
        </w:tc>
        <w:tc>
          <w:tcPr>
            <w:tcW w:w="1134" w:type="dxa"/>
            <w:vAlign w:val="center"/>
          </w:tcPr>
          <w:p>
            <w:pPr>
              <w:pStyle w:val="14"/>
              <w:rPr>
                <w:rFonts w:cs="Times New Roman"/>
              </w:rPr>
            </w:pPr>
          </w:p>
        </w:tc>
        <w:tc>
          <w:tcPr>
            <w:tcW w:w="1134" w:type="dxa"/>
            <w:vAlign w:val="center"/>
          </w:tcPr>
          <w:p>
            <w:pPr>
              <w:pStyle w:val="14"/>
              <w:rPr>
                <w:rFonts w:cs="Times New Roman"/>
              </w:rPr>
            </w:pPr>
          </w:p>
        </w:tc>
        <w:tc>
          <w:tcPr>
            <w:tcW w:w="709" w:type="dxa"/>
            <w:vAlign w:val="center"/>
          </w:tcPr>
          <w:p>
            <w:pPr>
              <w:pStyle w:val="15"/>
              <w:rPr>
                <w:rFonts w:cs="Times New Roman"/>
              </w:rPr>
            </w:pPr>
          </w:p>
        </w:tc>
        <w:tc>
          <w:tcPr>
            <w:tcW w:w="850" w:type="dxa"/>
            <w:vAlign w:val="center"/>
          </w:tcPr>
          <w:p>
            <w:pPr>
              <w:pStyle w:val="13"/>
              <w:rPr>
                <w:rFonts w:cs="Times New Roman"/>
              </w:rPr>
            </w:pPr>
          </w:p>
        </w:tc>
        <w:tc>
          <w:tcPr>
            <w:tcW w:w="850"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p>
    <w:p>
      <w:pPr>
        <w:spacing w:before="10" w:after="10"/>
        <w:ind w:firstLine="640"/>
        <w:outlineLvl w:val="2"/>
      </w:pPr>
      <w:bookmarkStart w:id="15" w:name="_Toc_3_3_0000000016"/>
      <w:r>
        <w:rPr>
          <w:rFonts w:hint="eastAsia" w:ascii="黑体" w:hAnsi="黑体" w:eastAsia="黑体" w:cs="黑体"/>
          <w:color w:val="000000"/>
          <w:sz w:val="32"/>
          <w:szCs w:val="32"/>
        </w:rPr>
        <w:t>七、国有资产信息</w:t>
      </w:r>
      <w:bookmarkEnd w:id="15"/>
    </w:p>
    <w:p>
      <w:pPr>
        <w:spacing w:line="500" w:lineRule="exact"/>
        <w:ind w:firstLine="560"/>
      </w:pPr>
      <w:r>
        <w:rPr>
          <w:rFonts w:hint="eastAsia" w:eastAsia="方正仿宋_GBK" w:cs="方正仿宋_GBK"/>
          <w:color w:val="000000"/>
          <w:sz w:val="28"/>
          <w:szCs w:val="28"/>
        </w:rPr>
        <w:t>河北魏县经济开发区管理委员会（含所属单位）上年末固定资产金额为</w:t>
      </w:r>
      <w:r>
        <w:rPr>
          <w:rFonts w:hint="eastAsia" w:eastAsia="方正仿宋_GBK"/>
          <w:color w:val="000000"/>
          <w:sz w:val="28"/>
          <w:szCs w:val="28"/>
          <w:lang w:val="en-US" w:eastAsia="zh-CN"/>
        </w:rPr>
        <w:t>145.0377</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cs="Times New Roman"/>
              </w:rPr>
            </w:pPr>
            <w:r>
              <w:t>976</w:t>
            </w:r>
            <w:r>
              <w:rPr>
                <w:rFonts w:hint="eastAsia"/>
              </w:rPr>
              <w:t>河北魏县经济开发区管理委员会</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370" w:type="dxa"/>
            <w:vAlign w:val="center"/>
          </w:tcPr>
          <w:p>
            <w:pPr>
              <w:pStyle w:val="14"/>
              <w:rPr>
                <w:rFonts w:ascii="方正书宋_GBK" w:hAnsi="方正书宋_GBK" w:eastAsia="方正书宋_GBK" w:cs="方正书宋_GBK"/>
                <w:sz w:val="21"/>
                <w:szCs w:val="21"/>
                <w:lang w:val="en-US" w:eastAsia="uk-UA" w:bidi="ar-SA"/>
              </w:rPr>
            </w:pPr>
            <w:r>
              <w:t>资产总额</w:t>
            </w:r>
          </w:p>
        </w:tc>
        <w:tc>
          <w:tcPr>
            <w:tcW w:w="2835" w:type="dxa"/>
            <w:vAlign w:val="center"/>
          </w:tcPr>
          <w:p>
            <w:pPr>
              <w:pStyle w:val="15"/>
              <w:rPr>
                <w:rFonts w:ascii="方正书宋_GBK" w:hAnsi="方正书宋_GBK" w:eastAsia="方正书宋_GBK" w:cs="方正书宋_GBK"/>
                <w:sz w:val="21"/>
                <w:szCs w:val="21"/>
                <w:lang w:val="en-US" w:eastAsia="uk-UA" w:bidi="ar-SA"/>
              </w:rPr>
            </w:pPr>
          </w:p>
        </w:tc>
        <w:tc>
          <w:tcPr>
            <w:tcW w:w="2835" w:type="dxa"/>
            <w:vAlign w:val="center"/>
          </w:tcPr>
          <w:p>
            <w:pPr>
              <w:pStyle w:val="13"/>
              <w:rPr>
                <w:rFonts w:hint="default" w:ascii="方正书宋_GBK" w:hAnsi="方正书宋_GBK" w:eastAsia="方正书宋_GBK" w:cs="方正书宋_GBK"/>
                <w:sz w:val="21"/>
                <w:szCs w:val="21"/>
                <w:lang w:val="en-US" w:eastAsia="zh-CN" w:bidi="ar-SA"/>
              </w:rPr>
            </w:pPr>
            <w:r>
              <w:rPr>
                <w:rFonts w:hint="eastAsia"/>
                <w:lang w:val="en-US" w:eastAsia="zh-CN"/>
              </w:rPr>
              <w:t>145.0377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方正书宋_GBK" w:hAnsi="方正书宋_GBK" w:eastAsia="方正书宋_GBK" w:cs="方正书宋_GBK"/>
                <w:sz w:val="21"/>
                <w:szCs w:val="21"/>
                <w:lang w:val="en-US" w:eastAsia="uk-UA" w:bidi="ar-SA"/>
              </w:rPr>
            </w:pPr>
            <w:r>
              <w:t>1、房屋（平方米）</w:t>
            </w:r>
          </w:p>
        </w:tc>
        <w:tc>
          <w:tcPr>
            <w:tcW w:w="2835" w:type="dxa"/>
            <w:vAlign w:val="center"/>
          </w:tcPr>
          <w:p>
            <w:pPr>
              <w:pStyle w:val="15"/>
              <w:rPr>
                <w:rFonts w:ascii="方正书宋_GBK" w:hAnsi="方正书宋_GBK" w:eastAsia="方正书宋_GBK" w:cs="方正书宋_GBK"/>
                <w:sz w:val="21"/>
                <w:szCs w:val="21"/>
                <w:lang w:val="en-US" w:eastAsia="uk-UA" w:bidi="ar-SA"/>
              </w:rPr>
            </w:pPr>
          </w:p>
        </w:tc>
        <w:tc>
          <w:tcPr>
            <w:tcW w:w="2835" w:type="dxa"/>
            <w:vAlign w:val="center"/>
          </w:tcPr>
          <w:p>
            <w:pPr>
              <w:pStyle w:val="13"/>
              <w:rPr>
                <w:rFonts w:hint="default" w:ascii="方正书宋_GBK" w:hAnsi="方正书宋_GBK" w:eastAsia="方正书宋_GBK" w:cs="方正书宋_GBK"/>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rPr>
                <w:rFonts w:ascii="方正书宋_GBK" w:hAnsi="方正书宋_GBK" w:eastAsia="方正书宋_GBK" w:cs="方正书宋_GBK"/>
                <w:sz w:val="21"/>
                <w:szCs w:val="21"/>
                <w:lang w:val="en-US" w:eastAsia="uk-UA" w:bidi="ar-SA"/>
              </w:rPr>
            </w:pPr>
            <w:r>
              <w:t>　　其中：办公用房（平方米）</w:t>
            </w:r>
          </w:p>
        </w:tc>
        <w:tc>
          <w:tcPr>
            <w:tcW w:w="0" w:type="auto"/>
            <w:vAlign w:val="center"/>
          </w:tcPr>
          <w:p>
            <w:pPr>
              <w:pStyle w:val="15"/>
              <w:rPr>
                <w:rFonts w:ascii="方正书宋_GBK" w:hAnsi="方正书宋_GBK" w:eastAsia="方正书宋_GBK" w:cs="方正书宋_GBK"/>
                <w:sz w:val="21"/>
                <w:szCs w:val="21"/>
                <w:lang w:val="en-US" w:eastAsia="uk-UA" w:bidi="ar-SA"/>
              </w:rPr>
            </w:pPr>
          </w:p>
        </w:tc>
        <w:tc>
          <w:tcPr>
            <w:tcW w:w="0" w:type="auto"/>
            <w:vAlign w:val="center"/>
          </w:tcPr>
          <w:p>
            <w:pPr>
              <w:pStyle w:val="13"/>
              <w:rPr>
                <w:rFonts w:hint="default" w:ascii="方正书宋_GBK" w:hAnsi="方正书宋_GBK" w:eastAsia="方正书宋_GBK" w:cs="方正书宋_GBK"/>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rPr>
                <w:rFonts w:ascii="方正书宋_GBK" w:hAnsi="方正书宋_GBK" w:eastAsia="方正书宋_GBK" w:cs="方正书宋_GBK"/>
                <w:sz w:val="21"/>
                <w:szCs w:val="21"/>
                <w:lang w:val="en-US" w:eastAsia="uk-UA" w:bidi="ar-SA"/>
              </w:rPr>
            </w:pPr>
            <w:r>
              <w:t>2、车辆（台、辆）</w:t>
            </w:r>
          </w:p>
        </w:tc>
        <w:tc>
          <w:tcPr>
            <w:tcW w:w="0" w:type="auto"/>
            <w:vAlign w:val="center"/>
          </w:tcPr>
          <w:p>
            <w:pPr>
              <w:pStyle w:val="15"/>
              <w:rPr>
                <w:rFonts w:ascii="方正书宋_GBK" w:hAnsi="方正书宋_GBK" w:eastAsia="方正书宋_GBK" w:cs="方正书宋_GBK"/>
                <w:sz w:val="21"/>
                <w:szCs w:val="21"/>
                <w:lang w:val="en-US" w:eastAsia="uk-UA" w:bidi="ar-SA"/>
              </w:rPr>
            </w:pPr>
          </w:p>
        </w:tc>
        <w:tc>
          <w:tcPr>
            <w:tcW w:w="0" w:type="auto"/>
            <w:vAlign w:val="center"/>
          </w:tcPr>
          <w:p>
            <w:pPr>
              <w:pStyle w:val="13"/>
              <w:rPr>
                <w:rFonts w:hint="default" w:ascii="方正书宋_GBK" w:hAnsi="方正书宋_GBK" w:eastAsia="方正书宋_GBK" w:cs="方正书宋_GBK"/>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rPr>
                <w:rFonts w:ascii="方正书宋_GBK" w:hAnsi="方正书宋_GBK" w:eastAsia="方正书宋_GBK" w:cs="方正书宋_GBK"/>
                <w:sz w:val="21"/>
                <w:szCs w:val="21"/>
                <w:lang w:val="en-US" w:eastAsia="uk-UA" w:bidi="ar-SA"/>
              </w:rPr>
            </w:pPr>
            <w:r>
              <w:t>3、单价在20万元以上的设备</w:t>
            </w:r>
          </w:p>
        </w:tc>
        <w:tc>
          <w:tcPr>
            <w:tcW w:w="0" w:type="auto"/>
            <w:vAlign w:val="center"/>
          </w:tcPr>
          <w:p>
            <w:pPr>
              <w:pStyle w:val="15"/>
              <w:rPr>
                <w:rFonts w:ascii="方正书宋_GBK" w:hAnsi="方正书宋_GBK" w:eastAsia="方正书宋_GBK" w:cs="方正书宋_GBK"/>
                <w:sz w:val="21"/>
                <w:szCs w:val="21"/>
                <w:lang w:val="en-US" w:eastAsia="uk-UA" w:bidi="ar-SA"/>
              </w:rPr>
            </w:pPr>
          </w:p>
        </w:tc>
        <w:tc>
          <w:tcPr>
            <w:tcW w:w="0" w:type="auto"/>
            <w:vAlign w:val="center"/>
          </w:tcPr>
          <w:p>
            <w:pPr>
              <w:pStyle w:val="13"/>
              <w:rPr>
                <w:rFonts w:hint="default" w:ascii="方正书宋_GBK" w:hAnsi="方正书宋_GBK" w:eastAsia="方正书宋_GBK" w:cs="方正书宋_GBK"/>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rPr>
                <w:rFonts w:ascii="方正书宋_GBK" w:hAnsi="方正书宋_GBK" w:eastAsia="方正书宋_GBK" w:cs="方正书宋_GBK"/>
                <w:sz w:val="21"/>
                <w:szCs w:val="21"/>
                <w:lang w:val="en-US" w:eastAsia="uk-UA" w:bidi="ar-SA"/>
              </w:rPr>
            </w:pPr>
            <w:r>
              <w:t>4、其他固定资产</w:t>
            </w:r>
          </w:p>
        </w:tc>
        <w:tc>
          <w:tcPr>
            <w:tcW w:w="0" w:type="auto"/>
            <w:vAlign w:val="center"/>
          </w:tcPr>
          <w:p>
            <w:pPr>
              <w:pStyle w:val="15"/>
              <w:rPr>
                <w:rFonts w:hint="default" w:ascii="方正书宋_GBK" w:hAnsi="方正书宋_GBK" w:eastAsia="方正书宋_GBK" w:cs="方正书宋_GBK"/>
                <w:sz w:val="21"/>
                <w:szCs w:val="21"/>
                <w:lang w:val="en-US" w:eastAsia="zh-CN" w:bidi="ar-SA"/>
              </w:rPr>
            </w:pPr>
            <w:r>
              <w:rPr>
                <w:rFonts w:hint="eastAsia"/>
                <w:lang w:val="en-US" w:eastAsia="zh-CN"/>
              </w:rPr>
              <w:t>307</w:t>
            </w:r>
          </w:p>
        </w:tc>
        <w:tc>
          <w:tcPr>
            <w:tcW w:w="0" w:type="auto"/>
            <w:vAlign w:val="center"/>
          </w:tcPr>
          <w:p>
            <w:pPr>
              <w:pStyle w:val="13"/>
              <w:rPr>
                <w:rFonts w:hint="default" w:ascii="方正书宋_GBK" w:hAnsi="方正书宋_GBK" w:eastAsia="方正书宋_GBK" w:cs="方正书宋_GBK"/>
                <w:sz w:val="21"/>
                <w:szCs w:val="21"/>
                <w:lang w:val="en-US" w:eastAsia="zh-CN" w:bidi="ar-SA"/>
              </w:rPr>
            </w:pPr>
            <w:r>
              <w:rPr>
                <w:rFonts w:hint="eastAsia"/>
                <w:lang w:val="en-US" w:eastAsia="zh-CN"/>
              </w:rPr>
              <w:t>145.0377</w:t>
            </w:r>
          </w:p>
        </w:tc>
      </w:tr>
    </w:tbl>
    <w:p>
      <w:pPr>
        <w:ind w:firstLine="420"/>
      </w:pPr>
      <w:r>
        <w:rPr>
          <w:rFonts w:hint="eastAsia" w:ascii="方正书宋_GBK" w:hAnsi="方正书宋_GBK" w:eastAsia="方正书宋_GBK" w:cs="方正书宋_GBK"/>
          <w:color w:val="000000"/>
          <w:sz w:val="21"/>
          <w:szCs w:val="21"/>
        </w:rPr>
        <w:t>注：无固定资产占用情况，空表列示。</w:t>
      </w:r>
    </w:p>
    <w:p>
      <w:pPr>
        <w:ind w:firstLine="640"/>
      </w:pPr>
    </w:p>
    <w:p>
      <w:pPr>
        <w:spacing w:before="10" w:after="10"/>
        <w:ind w:firstLine="640"/>
        <w:outlineLvl w:val="2"/>
      </w:pPr>
      <w:bookmarkStart w:id="16" w:name="_Toc_3_3_0000000017"/>
      <w:r>
        <w:rPr>
          <w:rFonts w:hint="eastAsia" w:ascii="黑体" w:hAnsi="黑体" w:eastAsia="黑体" w:cs="黑体"/>
          <w:color w:val="000000"/>
          <w:sz w:val="32"/>
          <w:szCs w:val="32"/>
        </w:rPr>
        <w:t>八、名词解释</w:t>
      </w:r>
      <w:bookmarkEnd w:id="16"/>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指县级财政当年拨付的资金。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纳入县级财政预算管理的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szCs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s="方正仿宋_GBK"/>
          <w:color w:val="000000"/>
          <w:sz w:val="28"/>
          <w:szCs w:val="28"/>
        </w:rPr>
        <w:t>我部门无其他需要说明的事项。</w:t>
      </w:r>
    </w:p>
    <w:p>
      <w:pPr>
        <w:jc w:val="center"/>
      </w:pP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720"/>
  <w:doNotHyphenateCaps/>
  <w:evenAndOddHeaders w:val="true"/>
  <w:characterSpacingControl w:val="doNotCompress"/>
  <w:noLineBreaksAfter w:lang="zh-CN" w:val="$([{£¥·‘“〈《「『【〔〖〝﹙﹛﹝＄（．［｛￡￥"/>
  <w:noLineBreaksBefore w:lang="zh-CN" w:val="!%),.:;&gt;?]}¢¨°·ˇˉ―‖’”…‰′″›℃∶、。〃〉》」』】〕〗〞︶︺︾﹀﹄﹚﹜﹞！＂％＇），．：；？］｀｜｝～￠"/>
  <w:doNotValidateAgainstSchema/>
  <w:doNotDemarcateInvalidXml/>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YjlkNjdmMmUzMGI1NWMyYjkyMjQ2YzZmODFlZjIifQ=="/>
  </w:docVars>
  <w:rsids>
    <w:rsidRoot w:val="00A52C06"/>
    <w:rsid w:val="00117F05"/>
    <w:rsid w:val="003600EA"/>
    <w:rsid w:val="006A4DB6"/>
    <w:rsid w:val="00716B2C"/>
    <w:rsid w:val="00A52C06"/>
    <w:rsid w:val="00C9094E"/>
    <w:rsid w:val="00CA45B7"/>
    <w:rsid w:val="00F20527"/>
    <w:rsid w:val="01A36CE0"/>
    <w:rsid w:val="05B35640"/>
    <w:rsid w:val="14E96D34"/>
    <w:rsid w:val="1CDF6673"/>
    <w:rsid w:val="25960EDD"/>
    <w:rsid w:val="2A3048BB"/>
    <w:rsid w:val="3B1043AA"/>
    <w:rsid w:val="3C893FB8"/>
    <w:rsid w:val="3E287752"/>
    <w:rsid w:val="4C0700E7"/>
    <w:rsid w:val="4E546612"/>
    <w:rsid w:val="4F5235BB"/>
    <w:rsid w:val="522B73B9"/>
    <w:rsid w:val="53B931C7"/>
    <w:rsid w:val="5A341D04"/>
    <w:rsid w:val="5E51475C"/>
    <w:rsid w:val="5FFF20B3"/>
    <w:rsid w:val="60216DC5"/>
    <w:rsid w:val="7A41719B"/>
    <w:rsid w:val="DFEEE6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toc 1"/>
    <w:basedOn w:val="1"/>
    <w:next w:val="1"/>
    <w:semiHidden/>
    <w:qFormat/>
    <w:uiPriority w:val="99"/>
    <w:pPr>
      <w:spacing w:before="120"/>
      <w:ind w:firstLine="560"/>
    </w:pPr>
    <w:rPr>
      <w:rFonts w:eastAsia="方正仿宋_GBK"/>
      <w:color w:val="000000"/>
      <w:sz w:val="28"/>
      <w:szCs w:val="28"/>
    </w:rPr>
  </w:style>
  <w:style w:type="paragraph" w:styleId="4">
    <w:name w:val="toc 4"/>
    <w:basedOn w:val="1"/>
    <w:next w:val="1"/>
    <w:semiHidden/>
    <w:qFormat/>
    <w:uiPriority w:val="99"/>
    <w:pPr>
      <w:ind w:left="720"/>
    </w:pPr>
  </w:style>
  <w:style w:type="paragraph" w:styleId="5">
    <w:name w:val="toc 2"/>
    <w:basedOn w:val="1"/>
    <w:next w:val="1"/>
    <w:semiHidden/>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3">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4">
    <w:name w:val="单元格样式2"/>
    <w:basedOn w:val="1"/>
    <w:qFormat/>
    <w:uiPriority w:val="99"/>
    <w:rPr>
      <w:rFonts w:ascii="方正书宋_GBK" w:hAnsi="方正书宋_GBK" w:eastAsia="方正书宋_GBK" w:cs="方正书宋_GBK"/>
      <w:sz w:val="21"/>
      <w:szCs w:val="21"/>
    </w:rPr>
  </w:style>
  <w:style w:type="paragraph" w:customStyle="1" w:styleId="15">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6">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7">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8">
    <w:name w:val="单元格样式5"/>
    <w:basedOn w:val="1"/>
    <w:qFormat/>
    <w:uiPriority w:val="99"/>
    <w:rPr>
      <w:rFonts w:ascii="方正书宋_GBK" w:hAnsi="方正书宋_GBK" w:eastAsia="方正书宋_GBK" w:cs="方正书宋_GBK"/>
      <w:b/>
      <w:bCs/>
      <w:sz w:val="21"/>
      <w:szCs w:val="21"/>
    </w:rPr>
  </w:style>
  <w:style w:type="paragraph" w:customStyle="1" w:styleId="19">
    <w:name w:val="插入文本样式-插入部门职责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3">
    <w:name w:val="插入文本样式-插入总体目标文件"/>
    <w:basedOn w:val="1"/>
    <w:qFormat/>
    <w:uiPriority w:val="99"/>
    <w:pPr>
      <w:spacing w:line="500" w:lineRule="exact"/>
      <w:ind w:firstLine="560"/>
    </w:pPr>
    <w:rPr>
      <w:rFonts w:eastAsia="方正仿宋_GBK"/>
      <w:sz w:val="28"/>
      <w:szCs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szCs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17883</Words>
  <Characters>20357</Characters>
  <Lines>178</Lines>
  <Paragraphs>50</Paragraphs>
  <TotalTime>6</TotalTime>
  <ScaleCrop>false</ScaleCrop>
  <LinksUpToDate>false</LinksUpToDate>
  <CharactersWithSpaces>20682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2023-02-27T23:22:00Z</dcterms:created>
  <dc:creator>Administrator</dc:creator>
  <cp:lastModifiedBy>wxak</cp:lastModifiedBy>
  <dcterms:modified xsi:type="dcterms:W3CDTF">2024-09-12T17:13:23Z</dcterms:modified>
  <dc:title>2023年部门预算信息公开目录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4C93380C70EE4E41B526F21801B47F3B_13</vt:lpwstr>
  </property>
</Properties>
</file>