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仿宋" w:cs="Times New Roman"/>
          <w:b/>
          <w:sz w:val="32"/>
          <w:szCs w:val="32"/>
        </w:rPr>
      </w:pPr>
      <w:bookmarkStart w:id="0" w:name="_GoBack"/>
      <w:bookmarkEnd w:id="0"/>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rPr>
          <w:rFonts w:ascii="Times New Roman" w:hAnsi="Times New Roman" w:eastAsia="仿宋" w:cs="Times New Roman"/>
          <w:b/>
          <w:sz w:val="20"/>
          <w:szCs w:val="22"/>
        </w:rPr>
      </w:pPr>
    </w:p>
    <w:p>
      <w:pPr>
        <w:pStyle w:val="8"/>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36</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58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bidi w:val="0"/>
        <w:adjustRightInd w:val="0"/>
        <w:snapToGrid w:val="0"/>
        <w:spacing w:line="580" w:lineRule="exact"/>
        <w:jc w:val="center"/>
        <w:rPr>
          <w:rFonts w:hint="eastAsia" w:ascii="仿宋" w:hAnsi="仿宋" w:eastAsia="仿宋" w:cs="仿宋"/>
          <w:sz w:val="32"/>
          <w:szCs w:val="32"/>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w:t>
      </w:r>
      <w:r>
        <w:rPr>
          <w:rFonts w:hint="eastAsia" w:ascii="Times New Roman" w:hAnsi="Times New Roman" w:eastAsia="宋体" w:cs="Times New Roman"/>
          <w:b/>
          <w:sz w:val="44"/>
          <w:szCs w:val="44"/>
          <w:lang w:val="en-US" w:eastAsia="zh-CN"/>
        </w:rPr>
        <w:t>河北腾鑫体育设施有限公司河北腾鑫体育设施有限公司塑胶跑道建设迁建项目</w:t>
      </w:r>
      <w:r>
        <w:rPr>
          <w:rFonts w:hint="eastAsia" w:ascii="Times New Roman" w:hAnsi="Times New Roman" w:eastAsia="宋体" w:cs="Times New Roman"/>
          <w:b/>
          <w:sz w:val="44"/>
          <w:szCs w:val="44"/>
        </w:rPr>
        <w:t>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河北腾鑫体育设施有限公司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河北腾鑫体育设施有限公司河北腾鑫体育设施有限公司塑胶跑道建设迁建项目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w:t>
      </w:r>
      <w:r>
        <w:rPr>
          <w:rFonts w:hint="eastAsia" w:ascii="仿宋" w:hAnsi="仿宋" w:eastAsia="仿宋" w:cs="仿宋"/>
          <w:sz w:val="32"/>
          <w:szCs w:val="32"/>
          <w:lang w:val="en-US" w:eastAsia="zh-CN"/>
        </w:rPr>
        <w:t>魏县创业大街和益民路交叉口往西</w:t>
      </w:r>
      <w:r>
        <w:rPr>
          <w:rFonts w:hint="default" w:ascii="仿宋" w:hAnsi="仿宋" w:eastAsia="仿宋" w:cs="仿宋"/>
          <w:sz w:val="32"/>
          <w:szCs w:val="32"/>
          <w:lang w:val="en-US" w:eastAsia="zh-CN"/>
        </w:rPr>
        <w:t>200</w:t>
      </w:r>
      <w:r>
        <w:rPr>
          <w:rFonts w:hint="eastAsia" w:ascii="仿宋" w:hAnsi="仿宋" w:eastAsia="仿宋" w:cs="仿宋"/>
          <w:sz w:val="32"/>
          <w:szCs w:val="32"/>
          <w:lang w:val="en-US" w:eastAsia="zh-CN"/>
        </w:rPr>
        <w:t>米路南（原悦宏环保厂区）,厂址中心地理</w:t>
      </w:r>
      <w:r>
        <w:rPr>
          <w:rFonts w:hint="eastAsia" w:ascii="仿宋" w:hAnsi="仿宋" w:eastAsia="仿宋" w:cs="仿宋"/>
          <w:sz w:val="32"/>
          <w:szCs w:val="32"/>
        </w:rPr>
        <w:t>坐标为北纬</w:t>
      </w:r>
      <w:r>
        <w:rPr>
          <w:rFonts w:hint="default" w:ascii="仿宋" w:hAnsi="仿宋" w:eastAsia="仿宋" w:cs="仿宋"/>
          <w:sz w:val="32"/>
          <w:szCs w:val="32"/>
          <w:lang w:val="en-US" w:eastAsia="zh-CN"/>
        </w:rPr>
        <w:t>36°</w:t>
      </w:r>
      <w:r>
        <w:rPr>
          <w:rFonts w:hint="eastAsia" w:ascii="仿宋" w:hAnsi="仿宋" w:eastAsia="仿宋" w:cs="仿宋"/>
          <w:sz w:val="32"/>
          <w:szCs w:val="32"/>
          <w:lang w:val="en-US" w:eastAsia="zh-CN"/>
        </w:rPr>
        <w:t>19</w:t>
      </w:r>
      <w:r>
        <w:rPr>
          <w:rFonts w:hint="default" w:ascii="仿宋" w:hAnsi="仿宋" w:eastAsia="仿宋" w:cs="仿宋"/>
          <w:sz w:val="32"/>
          <w:szCs w:val="32"/>
          <w:lang w:val="en-US" w:eastAsia="zh-CN"/>
        </w:rPr>
        <w:t>′0.958″</w:t>
      </w:r>
      <w:r>
        <w:rPr>
          <w:rFonts w:hint="eastAsia" w:ascii="仿宋" w:hAnsi="仿宋" w:eastAsia="仿宋" w:cs="仿宋"/>
          <w:sz w:val="32"/>
          <w:szCs w:val="32"/>
          <w:lang w:val="en-US" w:eastAsia="zh-CN"/>
        </w:rPr>
        <w:t>，</w:t>
      </w:r>
      <w:r>
        <w:rPr>
          <w:rFonts w:hint="eastAsia" w:ascii="仿宋" w:hAnsi="仿宋" w:eastAsia="仿宋" w:cs="仿宋"/>
          <w:sz w:val="32"/>
          <w:szCs w:val="32"/>
        </w:rPr>
        <w:t>东经</w:t>
      </w:r>
      <w:r>
        <w:rPr>
          <w:rFonts w:hint="default" w:ascii="仿宋" w:hAnsi="仿宋" w:eastAsia="仿宋" w:cs="仿宋"/>
          <w:sz w:val="32"/>
          <w:szCs w:val="32"/>
          <w:lang w:val="en-US" w:eastAsia="zh-CN"/>
        </w:rPr>
        <w:t>114°5</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′35.130″</w:t>
      </w:r>
      <w:r>
        <w:rPr>
          <w:rFonts w:hint="eastAsia" w:ascii="仿宋" w:hAnsi="仿宋" w:eastAsia="仿宋" w:cs="仿宋"/>
          <w:sz w:val="32"/>
          <w:szCs w:val="32"/>
          <w:lang w:val="en-US" w:eastAsia="zh-CN"/>
        </w:rPr>
        <w:t>。</w:t>
      </w:r>
      <w:r>
        <w:rPr>
          <w:rFonts w:hint="eastAsia" w:ascii="仿宋" w:hAnsi="仿宋" w:eastAsia="仿宋" w:cs="仿宋"/>
          <w:sz w:val="32"/>
          <w:szCs w:val="32"/>
        </w:rPr>
        <w:t>建设内容及规模：</w:t>
      </w:r>
      <w:r>
        <w:rPr>
          <w:rFonts w:hint="eastAsia" w:ascii="仿宋" w:hAnsi="仿宋" w:eastAsia="仿宋" w:cs="仿宋"/>
          <w:sz w:val="32"/>
          <w:szCs w:val="32"/>
          <w:lang w:val="en-US" w:eastAsia="zh-CN"/>
        </w:rPr>
        <w:t xml:space="preserve">总占地 </w:t>
      </w:r>
      <w:r>
        <w:rPr>
          <w:rFonts w:hint="default" w:ascii="仿宋" w:hAnsi="仿宋" w:eastAsia="仿宋" w:cs="仿宋"/>
          <w:sz w:val="32"/>
          <w:szCs w:val="32"/>
          <w:lang w:val="en-US" w:eastAsia="zh-CN"/>
        </w:rPr>
        <w:t>6200</w:t>
      </w:r>
      <w:r>
        <w:rPr>
          <w:rFonts w:hint="eastAsia" w:ascii="仿宋" w:hAnsi="仿宋" w:eastAsia="仿宋" w:cs="仿宋"/>
          <w:sz w:val="32"/>
          <w:szCs w:val="32"/>
          <w:lang w:val="en-US" w:eastAsia="zh-CN"/>
        </w:rPr>
        <w:t>平方米（</w:t>
      </w:r>
      <w:r>
        <w:rPr>
          <w:rFonts w:hint="default" w:ascii="仿宋" w:hAnsi="仿宋" w:eastAsia="仿宋" w:cs="仿宋"/>
          <w:sz w:val="32"/>
          <w:szCs w:val="32"/>
          <w:lang w:val="en-US" w:eastAsia="zh-CN"/>
        </w:rPr>
        <w:t>9.3</w:t>
      </w:r>
      <w:r>
        <w:rPr>
          <w:rFonts w:hint="eastAsia" w:ascii="仿宋" w:hAnsi="仿宋" w:eastAsia="仿宋" w:cs="仿宋"/>
          <w:sz w:val="32"/>
          <w:szCs w:val="32"/>
          <w:lang w:val="en-US" w:eastAsia="zh-CN"/>
        </w:rPr>
        <w:t>亩），总建筑面积</w:t>
      </w:r>
      <w:r>
        <w:rPr>
          <w:rFonts w:hint="default" w:ascii="仿宋" w:hAnsi="仿宋" w:eastAsia="仿宋" w:cs="仿宋"/>
          <w:sz w:val="32"/>
          <w:szCs w:val="32"/>
          <w:lang w:val="en-US" w:eastAsia="zh-CN"/>
        </w:rPr>
        <w:t>3500</w:t>
      </w:r>
      <w:r>
        <w:rPr>
          <w:rFonts w:hint="eastAsia" w:ascii="仿宋" w:hAnsi="仿宋" w:eastAsia="仿宋" w:cs="仿宋"/>
          <w:sz w:val="32"/>
          <w:szCs w:val="32"/>
          <w:lang w:val="en-US" w:eastAsia="zh-CN"/>
        </w:rPr>
        <w:t>平方米，建设生产车间</w:t>
      </w:r>
      <w:r>
        <w:rPr>
          <w:rFonts w:hint="default" w:ascii="仿宋" w:hAnsi="仿宋" w:eastAsia="仿宋" w:cs="仿宋"/>
          <w:sz w:val="32"/>
          <w:szCs w:val="32"/>
          <w:lang w:val="en-US" w:eastAsia="zh-CN"/>
        </w:rPr>
        <w:t>3400</w:t>
      </w:r>
      <w:r>
        <w:rPr>
          <w:rFonts w:hint="eastAsia" w:ascii="仿宋" w:hAnsi="仿宋" w:eastAsia="仿宋" w:cs="仿宋"/>
          <w:sz w:val="32"/>
          <w:szCs w:val="32"/>
          <w:lang w:val="en-US" w:eastAsia="zh-CN"/>
        </w:rPr>
        <w:t>平方米、办公其他用房</w:t>
      </w:r>
      <w:r>
        <w:rPr>
          <w:rFonts w:hint="default" w:ascii="仿宋" w:hAnsi="仿宋" w:eastAsia="仿宋" w:cs="仿宋"/>
          <w:sz w:val="32"/>
          <w:szCs w:val="32"/>
          <w:lang w:val="en-US" w:eastAsia="zh-CN"/>
        </w:rPr>
        <w:t>90</w:t>
      </w:r>
      <w:r>
        <w:rPr>
          <w:rFonts w:hint="eastAsia" w:ascii="仿宋" w:hAnsi="仿宋" w:eastAsia="仿宋" w:cs="仿宋"/>
          <w:sz w:val="32"/>
          <w:szCs w:val="32"/>
          <w:lang w:val="en-US" w:eastAsia="zh-CN"/>
        </w:rPr>
        <w:t>平方米，危废间</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平方米。主要购置安装卧式研磨机、上料机、密炼机、簇绒织机和草坪拉丝机等设备。项目建成后年产</w:t>
      </w:r>
      <w:r>
        <w:rPr>
          <w:rFonts w:hint="default" w:ascii="仿宋" w:hAnsi="仿宋" w:eastAsia="仿宋" w:cs="仿宋"/>
          <w:sz w:val="32"/>
          <w:szCs w:val="32"/>
          <w:lang w:val="en-US" w:eastAsia="zh-CN"/>
        </w:rPr>
        <w:t>12000t</w:t>
      </w:r>
      <w:r>
        <w:rPr>
          <w:rFonts w:hint="eastAsia" w:ascii="仿宋" w:hAnsi="仿宋" w:eastAsia="仿宋" w:cs="仿宋"/>
          <w:sz w:val="32"/>
          <w:szCs w:val="32"/>
          <w:lang w:val="en-US" w:eastAsia="zh-CN"/>
        </w:rPr>
        <w:t>塑胶跑道材料、年产</w:t>
      </w:r>
      <w:r>
        <w:rPr>
          <w:rFonts w:hint="default" w:ascii="仿宋" w:hAnsi="仿宋" w:eastAsia="仿宋" w:cs="仿宋"/>
          <w:sz w:val="32"/>
          <w:szCs w:val="32"/>
          <w:lang w:val="en-US" w:eastAsia="zh-CN"/>
        </w:rPr>
        <w:t>90</w:t>
      </w:r>
      <w:r>
        <w:rPr>
          <w:rFonts w:hint="eastAsia" w:ascii="仿宋" w:hAnsi="仿宋" w:eastAsia="仿宋" w:cs="仿宋"/>
          <w:sz w:val="32"/>
          <w:szCs w:val="32"/>
          <w:lang w:val="en-US" w:eastAsia="zh-CN"/>
        </w:rPr>
        <w:t>万平方米人造草坪。</w:t>
      </w:r>
      <w:r>
        <w:rPr>
          <w:rFonts w:hint="default" w:ascii="仿宋" w:hAnsi="仿宋" w:eastAsia="仿宋" w:cs="仿宋"/>
          <w:sz w:val="32"/>
          <w:szCs w:val="32"/>
        </w:rPr>
        <w:t>总投资</w:t>
      </w:r>
      <w:r>
        <w:rPr>
          <w:rFonts w:hint="eastAsia" w:ascii="仿宋" w:hAnsi="仿宋" w:eastAsia="仿宋" w:cs="仿宋"/>
          <w:sz w:val="32"/>
          <w:szCs w:val="32"/>
          <w:lang w:val="en-US" w:eastAsia="zh-CN"/>
        </w:rPr>
        <w:t>18000</w:t>
      </w:r>
      <w:r>
        <w:rPr>
          <w:rFonts w:hint="default" w:ascii="仿宋" w:hAnsi="仿宋" w:eastAsia="仿宋" w:cs="仿宋"/>
          <w:sz w:val="32"/>
          <w:szCs w:val="32"/>
        </w:rPr>
        <w:t>万元，其中环保投资</w:t>
      </w:r>
      <w:r>
        <w:rPr>
          <w:rFonts w:hint="eastAsia" w:ascii="仿宋" w:hAnsi="仿宋" w:eastAsia="仿宋" w:cs="仿宋"/>
          <w:sz w:val="32"/>
          <w:szCs w:val="32"/>
          <w:lang w:val="en-US" w:eastAsia="zh-CN"/>
        </w:rPr>
        <w:t>150</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0.83</w:t>
      </w:r>
      <w:r>
        <w:rPr>
          <w:rFonts w:hint="default"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val="en-US" w:eastAsia="zh-CN"/>
        </w:rPr>
        <w:t>河北环骏环境科技有限公司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河北腾鑫体育设施有限公司河北腾鑫体育设施有限公司塑胶跑道建设迁建项目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(1)</w:t>
      </w:r>
      <w:r>
        <w:rPr>
          <w:rFonts w:hint="eastAsia" w:ascii="仿宋" w:hAnsi="仿宋" w:eastAsia="仿宋" w:cs="仿宋"/>
          <w:sz w:val="32"/>
          <w:szCs w:val="32"/>
        </w:rPr>
        <w:t>废气：该项目废气主要</w:t>
      </w:r>
      <w:r>
        <w:rPr>
          <w:rFonts w:hint="default" w:ascii="仿宋" w:hAnsi="仿宋" w:eastAsia="仿宋" w:cs="仿宋"/>
          <w:sz w:val="32"/>
          <w:szCs w:val="32"/>
        </w:rPr>
        <w:t>为</w:t>
      </w:r>
      <w:r>
        <w:rPr>
          <w:rFonts w:hint="eastAsia" w:ascii="仿宋" w:hAnsi="仿宋" w:eastAsia="仿宋" w:cs="仿宋"/>
          <w:sz w:val="32"/>
          <w:szCs w:val="32"/>
          <w:lang w:val="en-US" w:eastAsia="zh-CN"/>
        </w:rPr>
        <w:t>有组织废气和无组织废气。</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有组织废气主要为非甲烷总烃、颗粒物、</w:t>
      </w:r>
      <w:r>
        <w:rPr>
          <w:rFonts w:hint="default" w:ascii="仿宋" w:hAnsi="仿宋" w:eastAsia="仿宋" w:cs="仿宋"/>
          <w:sz w:val="32"/>
          <w:szCs w:val="32"/>
          <w:lang w:val="en-US" w:eastAsia="zh-CN"/>
        </w:rPr>
        <w:t>H</w:t>
      </w:r>
      <w:r>
        <w:rPr>
          <w:rFonts w:hint="default" w:ascii="仿宋" w:hAnsi="仿宋" w:eastAsia="仿宋" w:cs="仿宋"/>
          <w:sz w:val="21"/>
          <w:szCs w:val="21"/>
          <w:lang w:val="en-US" w:eastAsia="zh-CN"/>
        </w:rPr>
        <w:t>2</w:t>
      </w:r>
      <w:r>
        <w:rPr>
          <w:rFonts w:hint="default" w:ascii="仿宋" w:hAnsi="仿宋" w:eastAsia="仿宋" w:cs="仿宋"/>
          <w:sz w:val="32"/>
          <w:szCs w:val="32"/>
          <w:lang w:val="en-US" w:eastAsia="zh-CN"/>
        </w:rPr>
        <w:t>S</w:t>
      </w:r>
      <w:r>
        <w:rPr>
          <w:rFonts w:hint="eastAsia" w:ascii="仿宋" w:hAnsi="仿宋" w:eastAsia="仿宋" w:cs="仿宋"/>
          <w:sz w:val="32"/>
          <w:szCs w:val="32"/>
          <w:lang w:val="en-US" w:eastAsia="zh-CN"/>
        </w:rPr>
        <w:t>、臭气浓度等废气，通过集气罩收集经布袋除尘器处理后与抽真空废气共用一套两级活性炭吸附装置处理后经排气筒排放。满足《橡胶制品工业污染物排放标准》（</w:t>
      </w:r>
      <w:r>
        <w:rPr>
          <w:rFonts w:hint="default" w:ascii="仿宋" w:hAnsi="仿宋" w:eastAsia="仿宋" w:cs="仿宋"/>
          <w:sz w:val="32"/>
          <w:szCs w:val="32"/>
          <w:lang w:val="en-US" w:eastAsia="zh-CN"/>
        </w:rPr>
        <w:t>GB27632-2011</w:t>
      </w:r>
      <w:r>
        <w:rPr>
          <w:rFonts w:hint="eastAsia" w:ascii="仿宋" w:hAnsi="仿宋" w:eastAsia="仿宋" w:cs="仿宋"/>
          <w:sz w:val="32"/>
          <w:szCs w:val="32"/>
          <w:lang w:val="en-US" w:eastAsia="zh-CN"/>
        </w:rPr>
        <w:t>）表5排放限值要求、《大气污染物综合排放标准》（</w:t>
      </w:r>
      <w:r>
        <w:rPr>
          <w:rFonts w:hint="default" w:ascii="仿宋" w:hAnsi="仿宋" w:eastAsia="仿宋" w:cs="仿宋"/>
          <w:sz w:val="32"/>
          <w:szCs w:val="32"/>
          <w:lang w:val="en-US" w:eastAsia="zh-CN"/>
        </w:rPr>
        <w:t>GB16297-1996</w:t>
      </w:r>
      <w:r>
        <w:rPr>
          <w:rFonts w:hint="eastAsia" w:ascii="仿宋" w:hAnsi="仿宋" w:eastAsia="仿宋" w:cs="仿宋"/>
          <w:sz w:val="32"/>
          <w:szCs w:val="32"/>
          <w:lang w:val="en-US" w:eastAsia="zh-CN"/>
        </w:rPr>
        <w:t xml:space="preserve">）表 </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无组织废气主要为颗粒物、非甲烷总烃、</w:t>
      </w:r>
      <w:r>
        <w:rPr>
          <w:rFonts w:hint="default" w:ascii="仿宋" w:hAnsi="仿宋" w:eastAsia="仿宋" w:cs="仿宋"/>
          <w:sz w:val="32"/>
          <w:szCs w:val="32"/>
          <w:lang w:val="en-US" w:eastAsia="zh-CN"/>
        </w:rPr>
        <w:t xml:space="preserve">H2S </w:t>
      </w:r>
      <w:r>
        <w:rPr>
          <w:rFonts w:hint="eastAsia" w:ascii="仿宋" w:hAnsi="仿宋" w:eastAsia="仿宋" w:cs="仿宋"/>
          <w:sz w:val="32"/>
          <w:szCs w:val="32"/>
          <w:lang w:val="en-US" w:eastAsia="zh-CN"/>
        </w:rPr>
        <w:t>和臭气浓度。采用车间密闭、加强收集效率等措施，满足《工业企业挥发性有机物排放控制标准》（</w:t>
      </w:r>
      <w:r>
        <w:rPr>
          <w:rFonts w:hint="default" w:ascii="仿宋" w:hAnsi="仿宋" w:eastAsia="仿宋" w:cs="仿宋"/>
          <w:sz w:val="32"/>
          <w:szCs w:val="32"/>
          <w:lang w:val="en-US" w:eastAsia="zh-CN"/>
        </w:rPr>
        <w:t>DB13/2322-2016</w:t>
      </w:r>
      <w:r>
        <w:rPr>
          <w:rFonts w:hint="eastAsia" w:ascii="仿宋" w:hAnsi="仿宋" w:eastAsia="仿宋" w:cs="仿宋"/>
          <w:sz w:val="32"/>
          <w:szCs w:val="32"/>
          <w:lang w:val="en-US" w:eastAsia="zh-CN"/>
        </w:rPr>
        <w:t xml:space="preserve">）表 </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企业边界浓度限值。</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废水：</w:t>
      </w:r>
      <w:r>
        <w:rPr>
          <w:rFonts w:hint="eastAsia" w:ascii="仿宋" w:hAnsi="仿宋" w:eastAsia="仿宋" w:cs="仿宋"/>
          <w:sz w:val="32"/>
          <w:szCs w:val="32"/>
          <w:lang w:eastAsia="zh-CN"/>
        </w:rPr>
        <w:t>该项目废水主要为</w:t>
      </w:r>
      <w:r>
        <w:rPr>
          <w:rFonts w:hint="eastAsia" w:ascii="仿宋" w:hAnsi="仿宋" w:eastAsia="仿宋" w:cs="仿宋"/>
          <w:sz w:val="32"/>
          <w:szCs w:val="32"/>
          <w:lang w:val="en-US" w:eastAsia="zh-CN"/>
        </w:rPr>
        <w:t>燃气蒸汽发生器浓水、排污水及生活污水。燃气蒸汽发生器浓水、排污水与经化粪池预处理后的生活污水达标排入魏县经济开发区污水处理厂。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w:t>
      </w:r>
      <w:r>
        <w:rPr>
          <w:rFonts w:hint="eastAsia" w:ascii="仿宋" w:hAnsi="仿宋" w:eastAsia="仿宋" w:cs="仿宋"/>
          <w:sz w:val="32"/>
          <w:szCs w:val="32"/>
          <w:lang w:val="en-US" w:eastAsia="zh-CN"/>
        </w:rPr>
        <w:t>为密炼机、开炼机、破碎机、震动筛、水环真空泵设备运行噪声</w:t>
      </w:r>
      <w:r>
        <w:rPr>
          <w:rFonts w:hint="default" w:ascii="仿宋" w:hAnsi="仿宋" w:eastAsia="仿宋" w:cs="仿宋"/>
          <w:sz w:val="32"/>
          <w:szCs w:val="32"/>
        </w:rPr>
        <w:t>。</w:t>
      </w:r>
      <w:r>
        <w:rPr>
          <w:rFonts w:hint="eastAsia" w:ascii="仿宋" w:hAnsi="仿宋" w:eastAsia="仿宋" w:cs="仿宋"/>
          <w:sz w:val="32"/>
          <w:szCs w:val="32"/>
          <w:lang w:val="en-US" w:eastAsia="zh-CN"/>
        </w:rPr>
        <w:t>选用低噪声设备，经采取厂房隔声、基础减振和风机消声等措施,</w:t>
      </w:r>
      <w:r>
        <w:rPr>
          <w:rFonts w:hint="eastAsia" w:ascii="仿宋" w:hAnsi="仿宋" w:eastAsia="仿宋" w:cs="仿宋"/>
          <w:sz w:val="32"/>
          <w:szCs w:val="32"/>
        </w:rPr>
        <w:t>满足《工业企业厂界环境噪声排放标准》（GB12348-2008）</w:t>
      </w:r>
      <w:r>
        <w:rPr>
          <w:rFonts w:hint="eastAsia" w:ascii="仿宋" w:hAnsi="仿宋" w:eastAsia="仿宋" w:cs="仿宋"/>
          <w:sz w:val="32"/>
          <w:szCs w:val="32"/>
          <w:lang w:val="en-US" w:eastAsia="zh-CN"/>
        </w:rPr>
        <w:t>3类</w:t>
      </w:r>
      <w:r>
        <w:rPr>
          <w:rFonts w:hint="eastAsia" w:ascii="仿宋" w:hAnsi="仿宋" w:eastAsia="仿宋" w:cs="仿宋"/>
          <w:sz w:val="32"/>
          <w:szCs w:val="32"/>
        </w:rPr>
        <w:t>标准要求。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w:t>
      </w:r>
      <w:r>
        <w:rPr>
          <w:rFonts w:hint="default" w:ascii="仿宋" w:hAnsi="仿宋" w:eastAsia="仿宋" w:cs="仿宋"/>
          <w:sz w:val="32"/>
          <w:szCs w:val="32"/>
        </w:rPr>
        <w:t>要为</w:t>
      </w:r>
      <w:r>
        <w:rPr>
          <w:rFonts w:hint="eastAsia" w:ascii="仿宋" w:hAnsi="仿宋" w:eastAsia="仿宋" w:cs="仿宋"/>
          <w:sz w:val="32"/>
          <w:szCs w:val="32"/>
          <w:lang w:val="en-US" w:eastAsia="zh-CN"/>
        </w:rPr>
        <w:t>一般工业固体废物、危险废物和职工生活垃圾。一般工业固体废物布袋除尘灰、其他废包装集中收集后外售；危险废物废包装桶、废活性炭、设备维修与保养产生的废机油、废液压油分类储存至专用容器内，收集暂存于危废间内，定期交由有相应资质的单位处理；职工生活垃圾集中收集后定期由环卫部门统一处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80" w:lineRule="exact"/>
        <w:ind w:firstLine="5120" w:firstLineChars="1600"/>
        <w:textAlignment w:val="auto"/>
      </w:pPr>
      <w:r>
        <w:rPr>
          <w:rFonts w:hint="eastAsia" w:ascii="仿宋" w:hAnsi="仿宋" w:eastAsia="仿宋" w:cs="仿宋"/>
          <w:sz w:val="32"/>
          <w:szCs w:val="32"/>
        </w:rPr>
        <w:t>二〇二二年</w:t>
      </w:r>
      <w:r>
        <w:rPr>
          <w:rFonts w:hint="eastAsia" w:ascii="仿宋" w:hAnsi="仿宋" w:eastAsia="仿宋" w:cs="仿宋"/>
          <w:sz w:val="32"/>
          <w:szCs w:val="32"/>
          <w:lang w:eastAsia="zh-CN"/>
        </w:rPr>
        <w:t>十一</w:t>
      </w:r>
      <w:r>
        <w:rPr>
          <w:rFonts w:hint="eastAsia" w:ascii="仿宋" w:hAnsi="仿宋" w:eastAsia="仿宋" w:cs="仿宋"/>
          <w:sz w:val="32"/>
          <w:szCs w:val="32"/>
        </w:rPr>
        <w:t>月</w:t>
      </w:r>
      <w:r>
        <w:rPr>
          <w:rFonts w:hint="eastAsia" w:ascii="仿宋" w:hAnsi="仿宋" w:eastAsia="仿宋" w:cs="仿宋"/>
          <w:sz w:val="32"/>
          <w:szCs w:val="32"/>
          <w:lang w:eastAsia="zh-CN"/>
        </w:rPr>
        <w:t>二十四</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8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95447D6"/>
    <w:rsid w:val="0A9D106A"/>
    <w:rsid w:val="0AF51DF0"/>
    <w:rsid w:val="0BDF7179"/>
    <w:rsid w:val="0C68597E"/>
    <w:rsid w:val="0E764925"/>
    <w:rsid w:val="0F1C2311"/>
    <w:rsid w:val="0FDE09E6"/>
    <w:rsid w:val="106D2B6E"/>
    <w:rsid w:val="10D91F63"/>
    <w:rsid w:val="113B0990"/>
    <w:rsid w:val="114B271D"/>
    <w:rsid w:val="11DF57C6"/>
    <w:rsid w:val="12172001"/>
    <w:rsid w:val="129917DB"/>
    <w:rsid w:val="129B7B4D"/>
    <w:rsid w:val="12AB7149"/>
    <w:rsid w:val="130B6790"/>
    <w:rsid w:val="14196AC8"/>
    <w:rsid w:val="14491426"/>
    <w:rsid w:val="157E222F"/>
    <w:rsid w:val="15DB2D04"/>
    <w:rsid w:val="15E745A2"/>
    <w:rsid w:val="16443E43"/>
    <w:rsid w:val="17510115"/>
    <w:rsid w:val="179A4B58"/>
    <w:rsid w:val="17E10A24"/>
    <w:rsid w:val="17FF28AC"/>
    <w:rsid w:val="18000697"/>
    <w:rsid w:val="185E720D"/>
    <w:rsid w:val="19415BB3"/>
    <w:rsid w:val="19895A0E"/>
    <w:rsid w:val="19FB4D34"/>
    <w:rsid w:val="1A294A36"/>
    <w:rsid w:val="1AA11B5D"/>
    <w:rsid w:val="1B697EA8"/>
    <w:rsid w:val="1E5766F9"/>
    <w:rsid w:val="1E851D75"/>
    <w:rsid w:val="1EC27FFB"/>
    <w:rsid w:val="1ED878EA"/>
    <w:rsid w:val="1F1D7927"/>
    <w:rsid w:val="1FD60677"/>
    <w:rsid w:val="204B0713"/>
    <w:rsid w:val="20E03FCA"/>
    <w:rsid w:val="20E44945"/>
    <w:rsid w:val="20F90A4D"/>
    <w:rsid w:val="214669F0"/>
    <w:rsid w:val="21AF7885"/>
    <w:rsid w:val="23A91D85"/>
    <w:rsid w:val="240D3712"/>
    <w:rsid w:val="244F40DF"/>
    <w:rsid w:val="25283A6A"/>
    <w:rsid w:val="25645A32"/>
    <w:rsid w:val="264D28A0"/>
    <w:rsid w:val="26E74AA2"/>
    <w:rsid w:val="271D64A4"/>
    <w:rsid w:val="277E76AF"/>
    <w:rsid w:val="28D177B8"/>
    <w:rsid w:val="2A2274B9"/>
    <w:rsid w:val="2A93797A"/>
    <w:rsid w:val="2D1D3C71"/>
    <w:rsid w:val="2E2D6C30"/>
    <w:rsid w:val="2E434E08"/>
    <w:rsid w:val="2EF56638"/>
    <w:rsid w:val="2F0F2DE8"/>
    <w:rsid w:val="2FFEC92F"/>
    <w:rsid w:val="31280191"/>
    <w:rsid w:val="322F3A2D"/>
    <w:rsid w:val="329F3D86"/>
    <w:rsid w:val="33135CF7"/>
    <w:rsid w:val="344F7285"/>
    <w:rsid w:val="34605E94"/>
    <w:rsid w:val="34735BC7"/>
    <w:rsid w:val="34E267D6"/>
    <w:rsid w:val="3541384C"/>
    <w:rsid w:val="35982344"/>
    <w:rsid w:val="35B62865"/>
    <w:rsid w:val="364C37C6"/>
    <w:rsid w:val="37E7787E"/>
    <w:rsid w:val="37FF6C2C"/>
    <w:rsid w:val="382316B2"/>
    <w:rsid w:val="38B24769"/>
    <w:rsid w:val="390C0D4D"/>
    <w:rsid w:val="3A0B0650"/>
    <w:rsid w:val="3AB71B70"/>
    <w:rsid w:val="3B6E30B9"/>
    <w:rsid w:val="3CE358B4"/>
    <w:rsid w:val="3E7120FF"/>
    <w:rsid w:val="3E7423EA"/>
    <w:rsid w:val="3E973002"/>
    <w:rsid w:val="3F3B64BC"/>
    <w:rsid w:val="3F6E0BBC"/>
    <w:rsid w:val="3F852C53"/>
    <w:rsid w:val="3FC147C6"/>
    <w:rsid w:val="40615CD2"/>
    <w:rsid w:val="407E7924"/>
    <w:rsid w:val="41127513"/>
    <w:rsid w:val="41785827"/>
    <w:rsid w:val="41B86E71"/>
    <w:rsid w:val="41E73751"/>
    <w:rsid w:val="42206C63"/>
    <w:rsid w:val="4311484D"/>
    <w:rsid w:val="433E290F"/>
    <w:rsid w:val="438C0C21"/>
    <w:rsid w:val="43942C39"/>
    <w:rsid w:val="43BD6A5C"/>
    <w:rsid w:val="43C918A7"/>
    <w:rsid w:val="44287E6B"/>
    <w:rsid w:val="445567D9"/>
    <w:rsid w:val="451172E5"/>
    <w:rsid w:val="459F629A"/>
    <w:rsid w:val="46FD1932"/>
    <w:rsid w:val="470A2D16"/>
    <w:rsid w:val="47746782"/>
    <w:rsid w:val="47BF2A01"/>
    <w:rsid w:val="48E25C79"/>
    <w:rsid w:val="4AB132DC"/>
    <w:rsid w:val="4C473D74"/>
    <w:rsid w:val="4E610056"/>
    <w:rsid w:val="4E685C19"/>
    <w:rsid w:val="4EDD0DCF"/>
    <w:rsid w:val="4EF77B4F"/>
    <w:rsid w:val="4F18791D"/>
    <w:rsid w:val="4F1C6FFB"/>
    <w:rsid w:val="4F690F91"/>
    <w:rsid w:val="501F09EA"/>
    <w:rsid w:val="5072038C"/>
    <w:rsid w:val="50BB2658"/>
    <w:rsid w:val="50CD2FBF"/>
    <w:rsid w:val="527A0EDB"/>
    <w:rsid w:val="527D4703"/>
    <w:rsid w:val="535B3AF8"/>
    <w:rsid w:val="53E73FF6"/>
    <w:rsid w:val="53E75832"/>
    <w:rsid w:val="53F72BDF"/>
    <w:rsid w:val="55ED402C"/>
    <w:rsid w:val="57636D42"/>
    <w:rsid w:val="57A52ED3"/>
    <w:rsid w:val="58102F39"/>
    <w:rsid w:val="584B2C7F"/>
    <w:rsid w:val="599C53B3"/>
    <w:rsid w:val="59E2253B"/>
    <w:rsid w:val="5AB31D56"/>
    <w:rsid w:val="5B9F6213"/>
    <w:rsid w:val="5C5577B1"/>
    <w:rsid w:val="5D041EC4"/>
    <w:rsid w:val="5D180283"/>
    <w:rsid w:val="5DA35DEF"/>
    <w:rsid w:val="5E9C4600"/>
    <w:rsid w:val="609F765D"/>
    <w:rsid w:val="60A87FA8"/>
    <w:rsid w:val="60B701F1"/>
    <w:rsid w:val="611C590E"/>
    <w:rsid w:val="61F3755F"/>
    <w:rsid w:val="61FB2088"/>
    <w:rsid w:val="630D75F8"/>
    <w:rsid w:val="6324615B"/>
    <w:rsid w:val="63655EDA"/>
    <w:rsid w:val="63CA359B"/>
    <w:rsid w:val="64FB2EEB"/>
    <w:rsid w:val="65222343"/>
    <w:rsid w:val="658D21DE"/>
    <w:rsid w:val="6619032E"/>
    <w:rsid w:val="666630A7"/>
    <w:rsid w:val="66692B11"/>
    <w:rsid w:val="66A7176F"/>
    <w:rsid w:val="66E4190D"/>
    <w:rsid w:val="68971A30"/>
    <w:rsid w:val="68A8716B"/>
    <w:rsid w:val="6DB91902"/>
    <w:rsid w:val="6ED22ABA"/>
    <w:rsid w:val="70A529FB"/>
    <w:rsid w:val="70E5575F"/>
    <w:rsid w:val="718928E9"/>
    <w:rsid w:val="725842D4"/>
    <w:rsid w:val="73234838"/>
    <w:rsid w:val="73A66718"/>
    <w:rsid w:val="73F80525"/>
    <w:rsid w:val="740578E3"/>
    <w:rsid w:val="745E40F2"/>
    <w:rsid w:val="75F67CAA"/>
    <w:rsid w:val="76264EEE"/>
    <w:rsid w:val="76E51E33"/>
    <w:rsid w:val="77387F1B"/>
    <w:rsid w:val="780528B7"/>
    <w:rsid w:val="78754ADB"/>
    <w:rsid w:val="79531210"/>
    <w:rsid w:val="79893713"/>
    <w:rsid w:val="79F96A6F"/>
    <w:rsid w:val="7A295A6E"/>
    <w:rsid w:val="7A312FF7"/>
    <w:rsid w:val="7A715F66"/>
    <w:rsid w:val="7AE665D2"/>
    <w:rsid w:val="7B47340A"/>
    <w:rsid w:val="7C273A6C"/>
    <w:rsid w:val="7C7D60D1"/>
    <w:rsid w:val="7CD62DD6"/>
    <w:rsid w:val="7D722603"/>
    <w:rsid w:val="7D7635FF"/>
    <w:rsid w:val="7DC771EB"/>
    <w:rsid w:val="7DF7693F"/>
    <w:rsid w:val="7E6959D0"/>
    <w:rsid w:val="7E9025AA"/>
    <w:rsid w:val="7EA07A4E"/>
    <w:rsid w:val="7EFB7EB4"/>
    <w:rsid w:val="7F0A587D"/>
    <w:rsid w:val="7F9922F7"/>
    <w:rsid w:val="7FA94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Body Text First Indent 2"/>
    <w:basedOn w:val="6"/>
    <w:next w:val="1"/>
    <w:qFormat/>
    <w:uiPriority w:val="0"/>
    <w:pPr>
      <w:spacing w:line="240" w:lineRule="auto"/>
      <w:ind w:left="420" w:leftChars="200" w:firstLine="420" w:firstLineChars="200"/>
    </w:pPr>
    <w:rPr>
      <w:sz w:val="21"/>
    </w:rPr>
  </w:style>
  <w:style w:type="paragraph" w:styleId="8">
    <w:name w:val="Block Text"/>
    <w:basedOn w:val="1"/>
    <w:next w:val="1"/>
    <w:qFormat/>
    <w:uiPriority w:val="0"/>
    <w:pPr>
      <w:ind w:left="113" w:right="113" w:firstLine="595"/>
      <w:jc w:val="left"/>
    </w:pPr>
    <w:rPr>
      <w:sz w:val="28"/>
    </w:rPr>
  </w:style>
  <w:style w:type="paragraph" w:styleId="9">
    <w:name w:val="Plain Text"/>
    <w:basedOn w:val="1"/>
    <w:qFormat/>
    <w:uiPriority w:val="0"/>
    <w:rPr>
      <w:rFonts w:ascii="宋体" w:hAnsi="Courier New" w:eastAsia="宋体" w:cs="宋体"/>
      <w:sz w:val="24"/>
    </w:rPr>
  </w:style>
  <w:style w:type="paragraph" w:styleId="10">
    <w:name w:val="Body Text Indent 2"/>
    <w:basedOn w:val="1"/>
    <w:qFormat/>
    <w:uiPriority w:val="0"/>
    <w:pPr>
      <w:spacing w:line="480" w:lineRule="exact"/>
      <w:ind w:firstLine="570"/>
    </w:pPr>
    <w:rPr>
      <w:sz w:val="28"/>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样式5"/>
    <w:basedOn w:val="15"/>
    <w:qFormat/>
    <w:uiPriority w:val="0"/>
    <w:pPr>
      <w:keepNext/>
      <w:spacing w:line="240" w:lineRule="auto"/>
      <w:jc w:val="left"/>
      <w:outlineLvl w:val="0"/>
    </w:pPr>
    <w:rPr>
      <w:rFonts w:ascii="黑体" w:hAnsi="黑体"/>
      <w:spacing w:val="5"/>
      <w:sz w:val="25"/>
      <w:szCs w:val="25"/>
    </w:rPr>
  </w:style>
  <w:style w:type="paragraph" w:customStyle="1" w:styleId="15">
    <w:name w:val="正文1"/>
    <w:basedOn w:val="1"/>
    <w:qFormat/>
    <w:uiPriority w:val="0"/>
    <w:pPr>
      <w:adjustRightInd w:val="0"/>
      <w:snapToGrid w:val="0"/>
      <w:spacing w:line="480" w:lineRule="exact"/>
      <w:ind w:firstLine="200"/>
    </w:pPr>
    <w:rPr>
      <w:szCs w:val="20"/>
    </w:r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1609</Words>
  <Characters>1722</Characters>
  <Lines>13</Lines>
  <Paragraphs>3</Paragraphs>
  <TotalTime>0</TotalTime>
  <ScaleCrop>false</ScaleCrop>
  <LinksUpToDate>false</LinksUpToDate>
  <CharactersWithSpaces>1731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2022-02-14T08:44:00Z</dcterms:created>
  <dc:creator>ZWFWTYSL03</dc:creator>
  <cp:lastModifiedBy>wxak</cp:lastModifiedBy>
  <cp:lastPrinted>2022-10-31T10:03:00Z</cp:lastPrinted>
  <dcterms:modified xsi:type="dcterms:W3CDTF">2024-09-12T17:05:51Z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5072C3C669A64323B35747BC100C39F6</vt:lpwstr>
  </property>
</Properties>
</file>