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348魏县交通局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16842.85</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5600.00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r>
              <w:t>15045.20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22442.85</w:t>
            </w:r>
          </w:p>
        </w:tc>
        <w:tc>
          <w:tcPr>
            <w:tcW w:w="4535" w:type="dxa"/>
            <w:vAlign w:val="center"/>
          </w:tcPr>
          <w:p>
            <w:pPr>
              <w:pStyle w:val="12"/>
            </w:pPr>
            <w:r>
              <w:t>本年支出合计</w:t>
            </w:r>
          </w:p>
        </w:tc>
        <w:tc>
          <w:tcPr>
            <w:tcW w:w="2126" w:type="dxa"/>
            <w:vAlign w:val="center"/>
          </w:tcPr>
          <w:p>
            <w:pPr>
              <w:pStyle w:val="13"/>
            </w:pPr>
            <w:r>
              <w:t>22442.85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22442.85</w:t>
            </w:r>
          </w:p>
        </w:tc>
        <w:tc>
          <w:tcPr>
            <w:tcW w:w="4535" w:type="dxa"/>
            <w:vAlign w:val="center"/>
          </w:tcPr>
          <w:p>
            <w:pPr>
              <w:pStyle w:val="12"/>
            </w:pPr>
            <w:r>
              <w:t>支出总计</w:t>
            </w:r>
          </w:p>
        </w:tc>
        <w:tc>
          <w:tcPr>
            <w:tcW w:w="2126" w:type="dxa"/>
            <w:vAlign w:val="center"/>
          </w:tcPr>
          <w:p>
            <w:pPr>
              <w:pStyle w:val="13"/>
            </w:pPr>
            <w:r>
              <w:t>22442.85</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348魏县交通局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22442.85</w:t>
            </w:r>
          </w:p>
        </w:tc>
        <w:tc>
          <w:tcPr>
            <w:tcW w:w="1134" w:type="dxa"/>
            <w:vAlign w:val="center"/>
          </w:tcPr>
          <w:p>
            <w:pPr>
              <w:pStyle w:val="13"/>
            </w:pPr>
            <w:r>
              <w:t>22442.85</w:t>
            </w:r>
          </w:p>
        </w:tc>
        <w:tc>
          <w:tcPr>
            <w:tcW w:w="1134" w:type="dxa"/>
            <w:vAlign w:val="center"/>
          </w:tcPr>
          <w:p>
            <w:pPr>
              <w:pStyle w:val="13"/>
            </w:pPr>
            <w:r>
              <w:t>22442.85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2080599</w:t>
            </w:r>
          </w:p>
        </w:tc>
        <w:tc>
          <w:tcPr>
            <w:tcW w:w="1559" w:type="dxa"/>
            <w:vAlign w:val="center"/>
          </w:tcPr>
          <w:p>
            <w:pPr>
              <w:pStyle w:val="10"/>
            </w:pPr>
            <w:r>
              <w:t>其他行政事业单位养老支出</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r>
              <w:t>180.15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r>
              <w:t>5600.00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214</w:t>
            </w:r>
          </w:p>
        </w:tc>
        <w:tc>
          <w:tcPr>
            <w:tcW w:w="1559" w:type="dxa"/>
            <w:vAlign w:val="center"/>
          </w:tcPr>
          <w:p>
            <w:pPr>
              <w:pStyle w:val="10"/>
            </w:pPr>
            <w:r>
              <w:t>交通运输支出</w:t>
            </w:r>
          </w:p>
        </w:tc>
        <w:tc>
          <w:tcPr>
            <w:tcW w:w="1134" w:type="dxa"/>
            <w:vAlign w:val="center"/>
          </w:tcPr>
          <w:p>
            <w:pPr>
              <w:pStyle w:val="11"/>
            </w:pPr>
            <w:r>
              <w:t>15045.20</w:t>
            </w:r>
          </w:p>
        </w:tc>
        <w:tc>
          <w:tcPr>
            <w:tcW w:w="1134" w:type="dxa"/>
            <w:vAlign w:val="center"/>
          </w:tcPr>
          <w:p>
            <w:pPr>
              <w:pStyle w:val="11"/>
            </w:pPr>
            <w:r>
              <w:t>15045.20</w:t>
            </w:r>
          </w:p>
        </w:tc>
        <w:tc>
          <w:tcPr>
            <w:tcW w:w="1134" w:type="dxa"/>
            <w:vAlign w:val="center"/>
          </w:tcPr>
          <w:p>
            <w:pPr>
              <w:pStyle w:val="11"/>
            </w:pPr>
            <w:r>
              <w:t>15045.20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21401</w:t>
            </w:r>
          </w:p>
        </w:tc>
        <w:tc>
          <w:tcPr>
            <w:tcW w:w="1559" w:type="dxa"/>
            <w:vAlign w:val="center"/>
          </w:tcPr>
          <w:p>
            <w:pPr>
              <w:pStyle w:val="10"/>
            </w:pPr>
            <w:r>
              <w:t>公路水路运输</w:t>
            </w:r>
          </w:p>
        </w:tc>
        <w:tc>
          <w:tcPr>
            <w:tcW w:w="1134" w:type="dxa"/>
            <w:vAlign w:val="center"/>
          </w:tcPr>
          <w:p>
            <w:pPr>
              <w:pStyle w:val="11"/>
            </w:pPr>
            <w:r>
              <w:t>13933.20</w:t>
            </w:r>
          </w:p>
        </w:tc>
        <w:tc>
          <w:tcPr>
            <w:tcW w:w="1134" w:type="dxa"/>
            <w:vAlign w:val="center"/>
          </w:tcPr>
          <w:p>
            <w:pPr>
              <w:pStyle w:val="11"/>
            </w:pPr>
            <w:r>
              <w:t>13933.20</w:t>
            </w:r>
          </w:p>
        </w:tc>
        <w:tc>
          <w:tcPr>
            <w:tcW w:w="1134" w:type="dxa"/>
            <w:vAlign w:val="center"/>
          </w:tcPr>
          <w:p>
            <w:pPr>
              <w:pStyle w:val="11"/>
            </w:pPr>
            <w:r>
              <w:t>13933.20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2140101</w:t>
            </w:r>
          </w:p>
        </w:tc>
        <w:tc>
          <w:tcPr>
            <w:tcW w:w="1559" w:type="dxa"/>
            <w:vAlign w:val="center"/>
          </w:tcPr>
          <w:p>
            <w:pPr>
              <w:pStyle w:val="10"/>
            </w:pPr>
            <w:r>
              <w:t>行政运行</w:t>
            </w:r>
          </w:p>
        </w:tc>
        <w:tc>
          <w:tcPr>
            <w:tcW w:w="1134" w:type="dxa"/>
            <w:vAlign w:val="center"/>
          </w:tcPr>
          <w:p>
            <w:pPr>
              <w:pStyle w:val="11"/>
            </w:pPr>
            <w:r>
              <w:t>2906.00</w:t>
            </w:r>
          </w:p>
        </w:tc>
        <w:tc>
          <w:tcPr>
            <w:tcW w:w="1134" w:type="dxa"/>
            <w:vAlign w:val="center"/>
          </w:tcPr>
          <w:p>
            <w:pPr>
              <w:pStyle w:val="11"/>
            </w:pPr>
            <w:r>
              <w:t>2906.00</w:t>
            </w:r>
          </w:p>
        </w:tc>
        <w:tc>
          <w:tcPr>
            <w:tcW w:w="1134" w:type="dxa"/>
            <w:vAlign w:val="center"/>
          </w:tcPr>
          <w:p>
            <w:pPr>
              <w:pStyle w:val="11"/>
            </w:pPr>
            <w:r>
              <w:t>2906.00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2140104</w:t>
            </w:r>
          </w:p>
        </w:tc>
        <w:tc>
          <w:tcPr>
            <w:tcW w:w="1559" w:type="dxa"/>
            <w:vAlign w:val="center"/>
          </w:tcPr>
          <w:p>
            <w:pPr>
              <w:pStyle w:val="10"/>
            </w:pPr>
            <w:r>
              <w:t>公路建设</w:t>
            </w:r>
          </w:p>
        </w:tc>
        <w:tc>
          <w:tcPr>
            <w:tcW w:w="1134" w:type="dxa"/>
            <w:vAlign w:val="center"/>
          </w:tcPr>
          <w:p>
            <w:pPr>
              <w:pStyle w:val="11"/>
            </w:pPr>
            <w:r>
              <w:t>7543.20</w:t>
            </w:r>
          </w:p>
        </w:tc>
        <w:tc>
          <w:tcPr>
            <w:tcW w:w="1134" w:type="dxa"/>
            <w:vAlign w:val="center"/>
          </w:tcPr>
          <w:p>
            <w:pPr>
              <w:pStyle w:val="11"/>
            </w:pPr>
            <w:r>
              <w:t>7543.20</w:t>
            </w:r>
          </w:p>
        </w:tc>
        <w:tc>
          <w:tcPr>
            <w:tcW w:w="1134" w:type="dxa"/>
            <w:vAlign w:val="center"/>
          </w:tcPr>
          <w:p>
            <w:pPr>
              <w:pStyle w:val="11"/>
            </w:pPr>
            <w:r>
              <w:t>7543.20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2140106</w:t>
            </w:r>
          </w:p>
        </w:tc>
        <w:tc>
          <w:tcPr>
            <w:tcW w:w="1559" w:type="dxa"/>
            <w:vAlign w:val="center"/>
          </w:tcPr>
          <w:p>
            <w:pPr>
              <w:pStyle w:val="10"/>
            </w:pPr>
            <w:r>
              <w:t>公路养护</w:t>
            </w:r>
          </w:p>
        </w:tc>
        <w:tc>
          <w:tcPr>
            <w:tcW w:w="1134" w:type="dxa"/>
            <w:vAlign w:val="center"/>
          </w:tcPr>
          <w:p>
            <w:pPr>
              <w:pStyle w:val="11"/>
            </w:pPr>
            <w:r>
              <w:t>2524.00</w:t>
            </w:r>
          </w:p>
        </w:tc>
        <w:tc>
          <w:tcPr>
            <w:tcW w:w="1134" w:type="dxa"/>
            <w:vAlign w:val="center"/>
          </w:tcPr>
          <w:p>
            <w:pPr>
              <w:pStyle w:val="11"/>
            </w:pPr>
            <w:r>
              <w:t>2524.00</w:t>
            </w:r>
          </w:p>
        </w:tc>
        <w:tc>
          <w:tcPr>
            <w:tcW w:w="1134" w:type="dxa"/>
            <w:vAlign w:val="center"/>
          </w:tcPr>
          <w:p>
            <w:pPr>
              <w:pStyle w:val="11"/>
            </w:pPr>
            <w:r>
              <w:t>2524.00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2140109</w:t>
            </w:r>
          </w:p>
        </w:tc>
        <w:tc>
          <w:tcPr>
            <w:tcW w:w="1559" w:type="dxa"/>
            <w:vAlign w:val="center"/>
          </w:tcPr>
          <w:p>
            <w:pPr>
              <w:pStyle w:val="10"/>
            </w:pPr>
            <w:r>
              <w:t>交通运输信息化建设</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2140112</w:t>
            </w:r>
          </w:p>
        </w:tc>
        <w:tc>
          <w:tcPr>
            <w:tcW w:w="1559" w:type="dxa"/>
            <w:vAlign w:val="center"/>
          </w:tcPr>
          <w:p>
            <w:pPr>
              <w:pStyle w:val="10"/>
            </w:pPr>
            <w:r>
              <w:t>公路运输管理</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2140199</w:t>
            </w:r>
          </w:p>
        </w:tc>
        <w:tc>
          <w:tcPr>
            <w:tcW w:w="1559" w:type="dxa"/>
            <w:vAlign w:val="center"/>
          </w:tcPr>
          <w:p>
            <w:pPr>
              <w:pStyle w:val="10"/>
            </w:pPr>
            <w:r>
              <w:t>其他公路水路运输支出</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r>
              <w:t>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21406</w:t>
            </w:r>
          </w:p>
        </w:tc>
        <w:tc>
          <w:tcPr>
            <w:tcW w:w="1559" w:type="dxa"/>
            <w:vAlign w:val="center"/>
          </w:tcPr>
          <w:p>
            <w:pPr>
              <w:pStyle w:val="10"/>
            </w:pPr>
            <w:r>
              <w:t>车辆购置税支出</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2140602</w:t>
            </w:r>
          </w:p>
        </w:tc>
        <w:tc>
          <w:tcPr>
            <w:tcW w:w="1559" w:type="dxa"/>
            <w:vAlign w:val="center"/>
          </w:tcPr>
          <w:p>
            <w:pPr>
              <w:pStyle w:val="10"/>
            </w:pPr>
            <w:r>
              <w:t>车辆购置税用于农村公路建设支出</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r>
              <w:t>862.00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21499</w:t>
            </w:r>
          </w:p>
        </w:tc>
        <w:tc>
          <w:tcPr>
            <w:tcW w:w="1559" w:type="dxa"/>
            <w:vAlign w:val="center"/>
          </w:tcPr>
          <w:p>
            <w:pPr>
              <w:pStyle w:val="10"/>
            </w:pPr>
            <w:r>
              <w:t>其他交通运输支出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2149999</w:t>
            </w:r>
          </w:p>
        </w:tc>
        <w:tc>
          <w:tcPr>
            <w:tcW w:w="1559" w:type="dxa"/>
            <w:vAlign w:val="center"/>
          </w:tcPr>
          <w:p>
            <w:pPr>
              <w:pStyle w:val="10"/>
            </w:pPr>
            <w:r>
              <w:t>其他交通运输支出</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r>
              <w:t>250.00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22999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2299999</w:t>
            </w:r>
          </w:p>
        </w:tc>
        <w:tc>
          <w:tcPr>
            <w:tcW w:w="1559" w:type="dxa"/>
            <w:vAlign w:val="center"/>
          </w:tcPr>
          <w:p>
            <w:pPr>
              <w:pStyle w:val="10"/>
            </w:pPr>
            <w:r>
              <w:t>其他支出</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r>
              <w:t>1617.50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22442.85</w:t>
            </w:r>
          </w:p>
        </w:tc>
        <w:tc>
          <w:tcPr>
            <w:tcW w:w="1361" w:type="dxa"/>
            <w:vAlign w:val="center"/>
          </w:tcPr>
          <w:p>
            <w:pPr>
              <w:pStyle w:val="13"/>
            </w:pPr>
            <w:r>
              <w:t>2896.00</w:t>
            </w:r>
          </w:p>
        </w:tc>
        <w:tc>
          <w:tcPr>
            <w:tcW w:w="1361" w:type="dxa"/>
            <w:vAlign w:val="center"/>
          </w:tcPr>
          <w:p>
            <w:pPr>
              <w:pStyle w:val="13"/>
            </w:pPr>
            <w:r>
              <w:t>19546.85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2080599</w:t>
            </w:r>
          </w:p>
        </w:tc>
        <w:tc>
          <w:tcPr>
            <w:tcW w:w="4535" w:type="dxa"/>
            <w:vAlign w:val="center"/>
          </w:tcPr>
          <w:p>
            <w:pPr>
              <w:pStyle w:val="10"/>
            </w:pPr>
            <w:r>
              <w:t>其他行政事业单位养老支出</w:t>
            </w: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r>
              <w:t>180.15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r>
              <w:t>5600.00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214</w:t>
            </w:r>
          </w:p>
        </w:tc>
        <w:tc>
          <w:tcPr>
            <w:tcW w:w="4535" w:type="dxa"/>
            <w:vAlign w:val="center"/>
          </w:tcPr>
          <w:p>
            <w:pPr>
              <w:pStyle w:val="10"/>
            </w:pPr>
            <w:r>
              <w:t>交通运输支出</w:t>
            </w:r>
          </w:p>
        </w:tc>
        <w:tc>
          <w:tcPr>
            <w:tcW w:w="1361" w:type="dxa"/>
            <w:vAlign w:val="center"/>
          </w:tcPr>
          <w:p>
            <w:pPr>
              <w:pStyle w:val="11"/>
            </w:pPr>
            <w:r>
              <w:t>15045.20</w:t>
            </w:r>
          </w:p>
        </w:tc>
        <w:tc>
          <w:tcPr>
            <w:tcW w:w="1361" w:type="dxa"/>
            <w:vAlign w:val="center"/>
          </w:tcPr>
          <w:p>
            <w:pPr>
              <w:pStyle w:val="11"/>
            </w:pPr>
            <w:r>
              <w:t>2896.00</w:t>
            </w:r>
          </w:p>
        </w:tc>
        <w:tc>
          <w:tcPr>
            <w:tcW w:w="1361" w:type="dxa"/>
            <w:vAlign w:val="center"/>
          </w:tcPr>
          <w:p>
            <w:pPr>
              <w:pStyle w:val="11"/>
            </w:pPr>
            <w:r>
              <w:t>12149.20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21401</w:t>
            </w:r>
          </w:p>
        </w:tc>
        <w:tc>
          <w:tcPr>
            <w:tcW w:w="4535" w:type="dxa"/>
            <w:vAlign w:val="center"/>
          </w:tcPr>
          <w:p>
            <w:pPr>
              <w:pStyle w:val="10"/>
            </w:pPr>
            <w:r>
              <w:t>公路水路运输</w:t>
            </w:r>
          </w:p>
        </w:tc>
        <w:tc>
          <w:tcPr>
            <w:tcW w:w="1361" w:type="dxa"/>
            <w:vAlign w:val="center"/>
          </w:tcPr>
          <w:p>
            <w:pPr>
              <w:pStyle w:val="11"/>
            </w:pPr>
            <w:r>
              <w:t>13933.20</w:t>
            </w:r>
          </w:p>
        </w:tc>
        <w:tc>
          <w:tcPr>
            <w:tcW w:w="1361" w:type="dxa"/>
            <w:vAlign w:val="center"/>
          </w:tcPr>
          <w:p>
            <w:pPr>
              <w:pStyle w:val="11"/>
            </w:pPr>
            <w:r>
              <w:t>2646.00</w:t>
            </w:r>
          </w:p>
        </w:tc>
        <w:tc>
          <w:tcPr>
            <w:tcW w:w="1361" w:type="dxa"/>
            <w:vAlign w:val="center"/>
          </w:tcPr>
          <w:p>
            <w:pPr>
              <w:pStyle w:val="11"/>
            </w:pPr>
            <w:r>
              <w:t>11287.20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2140101</w:t>
            </w:r>
          </w:p>
        </w:tc>
        <w:tc>
          <w:tcPr>
            <w:tcW w:w="4535" w:type="dxa"/>
            <w:vAlign w:val="center"/>
          </w:tcPr>
          <w:p>
            <w:pPr>
              <w:pStyle w:val="10"/>
            </w:pPr>
            <w:r>
              <w:t>行政运行</w:t>
            </w:r>
          </w:p>
        </w:tc>
        <w:tc>
          <w:tcPr>
            <w:tcW w:w="1361" w:type="dxa"/>
            <w:vAlign w:val="center"/>
          </w:tcPr>
          <w:p>
            <w:pPr>
              <w:pStyle w:val="11"/>
            </w:pPr>
            <w:r>
              <w:t>2906.00</w:t>
            </w:r>
          </w:p>
        </w:tc>
        <w:tc>
          <w:tcPr>
            <w:tcW w:w="1361" w:type="dxa"/>
            <w:vAlign w:val="center"/>
          </w:tcPr>
          <w:p>
            <w:pPr>
              <w:pStyle w:val="11"/>
            </w:pPr>
            <w:r>
              <w:t>2646.00</w:t>
            </w:r>
          </w:p>
        </w:tc>
        <w:tc>
          <w:tcPr>
            <w:tcW w:w="1361" w:type="dxa"/>
            <w:vAlign w:val="center"/>
          </w:tcPr>
          <w:p>
            <w:pPr>
              <w:pStyle w:val="11"/>
            </w:pPr>
            <w:r>
              <w:t>260.00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2140104</w:t>
            </w:r>
          </w:p>
        </w:tc>
        <w:tc>
          <w:tcPr>
            <w:tcW w:w="4535" w:type="dxa"/>
            <w:vAlign w:val="center"/>
          </w:tcPr>
          <w:p>
            <w:pPr>
              <w:pStyle w:val="10"/>
            </w:pPr>
            <w:r>
              <w:t>公路建设</w:t>
            </w:r>
          </w:p>
        </w:tc>
        <w:tc>
          <w:tcPr>
            <w:tcW w:w="1361" w:type="dxa"/>
            <w:vAlign w:val="center"/>
          </w:tcPr>
          <w:p>
            <w:pPr>
              <w:pStyle w:val="11"/>
            </w:pPr>
            <w:r>
              <w:t>7543.20</w:t>
            </w:r>
          </w:p>
        </w:tc>
        <w:tc>
          <w:tcPr>
            <w:tcW w:w="1361" w:type="dxa"/>
            <w:vAlign w:val="center"/>
          </w:tcPr>
          <w:p>
            <w:pPr>
              <w:pStyle w:val="11"/>
            </w:pPr>
          </w:p>
        </w:tc>
        <w:tc>
          <w:tcPr>
            <w:tcW w:w="1361" w:type="dxa"/>
            <w:vAlign w:val="center"/>
          </w:tcPr>
          <w:p>
            <w:pPr>
              <w:pStyle w:val="11"/>
            </w:pPr>
            <w:r>
              <w:t>7543.20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2140106</w:t>
            </w:r>
          </w:p>
        </w:tc>
        <w:tc>
          <w:tcPr>
            <w:tcW w:w="4535" w:type="dxa"/>
            <w:vAlign w:val="center"/>
          </w:tcPr>
          <w:p>
            <w:pPr>
              <w:pStyle w:val="10"/>
            </w:pPr>
            <w:r>
              <w:t>公路养护</w:t>
            </w:r>
          </w:p>
        </w:tc>
        <w:tc>
          <w:tcPr>
            <w:tcW w:w="1361" w:type="dxa"/>
            <w:vAlign w:val="center"/>
          </w:tcPr>
          <w:p>
            <w:pPr>
              <w:pStyle w:val="11"/>
            </w:pPr>
            <w:r>
              <w:t>2524.00</w:t>
            </w:r>
          </w:p>
        </w:tc>
        <w:tc>
          <w:tcPr>
            <w:tcW w:w="1361" w:type="dxa"/>
            <w:vAlign w:val="center"/>
          </w:tcPr>
          <w:p>
            <w:pPr>
              <w:pStyle w:val="11"/>
            </w:pPr>
          </w:p>
        </w:tc>
        <w:tc>
          <w:tcPr>
            <w:tcW w:w="1361" w:type="dxa"/>
            <w:vAlign w:val="center"/>
          </w:tcPr>
          <w:p>
            <w:pPr>
              <w:pStyle w:val="11"/>
            </w:pPr>
            <w:r>
              <w:t>2524.00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2140109</w:t>
            </w:r>
          </w:p>
        </w:tc>
        <w:tc>
          <w:tcPr>
            <w:tcW w:w="4535" w:type="dxa"/>
            <w:vAlign w:val="center"/>
          </w:tcPr>
          <w:p>
            <w:pPr>
              <w:pStyle w:val="10"/>
            </w:pPr>
            <w:r>
              <w:t>交通运输信息化建设</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2140112</w:t>
            </w:r>
          </w:p>
        </w:tc>
        <w:tc>
          <w:tcPr>
            <w:tcW w:w="4535" w:type="dxa"/>
            <w:vAlign w:val="center"/>
          </w:tcPr>
          <w:p>
            <w:pPr>
              <w:pStyle w:val="10"/>
            </w:pPr>
            <w:r>
              <w:t>公路运输管理</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2140199</w:t>
            </w:r>
          </w:p>
        </w:tc>
        <w:tc>
          <w:tcPr>
            <w:tcW w:w="4535" w:type="dxa"/>
            <w:vAlign w:val="center"/>
          </w:tcPr>
          <w:p>
            <w:pPr>
              <w:pStyle w:val="10"/>
            </w:pPr>
            <w:r>
              <w:t>其他公路水路运输支出</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21406</w:t>
            </w:r>
          </w:p>
        </w:tc>
        <w:tc>
          <w:tcPr>
            <w:tcW w:w="4535" w:type="dxa"/>
            <w:vAlign w:val="center"/>
          </w:tcPr>
          <w:p>
            <w:pPr>
              <w:pStyle w:val="10"/>
            </w:pPr>
            <w:r>
              <w:t>车辆购置税支出</w:t>
            </w: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2140602</w:t>
            </w:r>
          </w:p>
        </w:tc>
        <w:tc>
          <w:tcPr>
            <w:tcW w:w="4535" w:type="dxa"/>
            <w:vAlign w:val="center"/>
          </w:tcPr>
          <w:p>
            <w:pPr>
              <w:pStyle w:val="10"/>
            </w:pPr>
            <w:r>
              <w:t>车辆购置税用于农村公路建设支出</w:t>
            </w: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r>
              <w:t>862.00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21499</w:t>
            </w:r>
          </w:p>
        </w:tc>
        <w:tc>
          <w:tcPr>
            <w:tcW w:w="4535" w:type="dxa"/>
            <w:vAlign w:val="center"/>
          </w:tcPr>
          <w:p>
            <w:pPr>
              <w:pStyle w:val="10"/>
            </w:pPr>
            <w:r>
              <w:t>其他交通运输支出</w:t>
            </w:r>
          </w:p>
        </w:tc>
        <w:tc>
          <w:tcPr>
            <w:tcW w:w="1361" w:type="dxa"/>
            <w:vAlign w:val="center"/>
          </w:tcPr>
          <w:p>
            <w:pPr>
              <w:pStyle w:val="11"/>
            </w:pPr>
            <w:r>
              <w:t>250.00</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2149999</w:t>
            </w:r>
          </w:p>
        </w:tc>
        <w:tc>
          <w:tcPr>
            <w:tcW w:w="4535" w:type="dxa"/>
            <w:vAlign w:val="center"/>
          </w:tcPr>
          <w:p>
            <w:pPr>
              <w:pStyle w:val="10"/>
            </w:pPr>
            <w:r>
              <w:t>其他交通运输支出</w:t>
            </w:r>
          </w:p>
        </w:tc>
        <w:tc>
          <w:tcPr>
            <w:tcW w:w="1361" w:type="dxa"/>
            <w:vAlign w:val="center"/>
          </w:tcPr>
          <w:p>
            <w:pPr>
              <w:pStyle w:val="11"/>
            </w:pPr>
            <w:r>
              <w:t>250.00</w:t>
            </w:r>
          </w:p>
        </w:tc>
        <w:tc>
          <w:tcPr>
            <w:tcW w:w="1361" w:type="dxa"/>
            <w:vAlign w:val="center"/>
          </w:tcPr>
          <w:p>
            <w:pPr>
              <w:pStyle w:val="11"/>
            </w:pPr>
            <w:r>
              <w:t>250.00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22999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2299999</w:t>
            </w:r>
          </w:p>
        </w:tc>
        <w:tc>
          <w:tcPr>
            <w:tcW w:w="4535" w:type="dxa"/>
            <w:vAlign w:val="center"/>
          </w:tcPr>
          <w:p>
            <w:pPr>
              <w:pStyle w:val="10"/>
            </w:pPr>
            <w:r>
              <w:t>其他支出</w:t>
            </w: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r>
              <w:t>1617.50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16842.85</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5600.00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180.15</w:t>
            </w:r>
          </w:p>
        </w:tc>
        <w:tc>
          <w:tcPr>
            <w:tcW w:w="1474" w:type="dxa"/>
            <w:vAlign w:val="center"/>
          </w:tcPr>
          <w:p>
            <w:pPr>
              <w:pStyle w:val="11"/>
            </w:pPr>
            <w:r>
              <w:t>180.15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5600.00</w:t>
            </w:r>
          </w:p>
        </w:tc>
        <w:tc>
          <w:tcPr>
            <w:tcW w:w="1474" w:type="dxa"/>
            <w:vAlign w:val="center"/>
          </w:tcPr>
          <w:p>
            <w:pPr>
              <w:pStyle w:val="11"/>
            </w:pPr>
          </w:p>
        </w:tc>
        <w:tc>
          <w:tcPr>
            <w:tcW w:w="1474" w:type="dxa"/>
            <w:vAlign w:val="center"/>
          </w:tcPr>
          <w:p>
            <w:pPr>
              <w:pStyle w:val="11"/>
            </w:pPr>
            <w:r>
              <w:t>5600.00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r>
              <w:t>15045.20</w:t>
            </w:r>
          </w:p>
        </w:tc>
        <w:tc>
          <w:tcPr>
            <w:tcW w:w="1474" w:type="dxa"/>
            <w:vAlign w:val="center"/>
          </w:tcPr>
          <w:p>
            <w:pPr>
              <w:pStyle w:val="11"/>
            </w:pPr>
            <w:r>
              <w:t>15045.20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r>
              <w:t>1617.50</w:t>
            </w:r>
          </w:p>
        </w:tc>
        <w:tc>
          <w:tcPr>
            <w:tcW w:w="1474" w:type="dxa"/>
            <w:vAlign w:val="center"/>
          </w:tcPr>
          <w:p>
            <w:pPr>
              <w:pStyle w:val="11"/>
            </w:pPr>
            <w:r>
              <w:t>1617.50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22442.85</w:t>
            </w:r>
          </w:p>
        </w:tc>
        <w:tc>
          <w:tcPr>
            <w:tcW w:w="3402" w:type="dxa"/>
            <w:vAlign w:val="center"/>
          </w:tcPr>
          <w:p>
            <w:pPr>
              <w:pStyle w:val="12"/>
            </w:pPr>
            <w:r>
              <w:t>本年支出合计</w:t>
            </w:r>
          </w:p>
        </w:tc>
        <w:tc>
          <w:tcPr>
            <w:tcW w:w="1474" w:type="dxa"/>
            <w:vAlign w:val="center"/>
          </w:tcPr>
          <w:p>
            <w:pPr>
              <w:pStyle w:val="13"/>
            </w:pPr>
            <w:r>
              <w:t>22442.85</w:t>
            </w:r>
          </w:p>
        </w:tc>
        <w:tc>
          <w:tcPr>
            <w:tcW w:w="1474" w:type="dxa"/>
            <w:vAlign w:val="center"/>
          </w:tcPr>
          <w:p>
            <w:pPr>
              <w:pStyle w:val="13"/>
            </w:pPr>
            <w:r>
              <w:t>16842.85</w:t>
            </w:r>
          </w:p>
        </w:tc>
        <w:tc>
          <w:tcPr>
            <w:tcW w:w="1474" w:type="dxa"/>
            <w:vAlign w:val="center"/>
          </w:tcPr>
          <w:p>
            <w:pPr>
              <w:pStyle w:val="13"/>
            </w:pPr>
            <w:r>
              <w:t>5600.00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22442.85</w:t>
            </w:r>
          </w:p>
        </w:tc>
        <w:tc>
          <w:tcPr>
            <w:tcW w:w="3402" w:type="dxa"/>
            <w:vAlign w:val="center"/>
          </w:tcPr>
          <w:p>
            <w:pPr>
              <w:pStyle w:val="12"/>
            </w:pPr>
            <w:r>
              <w:t>支出总计</w:t>
            </w:r>
          </w:p>
        </w:tc>
        <w:tc>
          <w:tcPr>
            <w:tcW w:w="1474" w:type="dxa"/>
            <w:vAlign w:val="center"/>
          </w:tcPr>
          <w:p>
            <w:pPr>
              <w:pStyle w:val="13"/>
            </w:pPr>
            <w:r>
              <w:t>22442.85</w:t>
            </w:r>
          </w:p>
        </w:tc>
        <w:tc>
          <w:tcPr>
            <w:tcW w:w="1474" w:type="dxa"/>
            <w:vAlign w:val="center"/>
          </w:tcPr>
          <w:p>
            <w:pPr>
              <w:pStyle w:val="13"/>
            </w:pPr>
            <w:r>
              <w:t>16842.85</w:t>
            </w:r>
          </w:p>
        </w:tc>
        <w:tc>
          <w:tcPr>
            <w:tcW w:w="1474" w:type="dxa"/>
            <w:vAlign w:val="center"/>
          </w:tcPr>
          <w:p>
            <w:pPr>
              <w:pStyle w:val="13"/>
            </w:pPr>
            <w:r>
              <w:t>5600.00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16842.85</w:t>
            </w:r>
          </w:p>
        </w:tc>
        <w:tc>
          <w:tcPr>
            <w:tcW w:w="2551" w:type="dxa"/>
            <w:vAlign w:val="center"/>
          </w:tcPr>
          <w:p>
            <w:pPr>
              <w:pStyle w:val="13"/>
            </w:pPr>
            <w:r>
              <w:t>2896.00</w:t>
            </w:r>
          </w:p>
        </w:tc>
        <w:tc>
          <w:tcPr>
            <w:tcW w:w="2551" w:type="dxa"/>
            <w:vAlign w:val="center"/>
          </w:tcPr>
          <w:p>
            <w:pPr>
              <w:pStyle w:val="13"/>
            </w:pPr>
            <w:r>
              <w:t>13946.85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2080599</w:t>
            </w:r>
          </w:p>
        </w:tc>
        <w:tc>
          <w:tcPr>
            <w:tcW w:w="4535" w:type="dxa"/>
            <w:vAlign w:val="center"/>
          </w:tcPr>
          <w:p>
            <w:pPr>
              <w:pStyle w:val="10"/>
            </w:pPr>
            <w:r>
              <w:t>其他行政事业单位养老支出</w:t>
            </w:r>
          </w:p>
        </w:tc>
        <w:tc>
          <w:tcPr>
            <w:tcW w:w="2551" w:type="dxa"/>
            <w:vAlign w:val="center"/>
          </w:tcPr>
          <w:p>
            <w:pPr>
              <w:pStyle w:val="11"/>
            </w:pPr>
            <w:r>
              <w:t>180.15</w:t>
            </w:r>
          </w:p>
        </w:tc>
        <w:tc>
          <w:tcPr>
            <w:tcW w:w="2551" w:type="dxa"/>
            <w:vAlign w:val="center"/>
          </w:tcPr>
          <w:p>
            <w:pPr>
              <w:pStyle w:val="11"/>
            </w:pPr>
          </w:p>
        </w:tc>
        <w:tc>
          <w:tcPr>
            <w:tcW w:w="2551" w:type="dxa"/>
            <w:vAlign w:val="center"/>
          </w:tcPr>
          <w:p>
            <w:pPr>
              <w:pStyle w:val="11"/>
            </w:pPr>
            <w:r>
              <w:t>180.15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214</w:t>
            </w:r>
          </w:p>
        </w:tc>
        <w:tc>
          <w:tcPr>
            <w:tcW w:w="4535" w:type="dxa"/>
            <w:vAlign w:val="center"/>
          </w:tcPr>
          <w:p>
            <w:pPr>
              <w:pStyle w:val="10"/>
            </w:pPr>
            <w:r>
              <w:t>交通运输支出</w:t>
            </w:r>
          </w:p>
        </w:tc>
        <w:tc>
          <w:tcPr>
            <w:tcW w:w="2551" w:type="dxa"/>
            <w:vAlign w:val="center"/>
          </w:tcPr>
          <w:p>
            <w:pPr>
              <w:pStyle w:val="11"/>
            </w:pPr>
            <w:r>
              <w:t>15045.20</w:t>
            </w:r>
          </w:p>
        </w:tc>
        <w:tc>
          <w:tcPr>
            <w:tcW w:w="2551" w:type="dxa"/>
            <w:vAlign w:val="center"/>
          </w:tcPr>
          <w:p>
            <w:pPr>
              <w:pStyle w:val="11"/>
            </w:pPr>
            <w:r>
              <w:t>2896.00</w:t>
            </w:r>
          </w:p>
        </w:tc>
        <w:tc>
          <w:tcPr>
            <w:tcW w:w="2551" w:type="dxa"/>
            <w:vAlign w:val="center"/>
          </w:tcPr>
          <w:p>
            <w:pPr>
              <w:pStyle w:val="11"/>
            </w:pPr>
            <w:r>
              <w:t>12149.20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21401</w:t>
            </w:r>
          </w:p>
        </w:tc>
        <w:tc>
          <w:tcPr>
            <w:tcW w:w="4535" w:type="dxa"/>
            <w:vAlign w:val="center"/>
          </w:tcPr>
          <w:p>
            <w:pPr>
              <w:pStyle w:val="10"/>
            </w:pPr>
            <w:r>
              <w:t>公路水路运输</w:t>
            </w:r>
          </w:p>
        </w:tc>
        <w:tc>
          <w:tcPr>
            <w:tcW w:w="2551" w:type="dxa"/>
            <w:vAlign w:val="center"/>
          </w:tcPr>
          <w:p>
            <w:pPr>
              <w:pStyle w:val="11"/>
            </w:pPr>
            <w:r>
              <w:t>13933.20</w:t>
            </w:r>
          </w:p>
        </w:tc>
        <w:tc>
          <w:tcPr>
            <w:tcW w:w="2551" w:type="dxa"/>
            <w:vAlign w:val="center"/>
          </w:tcPr>
          <w:p>
            <w:pPr>
              <w:pStyle w:val="11"/>
            </w:pPr>
            <w:r>
              <w:t>2646.00</w:t>
            </w:r>
          </w:p>
        </w:tc>
        <w:tc>
          <w:tcPr>
            <w:tcW w:w="2551" w:type="dxa"/>
            <w:vAlign w:val="center"/>
          </w:tcPr>
          <w:p>
            <w:pPr>
              <w:pStyle w:val="11"/>
            </w:pPr>
            <w:r>
              <w:t>11287.20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2140101</w:t>
            </w:r>
          </w:p>
        </w:tc>
        <w:tc>
          <w:tcPr>
            <w:tcW w:w="4535" w:type="dxa"/>
            <w:vAlign w:val="center"/>
          </w:tcPr>
          <w:p>
            <w:pPr>
              <w:pStyle w:val="10"/>
            </w:pPr>
            <w:r>
              <w:t>行政运行</w:t>
            </w:r>
          </w:p>
        </w:tc>
        <w:tc>
          <w:tcPr>
            <w:tcW w:w="2551" w:type="dxa"/>
            <w:vAlign w:val="center"/>
          </w:tcPr>
          <w:p>
            <w:pPr>
              <w:pStyle w:val="11"/>
            </w:pPr>
            <w:r>
              <w:t>2906.00</w:t>
            </w:r>
          </w:p>
        </w:tc>
        <w:tc>
          <w:tcPr>
            <w:tcW w:w="2551" w:type="dxa"/>
            <w:vAlign w:val="center"/>
          </w:tcPr>
          <w:p>
            <w:pPr>
              <w:pStyle w:val="11"/>
            </w:pPr>
            <w:r>
              <w:t>2646.00</w:t>
            </w:r>
          </w:p>
        </w:tc>
        <w:tc>
          <w:tcPr>
            <w:tcW w:w="2551" w:type="dxa"/>
            <w:vAlign w:val="center"/>
          </w:tcPr>
          <w:p>
            <w:pPr>
              <w:pStyle w:val="11"/>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2140104</w:t>
            </w:r>
          </w:p>
        </w:tc>
        <w:tc>
          <w:tcPr>
            <w:tcW w:w="4535" w:type="dxa"/>
            <w:vAlign w:val="center"/>
          </w:tcPr>
          <w:p>
            <w:pPr>
              <w:pStyle w:val="10"/>
            </w:pPr>
            <w:r>
              <w:t>公路建设</w:t>
            </w:r>
          </w:p>
        </w:tc>
        <w:tc>
          <w:tcPr>
            <w:tcW w:w="2551" w:type="dxa"/>
            <w:vAlign w:val="center"/>
          </w:tcPr>
          <w:p>
            <w:pPr>
              <w:pStyle w:val="11"/>
            </w:pPr>
            <w:r>
              <w:t>7543.20</w:t>
            </w:r>
          </w:p>
        </w:tc>
        <w:tc>
          <w:tcPr>
            <w:tcW w:w="2551" w:type="dxa"/>
            <w:vAlign w:val="center"/>
          </w:tcPr>
          <w:p>
            <w:pPr>
              <w:pStyle w:val="11"/>
            </w:pPr>
          </w:p>
        </w:tc>
        <w:tc>
          <w:tcPr>
            <w:tcW w:w="2551" w:type="dxa"/>
            <w:vAlign w:val="center"/>
          </w:tcPr>
          <w:p>
            <w:pPr>
              <w:pStyle w:val="11"/>
            </w:pPr>
            <w:r>
              <w:t>7543.20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2140106</w:t>
            </w:r>
          </w:p>
        </w:tc>
        <w:tc>
          <w:tcPr>
            <w:tcW w:w="4535" w:type="dxa"/>
            <w:vAlign w:val="center"/>
          </w:tcPr>
          <w:p>
            <w:pPr>
              <w:pStyle w:val="10"/>
            </w:pPr>
            <w:r>
              <w:t>公路养护</w:t>
            </w:r>
          </w:p>
        </w:tc>
        <w:tc>
          <w:tcPr>
            <w:tcW w:w="2551" w:type="dxa"/>
            <w:vAlign w:val="center"/>
          </w:tcPr>
          <w:p>
            <w:pPr>
              <w:pStyle w:val="11"/>
            </w:pPr>
            <w:r>
              <w:t>2524.00</w:t>
            </w:r>
          </w:p>
        </w:tc>
        <w:tc>
          <w:tcPr>
            <w:tcW w:w="2551" w:type="dxa"/>
            <w:vAlign w:val="center"/>
          </w:tcPr>
          <w:p>
            <w:pPr>
              <w:pStyle w:val="11"/>
            </w:pPr>
          </w:p>
        </w:tc>
        <w:tc>
          <w:tcPr>
            <w:tcW w:w="2551" w:type="dxa"/>
            <w:vAlign w:val="center"/>
          </w:tcPr>
          <w:p>
            <w:pPr>
              <w:pStyle w:val="11"/>
            </w:pPr>
            <w:r>
              <w:t>2524.00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2140109</w:t>
            </w:r>
          </w:p>
        </w:tc>
        <w:tc>
          <w:tcPr>
            <w:tcW w:w="4535" w:type="dxa"/>
            <w:vAlign w:val="center"/>
          </w:tcPr>
          <w:p>
            <w:pPr>
              <w:pStyle w:val="10"/>
            </w:pPr>
            <w:r>
              <w:t>交通运输信息化建设</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2140112</w:t>
            </w:r>
          </w:p>
        </w:tc>
        <w:tc>
          <w:tcPr>
            <w:tcW w:w="4535" w:type="dxa"/>
            <w:vAlign w:val="center"/>
          </w:tcPr>
          <w:p>
            <w:pPr>
              <w:pStyle w:val="10"/>
            </w:pPr>
            <w:r>
              <w:t>公路运输管理</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2140199</w:t>
            </w:r>
          </w:p>
        </w:tc>
        <w:tc>
          <w:tcPr>
            <w:tcW w:w="4535" w:type="dxa"/>
            <w:vAlign w:val="center"/>
          </w:tcPr>
          <w:p>
            <w:pPr>
              <w:pStyle w:val="10"/>
            </w:pPr>
            <w:r>
              <w:t>其他公路水路运输支出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21406</w:t>
            </w:r>
          </w:p>
        </w:tc>
        <w:tc>
          <w:tcPr>
            <w:tcW w:w="4535" w:type="dxa"/>
            <w:vAlign w:val="center"/>
          </w:tcPr>
          <w:p>
            <w:pPr>
              <w:pStyle w:val="10"/>
            </w:pPr>
            <w:r>
              <w:t>车辆购置税支出</w:t>
            </w:r>
          </w:p>
        </w:tc>
        <w:tc>
          <w:tcPr>
            <w:tcW w:w="2551" w:type="dxa"/>
            <w:vAlign w:val="center"/>
          </w:tcPr>
          <w:p>
            <w:pPr>
              <w:pStyle w:val="11"/>
            </w:pPr>
            <w:r>
              <w:t>862.00</w:t>
            </w:r>
          </w:p>
        </w:tc>
        <w:tc>
          <w:tcPr>
            <w:tcW w:w="2551" w:type="dxa"/>
            <w:vAlign w:val="center"/>
          </w:tcPr>
          <w:p>
            <w:pPr>
              <w:pStyle w:val="11"/>
            </w:pPr>
          </w:p>
        </w:tc>
        <w:tc>
          <w:tcPr>
            <w:tcW w:w="2551"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2140602</w:t>
            </w:r>
          </w:p>
        </w:tc>
        <w:tc>
          <w:tcPr>
            <w:tcW w:w="4535" w:type="dxa"/>
            <w:vAlign w:val="center"/>
          </w:tcPr>
          <w:p>
            <w:pPr>
              <w:pStyle w:val="10"/>
            </w:pPr>
            <w:r>
              <w:t>车辆购置税用于农村公路建设支出</w:t>
            </w:r>
          </w:p>
        </w:tc>
        <w:tc>
          <w:tcPr>
            <w:tcW w:w="2551" w:type="dxa"/>
            <w:vAlign w:val="center"/>
          </w:tcPr>
          <w:p>
            <w:pPr>
              <w:pStyle w:val="11"/>
            </w:pPr>
            <w:r>
              <w:t>862.00</w:t>
            </w:r>
          </w:p>
        </w:tc>
        <w:tc>
          <w:tcPr>
            <w:tcW w:w="2551" w:type="dxa"/>
            <w:vAlign w:val="center"/>
          </w:tcPr>
          <w:p>
            <w:pPr>
              <w:pStyle w:val="11"/>
            </w:pPr>
          </w:p>
        </w:tc>
        <w:tc>
          <w:tcPr>
            <w:tcW w:w="2551"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21499</w:t>
            </w:r>
          </w:p>
        </w:tc>
        <w:tc>
          <w:tcPr>
            <w:tcW w:w="4535" w:type="dxa"/>
            <w:vAlign w:val="center"/>
          </w:tcPr>
          <w:p>
            <w:pPr>
              <w:pStyle w:val="10"/>
            </w:pPr>
            <w:r>
              <w:t>其他交通运输支出</w:t>
            </w:r>
          </w:p>
        </w:tc>
        <w:tc>
          <w:tcPr>
            <w:tcW w:w="2551" w:type="dxa"/>
            <w:vAlign w:val="center"/>
          </w:tcPr>
          <w:p>
            <w:pPr>
              <w:pStyle w:val="11"/>
            </w:pPr>
            <w:r>
              <w:t>250.00</w:t>
            </w:r>
          </w:p>
        </w:tc>
        <w:tc>
          <w:tcPr>
            <w:tcW w:w="2551" w:type="dxa"/>
            <w:vAlign w:val="center"/>
          </w:tcPr>
          <w:p>
            <w:pPr>
              <w:pStyle w:val="11"/>
            </w:pPr>
            <w:r>
              <w:t>250.00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2149999</w:t>
            </w:r>
          </w:p>
        </w:tc>
        <w:tc>
          <w:tcPr>
            <w:tcW w:w="4535" w:type="dxa"/>
            <w:vAlign w:val="center"/>
          </w:tcPr>
          <w:p>
            <w:pPr>
              <w:pStyle w:val="10"/>
            </w:pPr>
            <w:r>
              <w:t>其他交通运输支出</w:t>
            </w:r>
          </w:p>
        </w:tc>
        <w:tc>
          <w:tcPr>
            <w:tcW w:w="2551" w:type="dxa"/>
            <w:vAlign w:val="center"/>
          </w:tcPr>
          <w:p>
            <w:pPr>
              <w:pStyle w:val="11"/>
            </w:pPr>
            <w:r>
              <w:t>250.00</w:t>
            </w:r>
          </w:p>
        </w:tc>
        <w:tc>
          <w:tcPr>
            <w:tcW w:w="2551" w:type="dxa"/>
            <w:vAlign w:val="center"/>
          </w:tcPr>
          <w:p>
            <w:pPr>
              <w:pStyle w:val="11"/>
            </w:pPr>
            <w:r>
              <w:t>250.00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22999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2299999</w:t>
            </w:r>
          </w:p>
        </w:tc>
        <w:tc>
          <w:tcPr>
            <w:tcW w:w="4535" w:type="dxa"/>
            <w:vAlign w:val="center"/>
          </w:tcPr>
          <w:p>
            <w:pPr>
              <w:pStyle w:val="10"/>
            </w:pPr>
            <w:r>
              <w:t>其他支出</w:t>
            </w:r>
          </w:p>
        </w:tc>
        <w:tc>
          <w:tcPr>
            <w:tcW w:w="2551" w:type="dxa"/>
            <w:vAlign w:val="center"/>
          </w:tcPr>
          <w:p>
            <w:pPr>
              <w:pStyle w:val="11"/>
            </w:pPr>
            <w:r>
              <w:t>1617.50</w:t>
            </w:r>
          </w:p>
        </w:tc>
        <w:tc>
          <w:tcPr>
            <w:tcW w:w="2551" w:type="dxa"/>
            <w:vAlign w:val="center"/>
          </w:tcPr>
          <w:p>
            <w:pPr>
              <w:pStyle w:val="11"/>
            </w:pPr>
          </w:p>
        </w:tc>
        <w:tc>
          <w:tcPr>
            <w:tcW w:w="2551" w:type="dxa"/>
            <w:vAlign w:val="center"/>
          </w:tcPr>
          <w:p>
            <w:pPr>
              <w:pStyle w:val="11"/>
            </w:pPr>
            <w:r>
              <w:t>1617.50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2896.00</w:t>
            </w:r>
          </w:p>
        </w:tc>
        <w:tc>
          <w:tcPr>
            <w:tcW w:w="2551" w:type="dxa"/>
            <w:vAlign w:val="center"/>
          </w:tcPr>
          <w:p>
            <w:pPr>
              <w:pStyle w:val="13"/>
            </w:pPr>
            <w:r>
              <w:t>2146.00</w:t>
            </w:r>
          </w:p>
        </w:tc>
        <w:tc>
          <w:tcPr>
            <w:tcW w:w="2551" w:type="dxa"/>
            <w:vAlign w:val="center"/>
          </w:tcPr>
          <w:p>
            <w:pPr>
              <w:pStyle w:val="13"/>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2146.00</w:t>
            </w:r>
          </w:p>
        </w:tc>
        <w:tc>
          <w:tcPr>
            <w:tcW w:w="2551" w:type="dxa"/>
            <w:vAlign w:val="center"/>
          </w:tcPr>
          <w:p>
            <w:pPr>
              <w:pStyle w:val="11"/>
            </w:pPr>
            <w:r>
              <w:t>2146.00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2146.00</w:t>
            </w:r>
          </w:p>
        </w:tc>
        <w:tc>
          <w:tcPr>
            <w:tcW w:w="2551" w:type="dxa"/>
            <w:vAlign w:val="center"/>
          </w:tcPr>
          <w:p>
            <w:pPr>
              <w:pStyle w:val="11"/>
            </w:pPr>
            <w:r>
              <w:t>2146.00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5600.00</w:t>
            </w:r>
          </w:p>
        </w:tc>
        <w:tc>
          <w:tcPr>
            <w:tcW w:w="2551" w:type="dxa"/>
            <w:vAlign w:val="center"/>
          </w:tcPr>
          <w:p>
            <w:pPr>
              <w:pStyle w:val="13"/>
            </w:pPr>
          </w:p>
        </w:tc>
        <w:tc>
          <w:tcPr>
            <w:tcW w:w="2551" w:type="dxa"/>
            <w:vAlign w:val="center"/>
          </w:tcPr>
          <w:p>
            <w:pPr>
              <w:pStyle w:val="13"/>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5600.00</w:t>
            </w:r>
          </w:p>
        </w:tc>
        <w:tc>
          <w:tcPr>
            <w:tcW w:w="2551" w:type="dxa"/>
            <w:vAlign w:val="center"/>
          </w:tcPr>
          <w:p>
            <w:pPr>
              <w:pStyle w:val="11"/>
            </w:pPr>
          </w:p>
        </w:tc>
        <w:tc>
          <w:tcPr>
            <w:tcW w:w="2551" w:type="dxa"/>
            <w:vAlign w:val="center"/>
          </w:tcPr>
          <w:p>
            <w:pPr>
              <w:pStyle w:val="11"/>
            </w:pPr>
            <w:r>
              <w:t>5600.00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348魏县交通局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、《地方预决算公开操作规程》和《关于进一步推进预算公开工作的实施意见》规定，现将魏县交通局2023年部门预算公开如下：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安排补助资金，组织实施各项普通国县干线公路建设，完成投资任务。组织实施全县汽车客、货运站场新改（扩）建工程（含综合客货运枢纽、等级客运站、简易站、候车亭、招呼牌等）建设。监管全县公路有关重点工程建设、工程质量和安全生产及行业招投标活动进行监督和管理，做好建设过程中的协调管理工作。其他与县级建设任务紧密相关的交通基础设施建设。对普通国县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对公路建设、养护、运营及路政、治理超限超载进行管理。审批公路建设项目施工图并进行现场管理，依法行使公路方面行政处罚权，对全县公路超限治理进行监督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魏县交通局</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魏县治超站</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魏县运输管理站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魏县地方站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魏县公路站</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魏县交通项目办</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魏县路政大队</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魏县交通信息监控中心</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按照预算管理有关规定，目前我省部门预算的编制实行综合预算管理，即全部收入和支出都反映在预算中。魏县交通局机关及所属事业单位的收支包含在部门预算中。</w:t>
      </w:r>
    </w:p>
    <w:p>
      <w:pPr>
        <w:pStyle w:val="16"/>
      </w:pPr>
      <w:r>
        <w:t>1、收入说明：2023年收入预算共计17355.35万元，全部为财政拨款收入。另单独列支交通投资有限公司国开行贷款还本付息1617.5万元。</w:t>
      </w:r>
    </w:p>
    <w:p>
      <w:pPr>
        <w:pStyle w:val="16"/>
      </w:pPr>
      <w:r>
        <w:t>2、支出说明：2023年支出预算共计17355.35万元。其中，人员经费支出预算2696万元，公用经费支出预算0万元，项目支出114569.35万元。</w:t>
      </w:r>
    </w:p>
    <w:p>
      <w:pPr>
        <w:pStyle w:val="16"/>
      </w:pPr>
      <w:r>
        <w:t>3、比上年增减情况：经过对比测算，2023年预算收支比2022年增加586.29万元。主要是：2022年起市县不再补助交通部门人员及公用经费，特申请列支县级预算人员及公用经费2146万元，比去年增加150万元；项目支出增加436.29元，主要原因是2023年上级财政提前下达公路建设项目和县级安排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w:t>
      </w:r>
      <w:r>
        <w:rPr>
          <w:rFonts w:hint="eastAsia"/>
          <w:lang w:val="en-US" w:eastAsia="zh-CN"/>
        </w:rPr>
        <w:t>240</w:t>
      </w:r>
      <w:r>
        <w:t>万元，我局机关运行经费主要通过部门自有收入安排解决。机关运行经费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财政拨款“三公”经费预算安排0万元，其中因公出国(境)费0万元；公务用车购置及运维费0万元(其中：公务用车购置费为0万元，公务用车运行费0万元)；公务接待费0万元。与2022年相比，因公出国(境)费降低0万元,与上年持平；公务用车运行费降低0万元，与上年持平，原因是公车改革后，单位公务用车运行费大幅降低；公务接待费减少0万元，与上持平。主要原因是我单位根据单位业务需要，按照政府过“紧日子”思想和上级有关要求，强化“三公”经费等一般性支出管理，未安排相关经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按照2023年绩效预算编制要求，交通局设置的年度发展规划总体目标为： 按县政府规定权限审批、核准县规划内和年度计划规模内的固定资产投资项目，完成交通基础设施投资；加强国省干线及乡村道路管理养护及建设；完成城市客运体系建设；深入贯彻</w:t>
      </w:r>
      <w:r>
        <w:rPr>
          <w:rFonts w:hint="eastAsia"/>
          <w:lang w:val="en-US" w:eastAsia="zh-CN"/>
        </w:rPr>
        <w:t>党的</w:t>
      </w:r>
      <w:r>
        <w:t>十八大和十八届三中、四中、五中、六中全会精神，紧扣县委、县政府确定的目标任务，凝神聚力，开拓创新，</w:t>
      </w:r>
      <w:r>
        <w:rPr>
          <w:rFonts w:hint="eastAsia"/>
          <w:lang w:eastAsia="zh-CN"/>
        </w:rPr>
        <w:t>攻坚克难</w:t>
      </w:r>
      <w:r>
        <w:t>，砥砺奋进，以更加高昴的激情，更加有力的措施，更加务实的作风，全面开创工作新局面。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1.交通运输基础设施建设：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安排补助资金，组织实施各项普通国省干线公路建设，完成投资任务。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w:t>
      </w:r>
    </w:p>
    <w:p>
      <w:pPr>
        <w:pStyle w:val="20"/>
      </w:pPr>
      <w:r>
        <w:t>2.运输设施建设：组织实施全县汽车客、货运站场新改（扩）建工程（含综合客货运枢纽、等级客运站、简易站、候车亭、招呼牌等）建设。</w:t>
      </w:r>
    </w:p>
    <w:p>
      <w:pPr>
        <w:pStyle w:val="20"/>
      </w:pPr>
      <w:r>
        <w:t>3.交通基础设施建设的协调、监督和管理：监管全县公路、水路、地方铁路建设市场，对公路、水路、地方铁路等有关重点工程建设、工程质量和安全生产及行业招投标活动进行监督和管理，做好建设过程中的协调管理工作。</w:t>
      </w:r>
      <w:r>
        <w:tab/>
      </w:r>
      <w:r>
        <w:t>公路、水路建设市场运转有序，各项业务顺利开展，工作按时完成。</w:t>
      </w:r>
    </w:p>
    <w:p>
      <w:pPr>
        <w:pStyle w:val="20"/>
      </w:pPr>
      <w:r>
        <w:t>4.交通配套设施建设:其他与县级建设任务紧密相关的交通基础设施建设。交通运输基础设施养护、维护。组织交通运输基础设施养护、维护，对招投标活动进行监督管理。对普通国省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w:t>
      </w:r>
    </w:p>
    <w:p>
      <w:pPr>
        <w:pStyle w:val="20"/>
      </w:pPr>
      <w:r>
        <w:t>5.普通国省干线公路养护</w:t>
      </w:r>
      <w:r>
        <w:tab/>
      </w:r>
      <w:r>
        <w:t>:对普通国省干线公路主体及其附属设施、设备进行保养中修、大修、维护等。</w:t>
      </w:r>
    </w:p>
    <w:p>
      <w:pPr>
        <w:pStyle w:val="20"/>
      </w:pPr>
      <w:r>
        <w:t>6.农村公路养护以奖代补:通过以奖代补等形式对农村公路保养与维护进行资金补助，引导带动各地加强农村公路养护。</w:t>
      </w:r>
      <w:r>
        <w:tab/>
      </w:r>
      <w:r>
        <w:t>恢复、提升农村公路原有技术指标，维护、完善交通工程、安全设施、服务管理等附属设施，保持良好的技术状况。</w:t>
      </w:r>
    </w:p>
    <w:p>
      <w:pPr>
        <w:pStyle w:val="20"/>
      </w:pPr>
      <w:r>
        <w:t>7.公路建设管理养护基础数据采集:通过公路各项指标地理信息、数据采集及桥梁隧道检测、交通量调查等方式，适时采集相关数据并及时更新；管理维护设备及数据采集信息系统。按时、保质、保量完成数据采集分析，为公路管理提供依据和支持。</w:t>
      </w:r>
    </w:p>
    <w:p>
      <w:pPr>
        <w:pStyle w:val="20"/>
      </w:pPr>
      <w:r>
        <w:t>8.公路、水运工程养护监督和管理:对公路、水运工程及其设施养护工程质量安全及招投标活动进行监督和管理。</w:t>
      </w:r>
    </w:p>
    <w:p>
      <w:pPr>
        <w:pStyle w:val="20"/>
      </w:pPr>
      <w:r>
        <w:t>9.交通运输管理:承担全县综合运输体系的规划协调，指导城乡客运及有关设施规划和管理，对全县公路及其设施的建设和养护进行管理，指导出租汽车行业管理工作。</w:t>
      </w:r>
      <w:r>
        <w:tab/>
      </w:r>
    </w:p>
    <w:p>
      <w:pPr>
        <w:pStyle w:val="20"/>
      </w:pPr>
      <w:r>
        <w:t>10.公路管理:对公路建设、养护、运营及路政、治理超限超载进行管理。审批公路建设项目施工图并进行现场管理，依法行使公路方面行政处罚权，对全县公路超限治理进行监督管理。</w:t>
      </w:r>
      <w:r>
        <w:tab/>
      </w:r>
      <w:r>
        <w:t>提高公路等级水平，缓解繁忙路段交通压力；维护路产路权，治理超限运输，保障通行能力。</w:t>
      </w:r>
    </w:p>
    <w:p>
      <w:pPr>
        <w:pStyle w:val="20"/>
      </w:pPr>
      <w:r>
        <w:t>11.道路运输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pStyle w:val="20"/>
      </w:pPr>
      <w:r>
        <w:t>12.城市客运管理:对全县客运（含公共汽电车、出租汽车、汽车租赁）进行行业管理。客运管理业务顺利开展，按时完成工作,并保障行业安全稳与稳定。</w:t>
      </w:r>
    </w:p>
    <w:p>
      <w:pPr>
        <w:pStyle w:val="20"/>
      </w:pPr>
      <w:r>
        <w:t>13.交通运输统计及调查:开展全县综合交通运输统计专项调查和研究，组织业务培训，统计、分析、评估、检测交通运输有关数据，发布相关信息。交通运输统计、调查业务顺利开展，按时完成工作，数据科学准确。</w:t>
      </w:r>
    </w:p>
    <w:p>
      <w:pPr>
        <w:pStyle w:val="20"/>
      </w:pPr>
      <w:r>
        <w:t>14.交通政务管理:负责交通运输综合交通运输体系建设，综合业务管理和综合事物管理。机动车维修与检测人员考试 人次，信息管理系统正常运行，修订公路定额，应急事项处理及时，各项事务运行正常。</w:t>
      </w:r>
    </w:p>
    <w:p>
      <w:pPr>
        <w:pStyle w:val="20"/>
      </w:pPr>
      <w:r>
        <w:t>15.综合业务管理:指导交通运输行业继续教育和中等专业技术教育，开展行业干部教育培训。指导行业体制改革、安全生产和应急等。</w:t>
      </w:r>
    </w:p>
    <w:p>
      <w:pPr>
        <w:pStyle w:val="20"/>
      </w:pPr>
      <w:r>
        <w:t>16.综合事务管理：管理交通国有资产，筹措、管理、监督交通建设专项资金，开展基本建设项目绩效监督管理工作和行业内部审计工作，承担国防交通战备工作，指导行业交通公安工作及行业精神文明建设。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1、安排补助资金，组织实施各项普通国省干线公路建设，完成投资任务。</w:t>
      </w:r>
      <w:r>
        <w:tab/>
      </w:r>
      <w:r>
        <w:tab/>
      </w:r>
    </w:p>
    <w:p>
      <w:pPr>
        <w:pStyle w:val="21"/>
      </w:pPr>
      <w:r>
        <w:t>2、组织实施全县汽车客、货运站场新改（扩）建工程（含综合客货运枢纽、等级客运站、简易站、候车亭、招呼牌等）建设。</w:t>
      </w:r>
      <w:r>
        <w:tab/>
      </w:r>
      <w:r>
        <w:t>　　</w:t>
      </w:r>
    </w:p>
    <w:p>
      <w:pPr>
        <w:pStyle w:val="21"/>
      </w:pPr>
      <w:r>
        <w:t>3、监管全县公路、水路、地方铁路建设市场，对公路、水路、地方铁路等有关重点工程建设、工程质量和安全生产及行业招投标活动进行监督和管理，做好建设过程中的协调管理工作。</w:t>
      </w:r>
      <w:r>
        <w:tab/>
      </w:r>
    </w:p>
    <w:p>
      <w:pPr>
        <w:pStyle w:val="21"/>
      </w:pPr>
      <w:r>
        <w:t>4、组织交通运输基础设施养护、维护，对招投标活动进行监督管理。对普通国省干线公路主体及其附属设施、设备进行保养中修、大修、维护等。</w:t>
      </w:r>
    </w:p>
    <w:p>
      <w:pPr>
        <w:pStyle w:val="21"/>
      </w:pPr>
      <w:r>
        <w:t>5、通过以奖代补等形式对农村公路保养与维护进行资金补助，引导带动各地加强农村公路养护。对公路、水运工程及其设施养护工程质量安全及招投标活动进行监督和管理。</w:t>
      </w:r>
    </w:p>
    <w:p>
      <w:pPr>
        <w:pStyle w:val="21"/>
      </w:pPr>
      <w:r>
        <w:t>6、通过公路各项指标地理信息、数据采集及桥梁隧道检测、交通量调查等方式，适时采集相关数据并及时更新；管理维护设备及数据采集信息系统。</w:t>
      </w:r>
      <w:r>
        <w:tab/>
      </w:r>
    </w:p>
    <w:p>
      <w:pPr>
        <w:pStyle w:val="21"/>
      </w:pPr>
      <w:r>
        <w:t>7、承担全县综合运输体系的规划协调，指导城乡客运及有关设施规划和管理，对全县公路及其设施的建设和养护进行管理，指导出租汽车行业管理工作。</w:t>
      </w:r>
      <w:r>
        <w:tab/>
      </w:r>
    </w:p>
    <w:p>
      <w:pPr>
        <w:pStyle w:val="21"/>
      </w:pPr>
      <w:r>
        <w:t>8、对公路建设、养护、运营及路政、治理超限超载进行管理。审批公路建设项目施工图并进行现场管理，依法行使公路方面行政处罚权，对全县公路超限治理进行监督管理。</w:t>
      </w:r>
      <w:r>
        <w:tab/>
      </w:r>
    </w:p>
    <w:p>
      <w:pPr>
        <w:pStyle w:val="21"/>
      </w:pPr>
      <w:r>
        <w:t>9、管理交通国有资产，筹措、管理、监督交通建设专项资金，开展基本建设项目绩效监督管理工作和行业内部审计工作，承担国防交通战备工作，指导行业交通公安工作及行业精神文明建设。</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1、公交运营补贴绩效目标表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1.完成44辆公交车补贴发放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补贴车辆数</w:t>
            </w:r>
          </w:p>
        </w:tc>
        <w:tc>
          <w:tcPr>
            <w:tcW w:w="2835" w:type="dxa"/>
            <w:vAlign w:val="center"/>
          </w:tcPr>
          <w:p>
            <w:pPr>
              <w:pStyle w:val="10"/>
            </w:pPr>
            <w:r>
              <w:t>补贴于44辆公交车</w:t>
            </w:r>
          </w:p>
        </w:tc>
        <w:tc>
          <w:tcPr>
            <w:tcW w:w="2551" w:type="dxa"/>
            <w:vAlign w:val="center"/>
          </w:tcPr>
          <w:p>
            <w:pPr>
              <w:pStyle w:val="10"/>
            </w:pPr>
            <w:r>
              <w:t>44辆</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补贴到位率</w:t>
            </w:r>
          </w:p>
        </w:tc>
        <w:tc>
          <w:tcPr>
            <w:tcW w:w="2835" w:type="dxa"/>
            <w:vAlign w:val="center"/>
          </w:tcPr>
          <w:p>
            <w:pPr>
              <w:pStyle w:val="10"/>
            </w:pPr>
            <w:r>
              <w:t>要求补贴到位率达100%</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补贴时效</w:t>
            </w:r>
          </w:p>
        </w:tc>
        <w:tc>
          <w:tcPr>
            <w:tcW w:w="2835" w:type="dxa"/>
            <w:vAlign w:val="center"/>
          </w:tcPr>
          <w:p>
            <w:pPr>
              <w:pStyle w:val="10"/>
            </w:pPr>
            <w:r>
              <w:t>按时完成补贴发放</w:t>
            </w:r>
          </w:p>
        </w:tc>
        <w:tc>
          <w:tcPr>
            <w:tcW w:w="2551" w:type="dxa"/>
            <w:vAlign w:val="center"/>
          </w:tcPr>
          <w:p>
            <w:pPr>
              <w:pStyle w:val="10"/>
            </w:pPr>
            <w:r>
              <w:t>12月31日前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补贴总成本小于等于300万元</w:t>
            </w:r>
          </w:p>
        </w:tc>
        <w:tc>
          <w:tcPr>
            <w:tcW w:w="2551" w:type="dxa"/>
            <w:vAlign w:val="center"/>
          </w:tcPr>
          <w:p>
            <w:pPr>
              <w:pStyle w:val="10"/>
            </w:pPr>
            <w:r>
              <w:t>≤300万元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成本利润率</w:t>
            </w:r>
          </w:p>
        </w:tc>
        <w:tc>
          <w:tcPr>
            <w:tcW w:w="2835" w:type="dxa"/>
            <w:vAlign w:val="center"/>
          </w:tcPr>
          <w:p>
            <w:pPr>
              <w:pStyle w:val="10"/>
            </w:pPr>
            <w:r>
              <w:t>保证公交里程收入效益达95%以上，处于盈利状态</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社会保障率</w:t>
            </w:r>
          </w:p>
        </w:tc>
        <w:tc>
          <w:tcPr>
            <w:tcW w:w="2835" w:type="dxa"/>
            <w:vAlign w:val="center"/>
          </w:tcPr>
          <w:p>
            <w:pPr>
              <w:pStyle w:val="10"/>
            </w:pPr>
            <w:r>
              <w:t>保证公交系统正常运行，城市客运系统工作顺利开展</w:t>
            </w:r>
          </w:p>
        </w:tc>
        <w:tc>
          <w:tcPr>
            <w:tcW w:w="2551" w:type="dxa"/>
            <w:vAlign w:val="center"/>
          </w:tcPr>
          <w:p>
            <w:pPr>
              <w:pStyle w:val="10"/>
            </w:pPr>
            <w:r>
              <w:t>保证公交系统正常运行，城市客运系统工作顺利开展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2、交通局事业人员社保费绩效目标表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1.完成我单位139名职工社保缴纳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缴纳职工人数</w:t>
            </w:r>
          </w:p>
        </w:tc>
        <w:tc>
          <w:tcPr>
            <w:tcW w:w="2835" w:type="dxa"/>
            <w:vAlign w:val="center"/>
          </w:tcPr>
          <w:p>
            <w:pPr>
              <w:pStyle w:val="10"/>
            </w:pPr>
            <w:r>
              <w:t>职工共计139名</w:t>
            </w:r>
          </w:p>
        </w:tc>
        <w:tc>
          <w:tcPr>
            <w:tcW w:w="2551" w:type="dxa"/>
            <w:vAlign w:val="center"/>
          </w:tcPr>
          <w:p>
            <w:pPr>
              <w:pStyle w:val="10"/>
            </w:pPr>
            <w:r>
              <w:t>139名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缴纳质量率</w:t>
            </w:r>
          </w:p>
        </w:tc>
        <w:tc>
          <w:tcPr>
            <w:tcW w:w="2835" w:type="dxa"/>
            <w:vAlign w:val="center"/>
          </w:tcPr>
          <w:p>
            <w:pPr>
              <w:pStyle w:val="10"/>
            </w:pPr>
            <w:r>
              <w:t>要求100%缴纳社保</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按时缴纳社保</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缴纳总成本小于等于180.15万元</w:t>
            </w:r>
          </w:p>
        </w:tc>
        <w:tc>
          <w:tcPr>
            <w:tcW w:w="2551" w:type="dxa"/>
            <w:vAlign w:val="center"/>
          </w:tcPr>
          <w:p>
            <w:pPr>
              <w:pStyle w:val="10"/>
            </w:pPr>
            <w:r>
              <w:t>≤180.15万元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保障交通工作正常开展，社保缴纳工作按时完成</w:t>
            </w:r>
          </w:p>
        </w:tc>
        <w:tc>
          <w:tcPr>
            <w:tcW w:w="2551" w:type="dxa"/>
            <w:vAlign w:val="center"/>
          </w:tcPr>
          <w:p>
            <w:pPr>
              <w:pStyle w:val="10"/>
            </w:pPr>
            <w:r>
              <w:t>保障交通工作正常开展，社保缴纳工作按时完成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持续发挥作用</w:t>
            </w:r>
          </w:p>
        </w:tc>
        <w:tc>
          <w:tcPr>
            <w:tcW w:w="2835" w:type="dxa"/>
            <w:vAlign w:val="center"/>
          </w:tcPr>
          <w:p>
            <w:pPr>
              <w:pStyle w:val="10"/>
            </w:pPr>
            <w:r>
              <w:t>保障职工社保缴纳到位，工作持续正常开展</w:t>
            </w:r>
          </w:p>
        </w:tc>
        <w:tc>
          <w:tcPr>
            <w:tcW w:w="2551" w:type="dxa"/>
            <w:vAlign w:val="center"/>
          </w:tcPr>
          <w:p>
            <w:pPr>
              <w:pStyle w:val="10"/>
            </w:pPr>
            <w:r>
              <w:t>保障职工社保缴纳到位，工作持续正常开展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随机调查职工满意度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3、交通局下属投资公司国开行贷款绩效目标表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1.用于支付国家开发银行贷款还本付息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还本付息金额</w:t>
            </w:r>
          </w:p>
        </w:tc>
        <w:tc>
          <w:tcPr>
            <w:tcW w:w="2835" w:type="dxa"/>
            <w:vAlign w:val="center"/>
          </w:tcPr>
          <w:p>
            <w:pPr>
              <w:pStyle w:val="10"/>
            </w:pPr>
            <w:r>
              <w:t>还本付息金额为1617.5万元</w:t>
            </w:r>
          </w:p>
        </w:tc>
        <w:tc>
          <w:tcPr>
            <w:tcW w:w="2551" w:type="dxa"/>
            <w:vAlign w:val="center"/>
          </w:tcPr>
          <w:p>
            <w:pPr>
              <w:pStyle w:val="10"/>
            </w:pPr>
            <w:r>
              <w:t>1617.5万元</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项目质量合格率</w:t>
            </w:r>
          </w:p>
        </w:tc>
        <w:tc>
          <w:tcPr>
            <w:tcW w:w="2835" w:type="dxa"/>
            <w:vAlign w:val="center"/>
          </w:tcPr>
          <w:p>
            <w:pPr>
              <w:pStyle w:val="10"/>
            </w:pPr>
            <w:r>
              <w:t>高质量贷款偿还</w:t>
            </w:r>
          </w:p>
        </w:tc>
        <w:tc>
          <w:tcPr>
            <w:tcW w:w="2551" w:type="dxa"/>
            <w:vAlign w:val="center"/>
          </w:tcPr>
          <w:p>
            <w:pPr>
              <w:pStyle w:val="10"/>
            </w:pPr>
            <w:r>
              <w:t>100%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到期日前偿还</w:t>
            </w:r>
          </w:p>
        </w:tc>
        <w:tc>
          <w:tcPr>
            <w:tcW w:w="2551" w:type="dxa"/>
            <w:vAlign w:val="center"/>
          </w:tcPr>
          <w:p>
            <w:pPr>
              <w:pStyle w:val="10"/>
            </w:pPr>
            <w:r>
              <w:t>2023.12.31日前</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总成本为1617.5万元</w:t>
            </w:r>
          </w:p>
        </w:tc>
        <w:tc>
          <w:tcPr>
            <w:tcW w:w="2551" w:type="dxa"/>
            <w:vAlign w:val="center"/>
          </w:tcPr>
          <w:p>
            <w:pPr>
              <w:pStyle w:val="10"/>
            </w:pPr>
            <w:r>
              <w:t>≤1617.5万元</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基本公共服务水平</w:t>
            </w:r>
          </w:p>
        </w:tc>
        <w:tc>
          <w:tcPr>
            <w:tcW w:w="2835" w:type="dxa"/>
            <w:vAlign w:val="center"/>
          </w:tcPr>
          <w:p>
            <w:pPr>
              <w:pStyle w:val="10"/>
            </w:pPr>
            <w:r>
              <w:t>提高道路服务水平，为群众提高安全的环境</w:t>
            </w:r>
          </w:p>
        </w:tc>
        <w:tc>
          <w:tcPr>
            <w:tcW w:w="2551" w:type="dxa"/>
            <w:vAlign w:val="center"/>
          </w:tcPr>
          <w:p>
            <w:pPr>
              <w:pStyle w:val="10"/>
            </w:pPr>
            <w:r>
              <w:t>提高道路服务水平</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组卷经济发展</w:t>
            </w:r>
          </w:p>
        </w:tc>
        <w:tc>
          <w:tcPr>
            <w:tcW w:w="2835" w:type="dxa"/>
            <w:vAlign w:val="center"/>
          </w:tcPr>
          <w:p>
            <w:pPr>
              <w:pStyle w:val="10"/>
            </w:pPr>
            <w:r>
              <w:t>按时偿还贷款，提高我县贷款偿还率</w:t>
            </w:r>
          </w:p>
        </w:tc>
        <w:tc>
          <w:tcPr>
            <w:tcW w:w="2551" w:type="dxa"/>
            <w:vAlign w:val="center"/>
          </w:tcPr>
          <w:p>
            <w:pPr>
              <w:pStyle w:val="10"/>
            </w:pPr>
            <w:r>
              <w:t>提高贷款偿还率</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4、交通局项目工程前期费绩效目标表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1.完成约33个项目前期费用支出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项目数量率</w:t>
            </w:r>
          </w:p>
        </w:tc>
        <w:tc>
          <w:tcPr>
            <w:tcW w:w="2835" w:type="dxa"/>
            <w:vAlign w:val="center"/>
          </w:tcPr>
          <w:p>
            <w:pPr>
              <w:pStyle w:val="10"/>
            </w:pPr>
            <w:r>
              <w:t>完成项目量小于等于33个</w:t>
            </w:r>
          </w:p>
        </w:tc>
        <w:tc>
          <w:tcPr>
            <w:tcW w:w="2551" w:type="dxa"/>
            <w:vAlign w:val="center"/>
          </w:tcPr>
          <w:p>
            <w:pPr>
              <w:pStyle w:val="10"/>
            </w:pPr>
            <w:r>
              <w:t>≤33个</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项目支出率</w:t>
            </w:r>
          </w:p>
        </w:tc>
        <w:tc>
          <w:tcPr>
            <w:tcW w:w="2835" w:type="dxa"/>
            <w:vAlign w:val="center"/>
          </w:tcPr>
          <w:p>
            <w:pPr>
              <w:pStyle w:val="10"/>
            </w:pPr>
            <w:r>
              <w:t>项目前期支出率达100%</w:t>
            </w:r>
          </w:p>
        </w:tc>
        <w:tc>
          <w:tcPr>
            <w:tcW w:w="2551" w:type="dxa"/>
            <w:vAlign w:val="center"/>
          </w:tcPr>
          <w:p>
            <w:pPr>
              <w:pStyle w:val="10"/>
            </w:pPr>
            <w:r>
              <w:t>100%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项目前期总成本小于等于1200万元</w:t>
            </w:r>
          </w:p>
        </w:tc>
        <w:tc>
          <w:tcPr>
            <w:tcW w:w="2551" w:type="dxa"/>
            <w:vAlign w:val="center"/>
          </w:tcPr>
          <w:p>
            <w:pPr>
              <w:pStyle w:val="10"/>
            </w:pPr>
            <w:r>
              <w:t>≤1200万元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经济的促进作用</w:t>
            </w:r>
          </w:p>
        </w:tc>
        <w:tc>
          <w:tcPr>
            <w:tcW w:w="2835" w:type="dxa"/>
            <w:vAlign w:val="center"/>
          </w:tcPr>
          <w:p>
            <w:pPr>
              <w:pStyle w:val="10"/>
            </w:pPr>
            <w:r>
              <w:t>促进县域经济发展</w:t>
            </w:r>
          </w:p>
        </w:tc>
        <w:tc>
          <w:tcPr>
            <w:tcW w:w="2551" w:type="dxa"/>
            <w:vAlign w:val="center"/>
          </w:tcPr>
          <w:p>
            <w:pPr>
              <w:pStyle w:val="10"/>
            </w:pPr>
            <w:r>
              <w:t>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为项目提供前期支持，提高交通系统公共服务水平</w:t>
            </w:r>
          </w:p>
        </w:tc>
        <w:tc>
          <w:tcPr>
            <w:tcW w:w="2551" w:type="dxa"/>
            <w:vAlign w:val="center"/>
          </w:tcPr>
          <w:p>
            <w:pPr>
              <w:pStyle w:val="10"/>
            </w:pPr>
            <w:r>
              <w:t>为项目提供前期支持，提高交通系统公共服务水平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5、交通网络视频监控管理经费绩效目标表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1.完成对普通干线公路共5条线路实时监控工作开展及人员工资发放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监控公路数量</w:t>
            </w:r>
          </w:p>
        </w:tc>
        <w:tc>
          <w:tcPr>
            <w:tcW w:w="2835" w:type="dxa"/>
            <w:vAlign w:val="center"/>
          </w:tcPr>
          <w:p>
            <w:pPr>
              <w:pStyle w:val="10"/>
            </w:pPr>
            <w:r>
              <w:t>共计监控5条国省干线公路</w:t>
            </w:r>
          </w:p>
        </w:tc>
        <w:tc>
          <w:tcPr>
            <w:tcW w:w="2551" w:type="dxa"/>
            <w:vAlign w:val="center"/>
          </w:tcPr>
          <w:p>
            <w:pPr>
              <w:pStyle w:val="10"/>
            </w:pPr>
            <w:r>
              <w:t>5条</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监控运行率</w:t>
            </w:r>
          </w:p>
        </w:tc>
        <w:tc>
          <w:tcPr>
            <w:tcW w:w="2835" w:type="dxa"/>
            <w:vAlign w:val="center"/>
          </w:tcPr>
          <w:p>
            <w:pPr>
              <w:pStyle w:val="10"/>
            </w:pPr>
            <w:r>
              <w:t>要求监控正常运行率达99%以上</w:t>
            </w:r>
          </w:p>
        </w:tc>
        <w:tc>
          <w:tcPr>
            <w:tcW w:w="2551" w:type="dxa"/>
            <w:vAlign w:val="center"/>
          </w:tcPr>
          <w:p>
            <w:pPr>
              <w:pStyle w:val="10"/>
            </w:pPr>
            <w:r>
              <w:t>≥99%</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监控时效</w:t>
            </w:r>
          </w:p>
        </w:tc>
        <w:tc>
          <w:tcPr>
            <w:tcW w:w="2835" w:type="dxa"/>
            <w:vAlign w:val="center"/>
          </w:tcPr>
          <w:p>
            <w:pPr>
              <w:pStyle w:val="10"/>
            </w:pPr>
            <w:r>
              <w:t>全天候24小时监控</w:t>
            </w:r>
          </w:p>
        </w:tc>
        <w:tc>
          <w:tcPr>
            <w:tcW w:w="2551" w:type="dxa"/>
            <w:vAlign w:val="center"/>
          </w:tcPr>
          <w:p>
            <w:pPr>
              <w:pStyle w:val="10"/>
            </w:pPr>
            <w:r>
              <w:t>24小时</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监控维护总成本小于等于230万</w:t>
            </w:r>
          </w:p>
        </w:tc>
        <w:tc>
          <w:tcPr>
            <w:tcW w:w="2551" w:type="dxa"/>
            <w:vAlign w:val="center"/>
          </w:tcPr>
          <w:p>
            <w:pPr>
              <w:pStyle w:val="10"/>
            </w:pPr>
            <w:r>
              <w:t>≤230万</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综合事务完成率</w:t>
            </w:r>
          </w:p>
        </w:tc>
        <w:tc>
          <w:tcPr>
            <w:tcW w:w="2835" w:type="dxa"/>
            <w:vAlign w:val="center"/>
          </w:tcPr>
          <w:p>
            <w:pPr>
              <w:pStyle w:val="10"/>
            </w:pPr>
            <w:r>
              <w:t>提高与其他执法单位合作效率，保障工作顺利开展</w:t>
            </w:r>
          </w:p>
        </w:tc>
        <w:tc>
          <w:tcPr>
            <w:tcW w:w="2551" w:type="dxa"/>
            <w:vAlign w:val="center"/>
          </w:tcPr>
          <w:p>
            <w:pPr>
              <w:pStyle w:val="10"/>
            </w:pPr>
            <w:r>
              <w:t>提高与其他执法单位合作效率，保障工作顺利开展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持续发挥作用</w:t>
            </w:r>
          </w:p>
        </w:tc>
        <w:tc>
          <w:tcPr>
            <w:tcW w:w="2835" w:type="dxa"/>
            <w:vAlign w:val="center"/>
          </w:tcPr>
          <w:p>
            <w:pPr>
              <w:pStyle w:val="10"/>
            </w:pPr>
            <w:r>
              <w:t>可持续对干线公路设施及路况实时监控</w:t>
            </w:r>
          </w:p>
        </w:tc>
        <w:tc>
          <w:tcPr>
            <w:tcW w:w="2551" w:type="dxa"/>
            <w:vAlign w:val="center"/>
          </w:tcPr>
          <w:p>
            <w:pPr>
              <w:pStyle w:val="10"/>
            </w:pPr>
            <w:r>
              <w:t>可持续对干线公路设施及路况实时监控</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6、乡村道路村庄一体化示范创建工程国省干道示范工程绩效目标表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1.完成四条国省干线22个道口建设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项目数量</w:t>
            </w:r>
          </w:p>
        </w:tc>
        <w:tc>
          <w:tcPr>
            <w:tcW w:w="2835" w:type="dxa"/>
            <w:vAlign w:val="center"/>
          </w:tcPr>
          <w:p>
            <w:pPr>
              <w:pStyle w:val="10"/>
            </w:pPr>
            <w:r>
              <w:t>建设道口22个</w:t>
            </w:r>
          </w:p>
        </w:tc>
        <w:tc>
          <w:tcPr>
            <w:tcW w:w="2551" w:type="dxa"/>
            <w:vAlign w:val="center"/>
          </w:tcPr>
          <w:p>
            <w:pPr>
              <w:pStyle w:val="10"/>
            </w:pPr>
            <w:r>
              <w:t>22个</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项目按时完成</w:t>
            </w:r>
          </w:p>
        </w:tc>
        <w:tc>
          <w:tcPr>
            <w:tcW w:w="2551" w:type="dxa"/>
            <w:vAlign w:val="center"/>
          </w:tcPr>
          <w:p>
            <w:pPr>
              <w:pStyle w:val="10"/>
            </w:pPr>
            <w:r>
              <w:t>12月31日前</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建设总成本小于等于3978万元</w:t>
            </w:r>
          </w:p>
        </w:tc>
        <w:tc>
          <w:tcPr>
            <w:tcW w:w="2551" w:type="dxa"/>
            <w:vAlign w:val="center"/>
          </w:tcPr>
          <w:p>
            <w:pPr>
              <w:pStyle w:val="10"/>
            </w:pPr>
            <w:r>
              <w:t>≤3978万元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经济的促进作用</w:t>
            </w:r>
          </w:p>
        </w:tc>
        <w:tc>
          <w:tcPr>
            <w:tcW w:w="2835" w:type="dxa"/>
            <w:vAlign w:val="center"/>
          </w:tcPr>
          <w:p>
            <w:pPr>
              <w:pStyle w:val="10"/>
            </w:pPr>
            <w:r>
              <w:t>提高交通服务水平，促进县域经济发展</w:t>
            </w:r>
          </w:p>
        </w:tc>
        <w:tc>
          <w:tcPr>
            <w:tcW w:w="2551" w:type="dxa"/>
            <w:vAlign w:val="center"/>
          </w:tcPr>
          <w:p>
            <w:pPr>
              <w:pStyle w:val="10"/>
            </w:pPr>
            <w:r>
              <w:t>提高交通服务水平，促进县域经济发展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提高交通系统公共服务水平</w:t>
            </w:r>
          </w:p>
        </w:tc>
        <w:tc>
          <w:tcPr>
            <w:tcW w:w="2551" w:type="dxa"/>
            <w:vAlign w:val="center"/>
          </w:tcPr>
          <w:p>
            <w:pPr>
              <w:pStyle w:val="10"/>
            </w:pPr>
            <w:r>
              <w:t>提高交通系统公共服务水平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7、非现场执法运行维护费绩效目标表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1.保障非现场执法正常运行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完成工作质量率达到90%以上</w:t>
            </w:r>
          </w:p>
          <w:p>
            <w:pPr>
              <w:pStyle w:val="10"/>
            </w:pP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超限超载率</w:t>
            </w:r>
          </w:p>
        </w:tc>
        <w:tc>
          <w:tcPr>
            <w:tcW w:w="2835" w:type="dxa"/>
            <w:vAlign w:val="center"/>
          </w:tcPr>
          <w:p>
            <w:pPr>
              <w:pStyle w:val="10"/>
            </w:pPr>
            <w:r>
              <w:t>年公路超限车辆占检测车辆的总比数</w:t>
            </w:r>
          </w:p>
          <w:p>
            <w:pPr>
              <w:pStyle w:val="10"/>
            </w:pPr>
          </w:p>
        </w:tc>
        <w:tc>
          <w:tcPr>
            <w:tcW w:w="2551" w:type="dxa"/>
            <w:vAlign w:val="center"/>
          </w:tcPr>
          <w:p>
            <w:pPr>
              <w:pStyle w:val="10"/>
            </w:pPr>
            <w:r>
              <w:t>&lt;2%</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资金总成本小于等于260万元</w:t>
            </w:r>
          </w:p>
        </w:tc>
        <w:tc>
          <w:tcPr>
            <w:tcW w:w="2551" w:type="dxa"/>
            <w:vAlign w:val="center"/>
          </w:tcPr>
          <w:p>
            <w:pPr>
              <w:pStyle w:val="10"/>
            </w:pPr>
            <w:r>
              <w:t>≤260万元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tc>
        <w:tc>
          <w:tcPr>
            <w:tcW w:w="2835" w:type="dxa"/>
            <w:vAlign w:val="center"/>
          </w:tcPr>
          <w:p>
            <w:pPr>
              <w:pStyle w:val="10"/>
            </w:pPr>
            <w:r>
              <w:t>综合业务按年度计划完成情况</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保障工作正常运行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8、冀财建（2022）266号2023年普通公路超限检测站补助资金绩效目标表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1.保障双井联合治超站正常运行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完成工作达到的效果</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超限超载率</w:t>
            </w:r>
          </w:p>
        </w:tc>
        <w:tc>
          <w:tcPr>
            <w:tcW w:w="2835" w:type="dxa"/>
            <w:vAlign w:val="center"/>
          </w:tcPr>
          <w:p>
            <w:pPr>
              <w:pStyle w:val="10"/>
            </w:pPr>
            <w:r>
              <w:t>年公路超限车辆数占检测车辆总数的比例</w:t>
            </w:r>
          </w:p>
        </w:tc>
        <w:tc>
          <w:tcPr>
            <w:tcW w:w="2551" w:type="dxa"/>
            <w:vAlign w:val="center"/>
          </w:tcPr>
          <w:p>
            <w:pPr>
              <w:pStyle w:val="10"/>
            </w:pPr>
            <w:r>
              <w:t>&lt;2%</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资金总成本小于等于40万元</w:t>
            </w:r>
          </w:p>
        </w:tc>
        <w:tc>
          <w:tcPr>
            <w:tcW w:w="2551" w:type="dxa"/>
            <w:vAlign w:val="center"/>
          </w:tcPr>
          <w:p>
            <w:pPr>
              <w:pStyle w:val="10"/>
            </w:pPr>
            <w:r>
              <w:t>≤40万元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tc>
        <w:tc>
          <w:tcPr>
            <w:tcW w:w="2835" w:type="dxa"/>
            <w:vAlign w:val="center"/>
          </w:tcPr>
          <w:p>
            <w:pPr>
              <w:pStyle w:val="10"/>
            </w:pPr>
            <w:r>
              <w:t>综合业务按年度计划完成情况</w:t>
            </w:r>
          </w:p>
        </w:tc>
        <w:tc>
          <w:tcPr>
            <w:tcW w:w="2551" w:type="dxa"/>
            <w:vAlign w:val="center"/>
          </w:tcPr>
          <w:p>
            <w:pPr>
              <w:pStyle w:val="10"/>
            </w:pPr>
            <w:r>
              <w:t>≥90%</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保障治超机构正常运行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9、源头治超工作专项经费绩效目标表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1.2023年完成不少于24次的源头企业监督检查，保障人员工资发放。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加强监督检查</w:t>
            </w:r>
          </w:p>
        </w:tc>
        <w:tc>
          <w:tcPr>
            <w:tcW w:w="2835" w:type="dxa"/>
            <w:vAlign w:val="center"/>
          </w:tcPr>
          <w:p>
            <w:pPr>
              <w:pStyle w:val="10"/>
            </w:pPr>
            <w:r>
              <w:t>检查监督次数</w:t>
            </w:r>
          </w:p>
        </w:tc>
        <w:tc>
          <w:tcPr>
            <w:tcW w:w="2551" w:type="dxa"/>
            <w:vAlign w:val="center"/>
          </w:tcPr>
          <w:p>
            <w:pPr>
              <w:pStyle w:val="10"/>
            </w:pPr>
            <w:r>
              <w:t>≥24次</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事故发生率</w:t>
            </w:r>
          </w:p>
        </w:tc>
        <w:tc>
          <w:tcPr>
            <w:tcW w:w="2835" w:type="dxa"/>
            <w:vAlign w:val="center"/>
          </w:tcPr>
          <w:p>
            <w:pPr>
              <w:pStyle w:val="10"/>
            </w:pPr>
            <w:r>
              <w:t>降低事故发生率</w:t>
            </w:r>
          </w:p>
        </w:tc>
        <w:tc>
          <w:tcPr>
            <w:tcW w:w="2551" w:type="dxa"/>
            <w:vAlign w:val="center"/>
          </w:tcPr>
          <w:p>
            <w:pPr>
              <w:pStyle w:val="10"/>
            </w:pPr>
            <w:r>
              <w:t>≤5％</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加强管控</w:t>
            </w:r>
          </w:p>
        </w:tc>
        <w:tc>
          <w:tcPr>
            <w:tcW w:w="2835" w:type="dxa"/>
            <w:vAlign w:val="center"/>
          </w:tcPr>
          <w:p>
            <w:pPr>
              <w:pStyle w:val="10"/>
            </w:pPr>
            <w:r>
              <w:t>采取24小时监控</w:t>
            </w:r>
          </w:p>
        </w:tc>
        <w:tc>
          <w:tcPr>
            <w:tcW w:w="2551" w:type="dxa"/>
            <w:vAlign w:val="center"/>
          </w:tcPr>
          <w:p>
            <w:pPr>
              <w:pStyle w:val="10"/>
            </w:pPr>
            <w:r>
              <w:t>≥24小时</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工作支出总成本不超过50万元</w:t>
            </w:r>
          </w:p>
        </w:tc>
        <w:tc>
          <w:tcPr>
            <w:tcW w:w="2551" w:type="dxa"/>
            <w:vAlign w:val="center"/>
          </w:tcPr>
          <w:p>
            <w:pPr>
              <w:pStyle w:val="10"/>
            </w:pPr>
            <w:r>
              <w:t>≤50万元</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保障人民群众出行</w:t>
            </w:r>
          </w:p>
        </w:tc>
        <w:tc>
          <w:tcPr>
            <w:tcW w:w="2835" w:type="dxa"/>
            <w:vAlign w:val="center"/>
          </w:tcPr>
          <w:p>
            <w:pPr>
              <w:pStyle w:val="10"/>
            </w:pPr>
            <w:r>
              <w:t>减少事故发生</w:t>
            </w:r>
          </w:p>
        </w:tc>
        <w:tc>
          <w:tcPr>
            <w:tcW w:w="2551" w:type="dxa"/>
            <w:vAlign w:val="center"/>
          </w:tcPr>
          <w:p>
            <w:pPr>
              <w:pStyle w:val="10"/>
            </w:pPr>
            <w:r>
              <w:t>减少事故发生</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项目能持续运行</w:t>
            </w:r>
          </w:p>
        </w:tc>
        <w:tc>
          <w:tcPr>
            <w:tcW w:w="2551" w:type="dxa"/>
            <w:vAlign w:val="center"/>
          </w:tcPr>
          <w:p>
            <w:pPr>
              <w:pStyle w:val="10"/>
            </w:pPr>
            <w:r>
              <w:t>项目可持续发展</w:t>
            </w:r>
          </w:p>
        </w:tc>
        <w:tc>
          <w:tcPr>
            <w:tcW w:w="2268" w:type="dxa"/>
            <w:vAlign w:val="center"/>
          </w:tcPr>
          <w:p>
            <w:pPr>
              <w:pStyle w:val="10"/>
            </w:pPr>
            <w:r>
              <w:t>工作职责及上级要求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10、冀财建（2022)267号2023年农村公路建设日常养护发展专项资金绩效目标表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1.完成1469.211公里农村公路日常养护</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12月31号前完成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养护总成本小于等于61万元</w:t>
            </w:r>
          </w:p>
        </w:tc>
        <w:tc>
          <w:tcPr>
            <w:tcW w:w="2551" w:type="dxa"/>
            <w:vAlign w:val="center"/>
          </w:tcPr>
          <w:p>
            <w:pPr>
              <w:pStyle w:val="10"/>
            </w:pPr>
            <w:r>
              <w:t>≤61万元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促进县城经济发展</w:t>
            </w:r>
          </w:p>
        </w:tc>
        <w:tc>
          <w:tcPr>
            <w:tcW w:w="2835" w:type="dxa"/>
            <w:vAlign w:val="center"/>
          </w:tcPr>
          <w:p>
            <w:pPr>
              <w:pStyle w:val="10"/>
            </w:pPr>
            <w:r>
              <w:t>提高乡村道路水平，促进县城经济发展</w:t>
            </w:r>
          </w:p>
        </w:tc>
        <w:tc>
          <w:tcPr>
            <w:tcW w:w="2551" w:type="dxa"/>
            <w:vAlign w:val="center"/>
          </w:tcPr>
          <w:p>
            <w:pPr>
              <w:pStyle w:val="10"/>
            </w:pPr>
            <w:r>
              <w:t>提高乡村道路水平，促进县城经济发展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11、冀财建（2022）267号2023年农村公路建设养护工程发展专项资金绩效目标表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1.完成1469.211公里农村公路建设养护工程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养护总成本小于等于192万元</w:t>
            </w:r>
          </w:p>
        </w:tc>
        <w:tc>
          <w:tcPr>
            <w:tcW w:w="2551" w:type="dxa"/>
            <w:vAlign w:val="center"/>
          </w:tcPr>
          <w:p>
            <w:pPr>
              <w:pStyle w:val="10"/>
            </w:pPr>
            <w:r>
              <w:t>≤192万元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12、农村公路日常养护资金绩效目标表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养护总成本小于等于1461万元</w:t>
            </w:r>
          </w:p>
        </w:tc>
        <w:tc>
          <w:tcPr>
            <w:tcW w:w="2551" w:type="dxa"/>
            <w:vAlign w:val="center"/>
          </w:tcPr>
          <w:p>
            <w:pPr>
              <w:pStyle w:val="10"/>
            </w:pPr>
            <w:r>
              <w:t>≤1461万元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p>
            <w:pPr>
              <w:pStyle w:val="10"/>
            </w:pP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13、农村四好农村路县配套绩效目标表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1.完成1469.211公里农村公路建设养护工程。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1469.211公里</w:t>
            </w:r>
          </w:p>
        </w:tc>
        <w:tc>
          <w:tcPr>
            <w:tcW w:w="2551" w:type="dxa"/>
            <w:vAlign w:val="center"/>
          </w:tcPr>
          <w:p>
            <w:pPr>
              <w:pStyle w:val="10"/>
            </w:pPr>
            <w:r>
              <w:t>1469.21公里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养护总成本小于等于399.2万元</w:t>
            </w:r>
          </w:p>
        </w:tc>
        <w:tc>
          <w:tcPr>
            <w:tcW w:w="2551" w:type="dxa"/>
            <w:vAlign w:val="center"/>
          </w:tcPr>
          <w:p>
            <w:pPr>
              <w:pStyle w:val="10"/>
            </w:pPr>
            <w:r>
              <w:t>≤399.2万元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14、公路站干线公路“三边”路域环境整治绩效目标表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1.完成国省干线公路87.758公里路域环境整治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整治公里数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完成质量率</w:t>
            </w:r>
          </w:p>
        </w:tc>
        <w:tc>
          <w:tcPr>
            <w:tcW w:w="2835" w:type="dxa"/>
            <w:vAlign w:val="center"/>
          </w:tcPr>
          <w:p>
            <w:pPr>
              <w:pStyle w:val="10"/>
            </w:pPr>
            <w:r>
              <w:t>整治质量合格率达95%以上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整治总成本小于等于300万元</w:t>
            </w:r>
          </w:p>
        </w:tc>
        <w:tc>
          <w:tcPr>
            <w:tcW w:w="2551" w:type="dxa"/>
            <w:vAlign w:val="center"/>
          </w:tcPr>
          <w:p>
            <w:pPr>
              <w:pStyle w:val="10"/>
            </w:pPr>
            <w:r>
              <w:t>≤300万元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改善道路环境</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15、国省干线养护资金绩效目标表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1.完成87.758公里国省干线公路日常养护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养护总成本小于等于531万元</w:t>
            </w:r>
          </w:p>
        </w:tc>
        <w:tc>
          <w:tcPr>
            <w:tcW w:w="2551" w:type="dxa"/>
            <w:vAlign w:val="center"/>
          </w:tcPr>
          <w:p>
            <w:pPr>
              <w:pStyle w:val="10"/>
            </w:pPr>
            <w:r>
              <w:t>≤531万元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促进经济发展</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16、冀财建（2022）266号2023年普通国省干线公路建设养护绩效目标表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1.完成87.758公里国省干线公路日常养护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养护公里数</w:t>
            </w:r>
          </w:p>
        </w:tc>
        <w:tc>
          <w:tcPr>
            <w:tcW w:w="2835" w:type="dxa"/>
            <w:vAlign w:val="center"/>
          </w:tcPr>
          <w:p>
            <w:pPr>
              <w:pStyle w:val="10"/>
            </w:pPr>
            <w:r>
              <w:t>87.758公里</w:t>
            </w:r>
          </w:p>
        </w:tc>
        <w:tc>
          <w:tcPr>
            <w:tcW w:w="2551" w:type="dxa"/>
            <w:vAlign w:val="center"/>
          </w:tcPr>
          <w:p>
            <w:pPr>
              <w:pStyle w:val="10"/>
            </w:pPr>
            <w:r>
              <w:t>87.76公里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养护质量合格率</w:t>
            </w:r>
          </w:p>
        </w:tc>
        <w:tc>
          <w:tcPr>
            <w:tcW w:w="2835" w:type="dxa"/>
            <w:vAlign w:val="center"/>
          </w:tcPr>
          <w:p>
            <w:pPr>
              <w:pStyle w:val="10"/>
            </w:pPr>
            <w:r>
              <w:t>养护质量合格率达95%以上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养护总成本小于等于239万元</w:t>
            </w:r>
          </w:p>
        </w:tc>
        <w:tc>
          <w:tcPr>
            <w:tcW w:w="2551" w:type="dxa"/>
            <w:vAlign w:val="center"/>
          </w:tcPr>
          <w:p>
            <w:pPr>
              <w:pStyle w:val="10"/>
            </w:pPr>
            <w:r>
              <w:t>≤239万元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提高公路公共服务水平</w:t>
            </w:r>
          </w:p>
        </w:tc>
        <w:tc>
          <w:tcPr>
            <w:tcW w:w="2551" w:type="dxa"/>
            <w:vAlign w:val="center"/>
          </w:tcPr>
          <w:p>
            <w:pPr>
              <w:pStyle w:val="10"/>
            </w:pPr>
            <w:r>
              <w:t>提高公路公共服务水平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促进经济发展</w:t>
            </w:r>
          </w:p>
        </w:tc>
        <w:tc>
          <w:tcPr>
            <w:tcW w:w="2835" w:type="dxa"/>
            <w:vAlign w:val="center"/>
          </w:tcPr>
          <w:p>
            <w:pPr>
              <w:pStyle w:val="10"/>
            </w:pPr>
            <w:r>
              <w:t>提高国省干线道路水平，促进经济发展</w:t>
            </w:r>
          </w:p>
        </w:tc>
        <w:tc>
          <w:tcPr>
            <w:tcW w:w="2551" w:type="dxa"/>
            <w:vAlign w:val="center"/>
          </w:tcPr>
          <w:p>
            <w:pPr>
              <w:pStyle w:val="10"/>
            </w:pPr>
            <w:r>
              <w:t>提高国省干线道路水平，促进经济发展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17、2022年农村公路建设养护项目县配套绩效目标表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总成本小于等于5600万元</w:t>
            </w:r>
          </w:p>
        </w:tc>
        <w:tc>
          <w:tcPr>
            <w:tcW w:w="2551" w:type="dxa"/>
            <w:vAlign w:val="center"/>
          </w:tcPr>
          <w:p>
            <w:pPr>
              <w:pStyle w:val="10"/>
            </w:pPr>
            <w:r>
              <w:t>≤5600万元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18、冀财建（2022）246号2023年车购税“以奖代补”补助农村公路绩效目标表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总成本小于等于862万元</w:t>
            </w:r>
          </w:p>
        </w:tc>
        <w:tc>
          <w:tcPr>
            <w:tcW w:w="2551" w:type="dxa"/>
            <w:vAlign w:val="center"/>
          </w:tcPr>
          <w:p>
            <w:pPr>
              <w:pStyle w:val="10"/>
            </w:pPr>
            <w:r>
              <w:t>≤862万元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19、冀财建（2022）267号2023年农村公路建设改造专项资金绩效目标表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总成本小于等于1076万元</w:t>
            </w:r>
          </w:p>
        </w:tc>
        <w:tc>
          <w:tcPr>
            <w:tcW w:w="2551" w:type="dxa"/>
            <w:vAlign w:val="center"/>
          </w:tcPr>
          <w:p>
            <w:pPr>
              <w:pStyle w:val="10"/>
            </w:pPr>
            <w:r>
              <w:t>≤1076万元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提高工程公路公共服务水平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提高县城道路水平，促进县域经济发展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20、魏县农村公路建设改造提升项目绩效目标表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1.完成建设里程245公里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建设改造提升公里数</w:t>
            </w:r>
          </w:p>
        </w:tc>
        <w:tc>
          <w:tcPr>
            <w:tcW w:w="2835" w:type="dxa"/>
            <w:vAlign w:val="center"/>
          </w:tcPr>
          <w:p>
            <w:pPr>
              <w:pStyle w:val="10"/>
            </w:pPr>
            <w:r>
              <w:t>245公里</w:t>
            </w:r>
          </w:p>
        </w:tc>
        <w:tc>
          <w:tcPr>
            <w:tcW w:w="2551" w:type="dxa"/>
            <w:vAlign w:val="center"/>
          </w:tcPr>
          <w:p>
            <w:pPr>
              <w:pStyle w:val="10"/>
            </w:pPr>
            <w:r>
              <w:t>245公里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质量合格率</w:t>
            </w:r>
          </w:p>
        </w:tc>
        <w:tc>
          <w:tcPr>
            <w:tcW w:w="2835" w:type="dxa"/>
            <w:vAlign w:val="center"/>
          </w:tcPr>
          <w:p>
            <w:pPr>
              <w:pStyle w:val="10"/>
            </w:pPr>
            <w:r>
              <w:t>要求合格率达95%以上</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总成本小于等于890万元</w:t>
            </w:r>
          </w:p>
        </w:tc>
        <w:tc>
          <w:tcPr>
            <w:tcW w:w="2551" w:type="dxa"/>
            <w:vAlign w:val="center"/>
          </w:tcPr>
          <w:p>
            <w:pPr>
              <w:pStyle w:val="10"/>
            </w:pPr>
            <w:r>
              <w:t>≤890万元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w:t>
            </w:r>
          </w:p>
        </w:tc>
        <w:tc>
          <w:tcPr>
            <w:tcW w:w="2835" w:type="dxa"/>
            <w:vAlign w:val="center"/>
          </w:tcPr>
          <w:p>
            <w:pPr>
              <w:pStyle w:val="10"/>
            </w:pPr>
            <w:r>
              <w:t>提高农村公路公共服务水平</w:t>
            </w:r>
          </w:p>
        </w:tc>
        <w:tc>
          <w:tcPr>
            <w:tcW w:w="2551" w:type="dxa"/>
            <w:vAlign w:val="center"/>
          </w:tcPr>
          <w:p>
            <w:pPr>
              <w:pStyle w:val="10"/>
            </w:pPr>
            <w:r>
              <w:t>提高农村公路公共服务水平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促进县域经济发展</w:t>
            </w:r>
          </w:p>
        </w:tc>
        <w:tc>
          <w:tcPr>
            <w:tcW w:w="2835" w:type="dxa"/>
            <w:vAlign w:val="center"/>
          </w:tcPr>
          <w:p>
            <w:pPr>
              <w:pStyle w:val="10"/>
            </w:pPr>
            <w:r>
              <w:t>提高乡村道路水平，促进县域经济发展</w:t>
            </w:r>
          </w:p>
        </w:tc>
        <w:tc>
          <w:tcPr>
            <w:tcW w:w="2551" w:type="dxa"/>
            <w:vAlign w:val="center"/>
          </w:tcPr>
          <w:p>
            <w:pPr>
              <w:pStyle w:val="10"/>
            </w:pPr>
            <w:r>
              <w:t>提高乡村道路水平，促进县域经济发展</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21、国省干线公路标志标线更新维护绩效目标表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1.完成4万平方米国省干线道路施划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划线公里数</w:t>
            </w:r>
          </w:p>
        </w:tc>
        <w:tc>
          <w:tcPr>
            <w:tcW w:w="2835" w:type="dxa"/>
            <w:vAlign w:val="center"/>
          </w:tcPr>
          <w:p>
            <w:pPr>
              <w:pStyle w:val="10"/>
            </w:pPr>
            <w:r>
              <w:t>4万平方米</w:t>
            </w:r>
          </w:p>
        </w:tc>
        <w:tc>
          <w:tcPr>
            <w:tcW w:w="2551" w:type="dxa"/>
            <w:vAlign w:val="center"/>
          </w:tcPr>
          <w:p>
            <w:pPr>
              <w:pStyle w:val="10"/>
            </w:pPr>
            <w:r>
              <w:t>40000平方米</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施划标线清晰</w:t>
            </w:r>
          </w:p>
        </w:tc>
        <w:tc>
          <w:tcPr>
            <w:tcW w:w="2835" w:type="dxa"/>
            <w:vAlign w:val="center"/>
          </w:tcPr>
          <w:p>
            <w:pPr>
              <w:pStyle w:val="10"/>
            </w:pPr>
            <w:r>
              <w:t>要求标志标线施划清晰达到96%</w:t>
            </w:r>
          </w:p>
        </w:tc>
        <w:tc>
          <w:tcPr>
            <w:tcW w:w="2551" w:type="dxa"/>
            <w:vAlign w:val="center"/>
          </w:tcPr>
          <w:p>
            <w:pPr>
              <w:pStyle w:val="10"/>
            </w:pPr>
            <w:r>
              <w:t>≥96%</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资金成本小于等于50万元</w:t>
            </w:r>
          </w:p>
        </w:tc>
        <w:tc>
          <w:tcPr>
            <w:tcW w:w="2551" w:type="dxa"/>
            <w:vAlign w:val="center"/>
          </w:tcPr>
          <w:p>
            <w:pPr>
              <w:pStyle w:val="10"/>
            </w:pPr>
            <w:r>
              <w:t>≤50万元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保障通行能力，提高服务水平</w:t>
            </w:r>
          </w:p>
        </w:tc>
        <w:tc>
          <w:tcPr>
            <w:tcW w:w="2835" w:type="dxa"/>
            <w:vAlign w:val="center"/>
          </w:tcPr>
          <w:p>
            <w:pPr>
              <w:pStyle w:val="10"/>
            </w:pPr>
            <w:r>
              <w:t>提高交通安全系数，保障县境人民出行安全</w:t>
            </w:r>
          </w:p>
        </w:tc>
        <w:tc>
          <w:tcPr>
            <w:tcW w:w="2551" w:type="dxa"/>
            <w:vAlign w:val="center"/>
          </w:tcPr>
          <w:p>
            <w:pPr>
              <w:pStyle w:val="10"/>
            </w:pPr>
            <w:r>
              <w:t>保障道路车辆出行有序</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持续保障道路标志标线清晰</w:t>
            </w:r>
          </w:p>
        </w:tc>
        <w:tc>
          <w:tcPr>
            <w:tcW w:w="2835" w:type="dxa"/>
            <w:vAlign w:val="center"/>
          </w:tcPr>
          <w:p>
            <w:pPr>
              <w:pStyle w:val="10"/>
            </w:pPr>
            <w:r>
              <w:t>标线清晰车辆有序出行</w:t>
            </w:r>
          </w:p>
        </w:tc>
        <w:tc>
          <w:tcPr>
            <w:tcW w:w="2551" w:type="dxa"/>
            <w:vAlign w:val="center"/>
          </w:tcPr>
          <w:p>
            <w:pPr>
              <w:pStyle w:val="10"/>
            </w:pPr>
            <w:r>
              <w:t>保障标线清晰</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22、路政管理工作经费绩效目标表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1.加强路政执法队伍规范化建设，路政案件处理率达到大于等于95%。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路政案件处理率</w:t>
            </w:r>
          </w:p>
        </w:tc>
        <w:tc>
          <w:tcPr>
            <w:tcW w:w="2835" w:type="dxa"/>
            <w:vAlign w:val="center"/>
          </w:tcPr>
          <w:p>
            <w:pPr>
              <w:pStyle w:val="10"/>
            </w:pPr>
            <w:r>
              <w:t>路政案件处理率达到95%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完成工作质量95%</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2835" w:type="dxa"/>
            <w:vAlign w:val="center"/>
          </w:tcPr>
          <w:p>
            <w:pPr>
              <w:pStyle w:val="10"/>
            </w:pPr>
            <w:r>
              <w:t>按时完成</w:t>
            </w:r>
          </w:p>
        </w:tc>
        <w:tc>
          <w:tcPr>
            <w:tcW w:w="2551" w:type="dxa"/>
            <w:vAlign w:val="center"/>
          </w:tcPr>
          <w:p>
            <w:pPr>
              <w:pStyle w:val="10"/>
            </w:pPr>
            <w:r>
              <w:t>12月31日前完成</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成本资金小于等于30万元</w:t>
            </w:r>
          </w:p>
        </w:tc>
        <w:tc>
          <w:tcPr>
            <w:tcW w:w="2551" w:type="dxa"/>
            <w:vAlign w:val="center"/>
          </w:tcPr>
          <w:p>
            <w:pPr>
              <w:pStyle w:val="10"/>
            </w:pPr>
            <w:r>
              <w:t>≤30万元</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综合业务保障率</w:t>
            </w:r>
          </w:p>
          <w:p>
            <w:pPr>
              <w:pStyle w:val="10"/>
            </w:pPr>
          </w:p>
        </w:tc>
        <w:tc>
          <w:tcPr>
            <w:tcW w:w="2835" w:type="dxa"/>
            <w:vAlign w:val="center"/>
          </w:tcPr>
          <w:p>
            <w:pPr>
              <w:pStyle w:val="10"/>
            </w:pPr>
            <w:r>
              <w:t>综合业务按年度计划完成情况</w:t>
            </w:r>
          </w:p>
        </w:tc>
        <w:tc>
          <w:tcPr>
            <w:tcW w:w="2551" w:type="dxa"/>
            <w:vAlign w:val="center"/>
          </w:tcPr>
          <w:p>
            <w:pPr>
              <w:pStyle w:val="10"/>
            </w:pPr>
            <w:r>
              <w:t>≥95%</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基本公共服务水平</w:t>
            </w:r>
          </w:p>
        </w:tc>
        <w:tc>
          <w:tcPr>
            <w:tcW w:w="2835" w:type="dxa"/>
            <w:vAlign w:val="center"/>
          </w:tcPr>
          <w:p>
            <w:pPr>
              <w:pStyle w:val="10"/>
            </w:pPr>
            <w:r>
              <w:t>持续保障道路安全行驶环境</w:t>
            </w:r>
          </w:p>
        </w:tc>
        <w:tc>
          <w:tcPr>
            <w:tcW w:w="2551" w:type="dxa"/>
            <w:vAlign w:val="center"/>
          </w:tcPr>
          <w:p>
            <w:pPr>
              <w:pStyle w:val="10"/>
            </w:pPr>
            <w:r>
              <w:t>保障工作正常运行</w:t>
            </w:r>
          </w:p>
        </w:tc>
        <w:tc>
          <w:tcPr>
            <w:tcW w:w="2268" w:type="dxa"/>
            <w:vAlign w:val="center"/>
          </w:tcPr>
          <w:p>
            <w:pPr>
              <w:pStyle w:val="10"/>
            </w:pPr>
            <w:r>
              <w:t>单位职责及上级要求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随机调查社会公众服务对象的满意程度</w:t>
            </w:r>
          </w:p>
          <w:p>
            <w:pPr>
              <w:pStyle w:val="10"/>
            </w:pP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2023年，魏县交通局安排政府采购预算0.00万元。具体内容见下表。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348魏县交通局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魏县交通局（含所属单位）上年末固定资产金额为</w:t>
      </w:r>
      <w:r>
        <w:rPr>
          <w:rFonts w:hint="eastAsia" w:eastAsia="方正仿宋_GBK" w:cs="Times New Roman"/>
          <w:b w:val="0"/>
          <w:color w:val="000000"/>
          <w:sz w:val="28"/>
          <w:lang w:val="en-US" w:eastAsia="zh-CN"/>
        </w:rPr>
        <w:t>391.301728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348魏县交通局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固定资产</w:t>
            </w:r>
          </w:p>
        </w:tc>
        <w:tc>
          <w:tcPr>
            <w:tcW w:w="2835" w:type="dxa"/>
            <w:vAlign w:val="center"/>
          </w:tcPr>
          <w:p>
            <w:pPr>
              <w:pStyle w:val="9"/>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391.301728</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2289780B"/>
    <w:rsid w:val="2289780B"/>
    <w:rsid w:val="745F5ABE"/>
    <w:rsid w:val="B7E7EC28"/>
    <w:rsid w:val="B7FF8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2023-08-04T06:01:00Z</dcterms:created>
  <dc:creator>Administrator</dc:creator>
  <cp:lastModifiedBy>wxak</cp:lastModifiedBy>
  <dcterms:modified xsi:type="dcterms:W3CDTF">2024-09-12T11:43:46Z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3F4E6B44751740FD832FCB7DB98EEA9F_11</vt:lpwstr>
  </property>
</Properties>
</file>