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308魏县民族宗教事务局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194.71</w:t>
            </w:r>
          </w:p>
        </w:tc>
        <w:tc>
          <w:tcPr>
            <w:tcW w:w="4535" w:type="dxa"/>
            <w:vAlign w:val="center"/>
          </w:tcPr>
          <w:p>
            <w:pPr>
              <w:pStyle w:val="16"/>
            </w:pPr>
            <w:r>
              <w:t>一、一般公共服务支出</w:t>
            </w:r>
          </w:p>
        </w:tc>
        <w:tc>
          <w:tcPr>
            <w:tcW w:w="2126" w:type="dxa"/>
            <w:vAlign w:val="center"/>
          </w:tcPr>
          <w:p>
            <w:pPr>
              <w:pStyle w:val="15"/>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r>
              <w:t>112.05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194.71</w:t>
            </w:r>
          </w:p>
        </w:tc>
        <w:tc>
          <w:tcPr>
            <w:tcW w:w="4535" w:type="dxa"/>
            <w:vAlign w:val="center"/>
          </w:tcPr>
          <w:p>
            <w:pPr>
              <w:pStyle w:val="18"/>
            </w:pPr>
            <w:r>
              <w:t>本年支出合计</w:t>
            </w:r>
          </w:p>
        </w:tc>
        <w:tc>
          <w:tcPr>
            <w:tcW w:w="2126" w:type="dxa"/>
            <w:vAlign w:val="center"/>
          </w:tcPr>
          <w:p>
            <w:pPr>
              <w:pStyle w:val="19"/>
            </w:pPr>
            <w:r>
              <w:t>194.71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194.71</w:t>
            </w:r>
          </w:p>
        </w:tc>
        <w:tc>
          <w:tcPr>
            <w:tcW w:w="4535" w:type="dxa"/>
            <w:vAlign w:val="center"/>
          </w:tcPr>
          <w:p>
            <w:pPr>
              <w:pStyle w:val="18"/>
            </w:pPr>
            <w:r>
              <w:t>支出总计</w:t>
            </w:r>
          </w:p>
        </w:tc>
        <w:tc>
          <w:tcPr>
            <w:tcW w:w="2126" w:type="dxa"/>
            <w:vAlign w:val="center"/>
          </w:tcPr>
          <w:p>
            <w:pPr>
              <w:pStyle w:val="19"/>
            </w:pPr>
            <w:r>
              <w:t>194.71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308魏县民族宗教事务局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194.71</w:t>
            </w:r>
          </w:p>
        </w:tc>
        <w:tc>
          <w:tcPr>
            <w:tcW w:w="1134" w:type="dxa"/>
            <w:vAlign w:val="center"/>
          </w:tcPr>
          <w:p>
            <w:pPr>
              <w:pStyle w:val="19"/>
            </w:pPr>
            <w:r>
              <w:t>194.71</w:t>
            </w:r>
          </w:p>
        </w:tc>
        <w:tc>
          <w:tcPr>
            <w:tcW w:w="1134" w:type="dxa"/>
            <w:vAlign w:val="center"/>
          </w:tcPr>
          <w:p>
            <w:pPr>
              <w:pStyle w:val="19"/>
            </w:pPr>
            <w:r>
              <w:t>194.71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47.10</w:t>
            </w:r>
          </w:p>
        </w:tc>
        <w:tc>
          <w:tcPr>
            <w:tcW w:w="1134" w:type="dxa"/>
            <w:vAlign w:val="center"/>
          </w:tcPr>
          <w:p>
            <w:pPr>
              <w:pStyle w:val="15"/>
            </w:pPr>
            <w:r>
              <w:t>47.10</w:t>
            </w:r>
          </w:p>
        </w:tc>
        <w:tc>
          <w:tcPr>
            <w:tcW w:w="1134" w:type="dxa"/>
            <w:vAlign w:val="center"/>
          </w:tcPr>
          <w:p>
            <w:pPr>
              <w:pStyle w:val="15"/>
            </w:pPr>
            <w:r>
              <w:t>47.10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20134</w:t>
            </w:r>
          </w:p>
        </w:tc>
        <w:tc>
          <w:tcPr>
            <w:tcW w:w="1559" w:type="dxa"/>
            <w:vAlign w:val="center"/>
          </w:tcPr>
          <w:p>
            <w:pPr>
              <w:pStyle w:val="16"/>
            </w:pPr>
            <w:r>
              <w:t>统战事务</w:t>
            </w:r>
          </w:p>
        </w:tc>
        <w:tc>
          <w:tcPr>
            <w:tcW w:w="1134" w:type="dxa"/>
            <w:vAlign w:val="center"/>
          </w:tcPr>
          <w:p>
            <w:pPr>
              <w:pStyle w:val="15"/>
            </w:pPr>
            <w:r>
              <w:t>47.10</w:t>
            </w:r>
          </w:p>
        </w:tc>
        <w:tc>
          <w:tcPr>
            <w:tcW w:w="1134" w:type="dxa"/>
            <w:vAlign w:val="center"/>
          </w:tcPr>
          <w:p>
            <w:pPr>
              <w:pStyle w:val="15"/>
            </w:pPr>
            <w:r>
              <w:t>47.10</w:t>
            </w:r>
          </w:p>
        </w:tc>
        <w:tc>
          <w:tcPr>
            <w:tcW w:w="1134" w:type="dxa"/>
            <w:vAlign w:val="center"/>
          </w:tcPr>
          <w:p>
            <w:pPr>
              <w:pStyle w:val="15"/>
            </w:pPr>
            <w:r>
              <w:t>47.10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2013404</w:t>
            </w:r>
          </w:p>
        </w:tc>
        <w:tc>
          <w:tcPr>
            <w:tcW w:w="1559" w:type="dxa"/>
            <w:vAlign w:val="center"/>
          </w:tcPr>
          <w:p>
            <w:pPr>
              <w:pStyle w:val="16"/>
            </w:pPr>
            <w:r>
              <w:t>宗教事务</w:t>
            </w:r>
          </w:p>
        </w:tc>
        <w:tc>
          <w:tcPr>
            <w:tcW w:w="1134" w:type="dxa"/>
            <w:vAlign w:val="center"/>
          </w:tcPr>
          <w:p>
            <w:pPr>
              <w:pStyle w:val="15"/>
            </w:pPr>
            <w:r>
              <w:t>47.10</w:t>
            </w:r>
          </w:p>
        </w:tc>
        <w:tc>
          <w:tcPr>
            <w:tcW w:w="1134" w:type="dxa"/>
            <w:vAlign w:val="center"/>
          </w:tcPr>
          <w:p>
            <w:pPr>
              <w:pStyle w:val="15"/>
            </w:pPr>
            <w:r>
              <w:t>47.10</w:t>
            </w:r>
          </w:p>
        </w:tc>
        <w:tc>
          <w:tcPr>
            <w:tcW w:w="1134" w:type="dxa"/>
            <w:vAlign w:val="center"/>
          </w:tcPr>
          <w:p>
            <w:pPr>
              <w:pStyle w:val="15"/>
            </w:pPr>
            <w:r>
              <w:t>47.10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206</w:t>
            </w:r>
          </w:p>
        </w:tc>
        <w:tc>
          <w:tcPr>
            <w:tcW w:w="1559" w:type="dxa"/>
            <w:vAlign w:val="center"/>
          </w:tcPr>
          <w:p>
            <w:pPr>
              <w:pStyle w:val="16"/>
            </w:pPr>
            <w:r>
              <w:t>科学技术支出</w:t>
            </w:r>
          </w:p>
        </w:tc>
        <w:tc>
          <w:tcPr>
            <w:tcW w:w="1134" w:type="dxa"/>
            <w:vAlign w:val="center"/>
          </w:tcPr>
          <w:p>
            <w:pPr>
              <w:pStyle w:val="15"/>
            </w:pPr>
            <w:r>
              <w:t>112.05</w:t>
            </w:r>
          </w:p>
        </w:tc>
        <w:tc>
          <w:tcPr>
            <w:tcW w:w="1134" w:type="dxa"/>
            <w:vAlign w:val="center"/>
          </w:tcPr>
          <w:p>
            <w:pPr>
              <w:pStyle w:val="15"/>
            </w:pPr>
            <w:r>
              <w:t>112.05</w:t>
            </w:r>
          </w:p>
        </w:tc>
        <w:tc>
          <w:tcPr>
            <w:tcW w:w="1134" w:type="dxa"/>
            <w:vAlign w:val="center"/>
          </w:tcPr>
          <w:p>
            <w:pPr>
              <w:pStyle w:val="15"/>
            </w:pPr>
            <w:r>
              <w:t>112.05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20601</w:t>
            </w:r>
          </w:p>
        </w:tc>
        <w:tc>
          <w:tcPr>
            <w:tcW w:w="1559" w:type="dxa"/>
            <w:vAlign w:val="center"/>
          </w:tcPr>
          <w:p>
            <w:pPr>
              <w:pStyle w:val="16"/>
            </w:pPr>
            <w:r>
              <w:t>科学技术管理事务</w:t>
            </w:r>
          </w:p>
        </w:tc>
        <w:tc>
          <w:tcPr>
            <w:tcW w:w="1134" w:type="dxa"/>
            <w:vAlign w:val="center"/>
          </w:tcPr>
          <w:p>
            <w:pPr>
              <w:pStyle w:val="15"/>
            </w:pPr>
            <w:r>
              <w:t>112.05</w:t>
            </w:r>
          </w:p>
        </w:tc>
        <w:tc>
          <w:tcPr>
            <w:tcW w:w="1134" w:type="dxa"/>
            <w:vAlign w:val="center"/>
          </w:tcPr>
          <w:p>
            <w:pPr>
              <w:pStyle w:val="15"/>
            </w:pPr>
            <w:r>
              <w:t>112.05</w:t>
            </w:r>
          </w:p>
        </w:tc>
        <w:tc>
          <w:tcPr>
            <w:tcW w:w="1134" w:type="dxa"/>
            <w:vAlign w:val="center"/>
          </w:tcPr>
          <w:p>
            <w:pPr>
              <w:pStyle w:val="15"/>
            </w:pPr>
            <w:r>
              <w:t>112.05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2060101</w:t>
            </w:r>
          </w:p>
        </w:tc>
        <w:tc>
          <w:tcPr>
            <w:tcW w:w="1559" w:type="dxa"/>
            <w:vAlign w:val="center"/>
          </w:tcPr>
          <w:p>
            <w:pPr>
              <w:pStyle w:val="16"/>
            </w:pPr>
            <w:r>
              <w:t>行政运行</w:t>
            </w:r>
          </w:p>
        </w:tc>
        <w:tc>
          <w:tcPr>
            <w:tcW w:w="1134" w:type="dxa"/>
            <w:vAlign w:val="center"/>
          </w:tcPr>
          <w:p>
            <w:pPr>
              <w:pStyle w:val="15"/>
            </w:pPr>
            <w:r>
              <w:t>112.05</w:t>
            </w:r>
          </w:p>
        </w:tc>
        <w:tc>
          <w:tcPr>
            <w:tcW w:w="1134" w:type="dxa"/>
            <w:vAlign w:val="center"/>
          </w:tcPr>
          <w:p>
            <w:pPr>
              <w:pStyle w:val="15"/>
            </w:pPr>
            <w:r>
              <w:t>112.05</w:t>
            </w:r>
          </w:p>
        </w:tc>
        <w:tc>
          <w:tcPr>
            <w:tcW w:w="1134" w:type="dxa"/>
            <w:vAlign w:val="center"/>
          </w:tcPr>
          <w:p>
            <w:pPr>
              <w:pStyle w:val="15"/>
            </w:pPr>
            <w:r>
              <w:t>112.05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29.77</w:t>
            </w:r>
          </w:p>
        </w:tc>
        <w:tc>
          <w:tcPr>
            <w:tcW w:w="1134" w:type="dxa"/>
            <w:vAlign w:val="center"/>
          </w:tcPr>
          <w:p>
            <w:pPr>
              <w:pStyle w:val="15"/>
            </w:pPr>
            <w:r>
              <w:t>29.77</w:t>
            </w:r>
          </w:p>
        </w:tc>
        <w:tc>
          <w:tcPr>
            <w:tcW w:w="1134" w:type="dxa"/>
            <w:vAlign w:val="center"/>
          </w:tcPr>
          <w:p>
            <w:pPr>
              <w:pStyle w:val="15"/>
            </w:pPr>
            <w:r>
              <w:t>29.77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29.77</w:t>
            </w:r>
          </w:p>
        </w:tc>
        <w:tc>
          <w:tcPr>
            <w:tcW w:w="1134" w:type="dxa"/>
            <w:vAlign w:val="center"/>
          </w:tcPr>
          <w:p>
            <w:pPr>
              <w:pStyle w:val="15"/>
            </w:pPr>
            <w:r>
              <w:t>29.77</w:t>
            </w:r>
          </w:p>
        </w:tc>
        <w:tc>
          <w:tcPr>
            <w:tcW w:w="1134" w:type="dxa"/>
            <w:vAlign w:val="center"/>
          </w:tcPr>
          <w:p>
            <w:pPr>
              <w:pStyle w:val="15"/>
            </w:pPr>
            <w:r>
              <w:t>29.77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11.20</w:t>
            </w:r>
          </w:p>
        </w:tc>
        <w:tc>
          <w:tcPr>
            <w:tcW w:w="1134" w:type="dxa"/>
            <w:vAlign w:val="center"/>
          </w:tcPr>
          <w:p>
            <w:pPr>
              <w:pStyle w:val="15"/>
            </w:pPr>
            <w:r>
              <w:t>11.20</w:t>
            </w:r>
          </w:p>
        </w:tc>
        <w:tc>
          <w:tcPr>
            <w:tcW w:w="1134" w:type="dxa"/>
            <w:vAlign w:val="center"/>
          </w:tcPr>
          <w:p>
            <w:pPr>
              <w:pStyle w:val="15"/>
            </w:pPr>
            <w:r>
              <w:t>11.20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12.37</w:t>
            </w:r>
          </w:p>
        </w:tc>
        <w:tc>
          <w:tcPr>
            <w:tcW w:w="1134" w:type="dxa"/>
            <w:vAlign w:val="center"/>
          </w:tcPr>
          <w:p>
            <w:pPr>
              <w:pStyle w:val="15"/>
            </w:pPr>
            <w:r>
              <w:t>12.37</w:t>
            </w:r>
          </w:p>
        </w:tc>
        <w:tc>
          <w:tcPr>
            <w:tcW w:w="1134" w:type="dxa"/>
            <w:vAlign w:val="center"/>
          </w:tcPr>
          <w:p>
            <w:pPr>
              <w:pStyle w:val="15"/>
            </w:pPr>
            <w:r>
              <w:t>12.37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6.19</w:t>
            </w:r>
          </w:p>
        </w:tc>
        <w:tc>
          <w:tcPr>
            <w:tcW w:w="1134" w:type="dxa"/>
            <w:vAlign w:val="center"/>
          </w:tcPr>
          <w:p>
            <w:pPr>
              <w:pStyle w:val="15"/>
            </w:pPr>
            <w:r>
              <w:t>6.19</w:t>
            </w:r>
          </w:p>
        </w:tc>
        <w:tc>
          <w:tcPr>
            <w:tcW w:w="1134" w:type="dxa"/>
            <w:vAlign w:val="center"/>
          </w:tcPr>
          <w:p>
            <w:pPr>
              <w:pStyle w:val="15"/>
            </w:pPr>
            <w:r>
              <w:t>6.19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5.80</w:t>
            </w:r>
          </w:p>
        </w:tc>
        <w:tc>
          <w:tcPr>
            <w:tcW w:w="1134" w:type="dxa"/>
            <w:vAlign w:val="center"/>
          </w:tcPr>
          <w:p>
            <w:pPr>
              <w:pStyle w:val="15"/>
            </w:pPr>
            <w:r>
              <w:t>5.80</w:t>
            </w:r>
          </w:p>
        </w:tc>
        <w:tc>
          <w:tcPr>
            <w:tcW w:w="1134" w:type="dxa"/>
            <w:vAlign w:val="center"/>
          </w:tcPr>
          <w:p>
            <w:pPr>
              <w:pStyle w:val="15"/>
            </w:pPr>
            <w:r>
              <w:t>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5.80</w:t>
            </w:r>
          </w:p>
        </w:tc>
        <w:tc>
          <w:tcPr>
            <w:tcW w:w="1134" w:type="dxa"/>
            <w:vAlign w:val="center"/>
          </w:tcPr>
          <w:p>
            <w:pPr>
              <w:pStyle w:val="15"/>
            </w:pPr>
            <w:r>
              <w:t>5.80</w:t>
            </w:r>
          </w:p>
        </w:tc>
        <w:tc>
          <w:tcPr>
            <w:tcW w:w="1134" w:type="dxa"/>
            <w:vAlign w:val="center"/>
          </w:tcPr>
          <w:p>
            <w:pPr>
              <w:pStyle w:val="15"/>
            </w:pPr>
            <w:r>
              <w:t>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5.80</w:t>
            </w:r>
          </w:p>
        </w:tc>
        <w:tc>
          <w:tcPr>
            <w:tcW w:w="1134" w:type="dxa"/>
            <w:vAlign w:val="center"/>
          </w:tcPr>
          <w:p>
            <w:pPr>
              <w:pStyle w:val="15"/>
            </w:pPr>
            <w:r>
              <w:t>5.80</w:t>
            </w:r>
          </w:p>
        </w:tc>
        <w:tc>
          <w:tcPr>
            <w:tcW w:w="1134" w:type="dxa"/>
            <w:vAlign w:val="center"/>
          </w:tcPr>
          <w:p>
            <w:pPr>
              <w:pStyle w:val="15"/>
            </w:pPr>
            <w:r>
              <w:t>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308魏县民族宗教事务局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194.71</w:t>
            </w:r>
          </w:p>
        </w:tc>
        <w:tc>
          <w:tcPr>
            <w:tcW w:w="1361" w:type="dxa"/>
            <w:vAlign w:val="center"/>
          </w:tcPr>
          <w:p>
            <w:pPr>
              <w:pStyle w:val="19"/>
            </w:pPr>
            <w:r>
              <w:t>147.61</w:t>
            </w:r>
          </w:p>
        </w:tc>
        <w:tc>
          <w:tcPr>
            <w:tcW w:w="1361" w:type="dxa"/>
            <w:vAlign w:val="center"/>
          </w:tcPr>
          <w:p>
            <w:pPr>
              <w:pStyle w:val="19"/>
            </w:pPr>
            <w:r>
              <w:t>47.10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20134</w:t>
            </w:r>
          </w:p>
        </w:tc>
        <w:tc>
          <w:tcPr>
            <w:tcW w:w="4535" w:type="dxa"/>
            <w:vAlign w:val="center"/>
          </w:tcPr>
          <w:p>
            <w:pPr>
              <w:pStyle w:val="16"/>
            </w:pPr>
            <w:r>
              <w:t>统战事务</w:t>
            </w: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2013404</w:t>
            </w:r>
          </w:p>
        </w:tc>
        <w:tc>
          <w:tcPr>
            <w:tcW w:w="4535" w:type="dxa"/>
            <w:vAlign w:val="center"/>
          </w:tcPr>
          <w:p>
            <w:pPr>
              <w:pStyle w:val="16"/>
            </w:pPr>
            <w:r>
              <w:t>宗教事务</w:t>
            </w: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206</w:t>
            </w:r>
          </w:p>
        </w:tc>
        <w:tc>
          <w:tcPr>
            <w:tcW w:w="4535" w:type="dxa"/>
            <w:vAlign w:val="center"/>
          </w:tcPr>
          <w:p>
            <w:pPr>
              <w:pStyle w:val="16"/>
            </w:pPr>
            <w:r>
              <w:t>科学技术支出</w:t>
            </w:r>
          </w:p>
        </w:tc>
        <w:tc>
          <w:tcPr>
            <w:tcW w:w="1361" w:type="dxa"/>
            <w:vAlign w:val="center"/>
          </w:tcPr>
          <w:p>
            <w:pPr>
              <w:pStyle w:val="15"/>
            </w:pPr>
            <w:r>
              <w:t>112.05</w:t>
            </w:r>
          </w:p>
        </w:tc>
        <w:tc>
          <w:tcPr>
            <w:tcW w:w="1361" w:type="dxa"/>
            <w:vAlign w:val="center"/>
          </w:tcPr>
          <w:p>
            <w:pPr>
              <w:pStyle w:val="15"/>
            </w:pPr>
            <w:r>
              <w:t>112.05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20601</w:t>
            </w:r>
          </w:p>
        </w:tc>
        <w:tc>
          <w:tcPr>
            <w:tcW w:w="4535" w:type="dxa"/>
            <w:vAlign w:val="center"/>
          </w:tcPr>
          <w:p>
            <w:pPr>
              <w:pStyle w:val="16"/>
            </w:pPr>
            <w:r>
              <w:t>科学技术管理事务</w:t>
            </w:r>
          </w:p>
        </w:tc>
        <w:tc>
          <w:tcPr>
            <w:tcW w:w="1361" w:type="dxa"/>
            <w:vAlign w:val="center"/>
          </w:tcPr>
          <w:p>
            <w:pPr>
              <w:pStyle w:val="15"/>
            </w:pPr>
            <w:r>
              <w:t>112.05</w:t>
            </w:r>
          </w:p>
        </w:tc>
        <w:tc>
          <w:tcPr>
            <w:tcW w:w="1361" w:type="dxa"/>
            <w:vAlign w:val="center"/>
          </w:tcPr>
          <w:p>
            <w:pPr>
              <w:pStyle w:val="15"/>
            </w:pPr>
            <w:r>
              <w:t>112.05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2060101</w:t>
            </w:r>
          </w:p>
        </w:tc>
        <w:tc>
          <w:tcPr>
            <w:tcW w:w="4535" w:type="dxa"/>
            <w:vAlign w:val="center"/>
          </w:tcPr>
          <w:p>
            <w:pPr>
              <w:pStyle w:val="16"/>
            </w:pPr>
            <w:r>
              <w:t>行政运行</w:t>
            </w:r>
          </w:p>
        </w:tc>
        <w:tc>
          <w:tcPr>
            <w:tcW w:w="1361" w:type="dxa"/>
            <w:vAlign w:val="center"/>
          </w:tcPr>
          <w:p>
            <w:pPr>
              <w:pStyle w:val="15"/>
            </w:pPr>
            <w:r>
              <w:t>112.05</w:t>
            </w:r>
          </w:p>
        </w:tc>
        <w:tc>
          <w:tcPr>
            <w:tcW w:w="1361" w:type="dxa"/>
            <w:vAlign w:val="center"/>
          </w:tcPr>
          <w:p>
            <w:pPr>
              <w:pStyle w:val="15"/>
            </w:pPr>
            <w:r>
              <w:t>112.05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29.77</w:t>
            </w:r>
          </w:p>
        </w:tc>
        <w:tc>
          <w:tcPr>
            <w:tcW w:w="1361" w:type="dxa"/>
            <w:vAlign w:val="center"/>
          </w:tcPr>
          <w:p>
            <w:pPr>
              <w:pStyle w:val="15"/>
            </w:pPr>
            <w:r>
              <w:t>29.77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29.77</w:t>
            </w:r>
          </w:p>
        </w:tc>
        <w:tc>
          <w:tcPr>
            <w:tcW w:w="1361" w:type="dxa"/>
            <w:vAlign w:val="center"/>
          </w:tcPr>
          <w:p>
            <w:pPr>
              <w:pStyle w:val="15"/>
            </w:pPr>
            <w:r>
              <w:t>29.77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11.20</w:t>
            </w:r>
          </w:p>
        </w:tc>
        <w:tc>
          <w:tcPr>
            <w:tcW w:w="1361" w:type="dxa"/>
            <w:vAlign w:val="center"/>
          </w:tcPr>
          <w:p>
            <w:pPr>
              <w:pStyle w:val="15"/>
            </w:pPr>
            <w:r>
              <w:t>11.20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12.37</w:t>
            </w:r>
          </w:p>
        </w:tc>
        <w:tc>
          <w:tcPr>
            <w:tcW w:w="1361" w:type="dxa"/>
            <w:vAlign w:val="center"/>
          </w:tcPr>
          <w:p>
            <w:pPr>
              <w:pStyle w:val="15"/>
            </w:pPr>
            <w:r>
              <w:t>12.37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6.19</w:t>
            </w:r>
          </w:p>
        </w:tc>
        <w:tc>
          <w:tcPr>
            <w:tcW w:w="1361" w:type="dxa"/>
            <w:vAlign w:val="center"/>
          </w:tcPr>
          <w:p>
            <w:pPr>
              <w:pStyle w:val="15"/>
            </w:pPr>
            <w:r>
              <w:t>6.19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5.80</w:t>
            </w:r>
          </w:p>
        </w:tc>
        <w:tc>
          <w:tcPr>
            <w:tcW w:w="1361" w:type="dxa"/>
            <w:vAlign w:val="center"/>
          </w:tcPr>
          <w:p>
            <w:pPr>
              <w:pStyle w:val="15"/>
            </w:pPr>
            <w:r>
              <w:t>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5.80</w:t>
            </w:r>
          </w:p>
        </w:tc>
        <w:tc>
          <w:tcPr>
            <w:tcW w:w="1361" w:type="dxa"/>
            <w:vAlign w:val="center"/>
          </w:tcPr>
          <w:p>
            <w:pPr>
              <w:pStyle w:val="15"/>
            </w:pPr>
            <w:r>
              <w:t>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5.80</w:t>
            </w:r>
          </w:p>
        </w:tc>
        <w:tc>
          <w:tcPr>
            <w:tcW w:w="1361" w:type="dxa"/>
            <w:vAlign w:val="center"/>
          </w:tcPr>
          <w:p>
            <w:pPr>
              <w:pStyle w:val="15"/>
            </w:pPr>
            <w:r>
              <w:t>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308魏县民族宗教事务局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194.71</w:t>
            </w:r>
          </w:p>
        </w:tc>
        <w:tc>
          <w:tcPr>
            <w:tcW w:w="3402" w:type="dxa"/>
            <w:vAlign w:val="center"/>
          </w:tcPr>
          <w:p>
            <w:pPr>
              <w:pStyle w:val="16"/>
            </w:pPr>
            <w:r>
              <w:t>一、一般公共服务支出</w:t>
            </w:r>
          </w:p>
        </w:tc>
        <w:tc>
          <w:tcPr>
            <w:tcW w:w="1474" w:type="dxa"/>
            <w:vAlign w:val="center"/>
          </w:tcPr>
          <w:p>
            <w:pPr>
              <w:pStyle w:val="15"/>
            </w:pPr>
            <w:r>
              <w:t>47.10</w:t>
            </w:r>
          </w:p>
        </w:tc>
        <w:tc>
          <w:tcPr>
            <w:tcW w:w="1474" w:type="dxa"/>
            <w:vAlign w:val="center"/>
          </w:tcPr>
          <w:p>
            <w:pPr>
              <w:pStyle w:val="15"/>
            </w:pPr>
            <w:r>
              <w:t>47.10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r>
              <w:t>112.05</w:t>
            </w:r>
          </w:p>
        </w:tc>
        <w:tc>
          <w:tcPr>
            <w:tcW w:w="1474" w:type="dxa"/>
            <w:vAlign w:val="center"/>
          </w:tcPr>
          <w:p>
            <w:pPr>
              <w:pStyle w:val="15"/>
            </w:pPr>
            <w:r>
              <w:t>112.05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29.77</w:t>
            </w:r>
          </w:p>
        </w:tc>
        <w:tc>
          <w:tcPr>
            <w:tcW w:w="1474" w:type="dxa"/>
            <w:vAlign w:val="center"/>
          </w:tcPr>
          <w:p>
            <w:pPr>
              <w:pStyle w:val="15"/>
            </w:pPr>
            <w:r>
              <w:t>29.77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5.80</w:t>
            </w:r>
          </w:p>
        </w:tc>
        <w:tc>
          <w:tcPr>
            <w:tcW w:w="1474" w:type="dxa"/>
            <w:vAlign w:val="center"/>
          </w:tcPr>
          <w:p>
            <w:pPr>
              <w:pStyle w:val="15"/>
            </w:pPr>
            <w:r>
              <w:t>5.80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194.71</w:t>
            </w:r>
          </w:p>
        </w:tc>
        <w:tc>
          <w:tcPr>
            <w:tcW w:w="3402" w:type="dxa"/>
            <w:vAlign w:val="center"/>
          </w:tcPr>
          <w:p>
            <w:pPr>
              <w:pStyle w:val="18"/>
            </w:pPr>
            <w:r>
              <w:t>本年支出合计</w:t>
            </w:r>
          </w:p>
        </w:tc>
        <w:tc>
          <w:tcPr>
            <w:tcW w:w="1474" w:type="dxa"/>
            <w:vAlign w:val="center"/>
          </w:tcPr>
          <w:p>
            <w:pPr>
              <w:pStyle w:val="19"/>
            </w:pPr>
            <w:r>
              <w:t>194.71</w:t>
            </w:r>
          </w:p>
        </w:tc>
        <w:tc>
          <w:tcPr>
            <w:tcW w:w="1474" w:type="dxa"/>
            <w:vAlign w:val="center"/>
          </w:tcPr>
          <w:p>
            <w:pPr>
              <w:pStyle w:val="19"/>
            </w:pPr>
            <w:r>
              <w:t>194.71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194.71</w:t>
            </w:r>
          </w:p>
        </w:tc>
        <w:tc>
          <w:tcPr>
            <w:tcW w:w="3402" w:type="dxa"/>
            <w:vAlign w:val="center"/>
          </w:tcPr>
          <w:p>
            <w:pPr>
              <w:pStyle w:val="18"/>
            </w:pPr>
            <w:r>
              <w:t>支出总计</w:t>
            </w:r>
          </w:p>
        </w:tc>
        <w:tc>
          <w:tcPr>
            <w:tcW w:w="1474" w:type="dxa"/>
            <w:vAlign w:val="center"/>
          </w:tcPr>
          <w:p>
            <w:pPr>
              <w:pStyle w:val="19"/>
            </w:pPr>
            <w:r>
              <w:t>194.71</w:t>
            </w:r>
          </w:p>
        </w:tc>
        <w:tc>
          <w:tcPr>
            <w:tcW w:w="1474" w:type="dxa"/>
            <w:vAlign w:val="center"/>
          </w:tcPr>
          <w:p>
            <w:pPr>
              <w:pStyle w:val="19"/>
            </w:pPr>
            <w:r>
              <w:t>194.71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194.71</w:t>
            </w:r>
          </w:p>
        </w:tc>
        <w:tc>
          <w:tcPr>
            <w:tcW w:w="2551" w:type="dxa"/>
            <w:vAlign w:val="center"/>
          </w:tcPr>
          <w:p>
            <w:pPr>
              <w:pStyle w:val="19"/>
            </w:pPr>
            <w:r>
              <w:t>147.61</w:t>
            </w:r>
          </w:p>
        </w:tc>
        <w:tc>
          <w:tcPr>
            <w:tcW w:w="2551" w:type="dxa"/>
            <w:vAlign w:val="center"/>
          </w:tcPr>
          <w:p>
            <w:pPr>
              <w:pStyle w:val="19"/>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47.10</w:t>
            </w:r>
          </w:p>
        </w:tc>
        <w:tc>
          <w:tcPr>
            <w:tcW w:w="2551" w:type="dxa"/>
            <w:vAlign w:val="center"/>
          </w:tcPr>
          <w:p>
            <w:pPr>
              <w:pStyle w:val="15"/>
            </w:pPr>
          </w:p>
        </w:tc>
        <w:tc>
          <w:tcPr>
            <w:tcW w:w="2551" w:type="dxa"/>
            <w:vAlign w:val="center"/>
          </w:tcPr>
          <w:p>
            <w:pPr>
              <w:pStyle w:val="15"/>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20134</w:t>
            </w:r>
          </w:p>
        </w:tc>
        <w:tc>
          <w:tcPr>
            <w:tcW w:w="4535" w:type="dxa"/>
            <w:vAlign w:val="center"/>
          </w:tcPr>
          <w:p>
            <w:pPr>
              <w:pStyle w:val="16"/>
            </w:pPr>
            <w:r>
              <w:t>统战事务</w:t>
            </w:r>
          </w:p>
        </w:tc>
        <w:tc>
          <w:tcPr>
            <w:tcW w:w="2551" w:type="dxa"/>
            <w:vAlign w:val="center"/>
          </w:tcPr>
          <w:p>
            <w:pPr>
              <w:pStyle w:val="15"/>
            </w:pPr>
            <w:r>
              <w:t>47.10</w:t>
            </w:r>
          </w:p>
        </w:tc>
        <w:tc>
          <w:tcPr>
            <w:tcW w:w="2551" w:type="dxa"/>
            <w:vAlign w:val="center"/>
          </w:tcPr>
          <w:p>
            <w:pPr>
              <w:pStyle w:val="15"/>
            </w:pPr>
          </w:p>
        </w:tc>
        <w:tc>
          <w:tcPr>
            <w:tcW w:w="2551" w:type="dxa"/>
            <w:vAlign w:val="center"/>
          </w:tcPr>
          <w:p>
            <w:pPr>
              <w:pStyle w:val="15"/>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2013404</w:t>
            </w:r>
          </w:p>
        </w:tc>
        <w:tc>
          <w:tcPr>
            <w:tcW w:w="4535" w:type="dxa"/>
            <w:vAlign w:val="center"/>
          </w:tcPr>
          <w:p>
            <w:pPr>
              <w:pStyle w:val="16"/>
            </w:pPr>
            <w:r>
              <w:t>宗教事务</w:t>
            </w:r>
          </w:p>
        </w:tc>
        <w:tc>
          <w:tcPr>
            <w:tcW w:w="2551" w:type="dxa"/>
            <w:vAlign w:val="center"/>
          </w:tcPr>
          <w:p>
            <w:pPr>
              <w:pStyle w:val="15"/>
            </w:pPr>
            <w:r>
              <w:t>47.10</w:t>
            </w:r>
          </w:p>
        </w:tc>
        <w:tc>
          <w:tcPr>
            <w:tcW w:w="2551" w:type="dxa"/>
            <w:vAlign w:val="center"/>
          </w:tcPr>
          <w:p>
            <w:pPr>
              <w:pStyle w:val="15"/>
            </w:pPr>
          </w:p>
        </w:tc>
        <w:tc>
          <w:tcPr>
            <w:tcW w:w="2551" w:type="dxa"/>
            <w:vAlign w:val="center"/>
          </w:tcPr>
          <w:p>
            <w:pPr>
              <w:pStyle w:val="15"/>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206</w:t>
            </w:r>
          </w:p>
        </w:tc>
        <w:tc>
          <w:tcPr>
            <w:tcW w:w="4535" w:type="dxa"/>
            <w:vAlign w:val="center"/>
          </w:tcPr>
          <w:p>
            <w:pPr>
              <w:pStyle w:val="16"/>
            </w:pPr>
            <w:r>
              <w:t>科学技术支出</w:t>
            </w:r>
          </w:p>
        </w:tc>
        <w:tc>
          <w:tcPr>
            <w:tcW w:w="2551" w:type="dxa"/>
            <w:vAlign w:val="center"/>
          </w:tcPr>
          <w:p>
            <w:pPr>
              <w:pStyle w:val="15"/>
            </w:pPr>
            <w:r>
              <w:t>112.05</w:t>
            </w:r>
          </w:p>
        </w:tc>
        <w:tc>
          <w:tcPr>
            <w:tcW w:w="2551" w:type="dxa"/>
            <w:vAlign w:val="center"/>
          </w:tcPr>
          <w:p>
            <w:pPr>
              <w:pStyle w:val="15"/>
            </w:pPr>
            <w:r>
              <w:t>112.05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20601</w:t>
            </w:r>
          </w:p>
        </w:tc>
        <w:tc>
          <w:tcPr>
            <w:tcW w:w="4535" w:type="dxa"/>
            <w:vAlign w:val="center"/>
          </w:tcPr>
          <w:p>
            <w:pPr>
              <w:pStyle w:val="16"/>
            </w:pPr>
            <w:r>
              <w:t>科学技术管理事务</w:t>
            </w:r>
          </w:p>
        </w:tc>
        <w:tc>
          <w:tcPr>
            <w:tcW w:w="2551" w:type="dxa"/>
            <w:vAlign w:val="center"/>
          </w:tcPr>
          <w:p>
            <w:pPr>
              <w:pStyle w:val="15"/>
            </w:pPr>
            <w:r>
              <w:t>112.05</w:t>
            </w:r>
          </w:p>
        </w:tc>
        <w:tc>
          <w:tcPr>
            <w:tcW w:w="2551" w:type="dxa"/>
            <w:vAlign w:val="center"/>
          </w:tcPr>
          <w:p>
            <w:pPr>
              <w:pStyle w:val="15"/>
            </w:pPr>
            <w:r>
              <w:t>112.05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2060101</w:t>
            </w:r>
          </w:p>
        </w:tc>
        <w:tc>
          <w:tcPr>
            <w:tcW w:w="4535" w:type="dxa"/>
            <w:vAlign w:val="center"/>
          </w:tcPr>
          <w:p>
            <w:pPr>
              <w:pStyle w:val="16"/>
            </w:pPr>
            <w:r>
              <w:t>行政运行</w:t>
            </w:r>
          </w:p>
        </w:tc>
        <w:tc>
          <w:tcPr>
            <w:tcW w:w="2551" w:type="dxa"/>
            <w:vAlign w:val="center"/>
          </w:tcPr>
          <w:p>
            <w:pPr>
              <w:pStyle w:val="15"/>
            </w:pPr>
            <w:r>
              <w:t>112.05</w:t>
            </w:r>
          </w:p>
        </w:tc>
        <w:tc>
          <w:tcPr>
            <w:tcW w:w="2551" w:type="dxa"/>
            <w:vAlign w:val="center"/>
          </w:tcPr>
          <w:p>
            <w:pPr>
              <w:pStyle w:val="15"/>
            </w:pPr>
            <w:r>
              <w:t>112.05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29.77</w:t>
            </w:r>
          </w:p>
        </w:tc>
        <w:tc>
          <w:tcPr>
            <w:tcW w:w="2551" w:type="dxa"/>
            <w:vAlign w:val="center"/>
          </w:tcPr>
          <w:p>
            <w:pPr>
              <w:pStyle w:val="15"/>
            </w:pPr>
            <w:r>
              <w:t>29.77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29.77</w:t>
            </w:r>
          </w:p>
        </w:tc>
        <w:tc>
          <w:tcPr>
            <w:tcW w:w="2551" w:type="dxa"/>
            <w:vAlign w:val="center"/>
          </w:tcPr>
          <w:p>
            <w:pPr>
              <w:pStyle w:val="15"/>
            </w:pPr>
            <w:r>
              <w:t>29.77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11.20</w:t>
            </w:r>
          </w:p>
        </w:tc>
        <w:tc>
          <w:tcPr>
            <w:tcW w:w="2551" w:type="dxa"/>
            <w:vAlign w:val="center"/>
          </w:tcPr>
          <w:p>
            <w:pPr>
              <w:pStyle w:val="15"/>
            </w:pPr>
            <w:r>
              <w:t>11.20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12.37</w:t>
            </w:r>
          </w:p>
        </w:tc>
        <w:tc>
          <w:tcPr>
            <w:tcW w:w="2551" w:type="dxa"/>
            <w:vAlign w:val="center"/>
          </w:tcPr>
          <w:p>
            <w:pPr>
              <w:pStyle w:val="15"/>
            </w:pPr>
            <w:r>
              <w:t>12.37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6.19</w:t>
            </w:r>
          </w:p>
        </w:tc>
        <w:tc>
          <w:tcPr>
            <w:tcW w:w="2551" w:type="dxa"/>
            <w:vAlign w:val="center"/>
          </w:tcPr>
          <w:p>
            <w:pPr>
              <w:pStyle w:val="15"/>
            </w:pPr>
            <w:r>
              <w:t>6.19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5.80</w:t>
            </w:r>
          </w:p>
        </w:tc>
        <w:tc>
          <w:tcPr>
            <w:tcW w:w="2551" w:type="dxa"/>
            <w:vAlign w:val="center"/>
          </w:tcPr>
          <w:p>
            <w:pPr>
              <w:pStyle w:val="15"/>
            </w:pPr>
            <w:r>
              <w:t>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5.80</w:t>
            </w:r>
          </w:p>
        </w:tc>
        <w:tc>
          <w:tcPr>
            <w:tcW w:w="2551" w:type="dxa"/>
            <w:vAlign w:val="center"/>
          </w:tcPr>
          <w:p>
            <w:pPr>
              <w:pStyle w:val="15"/>
            </w:pPr>
            <w:r>
              <w:t>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5.80</w:t>
            </w:r>
          </w:p>
        </w:tc>
        <w:tc>
          <w:tcPr>
            <w:tcW w:w="2551" w:type="dxa"/>
            <w:vAlign w:val="center"/>
          </w:tcPr>
          <w:p>
            <w:pPr>
              <w:pStyle w:val="15"/>
            </w:pPr>
            <w:r>
              <w:t>5.80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147.61</w:t>
            </w:r>
          </w:p>
        </w:tc>
        <w:tc>
          <w:tcPr>
            <w:tcW w:w="2551" w:type="dxa"/>
            <w:vAlign w:val="center"/>
          </w:tcPr>
          <w:p>
            <w:pPr>
              <w:pStyle w:val="19"/>
            </w:pPr>
            <w:r>
              <w:t>130.71</w:t>
            </w:r>
          </w:p>
        </w:tc>
        <w:tc>
          <w:tcPr>
            <w:tcW w:w="2551" w:type="dxa"/>
            <w:vAlign w:val="center"/>
          </w:tcPr>
          <w:p>
            <w:pPr>
              <w:pStyle w:val="19"/>
            </w:pPr>
            <w:r>
              <w:t>16.90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117.87</w:t>
            </w:r>
          </w:p>
        </w:tc>
        <w:tc>
          <w:tcPr>
            <w:tcW w:w="2551" w:type="dxa"/>
            <w:vAlign w:val="center"/>
          </w:tcPr>
          <w:p>
            <w:pPr>
              <w:pStyle w:val="15"/>
            </w:pPr>
            <w:r>
              <w:t>117.87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83.71</w:t>
            </w:r>
          </w:p>
        </w:tc>
        <w:tc>
          <w:tcPr>
            <w:tcW w:w="2551" w:type="dxa"/>
            <w:vAlign w:val="center"/>
          </w:tcPr>
          <w:p>
            <w:pPr>
              <w:pStyle w:val="15"/>
            </w:pPr>
            <w:r>
              <w:t>83.71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5.43</w:t>
            </w:r>
          </w:p>
        </w:tc>
        <w:tc>
          <w:tcPr>
            <w:tcW w:w="2551" w:type="dxa"/>
            <w:vAlign w:val="center"/>
          </w:tcPr>
          <w:p>
            <w:pPr>
              <w:pStyle w:val="15"/>
            </w:pPr>
            <w:r>
              <w:t>5.43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12.37</w:t>
            </w:r>
          </w:p>
        </w:tc>
        <w:tc>
          <w:tcPr>
            <w:tcW w:w="2551" w:type="dxa"/>
            <w:vAlign w:val="center"/>
          </w:tcPr>
          <w:p>
            <w:pPr>
              <w:pStyle w:val="15"/>
            </w:pPr>
            <w:r>
              <w:t>12.37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6.19</w:t>
            </w:r>
          </w:p>
        </w:tc>
        <w:tc>
          <w:tcPr>
            <w:tcW w:w="2551" w:type="dxa"/>
            <w:vAlign w:val="center"/>
          </w:tcPr>
          <w:p>
            <w:pPr>
              <w:pStyle w:val="15"/>
            </w:pPr>
            <w:r>
              <w:t>6.19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5.80</w:t>
            </w:r>
          </w:p>
        </w:tc>
        <w:tc>
          <w:tcPr>
            <w:tcW w:w="2551" w:type="dxa"/>
            <w:vAlign w:val="center"/>
          </w:tcPr>
          <w:p>
            <w:pPr>
              <w:pStyle w:val="15"/>
            </w:pPr>
            <w:r>
              <w:t>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16.90</w:t>
            </w:r>
          </w:p>
        </w:tc>
        <w:tc>
          <w:tcPr>
            <w:tcW w:w="2551" w:type="dxa"/>
            <w:vAlign w:val="center"/>
          </w:tcPr>
          <w:p>
            <w:pPr>
              <w:pStyle w:val="15"/>
            </w:pPr>
          </w:p>
        </w:tc>
        <w:tc>
          <w:tcPr>
            <w:tcW w:w="2551" w:type="dxa"/>
            <w:vAlign w:val="center"/>
          </w:tcPr>
          <w:p>
            <w:pPr>
              <w:pStyle w:val="15"/>
            </w:pPr>
            <w:r>
              <w:t>16.90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9.55</w:t>
            </w:r>
          </w:p>
        </w:tc>
        <w:tc>
          <w:tcPr>
            <w:tcW w:w="2551" w:type="dxa"/>
            <w:vAlign w:val="center"/>
          </w:tcPr>
          <w:p>
            <w:pPr>
              <w:pStyle w:val="15"/>
            </w:pPr>
          </w:p>
        </w:tc>
        <w:tc>
          <w:tcPr>
            <w:tcW w:w="2551" w:type="dxa"/>
            <w:vAlign w:val="center"/>
          </w:tcPr>
          <w:p>
            <w:pPr>
              <w:pStyle w:val="15"/>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0.45</w:t>
            </w:r>
          </w:p>
        </w:tc>
        <w:tc>
          <w:tcPr>
            <w:tcW w:w="2551" w:type="dxa"/>
            <w:vAlign w:val="center"/>
          </w:tcPr>
          <w:p>
            <w:pPr>
              <w:pStyle w:val="15"/>
            </w:pPr>
          </w:p>
        </w:tc>
        <w:tc>
          <w:tcPr>
            <w:tcW w:w="2551"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6.90</w:t>
            </w:r>
          </w:p>
        </w:tc>
        <w:tc>
          <w:tcPr>
            <w:tcW w:w="2551" w:type="dxa"/>
            <w:vAlign w:val="center"/>
          </w:tcPr>
          <w:p>
            <w:pPr>
              <w:pStyle w:val="15"/>
            </w:pPr>
          </w:p>
        </w:tc>
        <w:tc>
          <w:tcPr>
            <w:tcW w:w="2551" w:type="dxa"/>
            <w:vAlign w:val="center"/>
          </w:tcPr>
          <w:p>
            <w:pPr>
              <w:pStyle w:val="15"/>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12.84</w:t>
            </w:r>
          </w:p>
        </w:tc>
        <w:tc>
          <w:tcPr>
            <w:tcW w:w="2551" w:type="dxa"/>
            <w:vAlign w:val="center"/>
          </w:tcPr>
          <w:p>
            <w:pPr>
              <w:pStyle w:val="15"/>
            </w:pPr>
            <w:r>
              <w:t>12.84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11.20</w:t>
            </w:r>
          </w:p>
        </w:tc>
        <w:tc>
          <w:tcPr>
            <w:tcW w:w="2551" w:type="dxa"/>
            <w:vAlign w:val="center"/>
          </w:tcPr>
          <w:p>
            <w:pPr>
              <w:pStyle w:val="15"/>
            </w:pPr>
            <w:r>
              <w:t>11.20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1.64</w:t>
            </w:r>
          </w:p>
        </w:tc>
        <w:tc>
          <w:tcPr>
            <w:tcW w:w="2551" w:type="dxa"/>
            <w:vAlign w:val="center"/>
          </w:tcPr>
          <w:p>
            <w:pPr>
              <w:pStyle w:val="15"/>
            </w:pPr>
            <w:r>
              <w:t>1.64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308魏县民族宗教事务局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308魏县民族宗教事务局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0.45</w:t>
            </w:r>
          </w:p>
        </w:tc>
        <w:tc>
          <w:tcPr>
            <w:tcW w:w="2381" w:type="dxa"/>
            <w:vAlign w:val="center"/>
          </w:tcPr>
          <w:p>
            <w:pPr>
              <w:pStyle w:val="19"/>
            </w:pPr>
            <w:r>
              <w:t>0.45</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0.45</w:t>
            </w:r>
          </w:p>
        </w:tc>
        <w:tc>
          <w:tcPr>
            <w:tcW w:w="2381" w:type="dxa"/>
            <w:vAlign w:val="center"/>
          </w:tcPr>
          <w:p>
            <w:pPr>
              <w:pStyle w:val="15"/>
            </w:pPr>
            <w:r>
              <w:t>0.45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0.45</w:t>
            </w:r>
          </w:p>
        </w:tc>
        <w:tc>
          <w:tcPr>
            <w:tcW w:w="2381" w:type="dxa"/>
            <w:vAlign w:val="center"/>
          </w:tcPr>
          <w:p>
            <w:pPr>
              <w:pStyle w:val="15"/>
            </w:pPr>
            <w:r>
              <w:t>0.45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0.45</w:t>
            </w:r>
          </w:p>
        </w:tc>
        <w:tc>
          <w:tcPr>
            <w:tcW w:w="2381" w:type="dxa"/>
            <w:vAlign w:val="center"/>
          </w:tcPr>
          <w:p>
            <w:pPr>
              <w:pStyle w:val="15"/>
            </w:pPr>
            <w:r>
              <w:t>0.45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魏县民族宗教事务局2023年部门预算信息公开情况说明</w:t>
      </w:r>
    </w:p>
    <w:p>
      <w:pPr>
        <w:jc w:val="center"/>
      </w:pPr>
      <w:r>
        <w:rPr>
          <w:rFonts w:ascii="方正小标宋_GBK" w:hAnsi="方正小标宋_GBK" w:eastAsia="方正小标宋_GBK" w:cs="方正小标宋_GBK"/>
          <w:color w:val="000000"/>
          <w:sz w:val="44"/>
        </w:rPr>
        <w:t>魏县民族宗教事务局2023年部门预算信息公开情况说明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按照《预算法》、《地方预决算公开操作规程》和《关于进一步推进预算公开工作的实施意见》规定，现将魏县民族宗教事务局2023年部门预算公开如下：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贯彻执行国家有关民族宗教工作的方针政策，组织开展民族宗教法律、法规、政策的宣传教育工作，督促、检查民族宗教法律、法规、政策的执行情况。指导有关部门、有关领域落实民族宗教政策，促进民族宗教工作开展。</w:t>
      </w:r>
    </w:p>
    <w:p>
      <w:pPr>
        <w:pStyle w:val="21"/>
      </w:pPr>
      <w:r>
        <w:t>（二）组织开展民族宗教理论、政策及重大问题的调查研究，提出建议；对各级干部进行民族宗教理论、政策、法律、法规的学习培训，保障少数民族和信教群众的合法权益。</w:t>
      </w:r>
    </w:p>
    <w:p>
      <w:pPr>
        <w:pStyle w:val="21"/>
      </w:pPr>
      <w:r>
        <w:t>（三）组织对民族宗教界上层人士和宗教教职人员的社会主义核心价值观、坚持我国宗教中国化方向、爱国主义教育和相关法律、法规、政策的学习。</w:t>
      </w:r>
    </w:p>
    <w:p>
      <w:pPr>
        <w:pStyle w:val="21"/>
      </w:pPr>
      <w:r>
        <w:t>（四）对宗教教职人员和基督教传道员进行备案初步登记、管理。对成立县级宗教团体进行审核、登记备案，发挥其管理宗教内部事务的积极作用。</w:t>
      </w:r>
    </w:p>
    <w:p>
      <w:pPr>
        <w:pStyle w:val="21"/>
      </w:pPr>
      <w:r>
        <w:t>（五）组织开展民族团结进步创建活动，协调处理涉及民族关系的有关事宜，监督办理少数民族权益保障事宜。管理有关少数民族专项资金；变更民族成分初步审查，承办民族宗教统计工作。</w:t>
      </w:r>
    </w:p>
    <w:p>
      <w:pPr>
        <w:pStyle w:val="21"/>
      </w:pPr>
      <w:r>
        <w:t>（六）对生产、经营清真食品的单位和个人实施监督管理。对清真食品专用包装物和清真标志的审核，清真食品生产加工企业及个体工商户开办审核，清真食品的监督管理。</w:t>
      </w:r>
    </w:p>
    <w:p>
      <w:pPr>
        <w:pStyle w:val="21"/>
      </w:pPr>
      <w:r>
        <w:t>（七）联系少数民族干部，协助有关部门做好少数民族干部的培养、选拔和使用工作。</w:t>
      </w:r>
    </w:p>
    <w:p>
      <w:pPr>
        <w:pStyle w:val="21"/>
      </w:pPr>
      <w:r>
        <w:t>（八）依法对宗教事务进行管理，保护公民宗教信仰自由和正常的教务活动，维护宗教界的合法权益，促进宗教关系和谐。负责对设立寺观教堂审查，对设立其它固定宗教活动处所初步审核；对临时宗教活动点指定，对宗教场所较大规模修缮、改建寺院、宫观教堂进行初步审核。</w:t>
      </w:r>
    </w:p>
    <w:p>
      <w:pPr>
        <w:pStyle w:val="21"/>
      </w:pPr>
      <w:r>
        <w:t>（九）指导宗教团体依法依章开展活动，指导宗教团体加强自身建设，负责对其年度考核等。推动各宗教团体开展爱国主义、社会主义、拥护祖国统一和民族团结的自我教育。办理宗教团体需由政府解决或协调的有关事宜。宗教团体在县域宗教活动场所内举办培训班许可意见。</w:t>
      </w:r>
    </w:p>
    <w:p>
      <w:pPr>
        <w:pStyle w:val="21"/>
      </w:pPr>
      <w:r>
        <w:t>（十）负责引导、促进宗教团体在法律、法规和政策范围内的活动，防范利用宗教进行非法、违法活动，抵御境外利用宗教进行的渗透活动。对跨区域举行超过宗教活动场所容纳规模的大型宗教活动或者在宗教活动场所外举行大型宗教活动审查，对宗教团体、寺观教堂在宗教活动场所外修建大型宗教露天宗教造像审查。</w:t>
      </w:r>
    </w:p>
    <w:p>
      <w:pPr>
        <w:pStyle w:val="21"/>
      </w:pPr>
      <w:r>
        <w:t>（十一）指导、协调、监督管理宗教界依法开展公益、慈善事业。加强对宗教事务的管理，引导、促进宗教在法律、法规和政策范围内活动。做好宗教活动场所和宗教教职人员的认定、管理工作。</w:t>
      </w:r>
    </w:p>
    <w:p>
      <w:pPr>
        <w:pStyle w:val="21"/>
      </w:pPr>
      <w:r>
        <w:t>（十二）协助乡镇人民政府及时处理民族宗教方面的突发事件和影响社会稳定的问题。</w:t>
      </w:r>
    </w:p>
    <w:p>
      <w:pPr>
        <w:pStyle w:val="21"/>
      </w:pPr>
      <w:r>
        <w:t>（十三）指导各乡镇的民族宗教业务工作，协助对乡镇干部、宗教专干等进行业务培训。</w:t>
      </w:r>
    </w:p>
    <w:p>
      <w:pPr>
        <w:pStyle w:val="21"/>
      </w:pPr>
      <w:r>
        <w:t>（十四）完成市对县进行的民族宗教工作考核；负责对各乡镇、县直相关部门有关民族宗教工作的考核。</w:t>
      </w:r>
    </w:p>
    <w:p>
      <w:pPr>
        <w:pStyle w:val="21"/>
      </w:pPr>
      <w:r>
        <w:t> （十五）完成县委、县政府交办的其他工作。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魏县民族宗教事务局本级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按照预算管理有关规定，目前我县部门预算的编制实行综合预算管理，即全部收入和支出都反映在预算中。魏县民族宗教事务局机关及所属事业单位的收支包含在部门预算中。</w:t>
      </w:r>
    </w:p>
    <w:p>
      <w:pPr>
        <w:pStyle w:val="22"/>
      </w:pPr>
      <w:r>
        <w:t>1、收入说明：2023 年收入预算共计194.71万元，全部为财政拨款收入。</w:t>
      </w:r>
    </w:p>
    <w:p>
      <w:pPr>
        <w:pStyle w:val="22"/>
      </w:pPr>
      <w:r>
        <w:t>2、支出说明：2023年支出预算共计194.71万元，其中人员经费支出预算130.71万元，日常公用经费支出预算16.9万元，项目支出47.1万元。</w:t>
      </w:r>
    </w:p>
    <w:p>
      <w:pPr>
        <w:pStyle w:val="22"/>
      </w:pPr>
      <w:r>
        <w:t>3、比上年增减情况：经过对比测算，2023年财政拨款预算比上年增加6.12万元，增长3.2%。其中：人员经费增加8.02万元、日常公用经费减少1.9万元、项目经费没有变动。主要原因是：人员经费增加的主要原因是工资正常晋级晋档；日常公用经费减少主要原因是人员比去年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经费共计安排16.9万元，主要用于保证正常办公的基本需要和维持单位日常业务运转，包括：办公费、印刷费、邮电费、差旅费、福利费、手续费、公务接待费、工会经费、公务用车运行维护费和公务交通补贴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财政拨款“三公”经费预算安排0.45万元，其中：因公出国(境)费0万元，没有变动，与上年持平；公务用车购置及运维费0.45万元(其中：公务用车购置费为0万元，公务用车运行费0.45万元)，无变动，与上年持平；公务接待费0万元，无变动，与上年持平。主要原因是我单位严格按照党</w:t>
      </w:r>
      <w:r>
        <w:rPr>
          <w:rFonts w:hint="eastAsia"/>
          <w:lang w:eastAsia="zh-CN"/>
        </w:rPr>
        <w:t>中央八项规定</w:t>
      </w:r>
      <w:r>
        <w:t>，严格控制各项费用，特别是对“三公”经费等一般性支出实行定额管理，由于工作需要和单位工作实际情况，三公经费已压减到最低，故本年预算未再作压减。</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我单位在县委的坚强领导下，深入贯彻中央、省委、市委和县委关于民族宗教工作的方针政策和决策部署，坚持和加强党对民族宗教工作的集中统一领导，紧扣县委、县政府确定的目标任务，凝神聚力，开拓创新，</w:t>
      </w:r>
      <w:r>
        <w:rPr>
          <w:rFonts w:hint="eastAsia"/>
          <w:lang w:eastAsia="zh-CN"/>
        </w:rPr>
        <w:t>攻坚克难</w:t>
      </w:r>
      <w:r>
        <w:t>，砥砺奋进，以更加高昂的激情，更加有力的措施，更加务实的作风，全面开创工作新局面。</w:t>
      </w:r>
    </w:p>
    <w:p>
      <w:pPr>
        <w:spacing w:line="500" w:lineRule="exact"/>
        <w:ind w:firstLine="560"/>
      </w:pPr>
      <w:r>
        <w:rPr>
          <w:rFonts w:eastAsia="方正仿宋_GBK"/>
          <w:color w:val="000000"/>
          <w:sz w:val="28"/>
        </w:rPr>
        <w:t>（二）分项绩效目标</w:t>
      </w:r>
    </w:p>
    <w:p>
      <w:pPr>
        <w:pStyle w:val="26"/>
      </w:pPr>
      <w:r>
        <w:t xml:space="preserve">1、较好的完成少数民族基本事务管理工作，顺利的完成各项民族法律政策的调研、制定任务。 </w:t>
      </w:r>
    </w:p>
    <w:p>
      <w:pPr>
        <w:pStyle w:val="26"/>
      </w:pPr>
      <w:r>
        <w:t>2、完成宗教基本事务，加大全县宗教活动场所检查力度，及时解决各类宗教问题。</w:t>
      </w:r>
    </w:p>
    <w:p>
      <w:pPr>
        <w:pStyle w:val="26"/>
      </w:pPr>
      <w:r>
        <w:t>3、对地下神甫及其骨干分子进行监控、反渗透，研究天主教神职人员生活补助政策，巩固爱国人员的领导地位。</w:t>
      </w:r>
    </w:p>
    <w:p>
      <w:pPr>
        <w:pStyle w:val="26"/>
      </w:pPr>
      <w:r>
        <w:t>4、扩大培训人员范围，提高培训效果，确保人员数量和质量。</w:t>
      </w:r>
    </w:p>
    <w:p>
      <w:pPr>
        <w:pStyle w:val="26"/>
      </w:pPr>
      <w:r>
        <w:t>5、加强宗教界人员各种涉外事务管理。</w:t>
      </w:r>
    </w:p>
    <w:p>
      <w:pPr>
        <w:pStyle w:val="26"/>
      </w:pPr>
      <w:r>
        <w:t>6、开展民族宗教政策和法制宣传教育工作，处理民族宗教方面矛盾及问题。</w:t>
      </w:r>
    </w:p>
    <w:p>
      <w:pPr>
        <w:pStyle w:val="26"/>
      </w:pPr>
      <w:r>
        <w:t xml:space="preserve">7、提高民族宗教法律政策宣传覆盖率,加大宣传教育力度;妥善协助解决突发事件;提高清真食品检查认证,及时解决其他民族宗教问题。 </w:t>
      </w:r>
    </w:p>
    <w:p>
      <w:pPr>
        <w:pStyle w:val="26"/>
      </w:pPr>
      <w:r>
        <w:t>8、认真开展“双创四进”活动，推进宗教在坚持中国化方向上走深走实。</w:t>
      </w:r>
    </w:p>
    <w:p>
      <w:pPr>
        <w:pStyle w:val="26"/>
      </w:pPr>
      <w:r>
        <w:t>9、保证机关正常运转。</w:t>
      </w:r>
    </w:p>
    <w:p>
      <w:pPr>
        <w:spacing w:line="500" w:lineRule="exact"/>
        <w:ind w:firstLine="560"/>
      </w:pPr>
      <w:r>
        <w:rPr>
          <w:rFonts w:eastAsia="方正仿宋_GBK"/>
          <w:color w:val="000000"/>
          <w:sz w:val="28"/>
        </w:rPr>
        <w:t>（三）工作保障措施</w:t>
      </w:r>
    </w:p>
    <w:p>
      <w:pPr>
        <w:pStyle w:val="27"/>
      </w:pPr>
      <w:r>
        <w:t>1、对清真食品进行检查；深入群众调查少数民族政策执行落实调研。</w:t>
      </w:r>
    </w:p>
    <w:p>
      <w:pPr>
        <w:pStyle w:val="27"/>
      </w:pPr>
      <w:r>
        <w:t>2、深入基层经常性排查，及时发现苗头性问题和矛盾，稳妥积极解决。</w:t>
      </w:r>
    </w:p>
    <w:p>
      <w:pPr>
        <w:pStyle w:val="27"/>
      </w:pPr>
      <w:r>
        <w:t>3、加大天主教管理力量倾斜，确保坚持中国化方向。</w:t>
      </w:r>
    </w:p>
    <w:p>
      <w:pPr>
        <w:pStyle w:val="27"/>
      </w:pPr>
      <w:r>
        <w:t>4、年内完成对宗教界人员、宗教干部等培训，确保不留死角。</w:t>
      </w:r>
    </w:p>
    <w:p>
      <w:pPr>
        <w:pStyle w:val="27"/>
      </w:pPr>
      <w:r>
        <w:t>5、积极工作，确保宗教涉外事务管理完好。</w:t>
      </w:r>
    </w:p>
    <w:p>
      <w:pPr>
        <w:pStyle w:val="27"/>
      </w:pPr>
      <w:r>
        <w:t>6、加大宣传宗教法规知识力度，确保完成率达到预期目标。</w:t>
      </w:r>
    </w:p>
    <w:p>
      <w:pPr>
        <w:pStyle w:val="27"/>
      </w:pPr>
      <w:r>
        <w:t>7、提高培训效果，确保结识人员数量和质量，加大补助力度，增强反渗透能力。</w:t>
      </w:r>
    </w:p>
    <w:p>
      <w:pPr>
        <w:pStyle w:val="27"/>
      </w:pPr>
      <w:r>
        <w:t>8、在宗教界深入组织“双创四进”活动，有针对性的引导各宗教坚持中国化方向。</w:t>
      </w:r>
    </w:p>
    <w:p>
      <w:pPr>
        <w:pStyle w:val="27"/>
      </w:pPr>
      <w:r>
        <w:t>9、开展提质增效，倡导节俭办公，为全县民族宗教事务管理顺利运转提供应有办公环境。</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1、冀财行【2022】107号关于提前下达2023年</w:t>
      </w:r>
      <w:r>
        <w:rPr>
          <w:rFonts w:hint="eastAsia" w:ascii="方正仿宋_GBK" w:hAnsi="方正仿宋_GBK" w:cs="方正仿宋_GBK" w:eastAsiaTheme="minorEastAsia"/>
          <w:b/>
          <w:color w:val="000000"/>
          <w:sz w:val="28"/>
          <w:lang w:eastAsia="zh-CN"/>
        </w:rPr>
        <w:t>省</w:t>
      </w:r>
      <w:r>
        <w:rPr>
          <w:rFonts w:ascii="方正仿宋_GBK" w:hAnsi="方正仿宋_GBK" w:eastAsia="方正仿宋_GBK" w:cs="方正仿宋_GBK"/>
          <w:b/>
          <w:color w:val="000000"/>
          <w:sz w:val="28"/>
        </w:rPr>
        <w:t>级基层宗教事务管理补助经费的通知绩效目标表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对4个宗教团体的宗教事务管理</w:t>
            </w:r>
          </w:p>
          <w:p>
            <w:pPr>
              <w:pStyle w:val="16"/>
            </w:pPr>
            <w:r>
              <w:t>2.目标内容2  确保22个乡镇宗教活动场所稳定发展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发放补助数量</w:t>
            </w:r>
          </w:p>
        </w:tc>
        <w:tc>
          <w:tcPr>
            <w:tcW w:w="2835" w:type="dxa"/>
            <w:vAlign w:val="center"/>
          </w:tcPr>
          <w:p>
            <w:pPr>
              <w:pStyle w:val="16"/>
            </w:pPr>
            <w:r>
              <w:t>发放补助数量</w:t>
            </w:r>
          </w:p>
        </w:tc>
        <w:tc>
          <w:tcPr>
            <w:tcW w:w="2551" w:type="dxa"/>
            <w:vAlign w:val="center"/>
          </w:tcPr>
          <w:p>
            <w:pPr>
              <w:pStyle w:val="16"/>
            </w:pPr>
            <w:r>
              <w:t>≥4个</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发放补助完成率</w:t>
            </w:r>
          </w:p>
        </w:tc>
        <w:tc>
          <w:tcPr>
            <w:tcW w:w="2835" w:type="dxa"/>
            <w:vAlign w:val="center"/>
          </w:tcPr>
          <w:p>
            <w:pPr>
              <w:pStyle w:val="16"/>
            </w:pPr>
            <w:r>
              <w:t>发放补助完成率</w:t>
            </w:r>
          </w:p>
        </w:tc>
        <w:tc>
          <w:tcPr>
            <w:tcW w:w="2551" w:type="dxa"/>
            <w:vAlign w:val="center"/>
          </w:tcPr>
          <w:p>
            <w:pPr>
              <w:pStyle w:val="16"/>
            </w:pPr>
            <w:r>
              <w:t>≥90％</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≥90％</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补助金额</w:t>
            </w:r>
          </w:p>
        </w:tc>
        <w:tc>
          <w:tcPr>
            <w:tcW w:w="2835" w:type="dxa"/>
            <w:vAlign w:val="center"/>
          </w:tcPr>
          <w:p>
            <w:pPr>
              <w:pStyle w:val="16"/>
            </w:pPr>
            <w:r>
              <w:t>补助金额</w:t>
            </w:r>
          </w:p>
        </w:tc>
        <w:tc>
          <w:tcPr>
            <w:tcW w:w="2551" w:type="dxa"/>
            <w:vAlign w:val="center"/>
          </w:tcPr>
          <w:p>
            <w:pPr>
              <w:pStyle w:val="16"/>
            </w:pPr>
            <w:r>
              <w:t>5万元</w:t>
            </w:r>
          </w:p>
        </w:tc>
        <w:tc>
          <w:tcPr>
            <w:tcW w:w="2268" w:type="dxa"/>
            <w:vAlign w:val="center"/>
          </w:tcPr>
          <w:p>
            <w:pPr>
              <w:pStyle w:val="16"/>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坚持</w:t>
            </w:r>
            <w:r>
              <w:rPr>
                <w:rFonts w:hint="eastAsia"/>
                <w:lang w:eastAsia="zh-CN"/>
              </w:rPr>
              <w:t>我国</w:t>
            </w:r>
            <w:r>
              <w:t>宗教中国化方向</w:t>
            </w:r>
          </w:p>
        </w:tc>
        <w:tc>
          <w:tcPr>
            <w:tcW w:w="2835" w:type="dxa"/>
            <w:vAlign w:val="center"/>
          </w:tcPr>
          <w:p>
            <w:pPr>
              <w:pStyle w:val="16"/>
            </w:pPr>
            <w:r>
              <w:t>坚持</w:t>
            </w:r>
            <w:r>
              <w:rPr>
                <w:rFonts w:hint="eastAsia"/>
                <w:lang w:eastAsia="zh-CN"/>
              </w:rPr>
              <w:t>我国</w:t>
            </w:r>
            <w:r>
              <w:t>宗教中国化方向</w:t>
            </w:r>
          </w:p>
        </w:tc>
        <w:tc>
          <w:tcPr>
            <w:tcW w:w="2551" w:type="dxa"/>
            <w:vAlign w:val="center"/>
          </w:tcPr>
          <w:p>
            <w:pPr>
              <w:pStyle w:val="16"/>
            </w:pPr>
            <w:r>
              <w:t>坚持</w:t>
            </w:r>
            <w:r>
              <w:rPr>
                <w:rFonts w:hint="eastAsia"/>
                <w:lang w:eastAsia="zh-CN"/>
              </w:rPr>
              <w:t>我国</w:t>
            </w:r>
            <w:r>
              <w:t>宗教中国化方向</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确保宗教领域稳定发展</w:t>
            </w:r>
          </w:p>
        </w:tc>
        <w:tc>
          <w:tcPr>
            <w:tcW w:w="2835" w:type="dxa"/>
            <w:vAlign w:val="center"/>
          </w:tcPr>
          <w:p>
            <w:pPr>
              <w:pStyle w:val="16"/>
            </w:pPr>
            <w:r>
              <w:t>确保宗教领域稳定发展</w:t>
            </w:r>
          </w:p>
        </w:tc>
        <w:tc>
          <w:tcPr>
            <w:tcW w:w="2551" w:type="dxa"/>
            <w:vAlign w:val="center"/>
          </w:tcPr>
          <w:p>
            <w:pPr>
              <w:pStyle w:val="16"/>
            </w:pPr>
            <w:r>
              <w:t>确保宗教领域稳定发展</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2、双创四进、宗教干部、团体培训工作经费绩效目标表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对全县22个乡镇的宗教场所开展四进活动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对宗教干部及团体培训次数</w:t>
            </w:r>
          </w:p>
        </w:tc>
        <w:tc>
          <w:tcPr>
            <w:tcW w:w="2835" w:type="dxa"/>
            <w:vAlign w:val="center"/>
          </w:tcPr>
          <w:p>
            <w:pPr>
              <w:pStyle w:val="16"/>
            </w:pPr>
            <w:r>
              <w:t>对宗教干部及团体培训次数</w:t>
            </w:r>
          </w:p>
        </w:tc>
        <w:tc>
          <w:tcPr>
            <w:tcW w:w="2551" w:type="dxa"/>
            <w:vAlign w:val="center"/>
          </w:tcPr>
          <w:p>
            <w:pPr>
              <w:pStyle w:val="16"/>
            </w:pPr>
            <w:r>
              <w:t>2次</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四进完成率</w:t>
            </w:r>
          </w:p>
        </w:tc>
        <w:tc>
          <w:tcPr>
            <w:tcW w:w="2835" w:type="dxa"/>
            <w:vAlign w:val="center"/>
          </w:tcPr>
          <w:p>
            <w:pPr>
              <w:pStyle w:val="16"/>
            </w:pPr>
            <w:r>
              <w:t>四进完成率</w:t>
            </w:r>
          </w:p>
        </w:tc>
        <w:tc>
          <w:tcPr>
            <w:tcW w:w="2551" w:type="dxa"/>
            <w:vAlign w:val="center"/>
          </w:tcPr>
          <w:p>
            <w:pPr>
              <w:pStyle w:val="16"/>
            </w:pPr>
            <w:r>
              <w:t>≥90%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四进完成及时性</w:t>
            </w:r>
          </w:p>
        </w:tc>
        <w:tc>
          <w:tcPr>
            <w:tcW w:w="2835" w:type="dxa"/>
            <w:vAlign w:val="center"/>
          </w:tcPr>
          <w:p>
            <w:pPr>
              <w:pStyle w:val="16"/>
            </w:pPr>
            <w:r>
              <w:t>四进完成及时性</w:t>
            </w:r>
          </w:p>
        </w:tc>
        <w:tc>
          <w:tcPr>
            <w:tcW w:w="2551" w:type="dxa"/>
            <w:vAlign w:val="center"/>
          </w:tcPr>
          <w:p>
            <w:pPr>
              <w:pStyle w:val="16"/>
            </w:pPr>
            <w:r>
              <w:t>及时</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4万元</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坚持</w:t>
            </w:r>
            <w:r>
              <w:rPr>
                <w:rFonts w:hint="eastAsia"/>
                <w:lang w:eastAsia="zh-CN"/>
              </w:rPr>
              <w:t>我国</w:t>
            </w:r>
            <w:r>
              <w:t>宗教中国化方向</w:t>
            </w:r>
          </w:p>
        </w:tc>
        <w:tc>
          <w:tcPr>
            <w:tcW w:w="2835" w:type="dxa"/>
            <w:vAlign w:val="center"/>
          </w:tcPr>
          <w:p>
            <w:pPr>
              <w:pStyle w:val="16"/>
            </w:pPr>
            <w:r>
              <w:t>坚持</w:t>
            </w:r>
            <w:r>
              <w:rPr>
                <w:rFonts w:hint="eastAsia"/>
                <w:lang w:eastAsia="zh-CN"/>
              </w:rPr>
              <w:t>我国</w:t>
            </w:r>
            <w:r>
              <w:t>宗教中国化方向</w:t>
            </w:r>
          </w:p>
        </w:tc>
        <w:tc>
          <w:tcPr>
            <w:tcW w:w="2551" w:type="dxa"/>
            <w:vAlign w:val="center"/>
          </w:tcPr>
          <w:p>
            <w:pPr>
              <w:pStyle w:val="16"/>
            </w:pPr>
            <w:r>
              <w:t>坚持</w:t>
            </w:r>
            <w:r>
              <w:rPr>
                <w:rFonts w:hint="eastAsia"/>
                <w:lang w:eastAsia="zh-CN"/>
              </w:rPr>
              <w:t>我国</w:t>
            </w:r>
            <w:r>
              <w:t>宗教中国化方向</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维持宗教界稳定</w:t>
            </w:r>
          </w:p>
        </w:tc>
        <w:tc>
          <w:tcPr>
            <w:tcW w:w="2835" w:type="dxa"/>
            <w:vAlign w:val="center"/>
          </w:tcPr>
          <w:p>
            <w:pPr>
              <w:pStyle w:val="16"/>
            </w:pPr>
            <w:r>
              <w:t>维持宗教界稳定</w:t>
            </w:r>
          </w:p>
        </w:tc>
        <w:tc>
          <w:tcPr>
            <w:tcW w:w="2551" w:type="dxa"/>
            <w:vAlign w:val="center"/>
          </w:tcPr>
          <w:p>
            <w:pPr>
              <w:pStyle w:val="16"/>
            </w:pPr>
            <w:r>
              <w:t>保持宗教界稳定发展</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信教群众和场所满意度</w:t>
            </w:r>
          </w:p>
        </w:tc>
        <w:tc>
          <w:tcPr>
            <w:tcW w:w="2835" w:type="dxa"/>
            <w:vAlign w:val="center"/>
          </w:tcPr>
          <w:p>
            <w:pPr>
              <w:pStyle w:val="16"/>
            </w:pPr>
            <w:r>
              <w:t>信教群众和场所满意度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3、宗教工作指导员专项经费绩效目标表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对20名宗教工作指导员发放工作费用，每人650元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 xml:space="preserve">保证全部宗教工作指导员发放 </w:t>
            </w:r>
          </w:p>
        </w:tc>
        <w:tc>
          <w:tcPr>
            <w:tcW w:w="2551" w:type="dxa"/>
            <w:vAlign w:val="center"/>
          </w:tcPr>
          <w:p>
            <w:pPr>
              <w:pStyle w:val="16"/>
            </w:pPr>
            <w:r>
              <w:t>≥20人</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发放覆盖率</w:t>
            </w:r>
          </w:p>
        </w:tc>
        <w:tc>
          <w:tcPr>
            <w:tcW w:w="2835" w:type="dxa"/>
            <w:vAlign w:val="center"/>
          </w:tcPr>
          <w:p>
            <w:pPr>
              <w:pStyle w:val="16"/>
            </w:pPr>
            <w:r>
              <w:t>全年发放宗教指导员经费人员覆盖率</w:t>
            </w:r>
          </w:p>
        </w:tc>
        <w:tc>
          <w:tcPr>
            <w:tcW w:w="2551" w:type="dxa"/>
            <w:vAlign w:val="center"/>
          </w:tcPr>
          <w:p>
            <w:pPr>
              <w:pStyle w:val="16"/>
            </w:pPr>
            <w:r>
              <w:t>≥90%</w:t>
            </w:r>
          </w:p>
          <w:p>
            <w:pPr>
              <w:pStyle w:val="16"/>
            </w:pP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发放完成时间</w:t>
            </w:r>
          </w:p>
        </w:tc>
        <w:tc>
          <w:tcPr>
            <w:tcW w:w="2835" w:type="dxa"/>
            <w:vAlign w:val="center"/>
          </w:tcPr>
          <w:p>
            <w:pPr>
              <w:pStyle w:val="16"/>
            </w:pPr>
            <w:r>
              <w:t>全年按时发放宗教指导员工作经费</w:t>
            </w:r>
          </w:p>
        </w:tc>
        <w:tc>
          <w:tcPr>
            <w:tcW w:w="2551" w:type="dxa"/>
            <w:vAlign w:val="center"/>
          </w:tcPr>
          <w:p>
            <w:pPr>
              <w:pStyle w:val="16"/>
            </w:pPr>
            <w:r>
              <w:t>12月底足额发放</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发放金额</w:t>
            </w:r>
          </w:p>
        </w:tc>
        <w:tc>
          <w:tcPr>
            <w:tcW w:w="2835" w:type="dxa"/>
            <w:vAlign w:val="center"/>
          </w:tcPr>
          <w:p>
            <w:pPr>
              <w:pStyle w:val="16"/>
            </w:pPr>
            <w:r>
              <w:t>足额发放</w:t>
            </w:r>
          </w:p>
        </w:tc>
        <w:tc>
          <w:tcPr>
            <w:tcW w:w="2551" w:type="dxa"/>
            <w:vAlign w:val="center"/>
          </w:tcPr>
          <w:p>
            <w:pPr>
              <w:pStyle w:val="16"/>
            </w:pPr>
            <w:r>
              <w:t>1.3万元</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宗教界稳定发展</w:t>
            </w:r>
          </w:p>
        </w:tc>
        <w:tc>
          <w:tcPr>
            <w:tcW w:w="2835" w:type="dxa"/>
            <w:vAlign w:val="center"/>
          </w:tcPr>
          <w:p>
            <w:pPr>
              <w:pStyle w:val="16"/>
            </w:pPr>
            <w:r>
              <w:t>为动态管理宗教提供信息</w:t>
            </w:r>
          </w:p>
        </w:tc>
        <w:tc>
          <w:tcPr>
            <w:tcW w:w="2551" w:type="dxa"/>
            <w:vAlign w:val="center"/>
          </w:tcPr>
          <w:p>
            <w:pPr>
              <w:pStyle w:val="16"/>
            </w:pPr>
            <w:r>
              <w:t>保持宗教界稳定发展</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保持宗教界长期稳定</w:t>
            </w:r>
          </w:p>
        </w:tc>
        <w:tc>
          <w:tcPr>
            <w:tcW w:w="2835" w:type="dxa"/>
            <w:vAlign w:val="center"/>
          </w:tcPr>
          <w:p>
            <w:pPr>
              <w:pStyle w:val="16"/>
            </w:pPr>
            <w:r>
              <w:t>保持宗教界长期稳定</w:t>
            </w:r>
          </w:p>
        </w:tc>
        <w:tc>
          <w:tcPr>
            <w:tcW w:w="2551" w:type="dxa"/>
            <w:vAlign w:val="center"/>
          </w:tcPr>
          <w:p>
            <w:pPr>
              <w:pStyle w:val="16"/>
            </w:pPr>
            <w:r>
              <w:t>不发生不稳定因素</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信教群众对宗教指导员工作评价</w:t>
            </w:r>
          </w:p>
        </w:tc>
        <w:tc>
          <w:tcPr>
            <w:tcW w:w="2835" w:type="dxa"/>
            <w:vAlign w:val="center"/>
          </w:tcPr>
          <w:p>
            <w:pPr>
              <w:pStyle w:val="16"/>
            </w:pPr>
            <w:r>
              <w:t>信教群众对宗教指导员工作评价</w:t>
            </w:r>
          </w:p>
        </w:tc>
        <w:tc>
          <w:tcPr>
            <w:tcW w:w="2551" w:type="dxa"/>
            <w:vAlign w:val="center"/>
          </w:tcPr>
          <w:p>
            <w:pPr>
              <w:pStyle w:val="16"/>
            </w:pPr>
            <w:r>
              <w:t>≥90%</w:t>
            </w:r>
          </w:p>
          <w:p>
            <w:pPr>
              <w:pStyle w:val="16"/>
            </w:pP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4、宗教工作专项经费绩效目标表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对全县76个宗教场所督导检查</w:t>
            </w:r>
          </w:p>
          <w:p>
            <w:pPr>
              <w:pStyle w:val="16"/>
            </w:pPr>
            <w:r>
              <w:t>2.目标内容2  对22个乡镇宗教活动开展排查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举办宗教业务培训次数</w:t>
            </w:r>
          </w:p>
        </w:tc>
        <w:tc>
          <w:tcPr>
            <w:tcW w:w="2835" w:type="dxa"/>
            <w:vAlign w:val="center"/>
          </w:tcPr>
          <w:p>
            <w:pPr>
              <w:pStyle w:val="16"/>
            </w:pPr>
            <w:r>
              <w:t>举办宗教业务培训次数</w:t>
            </w:r>
          </w:p>
        </w:tc>
        <w:tc>
          <w:tcPr>
            <w:tcW w:w="2551" w:type="dxa"/>
            <w:vAlign w:val="center"/>
          </w:tcPr>
          <w:p>
            <w:pPr>
              <w:pStyle w:val="16"/>
            </w:pPr>
            <w:r>
              <w:t>≥2次</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宗教场所督导检查覆盖率</w:t>
            </w:r>
          </w:p>
        </w:tc>
        <w:tc>
          <w:tcPr>
            <w:tcW w:w="2835" w:type="dxa"/>
            <w:vAlign w:val="center"/>
          </w:tcPr>
          <w:p>
            <w:pPr>
              <w:pStyle w:val="16"/>
            </w:pPr>
            <w:r>
              <w:t>宗教场所督导检查覆盖率</w:t>
            </w:r>
          </w:p>
        </w:tc>
        <w:tc>
          <w:tcPr>
            <w:tcW w:w="2551" w:type="dxa"/>
            <w:vAlign w:val="center"/>
          </w:tcPr>
          <w:p>
            <w:pPr>
              <w:pStyle w:val="16"/>
            </w:pPr>
            <w:r>
              <w:t>≥20人</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对宗教场所督导及时性</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30万元</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保持宗教场所稳定发展</w:t>
            </w:r>
          </w:p>
        </w:tc>
        <w:tc>
          <w:tcPr>
            <w:tcW w:w="2835" w:type="dxa"/>
            <w:vAlign w:val="center"/>
          </w:tcPr>
          <w:p>
            <w:pPr>
              <w:pStyle w:val="16"/>
            </w:pPr>
            <w:r>
              <w:t>保持宗教场所稳定发展</w:t>
            </w:r>
          </w:p>
        </w:tc>
        <w:tc>
          <w:tcPr>
            <w:tcW w:w="2551" w:type="dxa"/>
            <w:vAlign w:val="center"/>
          </w:tcPr>
          <w:p>
            <w:pPr>
              <w:pStyle w:val="16"/>
            </w:pPr>
            <w:r>
              <w:t>保持宗教场所稳定发展</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对坚持宗教中国化的影响</w:t>
            </w:r>
          </w:p>
        </w:tc>
        <w:tc>
          <w:tcPr>
            <w:tcW w:w="2835" w:type="dxa"/>
            <w:vAlign w:val="center"/>
          </w:tcPr>
          <w:p>
            <w:pPr>
              <w:pStyle w:val="16"/>
            </w:pPr>
            <w:r>
              <w:t>对坚持宗教中国化的影响</w:t>
            </w:r>
          </w:p>
        </w:tc>
        <w:tc>
          <w:tcPr>
            <w:tcW w:w="2551" w:type="dxa"/>
            <w:vAlign w:val="center"/>
          </w:tcPr>
          <w:p>
            <w:pPr>
              <w:pStyle w:val="16"/>
            </w:pPr>
            <w:r>
              <w:t>对坚持宗教中国化的影响</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宗教干部和宗教界人士满意度</w:t>
            </w:r>
          </w:p>
        </w:tc>
        <w:tc>
          <w:tcPr>
            <w:tcW w:w="2835" w:type="dxa"/>
            <w:vAlign w:val="center"/>
          </w:tcPr>
          <w:p>
            <w:pPr>
              <w:pStyle w:val="16"/>
            </w:pPr>
            <w:r>
              <w:t>宗教干部和宗教界人士对宗教工作满意度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5、宗教特情员专项经费绩效目标表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防止境外宗教渗透，安排18名特情员</w:t>
            </w:r>
          </w:p>
          <w:p>
            <w:pPr>
              <w:pStyle w:val="16"/>
            </w:pPr>
            <w:r>
              <w:t>2.目标内容2  对宗教特情人员发放误工补贴，每人1000元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宗教特情员补助人数18人</w:t>
            </w:r>
          </w:p>
        </w:tc>
        <w:tc>
          <w:tcPr>
            <w:tcW w:w="2835" w:type="dxa"/>
            <w:vAlign w:val="center"/>
          </w:tcPr>
          <w:p>
            <w:pPr>
              <w:pStyle w:val="16"/>
            </w:pPr>
            <w:r>
              <w:t>宗教特情员补助人数18人</w:t>
            </w:r>
          </w:p>
        </w:tc>
        <w:tc>
          <w:tcPr>
            <w:tcW w:w="2551" w:type="dxa"/>
            <w:vAlign w:val="center"/>
          </w:tcPr>
          <w:p>
            <w:pPr>
              <w:pStyle w:val="16"/>
            </w:pPr>
            <w:r>
              <w:t>≥18人</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≥90%</w:t>
            </w:r>
          </w:p>
          <w:p>
            <w:pPr>
              <w:pStyle w:val="16"/>
            </w:pP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发放补助完成时间</w:t>
            </w:r>
          </w:p>
        </w:tc>
        <w:tc>
          <w:tcPr>
            <w:tcW w:w="2835" w:type="dxa"/>
            <w:vAlign w:val="center"/>
          </w:tcPr>
          <w:p>
            <w:pPr>
              <w:pStyle w:val="16"/>
            </w:pPr>
            <w:r>
              <w:t>发放补助完成时间</w:t>
            </w:r>
          </w:p>
        </w:tc>
        <w:tc>
          <w:tcPr>
            <w:tcW w:w="2551" w:type="dxa"/>
            <w:vAlign w:val="center"/>
          </w:tcPr>
          <w:p>
            <w:pPr>
              <w:pStyle w:val="16"/>
            </w:pPr>
            <w:r>
              <w:t>按时发放</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补助金额</w:t>
            </w:r>
          </w:p>
        </w:tc>
        <w:tc>
          <w:tcPr>
            <w:tcW w:w="2835" w:type="dxa"/>
            <w:vAlign w:val="center"/>
          </w:tcPr>
          <w:p>
            <w:pPr>
              <w:pStyle w:val="16"/>
            </w:pPr>
            <w:r>
              <w:t>补助金额</w:t>
            </w:r>
          </w:p>
        </w:tc>
        <w:tc>
          <w:tcPr>
            <w:tcW w:w="2551" w:type="dxa"/>
            <w:vAlign w:val="center"/>
          </w:tcPr>
          <w:p>
            <w:pPr>
              <w:pStyle w:val="16"/>
            </w:pPr>
            <w:r>
              <w:t>1.3万元</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宗教界不稳定事件下降率</w:t>
            </w:r>
          </w:p>
        </w:tc>
        <w:tc>
          <w:tcPr>
            <w:tcW w:w="2835" w:type="dxa"/>
            <w:vAlign w:val="center"/>
          </w:tcPr>
          <w:p>
            <w:pPr>
              <w:pStyle w:val="16"/>
            </w:pPr>
            <w:r>
              <w:t>宗教界不稳定事件下降率</w:t>
            </w:r>
          </w:p>
        </w:tc>
        <w:tc>
          <w:tcPr>
            <w:tcW w:w="2551" w:type="dxa"/>
            <w:vAlign w:val="center"/>
          </w:tcPr>
          <w:p>
            <w:pPr>
              <w:pStyle w:val="16"/>
            </w:pPr>
            <w:r>
              <w:t>≥90%</w:t>
            </w:r>
          </w:p>
          <w:p>
            <w:pPr>
              <w:pStyle w:val="16"/>
            </w:pP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保持宗教界长期稳定</w:t>
            </w:r>
          </w:p>
        </w:tc>
        <w:tc>
          <w:tcPr>
            <w:tcW w:w="2835" w:type="dxa"/>
            <w:vAlign w:val="center"/>
          </w:tcPr>
          <w:p>
            <w:pPr>
              <w:pStyle w:val="16"/>
            </w:pPr>
            <w:r>
              <w:t>保持宗教界长期稳定</w:t>
            </w:r>
          </w:p>
        </w:tc>
        <w:tc>
          <w:tcPr>
            <w:tcW w:w="2551" w:type="dxa"/>
            <w:vAlign w:val="center"/>
          </w:tcPr>
          <w:p>
            <w:pPr>
              <w:pStyle w:val="16"/>
            </w:pPr>
            <w:r>
              <w:t>不发生不稳定因素</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信教群众对特情人员工作评价</w:t>
            </w:r>
          </w:p>
        </w:tc>
        <w:tc>
          <w:tcPr>
            <w:tcW w:w="2835" w:type="dxa"/>
            <w:vAlign w:val="center"/>
          </w:tcPr>
          <w:p>
            <w:pPr>
              <w:pStyle w:val="16"/>
            </w:pPr>
            <w:r>
              <w:t>信教群众对特情人员工作评价</w:t>
            </w:r>
          </w:p>
        </w:tc>
        <w:tc>
          <w:tcPr>
            <w:tcW w:w="2551" w:type="dxa"/>
            <w:vAlign w:val="center"/>
          </w:tcPr>
          <w:p>
            <w:pPr>
              <w:pStyle w:val="16"/>
            </w:pPr>
            <w:r>
              <w:t>≥95%</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6、宗教团体专项经费绩效目标表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确保4个宗教团体正常开展工作</w:t>
            </w:r>
          </w:p>
          <w:p>
            <w:pPr>
              <w:pStyle w:val="16"/>
            </w:pPr>
            <w:r>
              <w:t>2.目标内容2  每个宗教团体补助1.25万元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发放补助的宗教团体数量</w:t>
            </w:r>
          </w:p>
        </w:tc>
        <w:tc>
          <w:tcPr>
            <w:tcW w:w="2835" w:type="dxa"/>
            <w:vAlign w:val="center"/>
          </w:tcPr>
          <w:p>
            <w:pPr>
              <w:pStyle w:val="16"/>
            </w:pPr>
            <w:r>
              <w:t>发放补助的宗教团体数量</w:t>
            </w:r>
          </w:p>
        </w:tc>
        <w:tc>
          <w:tcPr>
            <w:tcW w:w="2551" w:type="dxa"/>
            <w:vAlign w:val="center"/>
          </w:tcPr>
          <w:p>
            <w:pPr>
              <w:pStyle w:val="16"/>
            </w:pPr>
            <w:r>
              <w:t>4个</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宗教团体经费发放率</w:t>
            </w:r>
          </w:p>
        </w:tc>
        <w:tc>
          <w:tcPr>
            <w:tcW w:w="2835" w:type="dxa"/>
            <w:vAlign w:val="center"/>
          </w:tcPr>
          <w:p>
            <w:pPr>
              <w:pStyle w:val="16"/>
            </w:pPr>
            <w:r>
              <w:t>发放宗教团体补助经费比例</w:t>
            </w:r>
          </w:p>
        </w:tc>
        <w:tc>
          <w:tcPr>
            <w:tcW w:w="2551" w:type="dxa"/>
            <w:vAlign w:val="center"/>
          </w:tcPr>
          <w:p>
            <w:pPr>
              <w:pStyle w:val="16"/>
            </w:pPr>
            <w:r>
              <w:t>≥90%</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是否按时发放宗教补助经费</w:t>
            </w:r>
          </w:p>
        </w:tc>
        <w:tc>
          <w:tcPr>
            <w:tcW w:w="2551" w:type="dxa"/>
            <w:vAlign w:val="center"/>
          </w:tcPr>
          <w:p>
            <w:pPr>
              <w:pStyle w:val="16"/>
            </w:pPr>
            <w:r>
              <w:t>按时发放</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宗教团体发放补助经费10万元</w:t>
            </w:r>
          </w:p>
        </w:tc>
        <w:tc>
          <w:tcPr>
            <w:tcW w:w="2551" w:type="dxa"/>
            <w:vAlign w:val="center"/>
          </w:tcPr>
          <w:p>
            <w:pPr>
              <w:pStyle w:val="16"/>
            </w:pPr>
            <w:r>
              <w:t>5万元</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维持宗教界稳定</w:t>
            </w:r>
          </w:p>
        </w:tc>
        <w:tc>
          <w:tcPr>
            <w:tcW w:w="2835" w:type="dxa"/>
            <w:vAlign w:val="center"/>
          </w:tcPr>
          <w:p>
            <w:pPr>
              <w:pStyle w:val="16"/>
            </w:pPr>
            <w:r>
              <w:t>维持宗教界稳定发展</w:t>
            </w:r>
          </w:p>
        </w:tc>
        <w:tc>
          <w:tcPr>
            <w:tcW w:w="2551" w:type="dxa"/>
            <w:vAlign w:val="center"/>
          </w:tcPr>
          <w:p>
            <w:pPr>
              <w:pStyle w:val="16"/>
            </w:pPr>
            <w:r>
              <w:t>维持宗教界稳定</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宗教团体持续良好发展</w:t>
            </w:r>
          </w:p>
        </w:tc>
        <w:tc>
          <w:tcPr>
            <w:tcW w:w="2835" w:type="dxa"/>
            <w:vAlign w:val="center"/>
          </w:tcPr>
          <w:p>
            <w:pPr>
              <w:pStyle w:val="16"/>
            </w:pPr>
            <w:r>
              <w:t>进一步推动宗教团体持续良好发展</w:t>
            </w:r>
          </w:p>
        </w:tc>
        <w:tc>
          <w:tcPr>
            <w:tcW w:w="2551" w:type="dxa"/>
            <w:vAlign w:val="center"/>
          </w:tcPr>
          <w:p>
            <w:pPr>
              <w:pStyle w:val="16"/>
            </w:pPr>
            <w:r>
              <w:t>宗教团体持续良好发展</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宗教团体满意度指标</w:t>
            </w:r>
          </w:p>
        </w:tc>
        <w:tc>
          <w:tcPr>
            <w:tcW w:w="2835" w:type="dxa"/>
            <w:vAlign w:val="center"/>
          </w:tcPr>
          <w:p>
            <w:pPr>
              <w:pStyle w:val="16"/>
            </w:pPr>
            <w:r>
              <w:t>宗教团体满意度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2023年，魏县民族宗教事务局安排政府采购预算0.00万元。具体内容见下表。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308魏县民族宗教事务局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魏县民族宗教事务局（含所属单位）上年末固定资产金额为</w:t>
      </w:r>
      <w:r>
        <w:rPr>
          <w:rFonts w:hint="eastAsia" w:eastAsia="方正仿宋_GBK"/>
          <w:color w:val="000000"/>
          <w:sz w:val="28"/>
          <w:lang w:val="en-US" w:eastAsia="zh-CN"/>
        </w:rPr>
        <w:t>11.85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308魏县民族宗教事务局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lang w:val="en-US" w:eastAsia="zh-CN"/>
              </w:rPr>
            </w:pPr>
            <w:r>
              <w:rPr>
                <w:rFonts w:hint="eastAsia"/>
                <w:lang w:val="en-US" w:eastAsia="zh-CN"/>
              </w:rPr>
              <w:t>固定资产原值总额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11.85</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spacing w:line="2" w:lineRule="exact"/>
        <w:jc w:val="both"/>
        <w:rPr>
          <w:rFonts w:ascii="方正书宋_GBK" w:hAnsi="方正书宋_GBK" w:eastAsia="方正书宋_GBK" w:cs="方正书宋_GBK"/>
          <w:color w:val="000000"/>
          <w:sz w:val="18"/>
          <w:lang w:val="en-US" w:eastAsia="uk-UA"/>
        </w:rPr>
      </w:pPr>
      <w:r>
        <w:rPr>
          <w:rFonts w:ascii="方正书宋_GBK" w:hAnsi="方正书宋_GBK" w:eastAsia="方正书宋_GBK" w:cs="方正书宋_GBK"/>
          <w:color w:val="000000"/>
          <w:sz w:val="18"/>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FlZjczYWExNjE2NmMxNDIwMDEyYTk3YWVhNDA5OTkifQ=="/>
  </w:docVars>
  <w:rsids>
    <w:rsidRoot w:val="00AF1446"/>
    <w:rsid w:val="000F408D"/>
    <w:rsid w:val="00406BC9"/>
    <w:rsid w:val="00611711"/>
    <w:rsid w:val="00987A50"/>
    <w:rsid w:val="00AF1446"/>
    <w:rsid w:val="00CE0FCC"/>
    <w:rsid w:val="13FE3BB7"/>
    <w:rsid w:val="15AC012C"/>
    <w:rsid w:val="1F537BAB"/>
    <w:rsid w:val="285E5C15"/>
    <w:rsid w:val="35E76BB9"/>
    <w:rsid w:val="54A52A84"/>
    <w:rsid w:val="5E3A3B5E"/>
    <w:rsid w:val="63B3658F"/>
    <w:rsid w:val="63C94524"/>
    <w:rsid w:val="69E623BC"/>
    <w:rsid w:val="7CD0570E"/>
    <w:rsid w:val="91FDAFBD"/>
    <w:rsid w:val="F73ECF62"/>
    <w:rsid w:val="FBF6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8557</Words>
  <Characters>9765</Characters>
  <Lines>172</Lines>
  <Paragraphs>48</Paragraphs>
  <TotalTime>95</TotalTime>
  <ScaleCrop>false</ScaleCrop>
  <LinksUpToDate>false</LinksUpToDate>
  <CharactersWithSpaces>9981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2023-02-24T03:29:00Z</dcterms:created>
  <dc:creator>lenovo</dc:creator>
  <cp:lastModifiedBy>wxak</cp:lastModifiedBy>
  <dcterms:modified xsi:type="dcterms:W3CDTF">2024-09-11T11:50:20Z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319398515EB04C569A2F345184994071_12</vt:lpwstr>
  </property>
</Properties>
</file>