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2465"/>
        <w:gridCol w:w="1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467邯郸市生态环境局魏县分局</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2465" w:type="dxa"/>
            <w:vAlign w:val="center"/>
          </w:tcPr>
          <w:p>
            <w:pPr>
              <w:pStyle w:val="11"/>
            </w:pPr>
            <w:r>
              <w:t>项  目</w:t>
            </w:r>
          </w:p>
        </w:tc>
        <w:tc>
          <w:tcPr>
            <w:tcW w:w="1477"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2465" w:type="dxa"/>
            <w:vAlign w:val="center"/>
          </w:tcPr>
          <w:p>
            <w:pPr>
              <w:pStyle w:val="11"/>
            </w:pPr>
            <w:r>
              <w:t>3</w:t>
            </w:r>
          </w:p>
        </w:tc>
        <w:tc>
          <w:tcPr>
            <w:tcW w:w="1477"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2020.00</w:t>
            </w:r>
          </w:p>
        </w:tc>
        <w:tc>
          <w:tcPr>
            <w:tcW w:w="2465" w:type="dxa"/>
            <w:vAlign w:val="center"/>
          </w:tcPr>
          <w:p>
            <w:pPr>
              <w:pStyle w:val="13"/>
            </w:pPr>
            <w:r>
              <w:t>一、一般公共服务支出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2465" w:type="dxa"/>
            <w:vAlign w:val="center"/>
          </w:tcPr>
          <w:p>
            <w:pPr>
              <w:pStyle w:val="13"/>
            </w:pPr>
            <w:r>
              <w:t>二、外交支出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2465" w:type="dxa"/>
            <w:vAlign w:val="center"/>
          </w:tcPr>
          <w:p>
            <w:pPr>
              <w:pStyle w:val="13"/>
            </w:pPr>
            <w:r>
              <w:t>三、国防支出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2465" w:type="dxa"/>
            <w:vAlign w:val="center"/>
          </w:tcPr>
          <w:p>
            <w:pPr>
              <w:pStyle w:val="13"/>
            </w:pPr>
            <w:r>
              <w:t>四、公共安全支出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2465" w:type="dxa"/>
            <w:vAlign w:val="center"/>
          </w:tcPr>
          <w:p>
            <w:pPr>
              <w:pStyle w:val="13"/>
            </w:pPr>
            <w:r>
              <w:t>五、教育支出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六、科学技术支出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七、文化旅游体育与传媒支出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八、社会保障和就业支出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九、社会保险基金支出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十、卫生健康支出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十一、节能环保支出</w:t>
            </w:r>
          </w:p>
        </w:tc>
        <w:tc>
          <w:tcPr>
            <w:tcW w:w="1477" w:type="dxa"/>
            <w:vAlign w:val="center"/>
          </w:tcPr>
          <w:p>
            <w:pPr>
              <w:pStyle w:val="12"/>
            </w:pPr>
            <w:r>
              <w:t>2020.00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十二、城乡社区支出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十三、农林水支出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十四、交通运输支出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十五、资源勘探工业信息等支出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十六、商业服务业等支出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十七、金融支出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十八、援助其他地区支出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十九、自然资源海洋气象等支出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二十、住房保障支出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二十一、粮油物资储备支出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二十二、国有资本经营预算支出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二十三、灾害防治及应急管理支出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二十四、预备费</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二十五、其他支出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二十六、转移性支出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二十七、债务还本支出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二十八、债务付息支出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二十九、债务发行费用支出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三十、抗疫特别国债安排的支出</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2465" w:type="dxa"/>
            <w:vAlign w:val="center"/>
          </w:tcPr>
          <w:p>
            <w:pPr>
              <w:pStyle w:val="13"/>
            </w:pPr>
            <w:r>
              <w:t>三十一、人行科目</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2020.00</w:t>
            </w:r>
          </w:p>
        </w:tc>
        <w:tc>
          <w:tcPr>
            <w:tcW w:w="2465" w:type="dxa"/>
            <w:vAlign w:val="center"/>
          </w:tcPr>
          <w:p>
            <w:pPr>
              <w:pStyle w:val="15"/>
            </w:pPr>
            <w:r>
              <w:t>本年支出合计</w:t>
            </w:r>
          </w:p>
        </w:tc>
        <w:tc>
          <w:tcPr>
            <w:tcW w:w="1477" w:type="dxa"/>
            <w:vAlign w:val="center"/>
          </w:tcPr>
          <w:p>
            <w:pPr>
              <w:pStyle w:val="16"/>
            </w:pPr>
            <w:r>
              <w:t>2020.00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2465" w:type="dxa"/>
            <w:vAlign w:val="center"/>
          </w:tcPr>
          <w:p>
            <w:pPr>
              <w:pStyle w:val="13"/>
            </w:pPr>
            <w:r>
              <w:t>年终结转结余</w:t>
            </w:r>
          </w:p>
        </w:tc>
        <w:tc>
          <w:tcPr>
            <w:tcW w:w="1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2020.00</w:t>
            </w:r>
          </w:p>
        </w:tc>
        <w:tc>
          <w:tcPr>
            <w:tcW w:w="2465" w:type="dxa"/>
            <w:vAlign w:val="center"/>
          </w:tcPr>
          <w:p>
            <w:pPr>
              <w:pStyle w:val="15"/>
            </w:pPr>
            <w:r>
              <w:t>支出总计</w:t>
            </w:r>
          </w:p>
        </w:tc>
        <w:tc>
          <w:tcPr>
            <w:tcW w:w="1477" w:type="dxa"/>
            <w:vAlign w:val="center"/>
          </w:tcPr>
          <w:p>
            <w:pPr>
              <w:pStyle w:val="16"/>
            </w:pPr>
            <w:r>
              <w:t>2020.00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2"/>
        <w:gridCol w:w="765"/>
        <w:gridCol w:w="917"/>
        <w:gridCol w:w="1123"/>
        <w:gridCol w:w="1080"/>
        <w:gridCol w:w="1065"/>
        <w:gridCol w:w="855"/>
        <w:gridCol w:w="495"/>
        <w:gridCol w:w="615"/>
        <w:gridCol w:w="705"/>
        <w:gridCol w:w="810"/>
        <w:gridCol w:w="435"/>
        <w:gridCol w:w="3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77" w:type="dxa"/>
            <w:gridSpan w:val="5"/>
            <w:tcBorders>
              <w:top w:val="single" w:color="FFFFFF" w:sz="6" w:space="0"/>
              <w:left w:val="single" w:color="FFFFFF" w:sz="6" w:space="0"/>
              <w:right w:val="single" w:color="FFFFFF" w:sz="6" w:space="0"/>
            </w:tcBorders>
            <w:vAlign w:val="center"/>
          </w:tcPr>
          <w:p>
            <w:pPr>
              <w:pStyle w:val="10"/>
            </w:pPr>
            <w:r>
              <w:t>467邯郸市生态环境局魏县分局</w:t>
            </w:r>
          </w:p>
        </w:tc>
        <w:tc>
          <w:tcPr>
            <w:tcW w:w="2415"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2962"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 w:type="dxa"/>
            <w:vMerge w:val="restart"/>
            <w:vAlign w:val="center"/>
          </w:tcPr>
          <w:p>
            <w:pPr>
              <w:pStyle w:val="11"/>
            </w:pPr>
            <w:r>
              <w:t>序号</w:t>
            </w:r>
          </w:p>
        </w:tc>
        <w:tc>
          <w:tcPr>
            <w:tcW w:w="1682" w:type="dxa"/>
            <w:gridSpan w:val="2"/>
            <w:vAlign w:val="center"/>
          </w:tcPr>
          <w:p>
            <w:pPr>
              <w:pStyle w:val="11"/>
            </w:pPr>
            <w:r>
              <w:t>功能分类科目</w:t>
            </w:r>
          </w:p>
        </w:tc>
        <w:tc>
          <w:tcPr>
            <w:tcW w:w="1123" w:type="dxa"/>
            <w:vMerge w:val="restart"/>
            <w:vAlign w:val="center"/>
          </w:tcPr>
          <w:p>
            <w:pPr>
              <w:pStyle w:val="11"/>
            </w:pPr>
            <w:r>
              <w:t>合计</w:t>
            </w:r>
          </w:p>
        </w:tc>
        <w:tc>
          <w:tcPr>
            <w:tcW w:w="6060" w:type="dxa"/>
            <w:gridSpan w:val="8"/>
            <w:vAlign w:val="center"/>
          </w:tcPr>
          <w:p>
            <w:pPr>
              <w:pStyle w:val="11"/>
            </w:pPr>
            <w:r>
              <w:t>本年收入</w:t>
            </w:r>
          </w:p>
        </w:tc>
        <w:tc>
          <w:tcPr>
            <w:tcW w:w="397"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 w:type="dxa"/>
            <w:vMerge w:val="continue"/>
          </w:tcPr>
          <w:p/>
        </w:tc>
        <w:tc>
          <w:tcPr>
            <w:tcW w:w="765" w:type="dxa"/>
            <w:vAlign w:val="center"/>
          </w:tcPr>
          <w:p>
            <w:pPr>
              <w:pStyle w:val="11"/>
            </w:pPr>
            <w:r>
              <w:t>科目    编码</w:t>
            </w:r>
          </w:p>
        </w:tc>
        <w:tc>
          <w:tcPr>
            <w:tcW w:w="917" w:type="dxa"/>
            <w:vAlign w:val="center"/>
          </w:tcPr>
          <w:p>
            <w:pPr>
              <w:pStyle w:val="11"/>
            </w:pPr>
            <w:r>
              <w:t>科目名称</w:t>
            </w:r>
          </w:p>
        </w:tc>
        <w:tc>
          <w:tcPr>
            <w:tcW w:w="1123" w:type="dxa"/>
            <w:vMerge w:val="continue"/>
          </w:tcPr>
          <w:p/>
        </w:tc>
        <w:tc>
          <w:tcPr>
            <w:tcW w:w="1080" w:type="dxa"/>
            <w:vAlign w:val="center"/>
          </w:tcPr>
          <w:p>
            <w:pPr>
              <w:pStyle w:val="11"/>
            </w:pPr>
            <w:r>
              <w:t>小计</w:t>
            </w:r>
          </w:p>
        </w:tc>
        <w:tc>
          <w:tcPr>
            <w:tcW w:w="1065" w:type="dxa"/>
            <w:vAlign w:val="center"/>
          </w:tcPr>
          <w:p>
            <w:pPr>
              <w:pStyle w:val="11"/>
            </w:pPr>
            <w:r>
              <w:t>财政拨款 收入</w:t>
            </w:r>
          </w:p>
        </w:tc>
        <w:tc>
          <w:tcPr>
            <w:tcW w:w="855" w:type="dxa"/>
            <w:vAlign w:val="center"/>
          </w:tcPr>
          <w:p>
            <w:pPr>
              <w:pStyle w:val="11"/>
            </w:pPr>
            <w:r>
              <w:t>财政专户 收入</w:t>
            </w:r>
          </w:p>
        </w:tc>
        <w:tc>
          <w:tcPr>
            <w:tcW w:w="495" w:type="dxa"/>
            <w:vAlign w:val="center"/>
          </w:tcPr>
          <w:p>
            <w:pPr>
              <w:pStyle w:val="11"/>
            </w:pPr>
            <w:r>
              <w:t>事业收入</w:t>
            </w:r>
          </w:p>
        </w:tc>
        <w:tc>
          <w:tcPr>
            <w:tcW w:w="615" w:type="dxa"/>
            <w:vAlign w:val="center"/>
          </w:tcPr>
          <w:p>
            <w:pPr>
              <w:pStyle w:val="11"/>
            </w:pPr>
            <w:r>
              <w:t>经营收入</w:t>
            </w:r>
          </w:p>
        </w:tc>
        <w:tc>
          <w:tcPr>
            <w:tcW w:w="705" w:type="dxa"/>
            <w:vAlign w:val="center"/>
          </w:tcPr>
          <w:p>
            <w:pPr>
              <w:pStyle w:val="11"/>
            </w:pPr>
            <w:r>
              <w:t>上级补助收入</w:t>
            </w:r>
          </w:p>
        </w:tc>
        <w:tc>
          <w:tcPr>
            <w:tcW w:w="810" w:type="dxa"/>
            <w:vAlign w:val="center"/>
          </w:tcPr>
          <w:p>
            <w:pPr>
              <w:pStyle w:val="11"/>
            </w:pPr>
            <w:r>
              <w:t>附属单位上缴收入</w:t>
            </w:r>
          </w:p>
        </w:tc>
        <w:tc>
          <w:tcPr>
            <w:tcW w:w="435" w:type="dxa"/>
            <w:vAlign w:val="center"/>
          </w:tcPr>
          <w:p>
            <w:pPr>
              <w:pStyle w:val="11"/>
            </w:pPr>
            <w:r>
              <w:t>其他收入</w:t>
            </w:r>
          </w:p>
        </w:tc>
        <w:tc>
          <w:tcPr>
            <w:tcW w:w="3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2" w:type="dxa"/>
            <w:vAlign w:val="center"/>
          </w:tcPr>
          <w:p>
            <w:pPr>
              <w:pStyle w:val="11"/>
            </w:pPr>
            <w:r>
              <w:t>栏次</w:t>
            </w:r>
          </w:p>
        </w:tc>
        <w:tc>
          <w:tcPr>
            <w:tcW w:w="765" w:type="dxa"/>
            <w:vAlign w:val="center"/>
          </w:tcPr>
          <w:p>
            <w:pPr>
              <w:pStyle w:val="11"/>
            </w:pPr>
            <w:r>
              <w:t>1</w:t>
            </w:r>
          </w:p>
        </w:tc>
        <w:tc>
          <w:tcPr>
            <w:tcW w:w="917" w:type="dxa"/>
            <w:vAlign w:val="center"/>
          </w:tcPr>
          <w:p>
            <w:pPr>
              <w:pStyle w:val="11"/>
            </w:pPr>
            <w:r>
              <w:t>2</w:t>
            </w:r>
          </w:p>
        </w:tc>
        <w:tc>
          <w:tcPr>
            <w:tcW w:w="1123" w:type="dxa"/>
            <w:vAlign w:val="center"/>
          </w:tcPr>
          <w:p>
            <w:pPr>
              <w:pStyle w:val="11"/>
            </w:pPr>
            <w:r>
              <w:t>3</w:t>
            </w:r>
          </w:p>
        </w:tc>
        <w:tc>
          <w:tcPr>
            <w:tcW w:w="1080" w:type="dxa"/>
            <w:vAlign w:val="center"/>
          </w:tcPr>
          <w:p>
            <w:pPr>
              <w:pStyle w:val="11"/>
            </w:pPr>
            <w:r>
              <w:t>4</w:t>
            </w:r>
          </w:p>
        </w:tc>
        <w:tc>
          <w:tcPr>
            <w:tcW w:w="1065" w:type="dxa"/>
            <w:vAlign w:val="center"/>
          </w:tcPr>
          <w:p>
            <w:pPr>
              <w:pStyle w:val="11"/>
            </w:pPr>
            <w:r>
              <w:t>5</w:t>
            </w:r>
          </w:p>
        </w:tc>
        <w:tc>
          <w:tcPr>
            <w:tcW w:w="855" w:type="dxa"/>
            <w:vAlign w:val="center"/>
          </w:tcPr>
          <w:p>
            <w:pPr>
              <w:pStyle w:val="11"/>
            </w:pPr>
            <w:r>
              <w:t>6</w:t>
            </w:r>
          </w:p>
        </w:tc>
        <w:tc>
          <w:tcPr>
            <w:tcW w:w="495" w:type="dxa"/>
            <w:vAlign w:val="center"/>
          </w:tcPr>
          <w:p>
            <w:pPr>
              <w:pStyle w:val="11"/>
            </w:pPr>
            <w:r>
              <w:t>7</w:t>
            </w:r>
          </w:p>
        </w:tc>
        <w:tc>
          <w:tcPr>
            <w:tcW w:w="615" w:type="dxa"/>
            <w:vAlign w:val="center"/>
          </w:tcPr>
          <w:p>
            <w:pPr>
              <w:pStyle w:val="11"/>
            </w:pPr>
            <w:r>
              <w:t>8</w:t>
            </w:r>
          </w:p>
        </w:tc>
        <w:tc>
          <w:tcPr>
            <w:tcW w:w="705" w:type="dxa"/>
            <w:vAlign w:val="center"/>
          </w:tcPr>
          <w:p>
            <w:pPr>
              <w:pStyle w:val="11"/>
            </w:pPr>
            <w:r>
              <w:t>9</w:t>
            </w:r>
          </w:p>
        </w:tc>
        <w:tc>
          <w:tcPr>
            <w:tcW w:w="810" w:type="dxa"/>
            <w:vAlign w:val="center"/>
          </w:tcPr>
          <w:p>
            <w:pPr>
              <w:pStyle w:val="11"/>
            </w:pPr>
            <w:r>
              <w:t>10</w:t>
            </w:r>
          </w:p>
        </w:tc>
        <w:tc>
          <w:tcPr>
            <w:tcW w:w="435" w:type="dxa"/>
            <w:vAlign w:val="center"/>
          </w:tcPr>
          <w:p>
            <w:pPr>
              <w:pStyle w:val="11"/>
            </w:pPr>
            <w:r>
              <w:t>11</w:t>
            </w:r>
          </w:p>
        </w:tc>
        <w:tc>
          <w:tcPr>
            <w:tcW w:w="397"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2" w:type="dxa"/>
            <w:vAlign w:val="center"/>
          </w:tcPr>
          <w:p>
            <w:pPr>
              <w:pStyle w:val="14"/>
            </w:pPr>
            <w:r>
              <w:t>1</w:t>
            </w:r>
          </w:p>
        </w:tc>
        <w:tc>
          <w:tcPr>
            <w:tcW w:w="765" w:type="dxa"/>
            <w:vAlign w:val="center"/>
          </w:tcPr>
          <w:p>
            <w:pPr>
              <w:pStyle w:val="17"/>
            </w:pPr>
          </w:p>
        </w:tc>
        <w:tc>
          <w:tcPr>
            <w:tcW w:w="917" w:type="dxa"/>
            <w:vAlign w:val="center"/>
          </w:tcPr>
          <w:p>
            <w:pPr>
              <w:pStyle w:val="15"/>
            </w:pPr>
            <w:r>
              <w:t>合计</w:t>
            </w:r>
          </w:p>
        </w:tc>
        <w:tc>
          <w:tcPr>
            <w:tcW w:w="1123" w:type="dxa"/>
            <w:vAlign w:val="center"/>
          </w:tcPr>
          <w:p>
            <w:pPr>
              <w:pStyle w:val="16"/>
            </w:pPr>
            <w:r>
              <w:t>2020.00</w:t>
            </w:r>
          </w:p>
        </w:tc>
        <w:tc>
          <w:tcPr>
            <w:tcW w:w="1080" w:type="dxa"/>
            <w:vAlign w:val="center"/>
          </w:tcPr>
          <w:p>
            <w:pPr>
              <w:pStyle w:val="16"/>
            </w:pPr>
            <w:r>
              <w:t>2020.00</w:t>
            </w:r>
          </w:p>
        </w:tc>
        <w:tc>
          <w:tcPr>
            <w:tcW w:w="1065" w:type="dxa"/>
            <w:vAlign w:val="center"/>
          </w:tcPr>
          <w:p>
            <w:pPr>
              <w:pStyle w:val="16"/>
            </w:pPr>
            <w:r>
              <w:t>2020.00</w:t>
            </w:r>
          </w:p>
        </w:tc>
        <w:tc>
          <w:tcPr>
            <w:tcW w:w="855" w:type="dxa"/>
            <w:vAlign w:val="center"/>
          </w:tcPr>
          <w:p>
            <w:pPr>
              <w:pStyle w:val="16"/>
            </w:pPr>
          </w:p>
        </w:tc>
        <w:tc>
          <w:tcPr>
            <w:tcW w:w="495" w:type="dxa"/>
            <w:vAlign w:val="center"/>
          </w:tcPr>
          <w:p>
            <w:pPr>
              <w:pStyle w:val="16"/>
            </w:pPr>
          </w:p>
        </w:tc>
        <w:tc>
          <w:tcPr>
            <w:tcW w:w="615" w:type="dxa"/>
            <w:vAlign w:val="center"/>
          </w:tcPr>
          <w:p>
            <w:pPr>
              <w:pStyle w:val="16"/>
            </w:pPr>
          </w:p>
        </w:tc>
        <w:tc>
          <w:tcPr>
            <w:tcW w:w="705" w:type="dxa"/>
            <w:vAlign w:val="center"/>
          </w:tcPr>
          <w:p>
            <w:pPr>
              <w:pStyle w:val="16"/>
            </w:pPr>
          </w:p>
        </w:tc>
        <w:tc>
          <w:tcPr>
            <w:tcW w:w="810" w:type="dxa"/>
            <w:vAlign w:val="center"/>
          </w:tcPr>
          <w:p>
            <w:pPr>
              <w:pStyle w:val="16"/>
            </w:pPr>
          </w:p>
        </w:tc>
        <w:tc>
          <w:tcPr>
            <w:tcW w:w="435" w:type="dxa"/>
            <w:vAlign w:val="center"/>
          </w:tcPr>
          <w:p>
            <w:pPr>
              <w:pStyle w:val="16"/>
            </w:pPr>
          </w:p>
        </w:tc>
        <w:tc>
          <w:tcPr>
            <w:tcW w:w="39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2" w:type="dxa"/>
            <w:vAlign w:val="center"/>
          </w:tcPr>
          <w:p>
            <w:pPr>
              <w:pStyle w:val="14"/>
            </w:pPr>
            <w:r>
              <w:t>2</w:t>
            </w:r>
          </w:p>
        </w:tc>
        <w:tc>
          <w:tcPr>
            <w:tcW w:w="765" w:type="dxa"/>
            <w:vAlign w:val="center"/>
          </w:tcPr>
          <w:p>
            <w:pPr>
              <w:pStyle w:val="13"/>
            </w:pPr>
            <w:r>
              <w:t>211</w:t>
            </w:r>
          </w:p>
        </w:tc>
        <w:tc>
          <w:tcPr>
            <w:tcW w:w="917" w:type="dxa"/>
            <w:vAlign w:val="center"/>
          </w:tcPr>
          <w:p>
            <w:pPr>
              <w:pStyle w:val="13"/>
            </w:pPr>
            <w:r>
              <w:t>节能环保支出</w:t>
            </w:r>
          </w:p>
        </w:tc>
        <w:tc>
          <w:tcPr>
            <w:tcW w:w="1123" w:type="dxa"/>
            <w:vAlign w:val="center"/>
          </w:tcPr>
          <w:p>
            <w:pPr>
              <w:pStyle w:val="12"/>
            </w:pPr>
            <w:r>
              <w:t>2020.00</w:t>
            </w:r>
          </w:p>
        </w:tc>
        <w:tc>
          <w:tcPr>
            <w:tcW w:w="1080" w:type="dxa"/>
            <w:vAlign w:val="center"/>
          </w:tcPr>
          <w:p>
            <w:pPr>
              <w:pStyle w:val="12"/>
            </w:pPr>
            <w:r>
              <w:t>2020.00</w:t>
            </w:r>
          </w:p>
        </w:tc>
        <w:tc>
          <w:tcPr>
            <w:tcW w:w="1065" w:type="dxa"/>
            <w:vAlign w:val="center"/>
          </w:tcPr>
          <w:p>
            <w:pPr>
              <w:pStyle w:val="12"/>
            </w:pPr>
            <w:r>
              <w:t>2020.00</w:t>
            </w:r>
          </w:p>
        </w:tc>
        <w:tc>
          <w:tcPr>
            <w:tcW w:w="855" w:type="dxa"/>
            <w:vAlign w:val="center"/>
          </w:tcPr>
          <w:p>
            <w:pPr>
              <w:pStyle w:val="12"/>
            </w:pPr>
          </w:p>
        </w:tc>
        <w:tc>
          <w:tcPr>
            <w:tcW w:w="495" w:type="dxa"/>
            <w:vAlign w:val="center"/>
          </w:tcPr>
          <w:p>
            <w:pPr>
              <w:pStyle w:val="12"/>
            </w:pPr>
          </w:p>
        </w:tc>
        <w:tc>
          <w:tcPr>
            <w:tcW w:w="615" w:type="dxa"/>
            <w:vAlign w:val="center"/>
          </w:tcPr>
          <w:p>
            <w:pPr>
              <w:pStyle w:val="12"/>
            </w:pPr>
          </w:p>
        </w:tc>
        <w:tc>
          <w:tcPr>
            <w:tcW w:w="705" w:type="dxa"/>
            <w:vAlign w:val="center"/>
          </w:tcPr>
          <w:p>
            <w:pPr>
              <w:pStyle w:val="12"/>
            </w:pPr>
          </w:p>
        </w:tc>
        <w:tc>
          <w:tcPr>
            <w:tcW w:w="810" w:type="dxa"/>
            <w:vAlign w:val="center"/>
          </w:tcPr>
          <w:p>
            <w:pPr>
              <w:pStyle w:val="12"/>
            </w:pPr>
          </w:p>
        </w:tc>
        <w:tc>
          <w:tcPr>
            <w:tcW w:w="435" w:type="dxa"/>
            <w:vAlign w:val="center"/>
          </w:tcPr>
          <w:p>
            <w:pPr>
              <w:pStyle w:val="12"/>
            </w:pPr>
          </w:p>
        </w:tc>
        <w:tc>
          <w:tcPr>
            <w:tcW w:w="3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2" w:type="dxa"/>
            <w:vAlign w:val="center"/>
          </w:tcPr>
          <w:p>
            <w:pPr>
              <w:pStyle w:val="14"/>
            </w:pPr>
            <w:r>
              <w:t>3</w:t>
            </w:r>
          </w:p>
        </w:tc>
        <w:tc>
          <w:tcPr>
            <w:tcW w:w="765" w:type="dxa"/>
            <w:vAlign w:val="center"/>
          </w:tcPr>
          <w:p>
            <w:pPr>
              <w:pStyle w:val="13"/>
            </w:pPr>
            <w:r>
              <w:t>21101</w:t>
            </w:r>
          </w:p>
        </w:tc>
        <w:tc>
          <w:tcPr>
            <w:tcW w:w="917" w:type="dxa"/>
            <w:vAlign w:val="center"/>
          </w:tcPr>
          <w:p>
            <w:pPr>
              <w:pStyle w:val="13"/>
            </w:pPr>
            <w:r>
              <w:t>环境保护管理事务</w:t>
            </w:r>
          </w:p>
        </w:tc>
        <w:tc>
          <w:tcPr>
            <w:tcW w:w="1123" w:type="dxa"/>
            <w:vAlign w:val="center"/>
          </w:tcPr>
          <w:p>
            <w:pPr>
              <w:pStyle w:val="12"/>
            </w:pPr>
            <w:r>
              <w:t>973.00</w:t>
            </w:r>
          </w:p>
        </w:tc>
        <w:tc>
          <w:tcPr>
            <w:tcW w:w="1080" w:type="dxa"/>
            <w:vAlign w:val="center"/>
          </w:tcPr>
          <w:p>
            <w:pPr>
              <w:pStyle w:val="12"/>
            </w:pPr>
            <w:r>
              <w:t>973.00</w:t>
            </w:r>
          </w:p>
        </w:tc>
        <w:tc>
          <w:tcPr>
            <w:tcW w:w="1065" w:type="dxa"/>
            <w:vAlign w:val="center"/>
          </w:tcPr>
          <w:p>
            <w:pPr>
              <w:pStyle w:val="12"/>
            </w:pPr>
            <w:r>
              <w:t>973.00</w:t>
            </w:r>
          </w:p>
        </w:tc>
        <w:tc>
          <w:tcPr>
            <w:tcW w:w="855" w:type="dxa"/>
            <w:vAlign w:val="center"/>
          </w:tcPr>
          <w:p>
            <w:pPr>
              <w:pStyle w:val="12"/>
            </w:pPr>
          </w:p>
        </w:tc>
        <w:tc>
          <w:tcPr>
            <w:tcW w:w="495" w:type="dxa"/>
            <w:vAlign w:val="center"/>
          </w:tcPr>
          <w:p>
            <w:pPr>
              <w:pStyle w:val="12"/>
            </w:pPr>
          </w:p>
        </w:tc>
        <w:tc>
          <w:tcPr>
            <w:tcW w:w="615" w:type="dxa"/>
            <w:vAlign w:val="center"/>
          </w:tcPr>
          <w:p>
            <w:pPr>
              <w:pStyle w:val="12"/>
            </w:pPr>
          </w:p>
        </w:tc>
        <w:tc>
          <w:tcPr>
            <w:tcW w:w="705" w:type="dxa"/>
            <w:vAlign w:val="center"/>
          </w:tcPr>
          <w:p>
            <w:pPr>
              <w:pStyle w:val="12"/>
            </w:pPr>
          </w:p>
        </w:tc>
        <w:tc>
          <w:tcPr>
            <w:tcW w:w="810" w:type="dxa"/>
            <w:vAlign w:val="center"/>
          </w:tcPr>
          <w:p>
            <w:pPr>
              <w:pStyle w:val="12"/>
            </w:pPr>
          </w:p>
        </w:tc>
        <w:tc>
          <w:tcPr>
            <w:tcW w:w="435" w:type="dxa"/>
            <w:vAlign w:val="center"/>
          </w:tcPr>
          <w:p>
            <w:pPr>
              <w:pStyle w:val="12"/>
            </w:pPr>
          </w:p>
        </w:tc>
        <w:tc>
          <w:tcPr>
            <w:tcW w:w="3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2" w:type="dxa"/>
            <w:vAlign w:val="center"/>
          </w:tcPr>
          <w:p>
            <w:pPr>
              <w:pStyle w:val="14"/>
            </w:pPr>
            <w:r>
              <w:t>4</w:t>
            </w:r>
          </w:p>
        </w:tc>
        <w:tc>
          <w:tcPr>
            <w:tcW w:w="765" w:type="dxa"/>
            <w:vAlign w:val="center"/>
          </w:tcPr>
          <w:p>
            <w:pPr>
              <w:pStyle w:val="13"/>
            </w:pPr>
            <w:r>
              <w:t>2110102</w:t>
            </w:r>
          </w:p>
        </w:tc>
        <w:tc>
          <w:tcPr>
            <w:tcW w:w="917" w:type="dxa"/>
            <w:vAlign w:val="center"/>
          </w:tcPr>
          <w:p>
            <w:pPr>
              <w:pStyle w:val="13"/>
            </w:pPr>
            <w:r>
              <w:t>一般行政管理事务</w:t>
            </w:r>
          </w:p>
        </w:tc>
        <w:tc>
          <w:tcPr>
            <w:tcW w:w="1123" w:type="dxa"/>
            <w:vAlign w:val="center"/>
          </w:tcPr>
          <w:p>
            <w:pPr>
              <w:pStyle w:val="12"/>
            </w:pPr>
            <w:r>
              <w:t>973.00</w:t>
            </w:r>
          </w:p>
        </w:tc>
        <w:tc>
          <w:tcPr>
            <w:tcW w:w="1080" w:type="dxa"/>
            <w:vAlign w:val="center"/>
          </w:tcPr>
          <w:p>
            <w:pPr>
              <w:pStyle w:val="12"/>
            </w:pPr>
            <w:r>
              <w:t>973.00</w:t>
            </w:r>
          </w:p>
        </w:tc>
        <w:tc>
          <w:tcPr>
            <w:tcW w:w="1065" w:type="dxa"/>
            <w:vAlign w:val="center"/>
          </w:tcPr>
          <w:p>
            <w:pPr>
              <w:pStyle w:val="12"/>
            </w:pPr>
            <w:r>
              <w:t>973.00</w:t>
            </w:r>
          </w:p>
        </w:tc>
        <w:tc>
          <w:tcPr>
            <w:tcW w:w="855" w:type="dxa"/>
            <w:vAlign w:val="center"/>
          </w:tcPr>
          <w:p>
            <w:pPr>
              <w:pStyle w:val="12"/>
            </w:pPr>
          </w:p>
        </w:tc>
        <w:tc>
          <w:tcPr>
            <w:tcW w:w="495" w:type="dxa"/>
            <w:vAlign w:val="center"/>
          </w:tcPr>
          <w:p>
            <w:pPr>
              <w:pStyle w:val="12"/>
            </w:pPr>
          </w:p>
        </w:tc>
        <w:tc>
          <w:tcPr>
            <w:tcW w:w="615" w:type="dxa"/>
            <w:vAlign w:val="center"/>
          </w:tcPr>
          <w:p>
            <w:pPr>
              <w:pStyle w:val="12"/>
            </w:pPr>
          </w:p>
        </w:tc>
        <w:tc>
          <w:tcPr>
            <w:tcW w:w="705" w:type="dxa"/>
            <w:vAlign w:val="center"/>
          </w:tcPr>
          <w:p>
            <w:pPr>
              <w:pStyle w:val="12"/>
            </w:pPr>
          </w:p>
        </w:tc>
        <w:tc>
          <w:tcPr>
            <w:tcW w:w="810" w:type="dxa"/>
            <w:vAlign w:val="center"/>
          </w:tcPr>
          <w:p>
            <w:pPr>
              <w:pStyle w:val="12"/>
            </w:pPr>
          </w:p>
        </w:tc>
        <w:tc>
          <w:tcPr>
            <w:tcW w:w="435" w:type="dxa"/>
            <w:vAlign w:val="center"/>
          </w:tcPr>
          <w:p>
            <w:pPr>
              <w:pStyle w:val="12"/>
            </w:pPr>
          </w:p>
        </w:tc>
        <w:tc>
          <w:tcPr>
            <w:tcW w:w="3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2" w:type="dxa"/>
            <w:vAlign w:val="center"/>
          </w:tcPr>
          <w:p>
            <w:pPr>
              <w:pStyle w:val="14"/>
            </w:pPr>
            <w:r>
              <w:t>5</w:t>
            </w:r>
          </w:p>
        </w:tc>
        <w:tc>
          <w:tcPr>
            <w:tcW w:w="765" w:type="dxa"/>
            <w:vAlign w:val="center"/>
          </w:tcPr>
          <w:p>
            <w:pPr>
              <w:pStyle w:val="13"/>
            </w:pPr>
            <w:r>
              <w:t>21103</w:t>
            </w:r>
          </w:p>
        </w:tc>
        <w:tc>
          <w:tcPr>
            <w:tcW w:w="917" w:type="dxa"/>
            <w:vAlign w:val="center"/>
          </w:tcPr>
          <w:p>
            <w:pPr>
              <w:pStyle w:val="13"/>
            </w:pPr>
            <w:r>
              <w:t>污染防治</w:t>
            </w:r>
          </w:p>
        </w:tc>
        <w:tc>
          <w:tcPr>
            <w:tcW w:w="1123" w:type="dxa"/>
            <w:vAlign w:val="center"/>
          </w:tcPr>
          <w:p>
            <w:pPr>
              <w:pStyle w:val="12"/>
            </w:pPr>
            <w:r>
              <w:t>1047.00</w:t>
            </w:r>
          </w:p>
        </w:tc>
        <w:tc>
          <w:tcPr>
            <w:tcW w:w="1080" w:type="dxa"/>
            <w:vAlign w:val="center"/>
          </w:tcPr>
          <w:p>
            <w:pPr>
              <w:pStyle w:val="12"/>
            </w:pPr>
            <w:r>
              <w:t>1047.00</w:t>
            </w:r>
          </w:p>
        </w:tc>
        <w:tc>
          <w:tcPr>
            <w:tcW w:w="1065" w:type="dxa"/>
            <w:vAlign w:val="center"/>
          </w:tcPr>
          <w:p>
            <w:pPr>
              <w:pStyle w:val="12"/>
            </w:pPr>
            <w:r>
              <w:t>1047.00</w:t>
            </w:r>
          </w:p>
        </w:tc>
        <w:tc>
          <w:tcPr>
            <w:tcW w:w="855" w:type="dxa"/>
            <w:vAlign w:val="center"/>
          </w:tcPr>
          <w:p>
            <w:pPr>
              <w:pStyle w:val="12"/>
            </w:pPr>
          </w:p>
        </w:tc>
        <w:tc>
          <w:tcPr>
            <w:tcW w:w="495" w:type="dxa"/>
            <w:vAlign w:val="center"/>
          </w:tcPr>
          <w:p>
            <w:pPr>
              <w:pStyle w:val="12"/>
            </w:pPr>
          </w:p>
        </w:tc>
        <w:tc>
          <w:tcPr>
            <w:tcW w:w="615" w:type="dxa"/>
            <w:vAlign w:val="center"/>
          </w:tcPr>
          <w:p>
            <w:pPr>
              <w:pStyle w:val="12"/>
            </w:pPr>
          </w:p>
        </w:tc>
        <w:tc>
          <w:tcPr>
            <w:tcW w:w="705" w:type="dxa"/>
            <w:vAlign w:val="center"/>
          </w:tcPr>
          <w:p>
            <w:pPr>
              <w:pStyle w:val="12"/>
            </w:pPr>
          </w:p>
        </w:tc>
        <w:tc>
          <w:tcPr>
            <w:tcW w:w="810" w:type="dxa"/>
            <w:vAlign w:val="center"/>
          </w:tcPr>
          <w:p>
            <w:pPr>
              <w:pStyle w:val="12"/>
            </w:pPr>
          </w:p>
        </w:tc>
        <w:tc>
          <w:tcPr>
            <w:tcW w:w="435" w:type="dxa"/>
            <w:vAlign w:val="center"/>
          </w:tcPr>
          <w:p>
            <w:pPr>
              <w:pStyle w:val="12"/>
            </w:pPr>
          </w:p>
        </w:tc>
        <w:tc>
          <w:tcPr>
            <w:tcW w:w="3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2" w:type="dxa"/>
            <w:vAlign w:val="center"/>
          </w:tcPr>
          <w:p>
            <w:pPr>
              <w:pStyle w:val="14"/>
            </w:pPr>
            <w:r>
              <w:t>6</w:t>
            </w:r>
          </w:p>
        </w:tc>
        <w:tc>
          <w:tcPr>
            <w:tcW w:w="765" w:type="dxa"/>
            <w:vAlign w:val="center"/>
          </w:tcPr>
          <w:p>
            <w:pPr>
              <w:pStyle w:val="13"/>
            </w:pPr>
            <w:r>
              <w:t>2110301</w:t>
            </w:r>
          </w:p>
        </w:tc>
        <w:tc>
          <w:tcPr>
            <w:tcW w:w="917" w:type="dxa"/>
            <w:vAlign w:val="center"/>
          </w:tcPr>
          <w:p>
            <w:pPr>
              <w:pStyle w:val="13"/>
            </w:pPr>
            <w:r>
              <w:t>大气</w:t>
            </w:r>
          </w:p>
        </w:tc>
        <w:tc>
          <w:tcPr>
            <w:tcW w:w="1123" w:type="dxa"/>
            <w:vAlign w:val="center"/>
          </w:tcPr>
          <w:p>
            <w:pPr>
              <w:pStyle w:val="12"/>
            </w:pPr>
            <w:r>
              <w:t>927.00</w:t>
            </w:r>
          </w:p>
        </w:tc>
        <w:tc>
          <w:tcPr>
            <w:tcW w:w="1080" w:type="dxa"/>
            <w:vAlign w:val="center"/>
          </w:tcPr>
          <w:p>
            <w:pPr>
              <w:pStyle w:val="12"/>
            </w:pPr>
            <w:r>
              <w:t>927.00</w:t>
            </w:r>
          </w:p>
        </w:tc>
        <w:tc>
          <w:tcPr>
            <w:tcW w:w="1065" w:type="dxa"/>
            <w:vAlign w:val="center"/>
          </w:tcPr>
          <w:p>
            <w:pPr>
              <w:pStyle w:val="12"/>
            </w:pPr>
            <w:r>
              <w:t>927.00</w:t>
            </w:r>
          </w:p>
        </w:tc>
        <w:tc>
          <w:tcPr>
            <w:tcW w:w="855" w:type="dxa"/>
            <w:vAlign w:val="center"/>
          </w:tcPr>
          <w:p>
            <w:pPr>
              <w:pStyle w:val="12"/>
            </w:pPr>
          </w:p>
        </w:tc>
        <w:tc>
          <w:tcPr>
            <w:tcW w:w="495" w:type="dxa"/>
            <w:vAlign w:val="center"/>
          </w:tcPr>
          <w:p>
            <w:pPr>
              <w:pStyle w:val="12"/>
            </w:pPr>
          </w:p>
        </w:tc>
        <w:tc>
          <w:tcPr>
            <w:tcW w:w="615" w:type="dxa"/>
            <w:vAlign w:val="center"/>
          </w:tcPr>
          <w:p>
            <w:pPr>
              <w:pStyle w:val="12"/>
            </w:pPr>
          </w:p>
        </w:tc>
        <w:tc>
          <w:tcPr>
            <w:tcW w:w="705" w:type="dxa"/>
            <w:vAlign w:val="center"/>
          </w:tcPr>
          <w:p>
            <w:pPr>
              <w:pStyle w:val="12"/>
            </w:pPr>
          </w:p>
        </w:tc>
        <w:tc>
          <w:tcPr>
            <w:tcW w:w="810" w:type="dxa"/>
            <w:vAlign w:val="center"/>
          </w:tcPr>
          <w:p>
            <w:pPr>
              <w:pStyle w:val="12"/>
            </w:pPr>
          </w:p>
        </w:tc>
        <w:tc>
          <w:tcPr>
            <w:tcW w:w="435" w:type="dxa"/>
            <w:vAlign w:val="center"/>
          </w:tcPr>
          <w:p>
            <w:pPr>
              <w:pStyle w:val="12"/>
            </w:pPr>
          </w:p>
        </w:tc>
        <w:tc>
          <w:tcPr>
            <w:tcW w:w="3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2" w:type="dxa"/>
            <w:vAlign w:val="center"/>
          </w:tcPr>
          <w:p>
            <w:pPr>
              <w:pStyle w:val="14"/>
            </w:pPr>
            <w:r>
              <w:t>7</w:t>
            </w:r>
          </w:p>
        </w:tc>
        <w:tc>
          <w:tcPr>
            <w:tcW w:w="765" w:type="dxa"/>
            <w:vAlign w:val="center"/>
          </w:tcPr>
          <w:p>
            <w:pPr>
              <w:pStyle w:val="13"/>
            </w:pPr>
            <w:r>
              <w:t>2110302</w:t>
            </w:r>
          </w:p>
        </w:tc>
        <w:tc>
          <w:tcPr>
            <w:tcW w:w="917" w:type="dxa"/>
            <w:vAlign w:val="center"/>
          </w:tcPr>
          <w:p>
            <w:pPr>
              <w:pStyle w:val="13"/>
            </w:pPr>
            <w:r>
              <w:t>水体</w:t>
            </w:r>
          </w:p>
        </w:tc>
        <w:tc>
          <w:tcPr>
            <w:tcW w:w="1123" w:type="dxa"/>
            <w:vAlign w:val="center"/>
          </w:tcPr>
          <w:p>
            <w:pPr>
              <w:pStyle w:val="12"/>
            </w:pPr>
            <w:r>
              <w:t>120.00</w:t>
            </w:r>
          </w:p>
        </w:tc>
        <w:tc>
          <w:tcPr>
            <w:tcW w:w="1080" w:type="dxa"/>
            <w:vAlign w:val="center"/>
          </w:tcPr>
          <w:p>
            <w:pPr>
              <w:pStyle w:val="12"/>
            </w:pPr>
            <w:r>
              <w:t>120.00</w:t>
            </w:r>
          </w:p>
        </w:tc>
        <w:tc>
          <w:tcPr>
            <w:tcW w:w="1065" w:type="dxa"/>
            <w:vAlign w:val="center"/>
          </w:tcPr>
          <w:p>
            <w:pPr>
              <w:pStyle w:val="12"/>
            </w:pPr>
            <w:r>
              <w:t>120.00</w:t>
            </w:r>
          </w:p>
        </w:tc>
        <w:tc>
          <w:tcPr>
            <w:tcW w:w="855" w:type="dxa"/>
            <w:vAlign w:val="center"/>
          </w:tcPr>
          <w:p>
            <w:pPr>
              <w:pStyle w:val="12"/>
            </w:pPr>
          </w:p>
        </w:tc>
        <w:tc>
          <w:tcPr>
            <w:tcW w:w="495" w:type="dxa"/>
            <w:vAlign w:val="center"/>
          </w:tcPr>
          <w:p>
            <w:pPr>
              <w:pStyle w:val="12"/>
            </w:pPr>
          </w:p>
        </w:tc>
        <w:tc>
          <w:tcPr>
            <w:tcW w:w="615" w:type="dxa"/>
            <w:vAlign w:val="center"/>
          </w:tcPr>
          <w:p>
            <w:pPr>
              <w:pStyle w:val="12"/>
            </w:pPr>
          </w:p>
        </w:tc>
        <w:tc>
          <w:tcPr>
            <w:tcW w:w="705" w:type="dxa"/>
            <w:vAlign w:val="center"/>
          </w:tcPr>
          <w:p>
            <w:pPr>
              <w:pStyle w:val="12"/>
            </w:pPr>
          </w:p>
        </w:tc>
        <w:tc>
          <w:tcPr>
            <w:tcW w:w="810" w:type="dxa"/>
            <w:vAlign w:val="center"/>
          </w:tcPr>
          <w:p>
            <w:pPr>
              <w:pStyle w:val="12"/>
            </w:pPr>
          </w:p>
        </w:tc>
        <w:tc>
          <w:tcPr>
            <w:tcW w:w="435" w:type="dxa"/>
            <w:vAlign w:val="center"/>
          </w:tcPr>
          <w:p>
            <w:pPr>
              <w:pStyle w:val="12"/>
            </w:pPr>
          </w:p>
        </w:tc>
        <w:tc>
          <w:tcPr>
            <w:tcW w:w="39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467邯郸市生态环境局魏县分局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2020.00</w:t>
            </w:r>
          </w:p>
        </w:tc>
        <w:tc>
          <w:tcPr>
            <w:tcW w:w="1361" w:type="dxa"/>
            <w:vAlign w:val="center"/>
          </w:tcPr>
          <w:p>
            <w:pPr>
              <w:pStyle w:val="16"/>
            </w:pPr>
          </w:p>
        </w:tc>
        <w:tc>
          <w:tcPr>
            <w:tcW w:w="1361" w:type="dxa"/>
            <w:vAlign w:val="center"/>
          </w:tcPr>
          <w:p>
            <w:pPr>
              <w:pStyle w:val="16"/>
            </w:pPr>
            <w:r>
              <w:t>2020.00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2020.00</w:t>
            </w:r>
          </w:p>
        </w:tc>
        <w:tc>
          <w:tcPr>
            <w:tcW w:w="1361" w:type="dxa"/>
            <w:vAlign w:val="center"/>
          </w:tcPr>
          <w:p>
            <w:pPr>
              <w:pStyle w:val="12"/>
            </w:pPr>
          </w:p>
        </w:tc>
        <w:tc>
          <w:tcPr>
            <w:tcW w:w="1361" w:type="dxa"/>
            <w:vAlign w:val="center"/>
          </w:tcPr>
          <w:p>
            <w:pPr>
              <w:pStyle w:val="12"/>
            </w:pPr>
            <w:r>
              <w:t>2020.00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21101</w:t>
            </w:r>
          </w:p>
        </w:tc>
        <w:tc>
          <w:tcPr>
            <w:tcW w:w="4535" w:type="dxa"/>
            <w:vAlign w:val="center"/>
          </w:tcPr>
          <w:p>
            <w:pPr>
              <w:pStyle w:val="13"/>
            </w:pPr>
            <w:r>
              <w:t>环境保护管理事务</w:t>
            </w:r>
          </w:p>
        </w:tc>
        <w:tc>
          <w:tcPr>
            <w:tcW w:w="1361" w:type="dxa"/>
            <w:vAlign w:val="center"/>
          </w:tcPr>
          <w:p>
            <w:pPr>
              <w:pStyle w:val="12"/>
            </w:pPr>
            <w:r>
              <w:t>973.00</w:t>
            </w:r>
          </w:p>
        </w:tc>
        <w:tc>
          <w:tcPr>
            <w:tcW w:w="1361" w:type="dxa"/>
            <w:vAlign w:val="center"/>
          </w:tcPr>
          <w:p>
            <w:pPr>
              <w:pStyle w:val="12"/>
            </w:pPr>
          </w:p>
        </w:tc>
        <w:tc>
          <w:tcPr>
            <w:tcW w:w="1361" w:type="dxa"/>
            <w:vAlign w:val="center"/>
          </w:tcPr>
          <w:p>
            <w:pPr>
              <w:pStyle w:val="12"/>
            </w:pPr>
            <w:r>
              <w:t>973.00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2110102</w:t>
            </w:r>
          </w:p>
        </w:tc>
        <w:tc>
          <w:tcPr>
            <w:tcW w:w="4535" w:type="dxa"/>
            <w:vAlign w:val="center"/>
          </w:tcPr>
          <w:p>
            <w:pPr>
              <w:pStyle w:val="13"/>
            </w:pPr>
            <w:r>
              <w:t>一般行政管理事务</w:t>
            </w:r>
          </w:p>
        </w:tc>
        <w:tc>
          <w:tcPr>
            <w:tcW w:w="1361" w:type="dxa"/>
            <w:vAlign w:val="center"/>
          </w:tcPr>
          <w:p>
            <w:pPr>
              <w:pStyle w:val="12"/>
            </w:pPr>
            <w:r>
              <w:t>973.00</w:t>
            </w:r>
          </w:p>
        </w:tc>
        <w:tc>
          <w:tcPr>
            <w:tcW w:w="1361" w:type="dxa"/>
            <w:vAlign w:val="center"/>
          </w:tcPr>
          <w:p>
            <w:pPr>
              <w:pStyle w:val="12"/>
            </w:pPr>
          </w:p>
        </w:tc>
        <w:tc>
          <w:tcPr>
            <w:tcW w:w="1361" w:type="dxa"/>
            <w:vAlign w:val="center"/>
          </w:tcPr>
          <w:p>
            <w:pPr>
              <w:pStyle w:val="12"/>
            </w:pPr>
            <w:r>
              <w:t>973.00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1047.00</w:t>
            </w:r>
          </w:p>
        </w:tc>
        <w:tc>
          <w:tcPr>
            <w:tcW w:w="1361" w:type="dxa"/>
            <w:vAlign w:val="center"/>
          </w:tcPr>
          <w:p>
            <w:pPr>
              <w:pStyle w:val="12"/>
            </w:pPr>
          </w:p>
        </w:tc>
        <w:tc>
          <w:tcPr>
            <w:tcW w:w="1361" w:type="dxa"/>
            <w:vAlign w:val="center"/>
          </w:tcPr>
          <w:p>
            <w:pPr>
              <w:pStyle w:val="12"/>
            </w:pPr>
            <w:r>
              <w:t>1047.00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927.00</w:t>
            </w:r>
          </w:p>
        </w:tc>
        <w:tc>
          <w:tcPr>
            <w:tcW w:w="1361" w:type="dxa"/>
            <w:vAlign w:val="center"/>
          </w:tcPr>
          <w:p>
            <w:pPr>
              <w:pStyle w:val="12"/>
            </w:pPr>
          </w:p>
        </w:tc>
        <w:tc>
          <w:tcPr>
            <w:tcW w:w="1361" w:type="dxa"/>
            <w:vAlign w:val="center"/>
          </w:tcPr>
          <w:p>
            <w:pPr>
              <w:pStyle w:val="12"/>
            </w:pPr>
            <w:r>
              <w:t>927.00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2110302</w:t>
            </w:r>
          </w:p>
        </w:tc>
        <w:tc>
          <w:tcPr>
            <w:tcW w:w="4535" w:type="dxa"/>
            <w:vAlign w:val="center"/>
          </w:tcPr>
          <w:p>
            <w:pPr>
              <w:pStyle w:val="13"/>
            </w:pPr>
            <w:r>
              <w:t>水体</w:t>
            </w: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467邯郸市生态环境局魏县分局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2020.00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2020.00</w:t>
            </w:r>
          </w:p>
        </w:tc>
        <w:tc>
          <w:tcPr>
            <w:tcW w:w="1474" w:type="dxa"/>
            <w:vAlign w:val="center"/>
          </w:tcPr>
          <w:p>
            <w:pPr>
              <w:pStyle w:val="12"/>
            </w:pPr>
            <w:r>
              <w:t>2020.00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2020.00</w:t>
            </w:r>
          </w:p>
        </w:tc>
        <w:tc>
          <w:tcPr>
            <w:tcW w:w="3402" w:type="dxa"/>
            <w:vAlign w:val="center"/>
          </w:tcPr>
          <w:p>
            <w:pPr>
              <w:pStyle w:val="15"/>
            </w:pPr>
            <w:r>
              <w:t>本年支出合计</w:t>
            </w:r>
          </w:p>
        </w:tc>
        <w:tc>
          <w:tcPr>
            <w:tcW w:w="1474" w:type="dxa"/>
            <w:vAlign w:val="center"/>
          </w:tcPr>
          <w:p>
            <w:pPr>
              <w:pStyle w:val="16"/>
            </w:pPr>
            <w:r>
              <w:t>2020.00</w:t>
            </w:r>
          </w:p>
        </w:tc>
        <w:tc>
          <w:tcPr>
            <w:tcW w:w="1474" w:type="dxa"/>
            <w:vAlign w:val="center"/>
          </w:tcPr>
          <w:p>
            <w:pPr>
              <w:pStyle w:val="16"/>
            </w:pPr>
            <w:r>
              <w:t>2020.00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2020.00</w:t>
            </w:r>
          </w:p>
        </w:tc>
        <w:tc>
          <w:tcPr>
            <w:tcW w:w="3402" w:type="dxa"/>
            <w:vAlign w:val="center"/>
          </w:tcPr>
          <w:p>
            <w:pPr>
              <w:pStyle w:val="15"/>
            </w:pPr>
            <w:r>
              <w:t>支出总计</w:t>
            </w:r>
          </w:p>
        </w:tc>
        <w:tc>
          <w:tcPr>
            <w:tcW w:w="1474" w:type="dxa"/>
            <w:vAlign w:val="center"/>
          </w:tcPr>
          <w:p>
            <w:pPr>
              <w:pStyle w:val="16"/>
            </w:pPr>
            <w:r>
              <w:t>2020.00</w:t>
            </w:r>
          </w:p>
        </w:tc>
        <w:tc>
          <w:tcPr>
            <w:tcW w:w="1474" w:type="dxa"/>
            <w:vAlign w:val="center"/>
          </w:tcPr>
          <w:p>
            <w:pPr>
              <w:pStyle w:val="16"/>
            </w:pPr>
            <w:r>
              <w:t>2020.00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467邯郸市生态环境局魏县分局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2020.00</w:t>
            </w:r>
          </w:p>
        </w:tc>
        <w:tc>
          <w:tcPr>
            <w:tcW w:w="2551" w:type="dxa"/>
            <w:vAlign w:val="center"/>
          </w:tcPr>
          <w:p>
            <w:pPr>
              <w:pStyle w:val="16"/>
            </w:pPr>
          </w:p>
        </w:tc>
        <w:tc>
          <w:tcPr>
            <w:tcW w:w="2551" w:type="dxa"/>
            <w:vAlign w:val="center"/>
          </w:tcPr>
          <w:p>
            <w:pPr>
              <w:pStyle w:val="16"/>
            </w:pPr>
            <w:r>
              <w:t>2020.00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2020.00</w:t>
            </w:r>
          </w:p>
        </w:tc>
        <w:tc>
          <w:tcPr>
            <w:tcW w:w="2551" w:type="dxa"/>
            <w:vAlign w:val="center"/>
          </w:tcPr>
          <w:p>
            <w:pPr>
              <w:pStyle w:val="12"/>
            </w:pPr>
          </w:p>
        </w:tc>
        <w:tc>
          <w:tcPr>
            <w:tcW w:w="2551" w:type="dxa"/>
            <w:vAlign w:val="center"/>
          </w:tcPr>
          <w:p>
            <w:pPr>
              <w:pStyle w:val="12"/>
            </w:pPr>
            <w:r>
              <w:t>2020.00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2"/>
            </w:pPr>
            <w:r>
              <w:t>973.00</w:t>
            </w:r>
          </w:p>
        </w:tc>
        <w:tc>
          <w:tcPr>
            <w:tcW w:w="2551" w:type="dxa"/>
            <w:vAlign w:val="center"/>
          </w:tcPr>
          <w:p>
            <w:pPr>
              <w:pStyle w:val="12"/>
            </w:pPr>
          </w:p>
        </w:tc>
        <w:tc>
          <w:tcPr>
            <w:tcW w:w="2551" w:type="dxa"/>
            <w:vAlign w:val="center"/>
          </w:tcPr>
          <w:p>
            <w:pPr>
              <w:pStyle w:val="12"/>
            </w:pPr>
            <w:r>
              <w:t>973.00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2110102</w:t>
            </w:r>
          </w:p>
        </w:tc>
        <w:tc>
          <w:tcPr>
            <w:tcW w:w="4535" w:type="dxa"/>
            <w:vAlign w:val="center"/>
          </w:tcPr>
          <w:p>
            <w:pPr>
              <w:pStyle w:val="13"/>
            </w:pPr>
            <w:r>
              <w:t>一般行政管理事务</w:t>
            </w:r>
          </w:p>
        </w:tc>
        <w:tc>
          <w:tcPr>
            <w:tcW w:w="2551" w:type="dxa"/>
            <w:vAlign w:val="center"/>
          </w:tcPr>
          <w:p>
            <w:pPr>
              <w:pStyle w:val="12"/>
            </w:pPr>
            <w:r>
              <w:t>973.00</w:t>
            </w:r>
          </w:p>
        </w:tc>
        <w:tc>
          <w:tcPr>
            <w:tcW w:w="2551" w:type="dxa"/>
            <w:vAlign w:val="center"/>
          </w:tcPr>
          <w:p>
            <w:pPr>
              <w:pStyle w:val="12"/>
            </w:pPr>
          </w:p>
        </w:tc>
        <w:tc>
          <w:tcPr>
            <w:tcW w:w="2551" w:type="dxa"/>
            <w:vAlign w:val="center"/>
          </w:tcPr>
          <w:p>
            <w:pPr>
              <w:pStyle w:val="12"/>
            </w:pPr>
            <w:r>
              <w:t>973.00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1047.00</w:t>
            </w:r>
          </w:p>
        </w:tc>
        <w:tc>
          <w:tcPr>
            <w:tcW w:w="2551" w:type="dxa"/>
            <w:vAlign w:val="center"/>
          </w:tcPr>
          <w:p>
            <w:pPr>
              <w:pStyle w:val="12"/>
            </w:pPr>
          </w:p>
        </w:tc>
        <w:tc>
          <w:tcPr>
            <w:tcW w:w="2551" w:type="dxa"/>
            <w:vAlign w:val="center"/>
          </w:tcPr>
          <w:p>
            <w:pPr>
              <w:pStyle w:val="12"/>
            </w:pPr>
            <w:r>
              <w:t>1047.00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927.00</w:t>
            </w:r>
          </w:p>
        </w:tc>
        <w:tc>
          <w:tcPr>
            <w:tcW w:w="2551" w:type="dxa"/>
            <w:vAlign w:val="center"/>
          </w:tcPr>
          <w:p>
            <w:pPr>
              <w:pStyle w:val="12"/>
            </w:pPr>
          </w:p>
        </w:tc>
        <w:tc>
          <w:tcPr>
            <w:tcW w:w="2551" w:type="dxa"/>
            <w:vAlign w:val="center"/>
          </w:tcPr>
          <w:p>
            <w:pPr>
              <w:pStyle w:val="12"/>
            </w:pPr>
            <w:r>
              <w:t>927.00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2110302</w:t>
            </w:r>
          </w:p>
        </w:tc>
        <w:tc>
          <w:tcPr>
            <w:tcW w:w="4535" w:type="dxa"/>
            <w:vAlign w:val="center"/>
          </w:tcPr>
          <w:p>
            <w:pPr>
              <w:pStyle w:val="13"/>
            </w:pPr>
            <w:r>
              <w:t>水体</w:t>
            </w:r>
          </w:p>
        </w:tc>
        <w:tc>
          <w:tcPr>
            <w:tcW w:w="2551" w:type="dxa"/>
            <w:vAlign w:val="center"/>
          </w:tcPr>
          <w:p>
            <w:pPr>
              <w:pStyle w:val="12"/>
            </w:pPr>
            <w:r>
              <w:t>120.00</w:t>
            </w:r>
          </w:p>
        </w:tc>
        <w:tc>
          <w:tcPr>
            <w:tcW w:w="2551" w:type="dxa"/>
            <w:vAlign w:val="center"/>
          </w:tcPr>
          <w:p>
            <w:pPr>
              <w:pStyle w:val="12"/>
            </w:pPr>
          </w:p>
        </w:tc>
        <w:tc>
          <w:tcPr>
            <w:tcW w:w="2551" w:type="dxa"/>
            <w:vAlign w:val="center"/>
          </w:tcPr>
          <w:p>
            <w:pPr>
              <w:pStyle w:val="12"/>
            </w:pPr>
            <w:r>
              <w:t>120.00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467邯郸市生态环境局魏县分局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467邯郸市生态环境局魏县分局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467邯郸市生态环境局魏县分局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467邯郸市生态环境局魏县分局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邯郸市生态环境局魏县分局2024年部门预算信息公开情况说明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邯郸市生态环境局魏县分局2024年部门预算信息公开情况说明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按照《中华人民共和国预算法》、《地方预决算公开操作规程》和《关于进一步推进预算公开工作的实施意见》规定，现将邯郸市生态环境局魏县分局2024年部门预算公开如下：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建立、健全、环境保护基本制度。贯彻执行国家、省环境保护的方针、政策和法律、法规；拟定全县环境保护发展规划并组织实施。组织拟定并监督实施重点区域、流域污染防治规划和饮用水源地环境保护规划，参与制定全县主体功能区划。</w:t>
      </w:r>
    </w:p>
    <w:p>
      <w:pPr>
        <w:pStyle w:val="18"/>
      </w:pPr>
      <w:r>
        <w:t>（二）负责重大环境问题的统筹协调和监督管理、管理和指导全县环境监理、监测工作；负责落实全县减排目标；组织制定主要污染物排放总量控制和污染许可证制度并监督实施；负责环境污染防治的监督管理；对危险废物（含医疗废物）经营许可证核发及审批进行监督管理；制定水体、大气、土壤、噪声、光、恶臭、固体废物、化学品等的污染防治管理制度并组织实施，会同有关部门监督管理饮用水水源地环境保护，组织指导城镇和农村的环境综合整治；负责从源头上预防、控制环境污染和环境破坏；负责监督管理全县自然环境保护，监督对生态环境有影响的资源开发活动，保护好资源。</w:t>
      </w:r>
    </w:p>
    <w:p>
      <w:pPr>
        <w:pStyle w:val="18"/>
      </w:pPr>
      <w:r>
        <w:t>（三）负责编制县属以上企业环保资金使用、豁免计划，并负责对违反环保资金使用的单位进行查处；负责制定全县污染治理计划；负责全县大气、水体、噪声、土壤等方面的环境保护工作；负责企事业单位及个体工商户排污申报登记与排污许可证发放工作，负责企事业单位及个体工商户的超标排污费和排污费的征收工作；对排污许可证(大气、水)核发及向大气排放转炉气及可燃气体的批准进行监督管理；负责污染治理设施运行情况的监督检查及治理；负责限额内新建、扩建、改建项目的审批；对建设项目竣工环境保护验收进行监督管理；对建设项目（含辐射建设项目）环境影响报告书（表）、环境影响登记表的审批及建设项目发生重大变化，环境影响报告书（表）、登记表重新审批（含环境影响评价文件超过5年的重新审核）进行监督管理；对环境保护行政主管部门审批的农林牧渔类环境影响评价文件，环境保护行政主管部门审批的非金属矿采选及制品制造类环境影响评价文件，环境保护行政主管部门审批的机械电子类环境影响评价文件，环境保护行政主管部门审批的医药类环境影响评价文件，环境保护行政主管部门审批的轻工类环境影响评价文件，环境保护行政主管部门审批的城市基础设施及房地产类环境影响评价文件，环境保护行政主管部门审批的社会事业与服务类环境影响评价文件，环境保护行政主管部门审批的纺织化纤类环境影响评估文件的制定进行监督管理；负责对环境违法行为的查处和行政处罚（不含城区内焚烧物品、露天喷漆、商业噪声等。）</w:t>
      </w:r>
    </w:p>
    <w:p>
      <w:pPr>
        <w:pStyle w:val="18"/>
      </w:pPr>
      <w:r>
        <w:t>（四）指导、协调和监督生态保护。拟定生态保护规划，组织评估生态环境质量状况，监督对生态环境有影响的自然资源开发利用活动、重要生态建设和生态破坏恢复。协调指导农村生态环境保护，监督生物技术环境安全，组织协调生物多样性保护。</w:t>
      </w:r>
    </w:p>
    <w:p>
      <w:pPr>
        <w:pStyle w:val="18"/>
      </w:pPr>
      <w:r>
        <w:t>（五）负责核安全和辐射安全的监督管理。参与核事故应急处理，负责辐射环境事故应急处理。监督管理核设施安全、放射源安全，监督管理核设施，核技术应用、电磁辐射、伴有放射源矿产资源开发利用中的污染防治。对核材料的管制和民用核安全设备的设计、制造、安装和无损检验活动实施监督管理。</w:t>
      </w:r>
    </w:p>
    <w:p>
      <w:pPr>
        <w:pStyle w:val="18"/>
      </w:pPr>
      <w:r>
        <w:t>（六）负责环境监测和信息发布。组织对环境质量状况进行调查评估、预测预警，建立和实行环境质量公告制度，统一发布全县环境综合性报告和重大环境信息；组织、指导和协调环境保护宣传教育，开展生态文明建设和环境友好型社会建设和有关宣传教育，推动社会公众和社会组织参与环境保护。</w:t>
      </w:r>
    </w:p>
    <w:p>
      <w:pPr>
        <w:pStyle w:val="18"/>
      </w:pPr>
      <w:r>
        <w:t>（七）负责限制进口列入规定目录的固体废物进口审核。负责审核发排污许可的现场检查。负责污染减排工程运行情况的现场监督检查。负责危险废物转移联单管理。负责辐射污染防治。负责对企业刷卡（IC卡）排污总量控制系统进行检查。负责在机动车停放地对在机动车的污染物排放状况进行监督抽测。负责对机动车保险机构监督检查。负责危险废物规范化日常管理。负责废弃电器电子产品拆解处理监管审核。负责指定有相应资质的单位进行治污代履行（代治理、代为处理）。负责挂牌督办和区域限批。负责关闭尾矿设施验收。负责各类声环境功能区的划定。负责征收排污费。负责征收生态环境补偿费。负责对保护和改善环境有显著成绩的单位和个人的奖励。负责环境行政处罚。负责监测数据纠纷的技术认定。负责关闭、闲置或者拆除生活垃圾处置的设施、场所的核准。负责建设项目（含辐射建设项目）防治污染设施验收及防治污染设施的拆除或闲置批准。</w:t>
      </w:r>
    </w:p>
    <w:p>
      <w:pPr>
        <w:pStyle w:val="18"/>
      </w:pPr>
      <w:r>
        <w:t>（八）承办县委、县政府交办的其他工作。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邯郸市生态环境局魏县分局本级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按照预算管理有关规定，目前部门预算的编制实行综合预算管理，即全部收入和支出都反映在预算中。邯郸市生态环境局魏县分局机关及所属事业单位的收支包含在部门预算中。</w:t>
      </w:r>
    </w:p>
    <w:p>
      <w:pPr>
        <w:pStyle w:val="19"/>
      </w:pPr>
      <w:r>
        <w:t>1、收入说明</w:t>
      </w:r>
    </w:p>
    <w:p>
      <w:pPr>
        <w:pStyle w:val="19"/>
      </w:pPr>
      <w:r>
        <w:t>反映本部门当年全部收入。2024年预算收入2020.00万元，其中：一般公共预算收入2020.00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邯郸市生态环境局魏县分局年度部门预算中支出预算的总体情况。2024年支出预算2020.00万元，其中基本支出0.00万元，包括人员经费0.00万元和日常公用经费0.00万元；项目支出2020.00万元，主要为本部门支出主要为项目支出</w:t>
      </w:r>
    </w:p>
    <w:p>
      <w:pPr>
        <w:pStyle w:val="19"/>
      </w:pPr>
      <w:r>
        <w:t>3、比上年增减情况</w:t>
      </w:r>
    </w:p>
    <w:p>
      <w:pPr>
        <w:pStyle w:val="19"/>
      </w:pPr>
      <w:r>
        <w:t>2024年预算收支安排2020.00万元，较2023年预算减少15814.76万元，其中：基本支出增加0.00万元，主要为部分项目已结算完成项目支出减少15814.76万元，主要为部分项目已结算完成</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2024年，我部门机关运行经费共计安排0.00万元，主要用于日常维修、办公用房水电费、办公用房取暖费、办公用房物业管理费等日常运行支出。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本部门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紧盯污染源头，全面推进清洁取暖、“散乱污”清零整治、工企业达标排放、重型货车穿绕城治理、重型柴油车排放管控、严控施工和道路扬尘，集中攻坚，确保降低污染物排放强度，实现高质量、精细化管理。到2021年底PM2.5浓度控制在58微克/立方米。</w:t>
      </w:r>
    </w:p>
    <w:p>
      <w:pPr>
        <w:pStyle w:val="22"/>
      </w:pPr>
      <w:r>
        <w:t>2、深入推进水污染防治工作。饮用水水源水质达标、地下水考核点位水质稳定、工业园区污水处理厂建设完成、积极推进饮用水源地划分及规划建设、深入开展农村污水治理。</w:t>
      </w:r>
    </w:p>
    <w:p>
      <w:pPr>
        <w:pStyle w:val="22"/>
      </w:pPr>
      <w:r>
        <w:t xml:space="preserve">3、推进重点行业企业用地土壤污染状况调查。进一步完善企业用地调查对象，安装省生态环境厅和市生态环境局统一安排，完成全县重点行业企业用地土壤污染状况调查信息采集入库。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强力推进大气污染综合治理工作。加快推进供给侧结构性改革，深度调整产业结构、能源结构、交通运输结构和用地结构，优化产业空间布局，全面推进清洁取暖、“散乱污”清零整治、工业企业达标排放、重型货车穿绕城治理、重型柴油车排放管控，严控施工和道路扬尘，综合施策，集中攻坚，确保污染物排放强度大幅降低，实现全区域高质量、精细化管理。到2021年底，PM2.5浓度控制在64微克/立方米，同比下降7%；空气质量优良天数达到210天以上，优良天数比例达到57.53%以上。</w:t>
      </w:r>
    </w:p>
    <w:p>
      <w:pPr>
        <w:pStyle w:val="23"/>
      </w:pPr>
      <w:r>
        <w:t>2、继续推进水污染防治专项攻坚行动。按照上级要求，深化对重点河流水体治理、饮用水源安全防护、工业园区污水集中处理设施建设、黑臭水体整治等方面工作的开展与落实。</w:t>
      </w:r>
    </w:p>
    <w:p>
      <w:pPr>
        <w:pStyle w:val="23"/>
      </w:pPr>
      <w:r>
        <w:t>3、深入开展土壤污染防治工作。一是全面摸清土壤污染底数。按照上级确定的时间节点，全面摸清我县农用地、重点行业企业用地的污染程度、面积与分布，为做好土壤污染防治工作奠定基础。二是持续开展危险废物规范化管理工作。以涉危险废物重点行业、重点企业为重点，强化危险废物规范化管理工作，扎实做好固体废物管理信息平台的使用。对危废企业全部在固废管理信息平台上注册、备案，企业每月按时月报，月报率达100%。</w:t>
      </w:r>
    </w:p>
    <w:p>
      <w:pPr>
        <w:pStyle w:val="23"/>
      </w:pPr>
      <w:r>
        <w:t>4、推进污染源普查工作。加强和上级部门的沟通、协调，严格按照时间节点要求, 有力、有序推进各项工作,按时按质完成上级下达任务目标,保障全县污染源普查工作顺利完成。</w:t>
      </w:r>
    </w:p>
    <w:p>
      <w:pPr>
        <w:pStyle w:val="23"/>
      </w:pPr>
      <w:r>
        <w:t>5、进一步强化环境监管执法。坚持监管从严，持续保持严厉打击环境违法行为高压态势，让执法威慑成为常态。</w:t>
      </w:r>
    </w:p>
    <w:p>
      <w:pPr>
        <w:pStyle w:val="23"/>
      </w:pPr>
      <w:r>
        <w:t>6、加强舆论宣传。利用微信平台等新媒体以及公众环保监督团等民间组织，大力宣传我县开展生态环境保护工作的重大意义、政策措施，为打赢“蓝天、碧水、净土保卫战”营造良好的舆论氛围。同时，加强信息沟通，及时将工作情况向上级有关部门进行汇报，主动与各职能部门间进行信息沟通，使环保工作得到广泛的理解和支持。</w:t>
      </w:r>
    </w:p>
    <w:p>
      <w:pPr>
        <w:pStyle w:val="23"/>
      </w:pPr>
      <w:r>
        <w:t>7、加强环境信访工作，维护社会稳定。在环境信访中做到接待、登记、回复一站式服务，不断完善信访制度，多措并举化解信访矛盾。对各类督办、转办、交办、举报件，查处率达到100%，结案率达到100%。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1、加强环保队伍建设，加强对广大环保职工的政治和业务培训，提高自身的素质水平，以适应环保工作的需要。</w:t>
      </w:r>
    </w:p>
    <w:p>
      <w:pPr>
        <w:pStyle w:val="24"/>
      </w:pPr>
      <w:r>
        <w:t>2、加强领导，明确责任，对年度发展目标责任，落实到人，对每一项工作目标，进行细化量化，逐一分解，定时间定任务，明确责任人，集中精力攻坚克难，确保年度责任目标任务圆满完成。</w:t>
      </w:r>
    </w:p>
    <w:p>
      <w:pPr>
        <w:pStyle w:val="24"/>
        <w:sectPr>
          <w:pgSz w:w="16840" w:h="11900" w:orient="landscape"/>
          <w:pgMar w:top="1361" w:right="1020" w:bottom="1361" w:left="1020" w:header="720" w:footer="720" w:gutter="0"/>
          <w:cols w:space="720" w:num="1"/>
        </w:sectPr>
      </w:pPr>
      <w:r>
        <w:t>3、制定计划，加强督导。为了较好完成全年各项工作任务，要结合实际不定期查找问题，查看进度，对发现的问题及时解决，确保全年任务顺利完成。</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1、21个乡镇空气站运行维护费绩效目标表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13043424P00000911470C</w:t>
            </w:r>
          </w:p>
        </w:tc>
        <w:tc>
          <w:tcPr>
            <w:tcW w:w="2835" w:type="dxa"/>
            <w:vAlign w:val="center"/>
          </w:tcPr>
          <w:p>
            <w:pPr>
              <w:pStyle w:val="11"/>
            </w:pPr>
            <w:r>
              <w:t>项目名称</w:t>
            </w:r>
          </w:p>
        </w:tc>
        <w:tc>
          <w:tcPr>
            <w:tcW w:w="6094" w:type="dxa"/>
            <w:gridSpan w:val="3"/>
            <w:vAlign w:val="center"/>
          </w:tcPr>
          <w:p>
            <w:pPr>
              <w:pStyle w:val="13"/>
            </w:pPr>
            <w:r>
              <w:t>21个乡镇空气站运行维护费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348.00</w:t>
            </w:r>
          </w:p>
        </w:tc>
        <w:tc>
          <w:tcPr>
            <w:tcW w:w="2835" w:type="dxa"/>
            <w:vAlign w:val="center"/>
          </w:tcPr>
          <w:p>
            <w:pPr>
              <w:pStyle w:val="11"/>
            </w:pPr>
            <w:r>
              <w:t>其中：财政    资金</w:t>
            </w:r>
          </w:p>
        </w:tc>
        <w:tc>
          <w:tcPr>
            <w:tcW w:w="2551" w:type="dxa"/>
            <w:vAlign w:val="center"/>
          </w:tcPr>
          <w:p>
            <w:pPr>
              <w:pStyle w:val="13"/>
            </w:pPr>
            <w:r>
              <w:t>348.00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对乡镇（街道）及省级以上开发区环境空气质量自动监测站运行维护。</w:t>
            </w:r>
            <w:r>
              <w:tab/>
            </w:r>
            <w:r>
              <w:tab/>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1.对乡镇（街道）及省级以上开发区环境空气质量自动监测站运行维护。</w:t>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乡镇及省级以上开发区空气监测站运维数量</w:t>
            </w:r>
          </w:p>
        </w:tc>
        <w:tc>
          <w:tcPr>
            <w:tcW w:w="5386" w:type="dxa"/>
            <w:vAlign w:val="center"/>
          </w:tcPr>
          <w:p>
            <w:pPr>
              <w:pStyle w:val="13"/>
            </w:pPr>
            <w:r>
              <w:t>乡镇及省级以上开发区空气监测站运维数量</w:t>
            </w:r>
          </w:p>
        </w:tc>
        <w:tc>
          <w:tcPr>
            <w:tcW w:w="2268" w:type="dxa"/>
            <w:vAlign w:val="center"/>
          </w:tcPr>
          <w:p>
            <w:pPr>
              <w:pStyle w:val="13"/>
            </w:pPr>
            <w:r>
              <w:t>21个</w:t>
            </w:r>
          </w:p>
        </w:tc>
        <w:tc>
          <w:tcPr>
            <w:tcW w:w="1276" w:type="dxa"/>
            <w:vAlign w:val="center"/>
          </w:tcPr>
          <w:p>
            <w:pPr>
              <w:pStyle w:val="13"/>
            </w:pPr>
            <w:r>
              <w:t>依据招标采购空气监测站运维预算报告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空气监测站运维合格率</w:t>
            </w:r>
          </w:p>
        </w:tc>
        <w:tc>
          <w:tcPr>
            <w:tcW w:w="5386" w:type="dxa"/>
            <w:vAlign w:val="center"/>
          </w:tcPr>
          <w:p>
            <w:pPr>
              <w:pStyle w:val="13"/>
            </w:pPr>
            <w:r>
              <w:t>乡镇及省级以上开发区空气监测站运维合格率</w:t>
            </w:r>
          </w:p>
        </w:tc>
        <w:tc>
          <w:tcPr>
            <w:tcW w:w="2268" w:type="dxa"/>
            <w:vAlign w:val="center"/>
          </w:tcPr>
          <w:p>
            <w:pPr>
              <w:pStyle w:val="13"/>
            </w:pPr>
            <w:r>
              <w:t>100%</w:t>
            </w:r>
          </w:p>
        </w:tc>
        <w:tc>
          <w:tcPr>
            <w:tcW w:w="1276" w:type="dxa"/>
            <w:vAlign w:val="center"/>
          </w:tcPr>
          <w:p>
            <w:pPr>
              <w:pStyle w:val="13"/>
            </w:pPr>
            <w:r>
              <w:t>依据招标采购空气监测站运维预算报告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环境空气质量自动监测站运维时间</w:t>
            </w:r>
          </w:p>
        </w:tc>
        <w:tc>
          <w:tcPr>
            <w:tcW w:w="5386" w:type="dxa"/>
            <w:vAlign w:val="center"/>
          </w:tcPr>
          <w:p>
            <w:pPr>
              <w:pStyle w:val="13"/>
            </w:pPr>
            <w:r>
              <w:t>环境空气质量自动监测站运维所需时间</w:t>
            </w:r>
          </w:p>
        </w:tc>
        <w:tc>
          <w:tcPr>
            <w:tcW w:w="2268" w:type="dxa"/>
            <w:vAlign w:val="center"/>
          </w:tcPr>
          <w:p>
            <w:pPr>
              <w:pStyle w:val="13"/>
            </w:pPr>
            <w:r>
              <w:t>12月</w:t>
            </w:r>
          </w:p>
        </w:tc>
        <w:tc>
          <w:tcPr>
            <w:tcW w:w="1276" w:type="dxa"/>
            <w:vAlign w:val="center"/>
          </w:tcPr>
          <w:p>
            <w:pPr>
              <w:pStyle w:val="13"/>
            </w:pPr>
            <w:r>
              <w:t>依据招标采购空气监测站运维预算报告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w:t>
            </w:r>
          </w:p>
        </w:tc>
        <w:tc>
          <w:tcPr>
            <w:tcW w:w="5386" w:type="dxa"/>
            <w:vAlign w:val="center"/>
          </w:tcPr>
          <w:p>
            <w:pPr>
              <w:pStyle w:val="13"/>
            </w:pPr>
            <w:r>
              <w:t>项目实际成本</w:t>
            </w:r>
          </w:p>
        </w:tc>
        <w:tc>
          <w:tcPr>
            <w:tcW w:w="2268" w:type="dxa"/>
            <w:vAlign w:val="center"/>
          </w:tcPr>
          <w:p>
            <w:pPr>
              <w:pStyle w:val="13"/>
            </w:pPr>
            <w:r>
              <w:t>≤348万元</w:t>
            </w:r>
          </w:p>
        </w:tc>
        <w:tc>
          <w:tcPr>
            <w:tcW w:w="1276" w:type="dxa"/>
            <w:vAlign w:val="center"/>
          </w:tcPr>
          <w:p>
            <w:pPr>
              <w:pStyle w:val="13"/>
            </w:pPr>
            <w:r>
              <w:t>依据招标采购空气监测站运维预算报告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2、城区30个网格化监控点运维费绩效目标表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13043424P000009114691</w:t>
            </w:r>
          </w:p>
        </w:tc>
        <w:tc>
          <w:tcPr>
            <w:tcW w:w="2835" w:type="dxa"/>
            <w:vAlign w:val="center"/>
          </w:tcPr>
          <w:p>
            <w:pPr>
              <w:pStyle w:val="11"/>
            </w:pPr>
            <w:r>
              <w:t>项目名称</w:t>
            </w:r>
          </w:p>
        </w:tc>
        <w:tc>
          <w:tcPr>
            <w:tcW w:w="6094" w:type="dxa"/>
            <w:gridSpan w:val="3"/>
            <w:vAlign w:val="center"/>
          </w:tcPr>
          <w:p>
            <w:pPr>
              <w:pStyle w:val="13"/>
            </w:pPr>
            <w:r>
              <w:t>城区30个网格化监控点运维费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81.00</w:t>
            </w:r>
          </w:p>
        </w:tc>
        <w:tc>
          <w:tcPr>
            <w:tcW w:w="2835" w:type="dxa"/>
            <w:vAlign w:val="center"/>
          </w:tcPr>
          <w:p>
            <w:pPr>
              <w:pStyle w:val="11"/>
            </w:pPr>
            <w:r>
              <w:t>其中：财政    资金</w:t>
            </w:r>
          </w:p>
        </w:tc>
        <w:tc>
          <w:tcPr>
            <w:tcW w:w="2551" w:type="dxa"/>
            <w:vAlign w:val="center"/>
          </w:tcPr>
          <w:p>
            <w:pPr>
              <w:pStyle w:val="13"/>
            </w:pPr>
            <w:r>
              <w:t>81.00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实施环境精细化管理，可有效控制魏县区域内污染物排放总量，实现“定向管控、限时治理、及时见效”等环境监管目的的精确监测。</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1.实施环境精细化管理，可有效控制魏县区域内污染物排放总量，实现“定向管控、限时治理、及时见效”等环境监管目的的精确监测。</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提供设备运维服务数量</w:t>
            </w:r>
          </w:p>
        </w:tc>
        <w:tc>
          <w:tcPr>
            <w:tcW w:w="5386" w:type="dxa"/>
            <w:vAlign w:val="center"/>
          </w:tcPr>
          <w:p>
            <w:pPr>
              <w:pStyle w:val="13"/>
            </w:pPr>
            <w:r>
              <w:t>提供设备运维服务数量</w:t>
            </w:r>
          </w:p>
        </w:tc>
        <w:tc>
          <w:tcPr>
            <w:tcW w:w="2268" w:type="dxa"/>
            <w:vAlign w:val="center"/>
          </w:tcPr>
          <w:p>
            <w:pPr>
              <w:pStyle w:val="13"/>
            </w:pPr>
            <w:r>
              <w:t>30台</w:t>
            </w:r>
          </w:p>
        </w:tc>
        <w:tc>
          <w:tcPr>
            <w:tcW w:w="1276" w:type="dxa"/>
            <w:vAlign w:val="center"/>
          </w:tcPr>
          <w:p>
            <w:pPr>
              <w:pStyle w:val="13"/>
            </w:pPr>
            <w:r>
              <w:t>依据采购网格化精准监测系统运维的预算报告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设备运维质量抽样检验合格率</w:t>
            </w:r>
          </w:p>
        </w:tc>
        <w:tc>
          <w:tcPr>
            <w:tcW w:w="5386" w:type="dxa"/>
            <w:vAlign w:val="center"/>
          </w:tcPr>
          <w:p>
            <w:pPr>
              <w:pStyle w:val="13"/>
            </w:pPr>
            <w:r>
              <w:t>设备运维质量抽样检验合格率</w:t>
            </w:r>
          </w:p>
        </w:tc>
        <w:tc>
          <w:tcPr>
            <w:tcW w:w="2268" w:type="dxa"/>
            <w:vAlign w:val="center"/>
          </w:tcPr>
          <w:p>
            <w:pPr>
              <w:pStyle w:val="13"/>
            </w:pPr>
            <w:r>
              <w:t>≥95%</w:t>
            </w:r>
          </w:p>
        </w:tc>
        <w:tc>
          <w:tcPr>
            <w:tcW w:w="1276" w:type="dxa"/>
            <w:vAlign w:val="center"/>
          </w:tcPr>
          <w:p>
            <w:pPr>
              <w:pStyle w:val="13"/>
            </w:pPr>
            <w:r>
              <w:t>依据采购网格化精准监测系统运维的预算报告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tc>
        <w:tc>
          <w:tcPr>
            <w:tcW w:w="5386" w:type="dxa"/>
            <w:vAlign w:val="center"/>
          </w:tcPr>
          <w:p>
            <w:pPr>
              <w:pStyle w:val="13"/>
            </w:pPr>
            <w:r>
              <w:t>项目完成时间</w:t>
            </w:r>
          </w:p>
        </w:tc>
        <w:tc>
          <w:tcPr>
            <w:tcW w:w="2268" w:type="dxa"/>
            <w:vAlign w:val="center"/>
          </w:tcPr>
          <w:p>
            <w:pPr>
              <w:pStyle w:val="13"/>
            </w:pPr>
            <w:r>
              <w:t>12月</w:t>
            </w:r>
          </w:p>
        </w:tc>
        <w:tc>
          <w:tcPr>
            <w:tcW w:w="1276" w:type="dxa"/>
            <w:vAlign w:val="center"/>
          </w:tcPr>
          <w:p>
            <w:pPr>
              <w:pStyle w:val="13"/>
            </w:pPr>
            <w:r>
              <w:t>依据采购网格化精准监测系统运维的预算报告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设备运维成本</w:t>
            </w:r>
          </w:p>
        </w:tc>
        <w:tc>
          <w:tcPr>
            <w:tcW w:w="5386" w:type="dxa"/>
            <w:vAlign w:val="center"/>
          </w:tcPr>
          <w:p>
            <w:pPr>
              <w:pStyle w:val="13"/>
            </w:pPr>
            <w:r>
              <w:t>设备运维成本</w:t>
            </w:r>
          </w:p>
        </w:tc>
        <w:tc>
          <w:tcPr>
            <w:tcW w:w="2268" w:type="dxa"/>
            <w:vAlign w:val="center"/>
          </w:tcPr>
          <w:p>
            <w:pPr>
              <w:pStyle w:val="13"/>
            </w:pPr>
            <w:r>
              <w:t>≤90万元</w:t>
            </w:r>
          </w:p>
        </w:tc>
        <w:tc>
          <w:tcPr>
            <w:tcW w:w="1276" w:type="dxa"/>
            <w:vAlign w:val="center"/>
          </w:tcPr>
          <w:p>
            <w:pPr>
              <w:pStyle w:val="13"/>
            </w:pPr>
            <w:r>
              <w:t>依据采购网格化精准监测系统运维的预算报告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促进生态文明建设，推动绿色发展和绿色生活方式</w:t>
            </w:r>
          </w:p>
        </w:tc>
        <w:tc>
          <w:tcPr>
            <w:tcW w:w="2268" w:type="dxa"/>
            <w:vAlign w:val="center"/>
          </w:tcPr>
          <w:p>
            <w:pPr>
              <w:pStyle w:val="13"/>
            </w:pPr>
            <w:r>
              <w:t>促进生态文明建设，推动绿色发展和绿色生活方式</w:t>
            </w:r>
          </w:p>
        </w:tc>
        <w:tc>
          <w:tcPr>
            <w:tcW w:w="1276" w:type="dxa"/>
            <w:vAlign w:val="center"/>
          </w:tcPr>
          <w:p>
            <w:pPr>
              <w:pStyle w:val="13"/>
            </w:pPr>
            <w:r>
              <w:t>依据采购网格化精准监测系统运维的预算报告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改善大气环境，促进空气质量可持续发展</w:t>
            </w:r>
          </w:p>
        </w:tc>
        <w:tc>
          <w:tcPr>
            <w:tcW w:w="5386" w:type="dxa"/>
            <w:vAlign w:val="center"/>
          </w:tcPr>
          <w:p>
            <w:pPr>
              <w:pStyle w:val="13"/>
            </w:pPr>
            <w:r>
              <w:t>改善大气环境，促进空气质量可持续发展</w:t>
            </w:r>
          </w:p>
        </w:tc>
        <w:tc>
          <w:tcPr>
            <w:tcW w:w="2268" w:type="dxa"/>
            <w:vAlign w:val="center"/>
          </w:tcPr>
          <w:p>
            <w:pPr>
              <w:pStyle w:val="13"/>
            </w:pPr>
            <w:r>
              <w:t>改善大气环境，促进空气质量可持续发展</w:t>
            </w:r>
          </w:p>
        </w:tc>
        <w:tc>
          <w:tcPr>
            <w:tcW w:w="1276" w:type="dxa"/>
            <w:vAlign w:val="center"/>
          </w:tcPr>
          <w:p>
            <w:pPr>
              <w:pStyle w:val="13"/>
            </w:pPr>
            <w:r>
              <w:t>依据采购网格化精准监测系统运维的预算报告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3、黑烟抓拍设备运维绩效目标表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13043424P00000911472K</w:t>
            </w:r>
          </w:p>
        </w:tc>
        <w:tc>
          <w:tcPr>
            <w:tcW w:w="2835" w:type="dxa"/>
            <w:vAlign w:val="center"/>
          </w:tcPr>
          <w:p>
            <w:pPr>
              <w:pStyle w:val="11"/>
            </w:pPr>
            <w:r>
              <w:t>项目名称</w:t>
            </w:r>
          </w:p>
        </w:tc>
        <w:tc>
          <w:tcPr>
            <w:tcW w:w="6094" w:type="dxa"/>
            <w:gridSpan w:val="3"/>
            <w:vAlign w:val="center"/>
          </w:tcPr>
          <w:p>
            <w:pPr>
              <w:pStyle w:val="13"/>
            </w:pPr>
            <w:r>
              <w:t>黑烟抓拍设备运维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70.00</w:t>
            </w:r>
          </w:p>
        </w:tc>
        <w:tc>
          <w:tcPr>
            <w:tcW w:w="2835" w:type="dxa"/>
            <w:vAlign w:val="center"/>
          </w:tcPr>
          <w:p>
            <w:pPr>
              <w:pStyle w:val="11"/>
            </w:pPr>
            <w:r>
              <w:t>其中：财政    资金</w:t>
            </w:r>
          </w:p>
        </w:tc>
        <w:tc>
          <w:tcPr>
            <w:tcW w:w="2551" w:type="dxa"/>
            <w:vAlign w:val="center"/>
          </w:tcPr>
          <w:p>
            <w:pPr>
              <w:pStyle w:val="13"/>
            </w:pPr>
            <w:r>
              <w:t>70.00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保障9套黑烟抓拍系统及2套遥感监测系统正常运行，对黑烟车进行抓拍，使黑烟车得到有效的治理和管控，提高空气质量。</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1.保障9套黑烟抓拍系统及2套遥感监测系统正常运行，对黑烟车进行抓拍，使黑烟车得到有效的治理和管控，提高空气质量。</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黑烟抓拍运维数量</w:t>
            </w:r>
          </w:p>
        </w:tc>
        <w:tc>
          <w:tcPr>
            <w:tcW w:w="5386" w:type="dxa"/>
            <w:vAlign w:val="center"/>
          </w:tcPr>
          <w:p>
            <w:pPr>
              <w:pStyle w:val="13"/>
            </w:pPr>
            <w:r>
              <w:t>黑烟抓拍运维数量及遥感监测数量</w:t>
            </w:r>
          </w:p>
        </w:tc>
        <w:tc>
          <w:tcPr>
            <w:tcW w:w="2268" w:type="dxa"/>
            <w:vAlign w:val="center"/>
          </w:tcPr>
          <w:p>
            <w:pPr>
              <w:pStyle w:val="13"/>
            </w:pPr>
            <w:r>
              <w:t>11套</w:t>
            </w:r>
          </w:p>
        </w:tc>
        <w:tc>
          <w:tcPr>
            <w:tcW w:w="1276" w:type="dxa"/>
            <w:vAlign w:val="center"/>
          </w:tcPr>
          <w:p>
            <w:pPr>
              <w:pStyle w:val="13"/>
            </w:pPr>
            <w:r>
              <w:t>依据信息中心预算文件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黑烟抓拍运维工作合格率</w:t>
            </w:r>
          </w:p>
        </w:tc>
        <w:tc>
          <w:tcPr>
            <w:tcW w:w="5386" w:type="dxa"/>
            <w:vAlign w:val="center"/>
          </w:tcPr>
          <w:p>
            <w:pPr>
              <w:pStyle w:val="13"/>
            </w:pPr>
            <w:r>
              <w:t>黑烟抓拍运维工作合格率</w:t>
            </w:r>
          </w:p>
        </w:tc>
        <w:tc>
          <w:tcPr>
            <w:tcW w:w="2268" w:type="dxa"/>
            <w:vAlign w:val="center"/>
          </w:tcPr>
          <w:p>
            <w:pPr>
              <w:pStyle w:val="13"/>
            </w:pPr>
            <w:r>
              <w:t>100%</w:t>
            </w:r>
          </w:p>
        </w:tc>
        <w:tc>
          <w:tcPr>
            <w:tcW w:w="1276" w:type="dxa"/>
            <w:vAlign w:val="center"/>
          </w:tcPr>
          <w:p>
            <w:pPr>
              <w:pStyle w:val="13"/>
            </w:pPr>
            <w:r>
              <w:t>依据信息中心预算文件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p>
            <w:pPr>
              <w:pStyle w:val="13"/>
            </w:pPr>
          </w:p>
        </w:tc>
        <w:tc>
          <w:tcPr>
            <w:tcW w:w="5386" w:type="dxa"/>
            <w:vAlign w:val="center"/>
          </w:tcPr>
          <w:p>
            <w:pPr>
              <w:pStyle w:val="13"/>
            </w:pPr>
            <w:r>
              <w:t>项目完成时间</w:t>
            </w:r>
          </w:p>
          <w:p>
            <w:pPr>
              <w:pStyle w:val="13"/>
            </w:pPr>
          </w:p>
        </w:tc>
        <w:tc>
          <w:tcPr>
            <w:tcW w:w="2268" w:type="dxa"/>
            <w:vAlign w:val="center"/>
          </w:tcPr>
          <w:p>
            <w:pPr>
              <w:pStyle w:val="13"/>
            </w:pPr>
            <w:r>
              <w:t>≤12月</w:t>
            </w:r>
          </w:p>
        </w:tc>
        <w:tc>
          <w:tcPr>
            <w:tcW w:w="1276" w:type="dxa"/>
            <w:vAlign w:val="center"/>
          </w:tcPr>
          <w:p>
            <w:pPr>
              <w:pStyle w:val="13"/>
            </w:pPr>
            <w:r>
              <w:t>依据信息中心预算文件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w:t>
            </w:r>
          </w:p>
        </w:tc>
        <w:tc>
          <w:tcPr>
            <w:tcW w:w="5386" w:type="dxa"/>
            <w:vAlign w:val="center"/>
          </w:tcPr>
          <w:p>
            <w:pPr>
              <w:pStyle w:val="13"/>
            </w:pPr>
            <w:r>
              <w:t>项目实际成本</w:t>
            </w:r>
          </w:p>
        </w:tc>
        <w:tc>
          <w:tcPr>
            <w:tcW w:w="2268" w:type="dxa"/>
            <w:vAlign w:val="center"/>
          </w:tcPr>
          <w:p>
            <w:pPr>
              <w:pStyle w:val="13"/>
            </w:pPr>
            <w:r>
              <w:t>70万元</w:t>
            </w:r>
          </w:p>
        </w:tc>
        <w:tc>
          <w:tcPr>
            <w:tcW w:w="1276" w:type="dxa"/>
            <w:vAlign w:val="center"/>
          </w:tcPr>
          <w:p>
            <w:pPr>
              <w:pStyle w:val="13"/>
            </w:pPr>
            <w:r>
              <w:t>依据信息中心预算文件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4、环保局机关绩效目标表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13043424P00001210461G</w:t>
            </w:r>
          </w:p>
        </w:tc>
        <w:tc>
          <w:tcPr>
            <w:tcW w:w="2835" w:type="dxa"/>
            <w:vAlign w:val="center"/>
          </w:tcPr>
          <w:p>
            <w:pPr>
              <w:pStyle w:val="11"/>
            </w:pPr>
            <w:r>
              <w:t>项目名称</w:t>
            </w:r>
          </w:p>
        </w:tc>
        <w:tc>
          <w:tcPr>
            <w:tcW w:w="6094" w:type="dxa"/>
            <w:gridSpan w:val="3"/>
            <w:vAlign w:val="center"/>
          </w:tcPr>
          <w:p>
            <w:pPr>
              <w:pStyle w:val="13"/>
            </w:pPr>
            <w:r>
              <w:t>环保局机关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595.00</w:t>
            </w:r>
          </w:p>
        </w:tc>
        <w:tc>
          <w:tcPr>
            <w:tcW w:w="2835" w:type="dxa"/>
            <w:vAlign w:val="center"/>
          </w:tcPr>
          <w:p>
            <w:pPr>
              <w:pStyle w:val="11"/>
            </w:pPr>
            <w:r>
              <w:t>其中：财政    资金</w:t>
            </w:r>
          </w:p>
        </w:tc>
        <w:tc>
          <w:tcPr>
            <w:tcW w:w="2551" w:type="dxa"/>
            <w:vAlign w:val="center"/>
          </w:tcPr>
          <w:p>
            <w:pPr>
              <w:pStyle w:val="13"/>
            </w:pPr>
            <w:r>
              <w:t>595.00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根据（冀环党组﹝2021﹞152号）要求，确保县（市、区）生态环境部门正常工作开展，我县环保公用经费需595万元。</w:t>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1.根据（冀环党组﹝2021﹞152号）要求，确保县（市、区）生态环境部门正常工作开展，我县环保公用经费需595万元。</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大气质量管控完成率</w:t>
            </w:r>
          </w:p>
        </w:tc>
        <w:tc>
          <w:tcPr>
            <w:tcW w:w="5386" w:type="dxa"/>
            <w:vAlign w:val="center"/>
          </w:tcPr>
          <w:p>
            <w:pPr>
              <w:pStyle w:val="13"/>
            </w:pPr>
            <w:r>
              <w:t>大气质量管控完成率</w:t>
            </w:r>
          </w:p>
        </w:tc>
        <w:tc>
          <w:tcPr>
            <w:tcW w:w="2268" w:type="dxa"/>
            <w:vAlign w:val="center"/>
          </w:tcPr>
          <w:p>
            <w:pPr>
              <w:pStyle w:val="13"/>
            </w:pPr>
            <w:r>
              <w:t>≥95%</w:t>
            </w:r>
          </w:p>
        </w:tc>
        <w:tc>
          <w:tcPr>
            <w:tcW w:w="1276" w:type="dxa"/>
            <w:vAlign w:val="center"/>
          </w:tcPr>
          <w:p>
            <w:pPr>
              <w:pStyle w:val="13"/>
            </w:pPr>
            <w:r>
              <w:t>关于下达县（市、区）生态环境部门2022年经费基数的通知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PM2.5较2023年度同比下降</w:t>
            </w:r>
          </w:p>
        </w:tc>
        <w:tc>
          <w:tcPr>
            <w:tcW w:w="5386" w:type="dxa"/>
            <w:vAlign w:val="center"/>
          </w:tcPr>
          <w:p>
            <w:pPr>
              <w:pStyle w:val="13"/>
            </w:pPr>
            <w:r>
              <w:t>PM2.5较2023年度同比下降</w:t>
            </w:r>
          </w:p>
        </w:tc>
        <w:tc>
          <w:tcPr>
            <w:tcW w:w="2268" w:type="dxa"/>
            <w:vAlign w:val="center"/>
          </w:tcPr>
          <w:p>
            <w:pPr>
              <w:pStyle w:val="13"/>
            </w:pPr>
            <w:r>
              <w:t>≥5微克/立方米</w:t>
            </w:r>
          </w:p>
        </w:tc>
        <w:tc>
          <w:tcPr>
            <w:tcW w:w="1276" w:type="dxa"/>
            <w:vAlign w:val="center"/>
          </w:tcPr>
          <w:p>
            <w:pPr>
              <w:pStyle w:val="13"/>
            </w:pPr>
            <w:r>
              <w:t>关于下达县（市、区）生态环境部门2022年经费基数的通知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公用经费支出完成时限</w:t>
            </w:r>
          </w:p>
        </w:tc>
        <w:tc>
          <w:tcPr>
            <w:tcW w:w="5386" w:type="dxa"/>
            <w:vAlign w:val="center"/>
          </w:tcPr>
          <w:p>
            <w:pPr>
              <w:pStyle w:val="13"/>
            </w:pPr>
            <w:r>
              <w:t>公用经费支出完成时限</w:t>
            </w:r>
          </w:p>
        </w:tc>
        <w:tc>
          <w:tcPr>
            <w:tcW w:w="2268" w:type="dxa"/>
            <w:vAlign w:val="center"/>
          </w:tcPr>
          <w:p>
            <w:pPr>
              <w:pStyle w:val="13"/>
            </w:pPr>
            <w:r>
              <w:t>12月</w:t>
            </w:r>
          </w:p>
        </w:tc>
        <w:tc>
          <w:tcPr>
            <w:tcW w:w="1276" w:type="dxa"/>
            <w:vAlign w:val="center"/>
          </w:tcPr>
          <w:p>
            <w:pPr>
              <w:pStyle w:val="13"/>
            </w:pPr>
            <w:r>
              <w:t>关于下达县（市、区）生态环境部门2022年经费基数的通知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公用经费成本</w:t>
            </w:r>
          </w:p>
        </w:tc>
        <w:tc>
          <w:tcPr>
            <w:tcW w:w="5386" w:type="dxa"/>
            <w:vAlign w:val="center"/>
          </w:tcPr>
          <w:p>
            <w:pPr>
              <w:pStyle w:val="13"/>
            </w:pPr>
            <w:r>
              <w:t>公用经费成本</w:t>
            </w:r>
          </w:p>
        </w:tc>
        <w:tc>
          <w:tcPr>
            <w:tcW w:w="2268" w:type="dxa"/>
            <w:vAlign w:val="center"/>
          </w:tcPr>
          <w:p>
            <w:pPr>
              <w:pStyle w:val="13"/>
            </w:pPr>
            <w:r>
              <w:t>595万元</w:t>
            </w:r>
          </w:p>
        </w:tc>
        <w:tc>
          <w:tcPr>
            <w:tcW w:w="1276" w:type="dxa"/>
            <w:vAlign w:val="center"/>
          </w:tcPr>
          <w:p>
            <w:pPr>
              <w:pStyle w:val="13"/>
            </w:pPr>
            <w:r>
              <w:t>关于下达县（市、区）生态环境部门2022年经费基数的通知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提高职工的工作效率、改善环境执法效益</w:t>
            </w:r>
          </w:p>
        </w:tc>
        <w:tc>
          <w:tcPr>
            <w:tcW w:w="5386" w:type="dxa"/>
            <w:vAlign w:val="center"/>
          </w:tcPr>
          <w:p>
            <w:pPr>
              <w:pStyle w:val="13"/>
            </w:pPr>
            <w:r>
              <w:t>提高职工的工作效率、改善环境执法效益</w:t>
            </w:r>
          </w:p>
        </w:tc>
        <w:tc>
          <w:tcPr>
            <w:tcW w:w="2268" w:type="dxa"/>
            <w:vAlign w:val="center"/>
          </w:tcPr>
          <w:p>
            <w:pPr>
              <w:pStyle w:val="13"/>
            </w:pPr>
            <w:r>
              <w:t>提高职工的工作效率、改善环境执法效益</w:t>
            </w:r>
          </w:p>
        </w:tc>
        <w:tc>
          <w:tcPr>
            <w:tcW w:w="1276" w:type="dxa"/>
            <w:vAlign w:val="center"/>
          </w:tcPr>
          <w:p>
            <w:pPr>
              <w:pStyle w:val="13"/>
            </w:pPr>
            <w:r>
              <w:t>关于下达县（市、区）生态环境部门2022年经费基数的通知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保证人才队伍可持续建设</w:t>
            </w:r>
          </w:p>
        </w:tc>
        <w:tc>
          <w:tcPr>
            <w:tcW w:w="5386" w:type="dxa"/>
            <w:vAlign w:val="center"/>
          </w:tcPr>
          <w:p>
            <w:pPr>
              <w:pStyle w:val="13"/>
            </w:pPr>
            <w:r>
              <w:t>保证人才队伍可持续建设</w:t>
            </w:r>
          </w:p>
        </w:tc>
        <w:tc>
          <w:tcPr>
            <w:tcW w:w="2268" w:type="dxa"/>
            <w:vAlign w:val="center"/>
          </w:tcPr>
          <w:p>
            <w:pPr>
              <w:pStyle w:val="13"/>
            </w:pPr>
            <w:r>
              <w:t>保证人才队伍可持续建设</w:t>
            </w:r>
          </w:p>
        </w:tc>
        <w:tc>
          <w:tcPr>
            <w:tcW w:w="1276" w:type="dxa"/>
            <w:vAlign w:val="center"/>
          </w:tcPr>
          <w:p>
            <w:pPr>
              <w:pStyle w:val="13"/>
            </w:pPr>
            <w:r>
              <w:t>关于下达县（市、区）生态环境部门2022年经费基数的通知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5、空保中心运行经费绩效目标表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13043424P000012104624</w:t>
            </w:r>
          </w:p>
        </w:tc>
        <w:tc>
          <w:tcPr>
            <w:tcW w:w="2835" w:type="dxa"/>
            <w:vAlign w:val="center"/>
          </w:tcPr>
          <w:p>
            <w:pPr>
              <w:pStyle w:val="11"/>
            </w:pPr>
            <w:r>
              <w:t>项目名称</w:t>
            </w:r>
          </w:p>
        </w:tc>
        <w:tc>
          <w:tcPr>
            <w:tcW w:w="6094" w:type="dxa"/>
            <w:gridSpan w:val="3"/>
            <w:vAlign w:val="center"/>
          </w:tcPr>
          <w:p>
            <w:pPr>
              <w:pStyle w:val="13"/>
            </w:pPr>
            <w:r>
              <w:t>空保中心运行经费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促进空气质量管控措施落实到位，执行上级下达任务，保障我县空气质量保障应急中心工作有效的开展。</w:t>
            </w:r>
            <w:r>
              <w:tab/>
            </w:r>
            <w:r>
              <w:tab/>
            </w:r>
            <w:r>
              <w:tab/>
            </w:r>
            <w:r>
              <w:tab/>
            </w:r>
            <w:r>
              <w:tab/>
            </w:r>
            <w:r>
              <w:t>"</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1.促进空气质量管控措施落实到位，执行上级下达任务，保障我县空气质量保障应急中心工作有效的开展。</w:t>
            </w:r>
            <w:r>
              <w:tab/>
            </w:r>
            <w:r>
              <w:tab/>
            </w:r>
            <w:r>
              <w:tab/>
            </w:r>
            <w:r>
              <w:tab/>
            </w:r>
            <w:r>
              <w:tab/>
            </w:r>
            <w:r>
              <w:t>"</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国（省）控城镇空气质量监测任务完成率</w:t>
            </w:r>
          </w:p>
        </w:tc>
        <w:tc>
          <w:tcPr>
            <w:tcW w:w="5386" w:type="dxa"/>
            <w:vAlign w:val="center"/>
          </w:tcPr>
          <w:p>
            <w:pPr>
              <w:pStyle w:val="13"/>
            </w:pPr>
            <w:r>
              <w:t>国（省）控城镇空气质量监测任务完成率</w:t>
            </w:r>
          </w:p>
        </w:tc>
        <w:tc>
          <w:tcPr>
            <w:tcW w:w="2268" w:type="dxa"/>
            <w:vAlign w:val="center"/>
          </w:tcPr>
          <w:p>
            <w:pPr>
              <w:pStyle w:val="13"/>
            </w:pPr>
            <w:r>
              <w:t>100%</w:t>
            </w:r>
          </w:p>
        </w:tc>
        <w:tc>
          <w:tcPr>
            <w:tcW w:w="1276" w:type="dxa"/>
            <w:vAlign w:val="center"/>
          </w:tcPr>
          <w:p>
            <w:pPr>
              <w:pStyle w:val="13"/>
            </w:pPr>
            <w:r>
              <w:t>依据落实空保中心招聘人员福利待遇的报告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空气质量综合指数完成率</w:t>
            </w:r>
          </w:p>
        </w:tc>
        <w:tc>
          <w:tcPr>
            <w:tcW w:w="5386" w:type="dxa"/>
            <w:vAlign w:val="center"/>
          </w:tcPr>
          <w:p>
            <w:pPr>
              <w:pStyle w:val="13"/>
            </w:pPr>
            <w:r>
              <w:t>空气质量综合指数完成率</w:t>
            </w:r>
          </w:p>
        </w:tc>
        <w:tc>
          <w:tcPr>
            <w:tcW w:w="2268" w:type="dxa"/>
            <w:vAlign w:val="center"/>
          </w:tcPr>
          <w:p>
            <w:pPr>
              <w:pStyle w:val="13"/>
            </w:pPr>
            <w:r>
              <w:t>≥90%</w:t>
            </w:r>
          </w:p>
        </w:tc>
        <w:tc>
          <w:tcPr>
            <w:tcW w:w="1276" w:type="dxa"/>
            <w:vAlign w:val="center"/>
          </w:tcPr>
          <w:p>
            <w:pPr>
              <w:pStyle w:val="13"/>
            </w:pPr>
            <w:r>
              <w:t>依据落实空保中心招聘人员福利待遇的报告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保障工作时效性</w:t>
            </w:r>
          </w:p>
        </w:tc>
        <w:tc>
          <w:tcPr>
            <w:tcW w:w="5386" w:type="dxa"/>
            <w:vAlign w:val="center"/>
          </w:tcPr>
          <w:p>
            <w:pPr>
              <w:pStyle w:val="13"/>
            </w:pPr>
            <w:r>
              <w:t>保障工作时效性</w:t>
            </w:r>
          </w:p>
        </w:tc>
        <w:tc>
          <w:tcPr>
            <w:tcW w:w="2268" w:type="dxa"/>
            <w:vAlign w:val="center"/>
          </w:tcPr>
          <w:p>
            <w:pPr>
              <w:pStyle w:val="13"/>
            </w:pPr>
            <w:r>
              <w:t>12月</w:t>
            </w:r>
          </w:p>
        </w:tc>
        <w:tc>
          <w:tcPr>
            <w:tcW w:w="1276" w:type="dxa"/>
            <w:vAlign w:val="center"/>
          </w:tcPr>
          <w:p>
            <w:pPr>
              <w:pStyle w:val="13"/>
            </w:pPr>
            <w:r>
              <w:t>依据落实空保中心招聘人员福利待遇的报告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5386" w:type="dxa"/>
            <w:vAlign w:val="center"/>
          </w:tcPr>
          <w:p>
            <w:pPr>
              <w:pStyle w:val="13"/>
            </w:pPr>
            <w:r>
              <w:t>运行保障成本（4个季度，每季度7万）</w:t>
            </w:r>
          </w:p>
        </w:tc>
        <w:tc>
          <w:tcPr>
            <w:tcW w:w="2268" w:type="dxa"/>
            <w:vAlign w:val="center"/>
          </w:tcPr>
          <w:p>
            <w:pPr>
              <w:pStyle w:val="13"/>
            </w:pPr>
            <w:r>
              <w:t>28万元</w:t>
            </w:r>
          </w:p>
        </w:tc>
        <w:tc>
          <w:tcPr>
            <w:tcW w:w="1276" w:type="dxa"/>
            <w:vAlign w:val="center"/>
          </w:tcPr>
          <w:p>
            <w:pPr>
              <w:pStyle w:val="13"/>
            </w:pPr>
            <w:r>
              <w:t>依据落实空保中心招聘人员福利待遇的报告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≥90%</w:t>
            </w:r>
          </w:p>
        </w:tc>
        <w:tc>
          <w:tcPr>
            <w:tcW w:w="1276" w:type="dxa"/>
            <w:vAlign w:val="center"/>
          </w:tcPr>
          <w:p>
            <w:pPr>
              <w:pStyle w:val="13"/>
            </w:pPr>
            <w:r>
              <w:t>依据落实空保中心招聘人员福利待遇的报告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改善空气质量，促进大气环境可持续发展</w:t>
            </w:r>
          </w:p>
        </w:tc>
        <w:tc>
          <w:tcPr>
            <w:tcW w:w="5386" w:type="dxa"/>
            <w:vAlign w:val="center"/>
          </w:tcPr>
          <w:p>
            <w:pPr>
              <w:pStyle w:val="13"/>
            </w:pPr>
            <w:r>
              <w:t>改善空气质量，促进大气环境可持续发展</w:t>
            </w:r>
          </w:p>
        </w:tc>
        <w:tc>
          <w:tcPr>
            <w:tcW w:w="2268" w:type="dxa"/>
            <w:vAlign w:val="center"/>
          </w:tcPr>
          <w:p>
            <w:pPr>
              <w:pStyle w:val="13"/>
            </w:pPr>
            <w:r>
              <w:t>≥95%</w:t>
            </w:r>
          </w:p>
        </w:tc>
        <w:tc>
          <w:tcPr>
            <w:tcW w:w="1276" w:type="dxa"/>
            <w:vAlign w:val="center"/>
          </w:tcPr>
          <w:p>
            <w:pPr>
              <w:pStyle w:val="13"/>
            </w:pPr>
            <w:r>
              <w:t>依据落实空保中心招聘人员福利待遇的报告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6、聘请第三方机构提供大气污染防治技术及管控服务项目绩效目标表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13043424P00000911468D</w:t>
            </w:r>
          </w:p>
        </w:tc>
        <w:tc>
          <w:tcPr>
            <w:tcW w:w="2835" w:type="dxa"/>
            <w:vAlign w:val="center"/>
          </w:tcPr>
          <w:p>
            <w:pPr>
              <w:pStyle w:val="11"/>
            </w:pPr>
            <w:r>
              <w:t>项目名称</w:t>
            </w:r>
          </w:p>
        </w:tc>
        <w:tc>
          <w:tcPr>
            <w:tcW w:w="6094" w:type="dxa"/>
            <w:gridSpan w:val="3"/>
            <w:vAlign w:val="center"/>
          </w:tcPr>
          <w:p>
            <w:pPr>
              <w:pStyle w:val="13"/>
            </w:pPr>
            <w:r>
              <w:t>聘请第三方机构提供大气污染防治技术及管控服务项目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289.00</w:t>
            </w:r>
          </w:p>
        </w:tc>
        <w:tc>
          <w:tcPr>
            <w:tcW w:w="2835" w:type="dxa"/>
            <w:vAlign w:val="center"/>
          </w:tcPr>
          <w:p>
            <w:pPr>
              <w:pStyle w:val="11"/>
            </w:pPr>
            <w:r>
              <w:t>其中：财政    资金</w:t>
            </w:r>
          </w:p>
        </w:tc>
        <w:tc>
          <w:tcPr>
            <w:tcW w:w="2551" w:type="dxa"/>
            <w:vAlign w:val="center"/>
          </w:tcPr>
          <w:p>
            <w:pPr>
              <w:pStyle w:val="13"/>
            </w:pPr>
            <w:r>
              <w:t>289.00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引入具有丰富经验和先进水平的第三方大气污染防治专家团队驻场，提供大气污染防治设备、技术和咨询及巡查服务。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1.引入具有丰富经验和先进水平的第三方大气污染防治专家团队驻场，提供大气污染防治设备、技术和咨询及巡查服务。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发布大气污染预警信息数量</w:t>
            </w:r>
          </w:p>
        </w:tc>
        <w:tc>
          <w:tcPr>
            <w:tcW w:w="5386" w:type="dxa"/>
            <w:vAlign w:val="center"/>
          </w:tcPr>
          <w:p>
            <w:pPr>
              <w:pStyle w:val="13"/>
            </w:pPr>
            <w:r>
              <w:t>发布大气污染预警信息数量</w:t>
            </w:r>
          </w:p>
        </w:tc>
        <w:tc>
          <w:tcPr>
            <w:tcW w:w="2268" w:type="dxa"/>
            <w:vAlign w:val="center"/>
          </w:tcPr>
          <w:p>
            <w:pPr>
              <w:pStyle w:val="13"/>
            </w:pPr>
            <w:r>
              <w:t>≥5个</w:t>
            </w:r>
          </w:p>
        </w:tc>
        <w:tc>
          <w:tcPr>
            <w:tcW w:w="1276" w:type="dxa"/>
            <w:vAlign w:val="center"/>
          </w:tcPr>
          <w:p>
            <w:pPr>
              <w:pStyle w:val="13"/>
            </w:pPr>
            <w:r>
              <w:t>依据聘请大气污染防治专家团队预算的报告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大气污染防治监测设备合格率</w:t>
            </w:r>
          </w:p>
        </w:tc>
        <w:tc>
          <w:tcPr>
            <w:tcW w:w="5386" w:type="dxa"/>
            <w:vAlign w:val="center"/>
          </w:tcPr>
          <w:p>
            <w:pPr>
              <w:pStyle w:val="13"/>
            </w:pPr>
            <w:r>
              <w:t>大气污染防治监测设备合格率</w:t>
            </w:r>
          </w:p>
        </w:tc>
        <w:tc>
          <w:tcPr>
            <w:tcW w:w="2268" w:type="dxa"/>
            <w:vAlign w:val="center"/>
          </w:tcPr>
          <w:p>
            <w:pPr>
              <w:pStyle w:val="13"/>
            </w:pPr>
            <w:r>
              <w:t>≥95%</w:t>
            </w:r>
          </w:p>
        </w:tc>
        <w:tc>
          <w:tcPr>
            <w:tcW w:w="1276" w:type="dxa"/>
            <w:vAlign w:val="center"/>
          </w:tcPr>
          <w:p>
            <w:pPr>
              <w:pStyle w:val="13"/>
            </w:pPr>
            <w:r>
              <w:t>依据聘请大气污染防治专家团队预算的报告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项目完成时间</w:t>
            </w:r>
          </w:p>
          <w:p>
            <w:pPr>
              <w:pStyle w:val="13"/>
            </w:pPr>
          </w:p>
        </w:tc>
        <w:tc>
          <w:tcPr>
            <w:tcW w:w="5386" w:type="dxa"/>
            <w:vAlign w:val="center"/>
          </w:tcPr>
          <w:p>
            <w:pPr>
              <w:pStyle w:val="13"/>
            </w:pPr>
            <w:r>
              <w:t>项目完成时间</w:t>
            </w:r>
          </w:p>
          <w:p>
            <w:pPr>
              <w:pStyle w:val="13"/>
            </w:pPr>
          </w:p>
        </w:tc>
        <w:tc>
          <w:tcPr>
            <w:tcW w:w="2268" w:type="dxa"/>
            <w:vAlign w:val="center"/>
          </w:tcPr>
          <w:p>
            <w:pPr>
              <w:pStyle w:val="13"/>
            </w:pPr>
            <w:r>
              <w:t>12月</w:t>
            </w:r>
          </w:p>
        </w:tc>
        <w:tc>
          <w:tcPr>
            <w:tcW w:w="1276" w:type="dxa"/>
            <w:vAlign w:val="center"/>
          </w:tcPr>
          <w:p>
            <w:pPr>
              <w:pStyle w:val="13"/>
            </w:pPr>
            <w:r>
              <w:t>依据聘请大气污染防治专家团队预算的报告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w:t>
            </w:r>
          </w:p>
        </w:tc>
        <w:tc>
          <w:tcPr>
            <w:tcW w:w="5386" w:type="dxa"/>
            <w:vAlign w:val="center"/>
          </w:tcPr>
          <w:p>
            <w:pPr>
              <w:pStyle w:val="13"/>
            </w:pPr>
            <w:r>
              <w:t>项目实际成本</w:t>
            </w:r>
          </w:p>
        </w:tc>
        <w:tc>
          <w:tcPr>
            <w:tcW w:w="2268" w:type="dxa"/>
            <w:vAlign w:val="center"/>
          </w:tcPr>
          <w:p>
            <w:pPr>
              <w:pStyle w:val="13"/>
            </w:pPr>
            <w:r>
              <w:t>289万元</w:t>
            </w:r>
          </w:p>
        </w:tc>
        <w:tc>
          <w:tcPr>
            <w:tcW w:w="1276" w:type="dxa"/>
            <w:vAlign w:val="center"/>
          </w:tcPr>
          <w:p>
            <w:pPr>
              <w:pStyle w:val="13"/>
            </w:pPr>
            <w:r>
              <w:t>依据聘请大气污染防治专家团队预算的报告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促进生态文明建设，推动绿色发展和绿色生活方式</w:t>
            </w:r>
          </w:p>
        </w:tc>
        <w:tc>
          <w:tcPr>
            <w:tcW w:w="2268" w:type="dxa"/>
            <w:vAlign w:val="center"/>
          </w:tcPr>
          <w:p>
            <w:pPr>
              <w:pStyle w:val="13"/>
            </w:pPr>
            <w:r>
              <w:t>促进生态文明建设，推动绿色发展和绿色生活方式</w:t>
            </w:r>
          </w:p>
        </w:tc>
        <w:tc>
          <w:tcPr>
            <w:tcW w:w="1276" w:type="dxa"/>
            <w:vAlign w:val="center"/>
          </w:tcPr>
          <w:p>
            <w:pPr>
              <w:pStyle w:val="13"/>
            </w:pPr>
            <w:r>
              <w:t>依据聘请大气污染防治专家团队预算的报告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改善空气质量，促进大气环境可持续发展</w:t>
            </w:r>
          </w:p>
        </w:tc>
        <w:tc>
          <w:tcPr>
            <w:tcW w:w="5386" w:type="dxa"/>
            <w:vAlign w:val="center"/>
          </w:tcPr>
          <w:p>
            <w:pPr>
              <w:pStyle w:val="13"/>
            </w:pPr>
            <w:r>
              <w:t>改善空气质量，促进大气环境可持续发展</w:t>
            </w:r>
          </w:p>
        </w:tc>
        <w:tc>
          <w:tcPr>
            <w:tcW w:w="2268" w:type="dxa"/>
            <w:vAlign w:val="center"/>
          </w:tcPr>
          <w:p>
            <w:pPr>
              <w:pStyle w:val="13"/>
            </w:pPr>
            <w:r>
              <w:t>改善空气质量，促进大气环境可持续发展</w:t>
            </w:r>
          </w:p>
        </w:tc>
        <w:tc>
          <w:tcPr>
            <w:tcW w:w="1276" w:type="dxa"/>
            <w:vAlign w:val="center"/>
          </w:tcPr>
          <w:p>
            <w:pPr>
              <w:pStyle w:val="13"/>
            </w:pPr>
            <w:r>
              <w:t>依据聘请大气污染防治专家团队预算的报告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7、退伍人员工资绩效目标表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13043424P00001210460W</w:t>
            </w:r>
          </w:p>
        </w:tc>
        <w:tc>
          <w:tcPr>
            <w:tcW w:w="2835" w:type="dxa"/>
            <w:vAlign w:val="center"/>
          </w:tcPr>
          <w:p>
            <w:pPr>
              <w:pStyle w:val="11"/>
            </w:pPr>
            <w:r>
              <w:t>项目名称</w:t>
            </w:r>
          </w:p>
        </w:tc>
        <w:tc>
          <w:tcPr>
            <w:tcW w:w="6094" w:type="dxa"/>
            <w:gridSpan w:val="3"/>
            <w:vAlign w:val="center"/>
          </w:tcPr>
          <w:p>
            <w:pPr>
              <w:pStyle w:val="13"/>
            </w:pPr>
            <w:r>
              <w:t>退伍人员工资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350.00</w:t>
            </w:r>
          </w:p>
        </w:tc>
        <w:tc>
          <w:tcPr>
            <w:tcW w:w="2835" w:type="dxa"/>
            <w:vAlign w:val="center"/>
          </w:tcPr>
          <w:p>
            <w:pPr>
              <w:pStyle w:val="11"/>
            </w:pPr>
            <w:r>
              <w:t>其中：财政    资金</w:t>
            </w:r>
          </w:p>
        </w:tc>
        <w:tc>
          <w:tcPr>
            <w:tcW w:w="2551" w:type="dxa"/>
            <w:vAlign w:val="center"/>
          </w:tcPr>
          <w:p>
            <w:pPr>
              <w:pStyle w:val="13"/>
            </w:pPr>
            <w:r>
              <w:t>350.00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保障退伍军人的工资收入，提高工作积极性，落实退役军人相关政策，促进环境执法良好发展。</w:t>
            </w:r>
            <w:r>
              <w:tab/>
            </w:r>
            <w:r>
              <w:tab/>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1.保障退伍军人的工资收入，提高工作积极性，落实退役军人相关政策，促进环境执法良好发展。</w:t>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退伍军人工资发放月数</w:t>
            </w:r>
          </w:p>
        </w:tc>
        <w:tc>
          <w:tcPr>
            <w:tcW w:w="5386" w:type="dxa"/>
            <w:vAlign w:val="center"/>
          </w:tcPr>
          <w:p>
            <w:pPr>
              <w:pStyle w:val="13"/>
            </w:pPr>
            <w:r>
              <w:t>退伍军人工资发放人数</w:t>
            </w:r>
          </w:p>
        </w:tc>
        <w:tc>
          <w:tcPr>
            <w:tcW w:w="2268" w:type="dxa"/>
            <w:vAlign w:val="center"/>
          </w:tcPr>
          <w:p>
            <w:pPr>
              <w:pStyle w:val="13"/>
            </w:pPr>
            <w:r>
              <w:t>35人</w:t>
            </w:r>
          </w:p>
        </w:tc>
        <w:tc>
          <w:tcPr>
            <w:tcW w:w="1276" w:type="dxa"/>
            <w:vAlign w:val="center"/>
          </w:tcPr>
          <w:p>
            <w:pPr>
              <w:pStyle w:val="13"/>
            </w:pPr>
            <w:r>
              <w:t>县长办公会议纪要十六届﹝2018﹞6号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100%</w:t>
            </w:r>
          </w:p>
        </w:tc>
        <w:tc>
          <w:tcPr>
            <w:tcW w:w="1276" w:type="dxa"/>
            <w:vAlign w:val="center"/>
          </w:tcPr>
          <w:p>
            <w:pPr>
              <w:pStyle w:val="13"/>
            </w:pPr>
            <w:r>
              <w:t>县长办公会议纪要十六届﹝2018﹞6号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支付退伍人员工资额</w:t>
            </w:r>
          </w:p>
        </w:tc>
        <w:tc>
          <w:tcPr>
            <w:tcW w:w="5386" w:type="dxa"/>
            <w:vAlign w:val="center"/>
          </w:tcPr>
          <w:p>
            <w:pPr>
              <w:pStyle w:val="13"/>
            </w:pPr>
            <w:r>
              <w:t>支付退伍人员工资额</w:t>
            </w:r>
          </w:p>
        </w:tc>
        <w:tc>
          <w:tcPr>
            <w:tcW w:w="2268" w:type="dxa"/>
            <w:vAlign w:val="center"/>
          </w:tcPr>
          <w:p>
            <w:pPr>
              <w:pStyle w:val="13"/>
            </w:pPr>
            <w:r>
              <w:t>≤350万元</w:t>
            </w:r>
          </w:p>
        </w:tc>
        <w:tc>
          <w:tcPr>
            <w:tcW w:w="1276" w:type="dxa"/>
            <w:vAlign w:val="center"/>
          </w:tcPr>
          <w:p>
            <w:pPr>
              <w:pStyle w:val="13"/>
            </w:pPr>
            <w:r>
              <w:t>县长办公会议纪要十六届﹝2018﹞6号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项目完成时间</w:t>
            </w:r>
          </w:p>
          <w:p>
            <w:pPr>
              <w:pStyle w:val="13"/>
            </w:pPr>
          </w:p>
        </w:tc>
        <w:tc>
          <w:tcPr>
            <w:tcW w:w="5386" w:type="dxa"/>
            <w:vAlign w:val="center"/>
          </w:tcPr>
          <w:p>
            <w:pPr>
              <w:pStyle w:val="13"/>
            </w:pPr>
            <w:r>
              <w:t>项目完成时间</w:t>
            </w:r>
          </w:p>
          <w:p>
            <w:pPr>
              <w:pStyle w:val="13"/>
            </w:pPr>
          </w:p>
        </w:tc>
        <w:tc>
          <w:tcPr>
            <w:tcW w:w="2268" w:type="dxa"/>
            <w:vAlign w:val="center"/>
          </w:tcPr>
          <w:p>
            <w:pPr>
              <w:pStyle w:val="13"/>
            </w:pPr>
            <w:r>
              <w:t>12月</w:t>
            </w:r>
          </w:p>
        </w:tc>
        <w:tc>
          <w:tcPr>
            <w:tcW w:w="1276" w:type="dxa"/>
            <w:vAlign w:val="center"/>
          </w:tcPr>
          <w:p>
            <w:pPr>
              <w:pStyle w:val="13"/>
            </w:pPr>
            <w:r>
              <w:t>县长办公会议纪要十六届﹝2018﹞6号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执法执勤工作得到保障</w:t>
            </w:r>
          </w:p>
        </w:tc>
        <w:tc>
          <w:tcPr>
            <w:tcW w:w="5386" w:type="dxa"/>
            <w:vAlign w:val="center"/>
          </w:tcPr>
          <w:p>
            <w:pPr>
              <w:pStyle w:val="13"/>
            </w:pPr>
            <w:r>
              <w:t>环境执法执勤工作得到保障</w:t>
            </w:r>
          </w:p>
        </w:tc>
        <w:tc>
          <w:tcPr>
            <w:tcW w:w="2268" w:type="dxa"/>
            <w:vAlign w:val="center"/>
          </w:tcPr>
          <w:p>
            <w:pPr>
              <w:pStyle w:val="13"/>
            </w:pPr>
            <w:r>
              <w:t>环境执法执勤工作得到保障</w:t>
            </w:r>
          </w:p>
        </w:tc>
        <w:tc>
          <w:tcPr>
            <w:tcW w:w="1276" w:type="dxa"/>
            <w:vAlign w:val="center"/>
          </w:tcPr>
          <w:p>
            <w:pPr>
              <w:pStyle w:val="13"/>
            </w:pPr>
            <w:r>
              <w:t>35名转业士官和城镇义务兵安置的报告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社会保障制度更加公平可持续</w:t>
            </w:r>
          </w:p>
        </w:tc>
        <w:tc>
          <w:tcPr>
            <w:tcW w:w="5386" w:type="dxa"/>
            <w:vAlign w:val="center"/>
          </w:tcPr>
          <w:p>
            <w:pPr>
              <w:pStyle w:val="13"/>
            </w:pPr>
            <w:r>
              <w:t>社会保障制度更加公平可持续发展</w:t>
            </w:r>
          </w:p>
        </w:tc>
        <w:tc>
          <w:tcPr>
            <w:tcW w:w="2268" w:type="dxa"/>
            <w:vAlign w:val="center"/>
          </w:tcPr>
          <w:p>
            <w:pPr>
              <w:pStyle w:val="13"/>
            </w:pPr>
            <w:r>
              <w:t>社会保障制度更加公平可持续发展</w:t>
            </w:r>
          </w:p>
        </w:tc>
        <w:tc>
          <w:tcPr>
            <w:tcW w:w="1276" w:type="dxa"/>
            <w:vAlign w:val="center"/>
          </w:tcPr>
          <w:p>
            <w:pPr>
              <w:pStyle w:val="13"/>
            </w:pPr>
            <w:r>
              <w:t>35名转业士官和城镇义务兵安置的报告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8、卫河沿线农村生活污水收集管网并入张二庄镇污水处理厂绩效目标表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13043424P00000911583C</w:t>
            </w:r>
          </w:p>
        </w:tc>
        <w:tc>
          <w:tcPr>
            <w:tcW w:w="2835" w:type="dxa"/>
            <w:vAlign w:val="center"/>
          </w:tcPr>
          <w:p>
            <w:pPr>
              <w:pStyle w:val="11"/>
            </w:pPr>
            <w:r>
              <w:t>项目名称</w:t>
            </w:r>
          </w:p>
        </w:tc>
        <w:tc>
          <w:tcPr>
            <w:tcW w:w="6094" w:type="dxa"/>
            <w:gridSpan w:val="3"/>
            <w:vAlign w:val="center"/>
          </w:tcPr>
          <w:p>
            <w:pPr>
              <w:pStyle w:val="13"/>
            </w:pPr>
            <w:r>
              <w:t>卫河沿线农村生活污水收集管网并入张二庄镇污水处理厂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该项目主要对张二庄镇14个村铺设污水收集管网纳入张二庄污水处理厂并进行运行维护，需求资金120万元。</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1.该项目主要对张二庄镇14个村铺设污水收集管网纳入张二庄污水处理厂并进行运行维护，需求资金120万元。</w:t>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卫河沿线14个村农村生活污水治理数量</w:t>
            </w:r>
          </w:p>
        </w:tc>
        <w:tc>
          <w:tcPr>
            <w:tcW w:w="5386" w:type="dxa"/>
            <w:vAlign w:val="center"/>
          </w:tcPr>
          <w:p>
            <w:pPr>
              <w:pStyle w:val="13"/>
            </w:pPr>
            <w:r>
              <w:t>卫河沿线14个村农村生活污水治理数量</w:t>
            </w:r>
          </w:p>
        </w:tc>
        <w:tc>
          <w:tcPr>
            <w:tcW w:w="2268" w:type="dxa"/>
            <w:vAlign w:val="center"/>
          </w:tcPr>
          <w:p>
            <w:pPr>
              <w:pStyle w:val="13"/>
            </w:pPr>
            <w:r>
              <w:t>14个</w:t>
            </w:r>
          </w:p>
        </w:tc>
        <w:tc>
          <w:tcPr>
            <w:tcW w:w="1276" w:type="dxa"/>
            <w:vAlign w:val="center"/>
          </w:tcPr>
          <w:p>
            <w:pPr>
              <w:pStyle w:val="13"/>
            </w:pPr>
            <w:r>
              <w:t>依据卫河沿线农村生活污水收集管网并入张二庄镇污水处理厂的请示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卫河沿线14个村农村生活污水治理工作合格率</w:t>
            </w:r>
          </w:p>
        </w:tc>
        <w:tc>
          <w:tcPr>
            <w:tcW w:w="5386" w:type="dxa"/>
            <w:vAlign w:val="center"/>
          </w:tcPr>
          <w:p>
            <w:pPr>
              <w:pStyle w:val="13"/>
            </w:pPr>
            <w:r>
              <w:t>卫河沿线14个村农村生活污水治理工作合格率达到100%</w:t>
            </w:r>
          </w:p>
        </w:tc>
        <w:tc>
          <w:tcPr>
            <w:tcW w:w="2268" w:type="dxa"/>
            <w:vAlign w:val="center"/>
          </w:tcPr>
          <w:p>
            <w:pPr>
              <w:pStyle w:val="13"/>
            </w:pPr>
            <w:r>
              <w:t>≥90%</w:t>
            </w:r>
          </w:p>
        </w:tc>
        <w:tc>
          <w:tcPr>
            <w:tcW w:w="1276" w:type="dxa"/>
            <w:vAlign w:val="center"/>
          </w:tcPr>
          <w:p>
            <w:pPr>
              <w:pStyle w:val="13"/>
            </w:pPr>
            <w:r>
              <w:t>依据卫河沿线农村生活污水收集管网并入张二庄镇污水处理厂的请示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时间进度完成率</w:t>
            </w:r>
          </w:p>
        </w:tc>
        <w:tc>
          <w:tcPr>
            <w:tcW w:w="5386" w:type="dxa"/>
            <w:vAlign w:val="center"/>
          </w:tcPr>
          <w:p>
            <w:pPr>
              <w:pStyle w:val="13"/>
            </w:pPr>
            <w:r>
              <w:t>时间进度完成率</w:t>
            </w:r>
          </w:p>
        </w:tc>
        <w:tc>
          <w:tcPr>
            <w:tcW w:w="2268" w:type="dxa"/>
            <w:vAlign w:val="center"/>
          </w:tcPr>
          <w:p>
            <w:pPr>
              <w:pStyle w:val="13"/>
            </w:pPr>
            <w:r>
              <w:t>≥90%</w:t>
            </w:r>
          </w:p>
        </w:tc>
        <w:tc>
          <w:tcPr>
            <w:tcW w:w="1276" w:type="dxa"/>
            <w:vAlign w:val="center"/>
          </w:tcPr>
          <w:p>
            <w:pPr>
              <w:pStyle w:val="13"/>
            </w:pPr>
            <w:r>
              <w:t>依据卫河沿线农村生活污水收集管网并入张二庄镇污水处理厂的请示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w:t>
            </w:r>
          </w:p>
        </w:tc>
        <w:tc>
          <w:tcPr>
            <w:tcW w:w="5386" w:type="dxa"/>
            <w:vAlign w:val="center"/>
          </w:tcPr>
          <w:p>
            <w:pPr>
              <w:pStyle w:val="13"/>
            </w:pPr>
            <w:r>
              <w:t>项目实际成本</w:t>
            </w:r>
          </w:p>
        </w:tc>
        <w:tc>
          <w:tcPr>
            <w:tcW w:w="2268" w:type="dxa"/>
            <w:vAlign w:val="center"/>
          </w:tcPr>
          <w:p>
            <w:pPr>
              <w:pStyle w:val="13"/>
            </w:pPr>
            <w:r>
              <w:t>≤120万元</w:t>
            </w:r>
          </w:p>
        </w:tc>
        <w:tc>
          <w:tcPr>
            <w:tcW w:w="1276" w:type="dxa"/>
            <w:vAlign w:val="center"/>
          </w:tcPr>
          <w:p>
            <w:pPr>
              <w:pStyle w:val="13"/>
            </w:pPr>
            <w:r>
              <w:t>依据卫河沿线农村生活污水收集管网并入张二庄镇污水处理厂的请示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项目对生态效益提升比</w:t>
            </w:r>
          </w:p>
        </w:tc>
        <w:tc>
          <w:tcPr>
            <w:tcW w:w="5386" w:type="dxa"/>
            <w:vAlign w:val="center"/>
          </w:tcPr>
          <w:p>
            <w:pPr>
              <w:pStyle w:val="13"/>
            </w:pPr>
            <w:r>
              <w:t>项目对生态效益提升比值</w:t>
            </w:r>
          </w:p>
        </w:tc>
        <w:tc>
          <w:tcPr>
            <w:tcW w:w="2268" w:type="dxa"/>
            <w:vAlign w:val="center"/>
          </w:tcPr>
          <w:p>
            <w:pPr>
              <w:pStyle w:val="13"/>
            </w:pPr>
            <w:r>
              <w:t>该项目有效提升卫河沿线生态保护和水环境质量。</w:t>
            </w:r>
          </w:p>
        </w:tc>
        <w:tc>
          <w:tcPr>
            <w:tcW w:w="1276" w:type="dxa"/>
            <w:vAlign w:val="center"/>
          </w:tcPr>
          <w:p>
            <w:pPr>
              <w:pStyle w:val="13"/>
            </w:pPr>
            <w:r>
              <w:t>依据卫河沿线农村生活污水收集管网并入张二庄镇污水处理厂的请示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改善水质，促进水环境可持续发展</w:t>
            </w:r>
          </w:p>
        </w:tc>
        <w:tc>
          <w:tcPr>
            <w:tcW w:w="5386" w:type="dxa"/>
            <w:vAlign w:val="center"/>
          </w:tcPr>
          <w:p>
            <w:pPr>
              <w:pStyle w:val="13"/>
            </w:pPr>
            <w:r>
              <w:t>改善水质，促进水环境可持续发展</w:t>
            </w:r>
          </w:p>
        </w:tc>
        <w:tc>
          <w:tcPr>
            <w:tcW w:w="2268" w:type="dxa"/>
            <w:vAlign w:val="center"/>
          </w:tcPr>
          <w:p>
            <w:pPr>
              <w:pStyle w:val="13"/>
            </w:pPr>
            <w:r>
              <w:t>该项目改善水质，促进水环境可持续发展</w:t>
            </w:r>
          </w:p>
        </w:tc>
        <w:tc>
          <w:tcPr>
            <w:tcW w:w="1276" w:type="dxa"/>
            <w:vAlign w:val="center"/>
          </w:tcPr>
          <w:p>
            <w:pPr>
              <w:pStyle w:val="13"/>
            </w:pPr>
            <w:r>
              <w:t>依据卫河沿线农村生活污水收集管网并入张二庄镇污水处理厂的请示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9、主城区洒水车加冰降温项目绩效目标表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13043424P000009114710</w:t>
            </w:r>
          </w:p>
        </w:tc>
        <w:tc>
          <w:tcPr>
            <w:tcW w:w="2835" w:type="dxa"/>
            <w:vAlign w:val="center"/>
          </w:tcPr>
          <w:p>
            <w:pPr>
              <w:pStyle w:val="11"/>
            </w:pPr>
            <w:r>
              <w:t>项目名称</w:t>
            </w:r>
          </w:p>
        </w:tc>
        <w:tc>
          <w:tcPr>
            <w:tcW w:w="6094" w:type="dxa"/>
            <w:gridSpan w:val="3"/>
            <w:vAlign w:val="center"/>
          </w:tcPr>
          <w:p>
            <w:pPr>
              <w:pStyle w:val="13"/>
            </w:pPr>
            <w:r>
              <w:t>主城区洒水车加冰降温项目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64.00</w:t>
            </w:r>
          </w:p>
        </w:tc>
        <w:tc>
          <w:tcPr>
            <w:tcW w:w="2835" w:type="dxa"/>
            <w:vAlign w:val="center"/>
          </w:tcPr>
          <w:p>
            <w:pPr>
              <w:pStyle w:val="11"/>
            </w:pPr>
            <w:r>
              <w:t>其中：财政    资金</w:t>
            </w:r>
          </w:p>
        </w:tc>
        <w:tc>
          <w:tcPr>
            <w:tcW w:w="2551" w:type="dxa"/>
            <w:vAlign w:val="center"/>
          </w:tcPr>
          <w:p>
            <w:pPr>
              <w:pStyle w:val="13"/>
            </w:pPr>
            <w:r>
              <w:t>64.00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主城区洒水车加冰降温需求费用64万元.</w:t>
            </w:r>
            <w:r>
              <w:tab/>
            </w:r>
            <w:r>
              <w:tab/>
            </w:r>
            <w:r>
              <w:tab/>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1.主城区洒水车加冰降温需求费用64万元。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购买冰块数量</w:t>
            </w:r>
          </w:p>
        </w:tc>
        <w:tc>
          <w:tcPr>
            <w:tcW w:w="5386" w:type="dxa"/>
            <w:vAlign w:val="center"/>
          </w:tcPr>
          <w:p>
            <w:pPr>
              <w:pStyle w:val="13"/>
            </w:pPr>
            <w:r>
              <w:t>购买冰块数量</w:t>
            </w:r>
          </w:p>
        </w:tc>
        <w:tc>
          <w:tcPr>
            <w:tcW w:w="2268" w:type="dxa"/>
            <w:vAlign w:val="center"/>
          </w:tcPr>
          <w:p>
            <w:pPr>
              <w:pStyle w:val="13"/>
            </w:pPr>
            <w:r>
              <w:t>1320吨</w:t>
            </w:r>
          </w:p>
        </w:tc>
        <w:tc>
          <w:tcPr>
            <w:tcW w:w="1276" w:type="dxa"/>
            <w:vAlign w:val="center"/>
          </w:tcPr>
          <w:p>
            <w:pPr>
              <w:pStyle w:val="13"/>
            </w:pPr>
            <w:r>
              <w:t>关于主城区洒水车加冰降温的请示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洒水车加冰降温完成率</w:t>
            </w:r>
          </w:p>
        </w:tc>
        <w:tc>
          <w:tcPr>
            <w:tcW w:w="5386" w:type="dxa"/>
            <w:vAlign w:val="center"/>
          </w:tcPr>
          <w:p>
            <w:pPr>
              <w:pStyle w:val="13"/>
            </w:pPr>
            <w:r>
              <w:t>洒水车加冰降温完成率</w:t>
            </w:r>
          </w:p>
        </w:tc>
        <w:tc>
          <w:tcPr>
            <w:tcW w:w="2268" w:type="dxa"/>
            <w:vAlign w:val="center"/>
          </w:tcPr>
          <w:p>
            <w:pPr>
              <w:pStyle w:val="13"/>
            </w:pPr>
            <w:r>
              <w:t>≥90%</w:t>
            </w:r>
          </w:p>
        </w:tc>
        <w:tc>
          <w:tcPr>
            <w:tcW w:w="1276" w:type="dxa"/>
            <w:vAlign w:val="center"/>
          </w:tcPr>
          <w:p>
            <w:pPr>
              <w:pStyle w:val="13"/>
            </w:pPr>
            <w:r>
              <w:t>关于主城区洒水车加冰降温的请示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洒水车加冰降温完成时间</w:t>
            </w:r>
          </w:p>
        </w:tc>
        <w:tc>
          <w:tcPr>
            <w:tcW w:w="5386" w:type="dxa"/>
            <w:vAlign w:val="center"/>
          </w:tcPr>
          <w:p>
            <w:pPr>
              <w:pStyle w:val="13"/>
            </w:pPr>
            <w:r>
              <w:t>洒水车加冰降温完成时间</w:t>
            </w:r>
          </w:p>
        </w:tc>
        <w:tc>
          <w:tcPr>
            <w:tcW w:w="2268" w:type="dxa"/>
            <w:vAlign w:val="center"/>
          </w:tcPr>
          <w:p>
            <w:pPr>
              <w:pStyle w:val="13"/>
            </w:pPr>
            <w:r>
              <w:t>夏季6、7、8月份</w:t>
            </w:r>
          </w:p>
        </w:tc>
        <w:tc>
          <w:tcPr>
            <w:tcW w:w="1276" w:type="dxa"/>
            <w:vAlign w:val="center"/>
          </w:tcPr>
          <w:p>
            <w:pPr>
              <w:pStyle w:val="13"/>
            </w:pPr>
            <w:r>
              <w:t>关于主城区洒水车加冰降温的请示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64万元</w:t>
            </w:r>
          </w:p>
        </w:tc>
        <w:tc>
          <w:tcPr>
            <w:tcW w:w="1276" w:type="dxa"/>
            <w:vAlign w:val="center"/>
          </w:tcPr>
          <w:p>
            <w:pPr>
              <w:pStyle w:val="13"/>
            </w:pPr>
            <w:r>
              <w:t>关于主城区洒水车加冰降温的请示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大气环境质量改善</w:t>
            </w:r>
          </w:p>
        </w:tc>
        <w:tc>
          <w:tcPr>
            <w:tcW w:w="5386" w:type="dxa"/>
            <w:vAlign w:val="center"/>
          </w:tcPr>
          <w:p>
            <w:pPr>
              <w:pStyle w:val="13"/>
            </w:pPr>
            <w:r>
              <w:t>大气环境质量改善</w:t>
            </w:r>
          </w:p>
        </w:tc>
        <w:tc>
          <w:tcPr>
            <w:tcW w:w="2268" w:type="dxa"/>
            <w:vAlign w:val="center"/>
          </w:tcPr>
          <w:p>
            <w:pPr>
              <w:pStyle w:val="13"/>
            </w:pPr>
            <w:r>
              <w:t>洒水车加冰降温有助于改善臭氧环境质量</w:t>
            </w:r>
          </w:p>
        </w:tc>
        <w:tc>
          <w:tcPr>
            <w:tcW w:w="1276" w:type="dxa"/>
            <w:vAlign w:val="center"/>
          </w:tcPr>
          <w:p>
            <w:pPr>
              <w:pStyle w:val="13"/>
            </w:pPr>
            <w:r>
              <w:t>关于主城区洒水车加冰降温的请示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改善空气质量，促进大气环境可持续发展</w:t>
            </w:r>
          </w:p>
        </w:tc>
        <w:tc>
          <w:tcPr>
            <w:tcW w:w="5386" w:type="dxa"/>
            <w:vAlign w:val="center"/>
          </w:tcPr>
          <w:p>
            <w:pPr>
              <w:pStyle w:val="13"/>
            </w:pPr>
            <w:r>
              <w:t>改善空气质量，促进大气环境可持续发展</w:t>
            </w:r>
          </w:p>
        </w:tc>
        <w:tc>
          <w:tcPr>
            <w:tcW w:w="2268" w:type="dxa"/>
            <w:vAlign w:val="center"/>
          </w:tcPr>
          <w:p>
            <w:pPr>
              <w:pStyle w:val="13"/>
            </w:pPr>
            <w:r>
              <w:t>改善空气质量，促进大气环境可持续发展</w:t>
            </w:r>
          </w:p>
        </w:tc>
        <w:tc>
          <w:tcPr>
            <w:tcW w:w="1276" w:type="dxa"/>
            <w:vAlign w:val="center"/>
          </w:tcPr>
          <w:p>
            <w:pPr>
              <w:pStyle w:val="13"/>
            </w:pPr>
            <w:r>
              <w:t>关于主城区洒水车加冰降温的请示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10、砖瓦窑厂拆迁补助绩效目标表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13043424P00000911500J</w:t>
            </w:r>
          </w:p>
        </w:tc>
        <w:tc>
          <w:tcPr>
            <w:tcW w:w="2835" w:type="dxa"/>
            <w:vAlign w:val="center"/>
          </w:tcPr>
          <w:p>
            <w:pPr>
              <w:pStyle w:val="11"/>
            </w:pPr>
            <w:r>
              <w:t>项目名称</w:t>
            </w:r>
          </w:p>
        </w:tc>
        <w:tc>
          <w:tcPr>
            <w:tcW w:w="6094" w:type="dxa"/>
            <w:gridSpan w:val="3"/>
            <w:vAlign w:val="center"/>
          </w:tcPr>
          <w:p>
            <w:pPr>
              <w:pStyle w:val="13"/>
            </w:pPr>
            <w:r>
              <w:t>砖瓦窑厂拆迁补助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75.00</w:t>
            </w:r>
          </w:p>
        </w:tc>
        <w:tc>
          <w:tcPr>
            <w:tcW w:w="2835" w:type="dxa"/>
            <w:vAlign w:val="center"/>
          </w:tcPr>
          <w:p>
            <w:pPr>
              <w:pStyle w:val="11"/>
            </w:pPr>
            <w:r>
              <w:t>其中：财政    资金</w:t>
            </w:r>
          </w:p>
        </w:tc>
        <w:tc>
          <w:tcPr>
            <w:tcW w:w="2551" w:type="dxa"/>
            <w:vAlign w:val="center"/>
          </w:tcPr>
          <w:p>
            <w:pPr>
              <w:pStyle w:val="13"/>
            </w:pPr>
            <w:r>
              <w:t>75.00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对1家列入2024年淘汰任务的待淘汰煤矸石烧结砖企业进行补贴，减少大气污染，提高生态效益。</w:t>
            </w:r>
            <w:r>
              <w:tab/>
            </w:r>
            <w:r>
              <w:tab/>
            </w:r>
            <w:r>
              <w:tab/>
            </w:r>
            <w:r>
              <w:tab/>
            </w:r>
            <w:r>
              <w:tab/>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1.对1家列入2024年淘汰任务的待淘汰煤矸石烧结砖企业进行补贴，减少大气污染，提高生态效益。</w:t>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淘汰煤矸石烧结砖企业数量</w:t>
            </w:r>
          </w:p>
        </w:tc>
        <w:tc>
          <w:tcPr>
            <w:tcW w:w="5386" w:type="dxa"/>
            <w:vAlign w:val="center"/>
          </w:tcPr>
          <w:p>
            <w:pPr>
              <w:pStyle w:val="13"/>
            </w:pPr>
            <w:r>
              <w:t>淘汰煤矸石烧结砖企业数量</w:t>
            </w:r>
          </w:p>
        </w:tc>
        <w:tc>
          <w:tcPr>
            <w:tcW w:w="2268" w:type="dxa"/>
            <w:vAlign w:val="center"/>
          </w:tcPr>
          <w:p>
            <w:pPr>
              <w:pStyle w:val="13"/>
            </w:pPr>
            <w:r>
              <w:t>1家</w:t>
            </w:r>
          </w:p>
        </w:tc>
        <w:tc>
          <w:tcPr>
            <w:tcW w:w="1276" w:type="dxa"/>
            <w:vAlign w:val="center"/>
          </w:tcPr>
          <w:p>
            <w:pPr>
              <w:pStyle w:val="13"/>
            </w:pPr>
            <w:r>
              <w:t>依据北皋镇人民政府拨付砖瓦窑淘汰补贴资金的请示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淘汰质量达标率</w:t>
            </w:r>
          </w:p>
        </w:tc>
        <w:tc>
          <w:tcPr>
            <w:tcW w:w="5386" w:type="dxa"/>
            <w:vAlign w:val="center"/>
          </w:tcPr>
          <w:p>
            <w:pPr>
              <w:pStyle w:val="13"/>
            </w:pPr>
            <w:r>
              <w:t>砖瓦窑厂淘汰质量达标率</w:t>
            </w:r>
          </w:p>
        </w:tc>
        <w:tc>
          <w:tcPr>
            <w:tcW w:w="2268" w:type="dxa"/>
            <w:vAlign w:val="center"/>
          </w:tcPr>
          <w:p>
            <w:pPr>
              <w:pStyle w:val="13"/>
            </w:pPr>
            <w:r>
              <w:t>≥95%</w:t>
            </w:r>
          </w:p>
        </w:tc>
        <w:tc>
          <w:tcPr>
            <w:tcW w:w="1276" w:type="dxa"/>
            <w:vAlign w:val="center"/>
          </w:tcPr>
          <w:p>
            <w:pPr>
              <w:pStyle w:val="13"/>
            </w:pPr>
            <w:r>
              <w:t>依据北皋镇人民政府拨付砖瓦窑淘汰补贴资金的请示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时间进度完成率</w:t>
            </w:r>
          </w:p>
        </w:tc>
        <w:tc>
          <w:tcPr>
            <w:tcW w:w="5386" w:type="dxa"/>
            <w:vAlign w:val="center"/>
          </w:tcPr>
          <w:p>
            <w:pPr>
              <w:pStyle w:val="13"/>
            </w:pPr>
            <w:r>
              <w:t>淘汰任务完成时间</w:t>
            </w:r>
          </w:p>
        </w:tc>
        <w:tc>
          <w:tcPr>
            <w:tcW w:w="2268" w:type="dxa"/>
            <w:vAlign w:val="center"/>
          </w:tcPr>
          <w:p>
            <w:pPr>
              <w:pStyle w:val="13"/>
            </w:pPr>
            <w:r>
              <w:t>12月</w:t>
            </w:r>
          </w:p>
        </w:tc>
        <w:tc>
          <w:tcPr>
            <w:tcW w:w="1276" w:type="dxa"/>
            <w:vAlign w:val="center"/>
          </w:tcPr>
          <w:p>
            <w:pPr>
              <w:pStyle w:val="13"/>
            </w:pPr>
            <w:r>
              <w:t>依据北皋镇人民政府拨付砖瓦窑淘汰补贴资金的请示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淘汰煤矸石烧结砖补助成本</w:t>
            </w:r>
          </w:p>
        </w:tc>
        <w:tc>
          <w:tcPr>
            <w:tcW w:w="5386" w:type="dxa"/>
            <w:vAlign w:val="center"/>
          </w:tcPr>
          <w:p>
            <w:pPr>
              <w:pStyle w:val="13"/>
            </w:pPr>
            <w:r>
              <w:t>淘汰煤矸石烧结砖补助成本</w:t>
            </w:r>
          </w:p>
        </w:tc>
        <w:tc>
          <w:tcPr>
            <w:tcW w:w="2268" w:type="dxa"/>
            <w:vAlign w:val="center"/>
          </w:tcPr>
          <w:p>
            <w:pPr>
              <w:pStyle w:val="13"/>
            </w:pPr>
            <w:r>
              <w:t>75万元</w:t>
            </w:r>
          </w:p>
        </w:tc>
        <w:tc>
          <w:tcPr>
            <w:tcW w:w="1276" w:type="dxa"/>
            <w:vAlign w:val="center"/>
          </w:tcPr>
          <w:p>
            <w:pPr>
              <w:pStyle w:val="13"/>
            </w:pPr>
            <w:r>
              <w:t>依据北皋镇人民政府拨付砖瓦窑淘汰补贴资金的请示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项目对生态效益提升比</w:t>
            </w:r>
          </w:p>
        </w:tc>
        <w:tc>
          <w:tcPr>
            <w:tcW w:w="5386" w:type="dxa"/>
            <w:vAlign w:val="center"/>
          </w:tcPr>
          <w:p>
            <w:pPr>
              <w:pStyle w:val="13"/>
            </w:pPr>
            <w:r>
              <w:t>项目对生态效益提升比值</w:t>
            </w:r>
          </w:p>
        </w:tc>
        <w:tc>
          <w:tcPr>
            <w:tcW w:w="2268" w:type="dxa"/>
            <w:vAlign w:val="center"/>
          </w:tcPr>
          <w:p>
            <w:pPr>
              <w:pStyle w:val="13"/>
            </w:pPr>
            <w:r>
              <w:t>该项目有效控制区域内污染物排放总量。</w:t>
            </w:r>
          </w:p>
        </w:tc>
        <w:tc>
          <w:tcPr>
            <w:tcW w:w="1276" w:type="dxa"/>
            <w:vAlign w:val="center"/>
          </w:tcPr>
          <w:p>
            <w:pPr>
              <w:pStyle w:val="13"/>
            </w:pPr>
            <w:r>
              <w:t>依据北皋镇人民政府拨付砖瓦窑淘汰补贴资金的请示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大气污染治理的可持续性</w:t>
            </w:r>
          </w:p>
        </w:tc>
        <w:tc>
          <w:tcPr>
            <w:tcW w:w="5386" w:type="dxa"/>
            <w:vAlign w:val="center"/>
          </w:tcPr>
          <w:p>
            <w:pPr>
              <w:pStyle w:val="13"/>
            </w:pPr>
            <w:r>
              <w:t>大气污染治理的可持续性</w:t>
            </w:r>
          </w:p>
        </w:tc>
        <w:tc>
          <w:tcPr>
            <w:tcW w:w="2268" w:type="dxa"/>
            <w:vAlign w:val="center"/>
          </w:tcPr>
          <w:p>
            <w:pPr>
              <w:pStyle w:val="13"/>
            </w:pPr>
            <w:r>
              <w:t>该项目有效促进大气污染治理的可持续。</w:t>
            </w:r>
          </w:p>
        </w:tc>
        <w:tc>
          <w:tcPr>
            <w:tcW w:w="1276" w:type="dxa"/>
            <w:vAlign w:val="center"/>
          </w:tcPr>
          <w:p>
            <w:pPr>
              <w:pStyle w:val="13"/>
            </w:pPr>
            <w:r>
              <w:t>依据北皋镇人民政府拨付砖瓦窑淘汰补贴资金的请示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467邯郸市生态环境局魏县分局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邯郸市生态环境局魏县分局（含所属单位）上年末固定资产金额为10.42万元（详见下表）。本年度拟购置固定资产总额为0.00万元，已按要求列入政府采购预算，详见政府采购预算表。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467邯郸市生态环境局魏县分局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234</w:t>
            </w:r>
          </w:p>
        </w:tc>
        <w:tc>
          <w:tcPr>
            <w:tcW w:w="2835" w:type="dxa"/>
            <w:vAlign w:val="center"/>
          </w:tcPr>
          <w:p>
            <w:pPr>
              <w:pStyle w:val="12"/>
            </w:pPr>
            <w:r>
              <w:t>10.42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WQ2NzdlMjA5ZGZhYzJkMGM5MWJiYmE5MDE3ZWRmODIifQ=="/>
  </w:docVars>
  <w:rsids>
    <w:rsidRoot w:val="00000000"/>
    <w:rsid w:val="49444F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autoRedefine/>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2024-02-19T10:25:27Z</dcterms:created>
  <dcterms:modified xsi:type="dcterms:W3CDTF">2024-02-19T02:25:27Z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2024-02-19T10:25:26Z</dcterms:created>
  <dcterms:modified xsi:type="dcterms:W3CDTF">2024-02-19T02:25:26Z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2024-02-19T10:25:26Z</dcterms:created>
  <dcterms:modified xsi:type="dcterms:W3CDTF">2024-02-19T02:25:26Z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2024-02-19T10:25:26Z</dcterms:created>
  <dcterms:modified xsi:type="dcterms:W3CDTF">2024-02-19T02:25:26Z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2024-02-19T10:25:22Z</dcterms:created>
  <dcterms:modified xsi:type="dcterms:W3CDTF">2024-02-19T02:25:22Z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2024-02-19T10:25:27Z</dcterms:created>
  <dcterms:modified xsi:type="dcterms:W3CDTF">2024-02-19T02:25:27Z</dcterms:modified>
</cp:coreProperties>
</file>

<file path=customXml/itemProps1.xml><?xml version="1.0" encoding="utf-8"?>
<ds:datastoreItem xmlns:ds="http://schemas.openxmlformats.org/officeDocument/2006/customXml" ds:itemID="{f7da6e65-4f08-4b63-8671-8582ec362bf7}">
  <ds:schemaRefs/>
</ds:datastoreItem>
</file>

<file path=customXml/itemProps10.xml><?xml version="1.0" encoding="utf-8"?>
<ds:datastoreItem xmlns:ds="http://schemas.openxmlformats.org/officeDocument/2006/customXml" ds:itemID="{a70bf5fc-caa4-4c65-900e-60d78b6a2787}">
  <ds:schemaRefs/>
</ds:datastoreItem>
</file>

<file path=customXml/itemProps11.xml><?xml version="1.0" encoding="utf-8"?>
<ds:datastoreItem xmlns:ds="http://schemas.openxmlformats.org/officeDocument/2006/customXml" ds:itemID="{fdf06c17-3229-4a55-b514-cb24365faa9f}">
  <ds:schemaRefs/>
</ds:datastoreItem>
</file>

<file path=customXml/itemProps12.xml><?xml version="1.0" encoding="utf-8"?>
<ds:datastoreItem xmlns:ds="http://schemas.openxmlformats.org/officeDocument/2006/customXml" ds:itemID="{31ed087b-beec-4ab6-9c76-1d6dda418404}">
  <ds:schemaRefs/>
</ds:datastoreItem>
</file>

<file path=customXml/itemProps13.xml><?xml version="1.0" encoding="utf-8"?>
<ds:datastoreItem xmlns:ds="http://schemas.openxmlformats.org/officeDocument/2006/customXml" ds:itemID="{932ca699-c445-496a-9756-182f284fbf82}">
  <ds:schemaRefs/>
</ds:datastoreItem>
</file>

<file path=customXml/itemProps14.xml><?xml version="1.0" encoding="utf-8"?>
<ds:datastoreItem xmlns:ds="http://schemas.openxmlformats.org/officeDocument/2006/customXml" ds:itemID="{195b0abb-82b7-4cf8-8c4d-2cca43c8ebe4}">
  <ds:schemaRefs/>
</ds:datastoreItem>
</file>

<file path=customXml/itemProps15.xml><?xml version="1.0" encoding="utf-8"?>
<ds:datastoreItem xmlns:ds="http://schemas.openxmlformats.org/officeDocument/2006/customXml" ds:itemID="{a2bb312c-1d48-43f5-b818-95359e5889f5}">
  <ds:schemaRefs/>
</ds:datastoreItem>
</file>

<file path=customXml/itemProps16.xml><?xml version="1.0" encoding="utf-8"?>
<ds:datastoreItem xmlns:ds="http://schemas.openxmlformats.org/officeDocument/2006/customXml" ds:itemID="{a52ac2bc-e427-48ad-966d-2402f854132c}">
  <ds:schemaRefs/>
</ds:datastoreItem>
</file>

<file path=customXml/itemProps17.xml><?xml version="1.0" encoding="utf-8"?>
<ds:datastoreItem xmlns:ds="http://schemas.openxmlformats.org/officeDocument/2006/customXml" ds:itemID="{5205894f-6bf4-4075-8180-6ed03feac823}">
  <ds:schemaRefs/>
</ds:datastoreItem>
</file>

<file path=customXml/itemProps18.xml><?xml version="1.0" encoding="utf-8"?>
<ds:datastoreItem xmlns:ds="http://schemas.openxmlformats.org/officeDocument/2006/customXml" ds:itemID="{9453e62e-3e84-4a1e-8b62-b184a2a0e444}">
  <ds:schemaRefs/>
</ds:datastoreItem>
</file>

<file path=customXml/itemProps19.xml><?xml version="1.0" encoding="utf-8"?>
<ds:datastoreItem xmlns:ds="http://schemas.openxmlformats.org/officeDocument/2006/customXml" ds:itemID="{8524b75d-2ab4-44ac-8277-bc53e6e400ff}">
  <ds:schemaRefs/>
</ds:datastoreItem>
</file>

<file path=customXml/itemProps2.xml><?xml version="1.0" encoding="utf-8"?>
<ds:datastoreItem xmlns:ds="http://schemas.openxmlformats.org/officeDocument/2006/customXml" ds:itemID="{7e439703-f8d8-4192-85e0-2dd4c7555c33}">
  <ds:schemaRefs/>
</ds:datastoreItem>
</file>

<file path=customXml/itemProps20.xml><?xml version="1.0" encoding="utf-8"?>
<ds:datastoreItem xmlns:ds="http://schemas.openxmlformats.org/officeDocument/2006/customXml" ds:itemID="{0f0d0d55-6d04-45dc-a7f8-a87a67fc41bb}">
  <ds:schemaRefs/>
</ds:datastoreItem>
</file>

<file path=customXml/itemProps21.xml><?xml version="1.0" encoding="utf-8"?>
<ds:datastoreItem xmlns:ds="http://schemas.openxmlformats.org/officeDocument/2006/customXml" ds:itemID="{4b6a2780-97ae-4d43-9092-7d10ee333a08}">
  <ds:schemaRefs/>
</ds:datastoreItem>
</file>

<file path=customXml/itemProps22.xml><?xml version="1.0" encoding="utf-8"?>
<ds:datastoreItem xmlns:ds="http://schemas.openxmlformats.org/officeDocument/2006/customXml" ds:itemID="{3048bb2f-0b8f-47e5-8b08-91d451698ccc}">
  <ds:schemaRefs/>
</ds:datastoreItem>
</file>

<file path=customXml/itemProps23.xml><?xml version="1.0" encoding="utf-8"?>
<ds:datastoreItem xmlns:ds="http://schemas.openxmlformats.org/officeDocument/2006/customXml" ds:itemID="{4de45dd7-8612-4d62-adeb-6cdd21d30e21}">
  <ds:schemaRefs/>
</ds:datastoreItem>
</file>

<file path=customXml/itemProps24.xml><?xml version="1.0" encoding="utf-8"?>
<ds:datastoreItem xmlns:ds="http://schemas.openxmlformats.org/officeDocument/2006/customXml" ds:itemID="{22a1c8c3-ef8b-47c8-bc51-6db2f2699469}">
  <ds:schemaRefs/>
</ds:datastoreItem>
</file>

<file path=customXml/itemProps25.xml><?xml version="1.0" encoding="utf-8"?>
<ds:datastoreItem xmlns:ds="http://schemas.openxmlformats.org/officeDocument/2006/customXml" ds:itemID="{f958fce7-f187-493e-a497-6e6a97ec0a36}">
  <ds:schemaRefs/>
</ds:datastoreItem>
</file>

<file path=customXml/itemProps26.xml><?xml version="1.0" encoding="utf-8"?>
<ds:datastoreItem xmlns:ds="http://schemas.openxmlformats.org/officeDocument/2006/customXml" ds:itemID="{6c78efe3-daa7-469e-b474-65d2ccbb0ebe}">
  <ds:schemaRefs/>
</ds:datastoreItem>
</file>

<file path=customXml/itemProps27.xml><?xml version="1.0" encoding="utf-8"?>
<ds:datastoreItem xmlns:ds="http://schemas.openxmlformats.org/officeDocument/2006/customXml" ds:itemID="{255a2bc2-c8d5-4fac-b393-11dce21bf2ab}">
  <ds:schemaRefs/>
</ds:datastoreItem>
</file>

<file path=customXml/itemProps28.xml><?xml version="1.0" encoding="utf-8"?>
<ds:datastoreItem xmlns:ds="http://schemas.openxmlformats.org/officeDocument/2006/customXml" ds:itemID="{09fdda05-9192-4007-8737-0ce0e3bb4b5a}">
  <ds:schemaRefs/>
</ds:datastoreItem>
</file>

<file path=customXml/itemProps3.xml><?xml version="1.0" encoding="utf-8"?>
<ds:datastoreItem xmlns:ds="http://schemas.openxmlformats.org/officeDocument/2006/customXml" ds:itemID="{52d14fb1-02aa-4e21-bd7b-a3396b42e4d7}">
  <ds:schemaRefs/>
</ds:datastoreItem>
</file>

<file path=customXml/itemProps4.xml><?xml version="1.0" encoding="utf-8"?>
<ds:datastoreItem xmlns:ds="http://schemas.openxmlformats.org/officeDocument/2006/customXml" ds:itemID="{4a54dbcb-501f-4794-a214-6515c19e1a28}">
  <ds:schemaRefs/>
</ds:datastoreItem>
</file>

<file path=customXml/itemProps5.xml><?xml version="1.0" encoding="utf-8"?>
<ds:datastoreItem xmlns:ds="http://schemas.openxmlformats.org/officeDocument/2006/customXml" ds:itemID="{14d01d1e-7b23-4a80-939b-bb919e481934}">
  <ds:schemaRefs/>
</ds:datastoreItem>
</file>

<file path=customXml/itemProps6.xml><?xml version="1.0" encoding="utf-8"?>
<ds:datastoreItem xmlns:ds="http://schemas.openxmlformats.org/officeDocument/2006/customXml" ds:itemID="{1475cddd-c571-434b-a086-8767a85724ff}">
  <ds:schemaRefs/>
</ds:datastoreItem>
</file>

<file path=customXml/itemProps7.xml><?xml version="1.0" encoding="utf-8"?>
<ds:datastoreItem xmlns:ds="http://schemas.openxmlformats.org/officeDocument/2006/customXml" ds:itemID="{ca3fed71-2f2d-40d7-bb17-19320536ada1}">
  <ds:schemaRefs/>
</ds:datastoreItem>
</file>

<file path=customXml/itemProps8.xml><?xml version="1.0" encoding="utf-8"?>
<ds:datastoreItem xmlns:ds="http://schemas.openxmlformats.org/officeDocument/2006/customXml" ds:itemID="{fce0e9b7-8915-47a5-9621-8342897dfa75}">
  <ds:schemaRefs/>
</ds:datastoreItem>
</file>

<file path=customXml/itemProps9.xml><?xml version="1.0" encoding="utf-8"?>
<ds:datastoreItem xmlns:ds="http://schemas.openxmlformats.org/officeDocument/2006/customXml" ds:itemID="{5367518c-606f-46b9-a381-114e22d2435c}">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2024-02-19T10:25:00Z</dcterms:created>
  <dc:creator>Administrator</dc:creator>
  <cp:lastModifiedBy>远</cp:lastModifiedBy>
  <dcterms:modified xsi:type="dcterms:W3CDTF">2024-03-18T07:28:59Z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57752B5E06A340A683C7BAFA692635AF_12</vt:lpwstr>
  </property>
</Properties>
</file>