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18" w:name="_GoBack"/>
      <w:bookmarkEnd w:id="18"/>
      <w:r>
        <w:rPr>
          <w:rFonts w:ascii="黑体" w:hAnsi="黑体" w:eastAsia="黑体" w:cs="黑体"/>
          <w:b/>
          <w:color w:val="000000"/>
          <w:sz w:val="44"/>
        </w:rPr>
        <w:t>2022年部门预算信息公开目录</w:t>
      </w:r>
    </w:p>
    <w:p>
      <w:pPr>
        <w:jc w:val="center"/>
        <w:outlineLvl w:val="0"/>
        <w:rPr>
          <w:rFonts w:ascii="黑体" w:hAnsi="黑体" w:eastAsia="黑体" w:cs="黑体"/>
          <w:b/>
          <w:color w:val="000000"/>
          <w:sz w:val="44"/>
        </w:rP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sectPr>
          <w:pgSz w:w="16840" w:h="11900" w:orient="landscape"/>
          <w:pgMar w:top="1361" w:right="1020" w:bottom="1134" w:left="1020" w:header="720" w:footer="720" w:gutter="0"/>
          <w:pgNumType w:start="1"/>
          <w:cols w:space="720" w:num="1"/>
        </w:sectPr>
      </w:pP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682.61</w:t>
            </w:r>
          </w:p>
        </w:tc>
        <w:tc>
          <w:tcPr>
            <w:tcW w:w="4535" w:type="dxa"/>
            <w:vAlign w:val="center"/>
          </w:tcPr>
          <w:p>
            <w:pPr>
              <w:pStyle w:val="12"/>
            </w:pPr>
            <w:r>
              <w:t>一、一般公共服务支出</w:t>
            </w:r>
          </w:p>
        </w:tc>
        <w:tc>
          <w:tcPr>
            <w:tcW w:w="2126" w:type="dxa"/>
            <w:vAlign w:val="center"/>
          </w:tcPr>
          <w:p>
            <w:pPr>
              <w:pStyle w:val="11"/>
            </w:pPr>
            <w:r>
              <w:t>669.05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682.61</w:t>
            </w:r>
          </w:p>
        </w:tc>
        <w:tc>
          <w:tcPr>
            <w:tcW w:w="4535" w:type="dxa"/>
            <w:vAlign w:val="center"/>
          </w:tcPr>
          <w:p>
            <w:pPr>
              <w:pStyle w:val="14"/>
            </w:pPr>
            <w:r>
              <w:t>本年支出合计</w:t>
            </w:r>
          </w:p>
        </w:tc>
        <w:tc>
          <w:tcPr>
            <w:tcW w:w="2126" w:type="dxa"/>
            <w:vAlign w:val="center"/>
          </w:tcPr>
          <w:p>
            <w:pPr>
              <w:pStyle w:val="15"/>
            </w:pPr>
            <w:r>
              <w:t>682.61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682.61</w:t>
            </w:r>
          </w:p>
        </w:tc>
        <w:tc>
          <w:tcPr>
            <w:tcW w:w="4535" w:type="dxa"/>
            <w:vAlign w:val="center"/>
          </w:tcPr>
          <w:p>
            <w:pPr>
              <w:pStyle w:val="14"/>
            </w:pPr>
            <w:r>
              <w:t>支出总计</w:t>
            </w:r>
          </w:p>
        </w:tc>
        <w:tc>
          <w:tcPr>
            <w:tcW w:w="2126" w:type="dxa"/>
            <w:vAlign w:val="center"/>
          </w:tcPr>
          <w:p>
            <w:pPr>
              <w:pStyle w:val="15"/>
            </w:pPr>
            <w:r>
              <w:t>682.61</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682.61</w:t>
            </w:r>
          </w:p>
        </w:tc>
        <w:tc>
          <w:tcPr>
            <w:tcW w:w="1134" w:type="dxa"/>
            <w:vAlign w:val="center"/>
          </w:tcPr>
          <w:p>
            <w:pPr>
              <w:pStyle w:val="15"/>
            </w:pPr>
            <w:r>
              <w:t>682.61</w:t>
            </w:r>
          </w:p>
        </w:tc>
        <w:tc>
          <w:tcPr>
            <w:tcW w:w="1134" w:type="dxa"/>
            <w:vAlign w:val="center"/>
          </w:tcPr>
          <w:p>
            <w:pPr>
              <w:pStyle w:val="15"/>
            </w:pPr>
            <w:r>
              <w:t>682.61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669.05</w:t>
            </w:r>
          </w:p>
        </w:tc>
        <w:tc>
          <w:tcPr>
            <w:tcW w:w="1134" w:type="dxa"/>
            <w:vAlign w:val="center"/>
          </w:tcPr>
          <w:p>
            <w:pPr>
              <w:pStyle w:val="11"/>
            </w:pPr>
            <w:r>
              <w:t>669.05</w:t>
            </w:r>
          </w:p>
        </w:tc>
        <w:tc>
          <w:tcPr>
            <w:tcW w:w="1134" w:type="dxa"/>
            <w:vAlign w:val="center"/>
          </w:tcPr>
          <w:p>
            <w:pPr>
              <w:pStyle w:val="11"/>
            </w:pPr>
            <w:r>
              <w:t>669.05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413.41</w:t>
            </w:r>
          </w:p>
        </w:tc>
        <w:tc>
          <w:tcPr>
            <w:tcW w:w="1134" w:type="dxa"/>
            <w:vAlign w:val="center"/>
          </w:tcPr>
          <w:p>
            <w:pPr>
              <w:pStyle w:val="11"/>
            </w:pPr>
            <w:r>
              <w:t>413.41</w:t>
            </w:r>
          </w:p>
        </w:tc>
        <w:tc>
          <w:tcPr>
            <w:tcW w:w="1134" w:type="dxa"/>
            <w:vAlign w:val="center"/>
          </w:tcPr>
          <w:p>
            <w:pPr>
              <w:pStyle w:val="11"/>
            </w:pPr>
            <w:r>
              <w:t>413.41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268.89</w:t>
            </w:r>
          </w:p>
        </w:tc>
        <w:tc>
          <w:tcPr>
            <w:tcW w:w="1134" w:type="dxa"/>
            <w:vAlign w:val="center"/>
          </w:tcPr>
          <w:p>
            <w:pPr>
              <w:pStyle w:val="11"/>
            </w:pPr>
            <w:r>
              <w:t>268.89</w:t>
            </w:r>
          </w:p>
        </w:tc>
        <w:tc>
          <w:tcPr>
            <w:tcW w:w="1134" w:type="dxa"/>
            <w:vAlign w:val="center"/>
          </w:tcPr>
          <w:p>
            <w:pPr>
              <w:pStyle w:val="11"/>
            </w:pPr>
            <w:r>
              <w:t>268.89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2011103</w:t>
            </w:r>
          </w:p>
        </w:tc>
        <w:tc>
          <w:tcPr>
            <w:tcW w:w="1559" w:type="dxa"/>
            <w:vAlign w:val="center"/>
          </w:tcPr>
          <w:p>
            <w:pPr>
              <w:pStyle w:val="12"/>
            </w:pPr>
            <w:r>
              <w:t>机关服务</w:t>
            </w:r>
          </w:p>
        </w:tc>
        <w:tc>
          <w:tcPr>
            <w:tcW w:w="1134" w:type="dxa"/>
            <w:vAlign w:val="center"/>
          </w:tcPr>
          <w:p>
            <w:pPr>
              <w:pStyle w:val="11"/>
            </w:pPr>
            <w:r>
              <w:t>19.80</w:t>
            </w:r>
          </w:p>
        </w:tc>
        <w:tc>
          <w:tcPr>
            <w:tcW w:w="1134" w:type="dxa"/>
            <w:vAlign w:val="center"/>
          </w:tcPr>
          <w:p>
            <w:pPr>
              <w:pStyle w:val="11"/>
            </w:pPr>
            <w:r>
              <w:t>19.80</w:t>
            </w:r>
          </w:p>
        </w:tc>
        <w:tc>
          <w:tcPr>
            <w:tcW w:w="1134" w:type="dxa"/>
            <w:vAlign w:val="center"/>
          </w:tcPr>
          <w:p>
            <w:pPr>
              <w:pStyle w:val="11"/>
            </w:pPr>
            <w:r>
              <w:t>19.80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114.72</w:t>
            </w:r>
          </w:p>
        </w:tc>
        <w:tc>
          <w:tcPr>
            <w:tcW w:w="1134" w:type="dxa"/>
            <w:vAlign w:val="center"/>
          </w:tcPr>
          <w:p>
            <w:pPr>
              <w:pStyle w:val="11"/>
            </w:pPr>
            <w:r>
              <w:t>114.72</w:t>
            </w:r>
          </w:p>
        </w:tc>
        <w:tc>
          <w:tcPr>
            <w:tcW w:w="1134" w:type="dxa"/>
            <w:vAlign w:val="center"/>
          </w:tcPr>
          <w:p>
            <w:pPr>
              <w:pStyle w:val="11"/>
            </w:pPr>
            <w:r>
              <w:t>114.72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r>
              <w:t>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682.61</w:t>
            </w:r>
          </w:p>
        </w:tc>
        <w:tc>
          <w:tcPr>
            <w:tcW w:w="1361" w:type="dxa"/>
            <w:vAlign w:val="center"/>
          </w:tcPr>
          <w:p>
            <w:pPr>
              <w:pStyle w:val="15"/>
            </w:pPr>
            <w:r>
              <w:t>269.20</w:t>
            </w:r>
          </w:p>
        </w:tc>
        <w:tc>
          <w:tcPr>
            <w:tcW w:w="1361" w:type="dxa"/>
            <w:vAlign w:val="center"/>
          </w:tcPr>
          <w:p>
            <w:pPr>
              <w:pStyle w:val="15"/>
            </w:pPr>
            <w:r>
              <w:t>413.41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669.05</w:t>
            </w:r>
          </w:p>
        </w:tc>
        <w:tc>
          <w:tcPr>
            <w:tcW w:w="1361" w:type="dxa"/>
            <w:vAlign w:val="center"/>
          </w:tcPr>
          <w:p>
            <w:pPr>
              <w:pStyle w:val="11"/>
            </w:pPr>
            <w:r>
              <w:t>255.64</w:t>
            </w: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r>
              <w:t>413.41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268.89</w:t>
            </w:r>
          </w:p>
        </w:tc>
        <w:tc>
          <w:tcPr>
            <w:tcW w:w="1361" w:type="dxa"/>
            <w:vAlign w:val="center"/>
          </w:tcPr>
          <w:p>
            <w:pPr>
              <w:pStyle w:val="11"/>
            </w:pPr>
          </w:p>
        </w:tc>
        <w:tc>
          <w:tcPr>
            <w:tcW w:w="1361" w:type="dxa"/>
            <w:vAlign w:val="center"/>
          </w:tcPr>
          <w:p>
            <w:pPr>
              <w:pStyle w:val="11"/>
            </w:pPr>
            <w:r>
              <w:t>268.89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2011103</w:t>
            </w:r>
          </w:p>
        </w:tc>
        <w:tc>
          <w:tcPr>
            <w:tcW w:w="4535" w:type="dxa"/>
            <w:vAlign w:val="center"/>
          </w:tcPr>
          <w:p>
            <w:pPr>
              <w:pStyle w:val="12"/>
            </w:pPr>
            <w:r>
              <w:t>机关服务</w:t>
            </w: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2011104</w:t>
            </w:r>
          </w:p>
        </w:tc>
        <w:tc>
          <w:tcPr>
            <w:tcW w:w="4535" w:type="dxa"/>
            <w:vAlign w:val="center"/>
          </w:tcPr>
          <w:p>
            <w:pPr>
              <w:pStyle w:val="12"/>
            </w:pPr>
            <w:r>
              <w:t>大案要案查处</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114.72</w:t>
            </w:r>
          </w:p>
        </w:tc>
        <w:tc>
          <w:tcPr>
            <w:tcW w:w="1361" w:type="dxa"/>
            <w:vAlign w:val="center"/>
          </w:tcPr>
          <w:p>
            <w:pPr>
              <w:pStyle w:val="11"/>
            </w:pPr>
          </w:p>
        </w:tc>
        <w:tc>
          <w:tcPr>
            <w:tcW w:w="1361" w:type="dxa"/>
            <w:vAlign w:val="center"/>
          </w:tcPr>
          <w:p>
            <w:pPr>
              <w:pStyle w:val="11"/>
            </w:pPr>
            <w:r>
              <w:t>114.72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255.64</w:t>
            </w:r>
          </w:p>
        </w:tc>
        <w:tc>
          <w:tcPr>
            <w:tcW w:w="1361" w:type="dxa"/>
            <w:vAlign w:val="center"/>
          </w:tcPr>
          <w:p>
            <w:pPr>
              <w:pStyle w:val="11"/>
            </w:pPr>
            <w:r>
              <w:t>255.64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255.64</w:t>
            </w:r>
          </w:p>
        </w:tc>
        <w:tc>
          <w:tcPr>
            <w:tcW w:w="1361" w:type="dxa"/>
            <w:vAlign w:val="center"/>
          </w:tcPr>
          <w:p>
            <w:pPr>
              <w:pStyle w:val="11"/>
            </w:pPr>
            <w:r>
              <w:t>255.64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3.98</w:t>
            </w:r>
          </w:p>
        </w:tc>
        <w:tc>
          <w:tcPr>
            <w:tcW w:w="1361" w:type="dxa"/>
            <w:vAlign w:val="center"/>
          </w:tcPr>
          <w:p>
            <w:pPr>
              <w:pStyle w:val="11"/>
            </w:pPr>
            <w:r>
              <w:t>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682.61</w:t>
            </w:r>
          </w:p>
        </w:tc>
        <w:tc>
          <w:tcPr>
            <w:tcW w:w="3402" w:type="dxa"/>
            <w:vAlign w:val="center"/>
          </w:tcPr>
          <w:p>
            <w:pPr>
              <w:pStyle w:val="12"/>
            </w:pPr>
            <w:r>
              <w:t>一、一般公共服务支出</w:t>
            </w:r>
          </w:p>
        </w:tc>
        <w:tc>
          <w:tcPr>
            <w:tcW w:w="1474" w:type="dxa"/>
            <w:vAlign w:val="center"/>
          </w:tcPr>
          <w:p>
            <w:pPr>
              <w:pStyle w:val="11"/>
            </w:pPr>
            <w:r>
              <w:t>669.05</w:t>
            </w:r>
          </w:p>
        </w:tc>
        <w:tc>
          <w:tcPr>
            <w:tcW w:w="1474" w:type="dxa"/>
            <w:vAlign w:val="center"/>
          </w:tcPr>
          <w:p>
            <w:pPr>
              <w:pStyle w:val="11"/>
            </w:pPr>
            <w:r>
              <w:t>669.05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3.98</w:t>
            </w:r>
          </w:p>
        </w:tc>
        <w:tc>
          <w:tcPr>
            <w:tcW w:w="1474" w:type="dxa"/>
            <w:vAlign w:val="center"/>
          </w:tcPr>
          <w:p>
            <w:pPr>
              <w:pStyle w:val="11"/>
            </w:pPr>
            <w:r>
              <w:t>3.98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9.58</w:t>
            </w:r>
          </w:p>
        </w:tc>
        <w:tc>
          <w:tcPr>
            <w:tcW w:w="1474" w:type="dxa"/>
            <w:vAlign w:val="center"/>
          </w:tcPr>
          <w:p>
            <w:pPr>
              <w:pStyle w:val="11"/>
            </w:pPr>
            <w:r>
              <w:t>9.58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682.61</w:t>
            </w:r>
          </w:p>
        </w:tc>
        <w:tc>
          <w:tcPr>
            <w:tcW w:w="3402" w:type="dxa"/>
            <w:vAlign w:val="center"/>
          </w:tcPr>
          <w:p>
            <w:pPr>
              <w:pStyle w:val="14"/>
            </w:pPr>
            <w:r>
              <w:t>本年支出合计</w:t>
            </w:r>
          </w:p>
        </w:tc>
        <w:tc>
          <w:tcPr>
            <w:tcW w:w="1474" w:type="dxa"/>
            <w:vAlign w:val="center"/>
          </w:tcPr>
          <w:p>
            <w:pPr>
              <w:pStyle w:val="15"/>
            </w:pPr>
            <w:r>
              <w:t>682.61</w:t>
            </w:r>
          </w:p>
        </w:tc>
        <w:tc>
          <w:tcPr>
            <w:tcW w:w="1474" w:type="dxa"/>
            <w:vAlign w:val="center"/>
          </w:tcPr>
          <w:p>
            <w:pPr>
              <w:pStyle w:val="15"/>
            </w:pPr>
            <w:r>
              <w:t>682.61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682.61</w:t>
            </w:r>
          </w:p>
        </w:tc>
        <w:tc>
          <w:tcPr>
            <w:tcW w:w="3402" w:type="dxa"/>
            <w:vAlign w:val="center"/>
          </w:tcPr>
          <w:p>
            <w:pPr>
              <w:pStyle w:val="14"/>
            </w:pPr>
            <w:r>
              <w:t>支出总计</w:t>
            </w:r>
          </w:p>
        </w:tc>
        <w:tc>
          <w:tcPr>
            <w:tcW w:w="1474" w:type="dxa"/>
            <w:vAlign w:val="center"/>
          </w:tcPr>
          <w:p>
            <w:pPr>
              <w:pStyle w:val="15"/>
            </w:pPr>
            <w:r>
              <w:t>682.61</w:t>
            </w:r>
          </w:p>
        </w:tc>
        <w:tc>
          <w:tcPr>
            <w:tcW w:w="1474" w:type="dxa"/>
            <w:vAlign w:val="center"/>
          </w:tcPr>
          <w:p>
            <w:pPr>
              <w:pStyle w:val="15"/>
            </w:pPr>
            <w:r>
              <w:t>682.61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682.61</w:t>
            </w:r>
          </w:p>
        </w:tc>
        <w:tc>
          <w:tcPr>
            <w:tcW w:w="2551" w:type="dxa"/>
            <w:vAlign w:val="center"/>
          </w:tcPr>
          <w:p>
            <w:pPr>
              <w:pStyle w:val="15"/>
            </w:pPr>
            <w:r>
              <w:t>269.20</w:t>
            </w:r>
          </w:p>
        </w:tc>
        <w:tc>
          <w:tcPr>
            <w:tcW w:w="2551" w:type="dxa"/>
            <w:vAlign w:val="center"/>
          </w:tcPr>
          <w:p>
            <w:pPr>
              <w:pStyle w:val="15"/>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669.05</w:t>
            </w:r>
          </w:p>
        </w:tc>
        <w:tc>
          <w:tcPr>
            <w:tcW w:w="2551" w:type="dxa"/>
            <w:vAlign w:val="center"/>
          </w:tcPr>
          <w:p>
            <w:pPr>
              <w:pStyle w:val="11"/>
            </w:pPr>
            <w:r>
              <w:t>255.64</w:t>
            </w:r>
          </w:p>
        </w:tc>
        <w:tc>
          <w:tcPr>
            <w:tcW w:w="2551" w:type="dxa"/>
            <w:vAlign w:val="center"/>
          </w:tcPr>
          <w:p>
            <w:pPr>
              <w:pStyle w:val="11"/>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413.41</w:t>
            </w:r>
          </w:p>
        </w:tc>
        <w:tc>
          <w:tcPr>
            <w:tcW w:w="2551" w:type="dxa"/>
            <w:vAlign w:val="center"/>
          </w:tcPr>
          <w:p>
            <w:pPr>
              <w:pStyle w:val="11"/>
            </w:pPr>
          </w:p>
        </w:tc>
        <w:tc>
          <w:tcPr>
            <w:tcW w:w="2551" w:type="dxa"/>
            <w:vAlign w:val="center"/>
          </w:tcPr>
          <w:p>
            <w:pPr>
              <w:pStyle w:val="11"/>
            </w:pPr>
            <w:r>
              <w:t>413.41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268.89</w:t>
            </w:r>
          </w:p>
        </w:tc>
        <w:tc>
          <w:tcPr>
            <w:tcW w:w="2551" w:type="dxa"/>
            <w:vAlign w:val="center"/>
          </w:tcPr>
          <w:p>
            <w:pPr>
              <w:pStyle w:val="11"/>
            </w:pPr>
          </w:p>
        </w:tc>
        <w:tc>
          <w:tcPr>
            <w:tcW w:w="2551" w:type="dxa"/>
            <w:vAlign w:val="center"/>
          </w:tcPr>
          <w:p>
            <w:pPr>
              <w:pStyle w:val="11"/>
            </w:pPr>
            <w:r>
              <w:t>268.89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2011103</w:t>
            </w:r>
          </w:p>
        </w:tc>
        <w:tc>
          <w:tcPr>
            <w:tcW w:w="4535" w:type="dxa"/>
            <w:vAlign w:val="center"/>
          </w:tcPr>
          <w:p>
            <w:pPr>
              <w:pStyle w:val="12"/>
            </w:pPr>
            <w:r>
              <w:t>机关服务</w:t>
            </w:r>
          </w:p>
        </w:tc>
        <w:tc>
          <w:tcPr>
            <w:tcW w:w="2551" w:type="dxa"/>
            <w:vAlign w:val="center"/>
          </w:tcPr>
          <w:p>
            <w:pPr>
              <w:pStyle w:val="11"/>
            </w:pPr>
            <w:r>
              <w:t>19.80</w:t>
            </w:r>
          </w:p>
        </w:tc>
        <w:tc>
          <w:tcPr>
            <w:tcW w:w="2551" w:type="dxa"/>
            <w:vAlign w:val="center"/>
          </w:tcPr>
          <w:p>
            <w:pPr>
              <w:pStyle w:val="11"/>
            </w:pPr>
          </w:p>
        </w:tc>
        <w:tc>
          <w:tcPr>
            <w:tcW w:w="2551" w:type="dxa"/>
            <w:vAlign w:val="center"/>
          </w:tcPr>
          <w:p>
            <w:pPr>
              <w:pStyle w:val="11"/>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2011104</w:t>
            </w:r>
          </w:p>
        </w:tc>
        <w:tc>
          <w:tcPr>
            <w:tcW w:w="4535" w:type="dxa"/>
            <w:vAlign w:val="center"/>
          </w:tcPr>
          <w:p>
            <w:pPr>
              <w:pStyle w:val="12"/>
            </w:pPr>
            <w:r>
              <w:t>大案要案查处</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114.72</w:t>
            </w:r>
          </w:p>
        </w:tc>
        <w:tc>
          <w:tcPr>
            <w:tcW w:w="2551" w:type="dxa"/>
            <w:vAlign w:val="center"/>
          </w:tcPr>
          <w:p>
            <w:pPr>
              <w:pStyle w:val="11"/>
            </w:pPr>
          </w:p>
        </w:tc>
        <w:tc>
          <w:tcPr>
            <w:tcW w:w="2551" w:type="dxa"/>
            <w:vAlign w:val="center"/>
          </w:tcPr>
          <w:p>
            <w:pPr>
              <w:pStyle w:val="11"/>
            </w:pPr>
            <w:r>
              <w:t>114.72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269.20</w:t>
            </w:r>
          </w:p>
        </w:tc>
        <w:tc>
          <w:tcPr>
            <w:tcW w:w="2551" w:type="dxa"/>
            <w:vAlign w:val="center"/>
          </w:tcPr>
          <w:p>
            <w:pPr>
              <w:pStyle w:val="15"/>
            </w:pPr>
            <w:r>
              <w:t>237.18</w:t>
            </w:r>
          </w:p>
        </w:tc>
        <w:tc>
          <w:tcPr>
            <w:tcW w:w="2551" w:type="dxa"/>
            <w:vAlign w:val="center"/>
          </w:tcPr>
          <w:p>
            <w:pPr>
              <w:pStyle w:val="15"/>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231.40</w:t>
            </w:r>
          </w:p>
        </w:tc>
        <w:tc>
          <w:tcPr>
            <w:tcW w:w="2551" w:type="dxa"/>
            <w:vAlign w:val="center"/>
          </w:tcPr>
          <w:p>
            <w:pPr>
              <w:pStyle w:val="11"/>
            </w:pPr>
            <w:r>
              <w:t>231.40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133.53</w:t>
            </w:r>
          </w:p>
        </w:tc>
        <w:tc>
          <w:tcPr>
            <w:tcW w:w="2551" w:type="dxa"/>
            <w:vAlign w:val="center"/>
          </w:tcPr>
          <w:p>
            <w:pPr>
              <w:pStyle w:val="11"/>
            </w:pPr>
            <w:r>
              <w:t>133.53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28.77</w:t>
            </w:r>
          </w:p>
        </w:tc>
        <w:tc>
          <w:tcPr>
            <w:tcW w:w="2551" w:type="dxa"/>
            <w:vAlign w:val="center"/>
          </w:tcPr>
          <w:p>
            <w:pPr>
              <w:pStyle w:val="11"/>
            </w:pPr>
            <w:r>
              <w:t>28.77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19.38</w:t>
            </w:r>
          </w:p>
        </w:tc>
        <w:tc>
          <w:tcPr>
            <w:tcW w:w="2551" w:type="dxa"/>
            <w:vAlign w:val="center"/>
          </w:tcPr>
          <w:p>
            <w:pPr>
              <w:pStyle w:val="11"/>
            </w:pPr>
            <w:r>
              <w:t>19.38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22.97</w:t>
            </w:r>
          </w:p>
        </w:tc>
        <w:tc>
          <w:tcPr>
            <w:tcW w:w="2551" w:type="dxa"/>
            <w:vAlign w:val="center"/>
          </w:tcPr>
          <w:p>
            <w:pPr>
              <w:pStyle w:val="11"/>
            </w:pPr>
            <w:r>
              <w:t>22.97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32.02</w:t>
            </w:r>
          </w:p>
        </w:tc>
        <w:tc>
          <w:tcPr>
            <w:tcW w:w="2551" w:type="dxa"/>
            <w:vAlign w:val="center"/>
          </w:tcPr>
          <w:p>
            <w:pPr>
              <w:pStyle w:val="11"/>
            </w:pPr>
          </w:p>
        </w:tc>
        <w:tc>
          <w:tcPr>
            <w:tcW w:w="2551" w:type="dxa"/>
            <w:vAlign w:val="center"/>
          </w:tcPr>
          <w:p>
            <w:pPr>
              <w:pStyle w:val="11"/>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13.02</w:t>
            </w:r>
          </w:p>
        </w:tc>
        <w:tc>
          <w:tcPr>
            <w:tcW w:w="2551" w:type="dxa"/>
            <w:vAlign w:val="center"/>
          </w:tcPr>
          <w:p>
            <w:pPr>
              <w:pStyle w:val="11"/>
            </w:pPr>
          </w:p>
        </w:tc>
        <w:tc>
          <w:tcPr>
            <w:tcW w:w="2551" w:type="dxa"/>
            <w:vAlign w:val="center"/>
          </w:tcPr>
          <w:p>
            <w:pPr>
              <w:pStyle w:val="11"/>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5.78</w:t>
            </w:r>
          </w:p>
        </w:tc>
        <w:tc>
          <w:tcPr>
            <w:tcW w:w="2551" w:type="dxa"/>
            <w:vAlign w:val="center"/>
          </w:tcPr>
          <w:p>
            <w:pPr>
              <w:pStyle w:val="11"/>
            </w:pPr>
            <w:r>
              <w:t>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06"/>
        <w:gridCol w:w="1974"/>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ind w:firstLine="0" w:firstLineChars="0"/>
            </w:pPr>
            <w:r>
              <w:t>序号</w:t>
            </w:r>
          </w:p>
        </w:tc>
        <w:tc>
          <w:tcPr>
            <w:tcW w:w="4206" w:type="dxa"/>
            <w:vMerge w:val="restart"/>
            <w:vAlign w:val="center"/>
          </w:tcPr>
          <w:p>
            <w:pPr>
              <w:pStyle w:val="10"/>
              <w:ind w:firstLine="0" w:firstLineChars="0"/>
              <w:jc w:val="center"/>
            </w:pPr>
            <w:r>
              <w:t>项  目</w:t>
            </w:r>
          </w:p>
        </w:tc>
        <w:tc>
          <w:tcPr>
            <w:tcW w:w="9117" w:type="dxa"/>
            <w:gridSpan w:val="4"/>
            <w:vAlign w:val="center"/>
          </w:tcPr>
          <w:p>
            <w:pPr>
              <w:pStyle w:val="10"/>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06" w:type="dxa"/>
            <w:vMerge w:val="continue"/>
          </w:tcPr>
          <w:p/>
        </w:tc>
        <w:tc>
          <w:tcPr>
            <w:tcW w:w="1974" w:type="dxa"/>
            <w:vAlign w:val="center"/>
          </w:tcPr>
          <w:p>
            <w:pPr>
              <w:pStyle w:val="10"/>
              <w:ind w:firstLine="0" w:firstLineChars="0"/>
              <w:rPr>
                <w:rFonts w:ascii="方正书宋_GBK" w:hAnsi="方正书宋_GBK" w:eastAsia="方正书宋_GBK" w:cs="方正书宋_GBK"/>
                <w:b/>
                <w:sz w:val="21"/>
                <w:szCs w:val="24"/>
                <w:lang w:val="en-US" w:eastAsia="uk-UA" w:bidi="ar-SA"/>
              </w:rPr>
            </w:pPr>
            <w:r>
              <w:t>合计</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ind w:firstLine="0" w:firstLineChars="0"/>
              <w:rPr>
                <w:rFonts w:ascii="方正书宋_GBK" w:hAnsi="方正书宋_GBK" w:eastAsia="方正书宋_GBK" w:cs="方正书宋_GBK"/>
                <w:b/>
                <w:sz w:val="21"/>
                <w:szCs w:val="24"/>
                <w:lang w:val="en-US" w:eastAsia="uk-UA" w:bidi="ar-SA"/>
              </w:rPr>
            </w:pPr>
            <w:r>
              <w:t>栏次</w:t>
            </w:r>
          </w:p>
        </w:tc>
        <w:tc>
          <w:tcPr>
            <w:tcW w:w="4206" w:type="dxa"/>
            <w:vAlign w:val="center"/>
          </w:tcPr>
          <w:p>
            <w:pPr>
              <w:pStyle w:val="10"/>
              <w:ind w:firstLine="0" w:firstLineChars="0"/>
              <w:rPr>
                <w:rFonts w:ascii="方正书宋_GBK" w:hAnsi="方正书宋_GBK" w:eastAsia="方正书宋_GBK" w:cs="方正书宋_GBK"/>
                <w:b/>
                <w:sz w:val="21"/>
                <w:szCs w:val="24"/>
                <w:lang w:val="en-US" w:eastAsia="uk-UA" w:bidi="ar-SA"/>
              </w:rPr>
            </w:pPr>
            <w:r>
              <w:t>1</w:t>
            </w:r>
          </w:p>
        </w:tc>
        <w:tc>
          <w:tcPr>
            <w:tcW w:w="1974" w:type="dxa"/>
            <w:vAlign w:val="center"/>
          </w:tcPr>
          <w:p>
            <w:pPr>
              <w:pStyle w:val="10"/>
              <w:ind w:firstLine="0" w:firstLineChars="0"/>
              <w:rPr>
                <w:rFonts w:ascii="方正书宋_GBK" w:hAnsi="方正书宋_GBK" w:eastAsia="方正书宋_GBK" w:cs="方正书宋_GBK"/>
                <w:b/>
                <w:sz w:val="21"/>
                <w:szCs w:val="24"/>
                <w:lang w:val="en-US" w:eastAsia="uk-UA" w:bidi="ar-SA"/>
              </w:rPr>
            </w:pPr>
            <w:r>
              <w:t>2</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3</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4</w:t>
            </w:r>
          </w:p>
        </w:tc>
        <w:tc>
          <w:tcPr>
            <w:tcW w:w="23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4206"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974"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6</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7</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8</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9</w:t>
            </w:r>
          </w:p>
        </w:tc>
        <w:tc>
          <w:tcPr>
            <w:tcW w:w="4206"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97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中国共产党魏县委员会政法委员会2022年部门预算信息公开情况说明</w:t>
      </w:r>
    </w:p>
    <w:p>
      <w:pPr>
        <w:jc w:val="center"/>
      </w:pPr>
      <w:r>
        <w:rPr>
          <w:rFonts w:ascii="方正小标宋_GBK" w:hAnsi="方正小标宋_GBK" w:eastAsia="方正小标宋_GBK" w:cs="方正小标宋_GBK"/>
          <w:color w:val="000000"/>
          <w:sz w:val="44"/>
        </w:rPr>
        <w:t>中国共产党魏县委员会政法委员会2022年部门预算信息公开情况说明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按照《预算法》、《地方预决算公开操作规程》和《关于进一步推进预算公开工作的实施意见》规定，现将中国共产党魏县委员会政法委员会2022年部门预算公开如下：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rPr>
      </w:pPr>
      <w:r>
        <w:rPr>
          <w:rFonts w:hint="eastAsia" w:eastAsia="方正仿宋_GBK"/>
          <w:sz w:val="28"/>
          <w:lang w:val="uk-UA" w:eastAsia="zh-CN"/>
        </w:rPr>
        <w:t>1</w:t>
      </w:r>
      <w:r>
        <w:rPr>
          <w:rFonts w:hint="eastAsia" w:eastAsia="方正仿宋_GBK"/>
          <w:sz w:val="28"/>
          <w:lang w:val="uk-UA"/>
        </w:rPr>
        <w:t>、深入贯彻习近平新时代中国特色社会主义思想，坚持党对政法工作的绝对领导，</w:t>
      </w:r>
      <w:r>
        <w:rPr>
          <w:rFonts w:hint="eastAsia" w:eastAsia="方正仿宋_GBK"/>
          <w:sz w:val="28"/>
          <w:lang w:val="uk-UA" w:eastAsia="zh-CN"/>
        </w:rPr>
        <w:t>坚决维护习近平总书记党中央的核心</w:t>
      </w:r>
      <w:r>
        <w:rPr>
          <w:rFonts w:hint="eastAsia" w:eastAsia="方正仿宋_GBK"/>
          <w:sz w:val="28"/>
          <w:lang w:val="uk-UA"/>
        </w:rPr>
        <w:t>、全党的核心地位，坚决维护党中央权威和集中统一领导，深入贯彻党的路线方针政策和中央、省委、市委、县委的决策部署，统一全市政法单位思想和行动，确保全县政法单位坚定正确的政治方向。</w:t>
      </w:r>
    </w:p>
    <w:p>
      <w:pPr>
        <w:spacing w:line="500" w:lineRule="exact"/>
        <w:ind w:firstLine="560" w:firstLineChars="200"/>
        <w:rPr>
          <w:rFonts w:eastAsia="方正仿宋_GBK"/>
          <w:sz w:val="28"/>
        </w:rPr>
      </w:pPr>
      <w:r>
        <w:rPr>
          <w:rFonts w:hint="eastAsia" w:eastAsia="方正仿宋_GBK"/>
          <w:sz w:val="28"/>
          <w:lang w:val="uk-UA" w:eastAsia="zh-CN"/>
        </w:rPr>
        <w:t>2</w:t>
      </w:r>
      <w:r>
        <w:rPr>
          <w:rFonts w:hint="eastAsia" w:eastAsia="方正仿宋_GBK"/>
          <w:sz w:val="28"/>
          <w:lang w:val="uk-UA"/>
        </w:rPr>
        <w:t>、对全县政法工作研究提出全局性部署，推进平安魏县、法治魏县建设，加强过硬队伍建设，深化智能化建设，坚决维护国家政治安全、确保社会大局稳定、促进社会公平正义、保障人民安居乐业。</w:t>
      </w:r>
    </w:p>
    <w:p>
      <w:pPr>
        <w:spacing w:line="500" w:lineRule="exact"/>
        <w:ind w:firstLine="560" w:firstLineChars="200"/>
        <w:rPr>
          <w:rFonts w:eastAsia="方正仿宋_GBK"/>
          <w:sz w:val="28"/>
        </w:rPr>
      </w:pPr>
      <w:r>
        <w:rPr>
          <w:rFonts w:hint="eastAsia" w:eastAsia="方正仿宋_GBK"/>
          <w:sz w:val="28"/>
          <w:lang w:val="uk-UA" w:eastAsia="zh-CN"/>
        </w:rPr>
        <w:t>3</w:t>
      </w:r>
      <w:r>
        <w:rPr>
          <w:rFonts w:hint="eastAsia" w:eastAsia="方正仿宋_GBK"/>
          <w:sz w:val="28"/>
          <w:lang w:val="uk-UA"/>
        </w:rPr>
        <w:t>、了解掌握和分析研判政法工作情况动态，分析社会稳定形势，创新完善多部门参与的综治维稳工作机制，协调推动预防、化解影响稳定的社会矛盾和风险，协调应对和处置重大突发事件。</w:t>
      </w:r>
    </w:p>
    <w:p>
      <w:pPr>
        <w:spacing w:line="500" w:lineRule="exact"/>
        <w:ind w:firstLine="560" w:firstLineChars="200"/>
        <w:rPr>
          <w:rFonts w:eastAsia="方正仿宋_GBK"/>
          <w:sz w:val="28"/>
        </w:rPr>
      </w:pPr>
      <w:r>
        <w:rPr>
          <w:rFonts w:hint="eastAsia" w:eastAsia="方正仿宋_GBK"/>
          <w:sz w:val="28"/>
          <w:lang w:val="uk-UA" w:eastAsia="zh-CN"/>
        </w:rPr>
        <w:t>4</w:t>
      </w:r>
      <w:r>
        <w:rPr>
          <w:rFonts w:hint="eastAsia" w:eastAsia="方正仿宋_GBK"/>
          <w:sz w:val="28"/>
          <w:lang w:val="uk-UA"/>
        </w:rPr>
        <w:t>、加强对政法工作的督查，负责社会治安综合治理、维护社会稳定、反邪教有关法律法规政策的实施工作。</w:t>
      </w:r>
    </w:p>
    <w:p>
      <w:pPr>
        <w:spacing w:line="500" w:lineRule="exact"/>
        <w:ind w:firstLine="560" w:firstLineChars="200"/>
        <w:rPr>
          <w:rFonts w:eastAsia="方正仿宋_GBK"/>
          <w:sz w:val="28"/>
        </w:rPr>
      </w:pPr>
      <w:r>
        <w:rPr>
          <w:rFonts w:hint="eastAsia" w:eastAsia="方正仿宋_GBK"/>
          <w:sz w:val="28"/>
          <w:lang w:val="uk-UA" w:eastAsia="zh-CN"/>
        </w:rPr>
        <w:t>5</w:t>
      </w:r>
      <w:r>
        <w:rPr>
          <w:rFonts w:hint="eastAsia" w:eastAsia="方正仿宋_GBK"/>
          <w:sz w:val="28"/>
          <w:lang w:val="uk-UA"/>
        </w:rPr>
        <w:t>、组织开展政法领域的调查研究，研究拟订政法工作的重大措施，及时向县委提出建议。</w:t>
      </w:r>
    </w:p>
    <w:p>
      <w:pPr>
        <w:spacing w:line="500" w:lineRule="exact"/>
        <w:ind w:firstLine="560" w:firstLineChars="200"/>
        <w:rPr>
          <w:rFonts w:eastAsia="方正仿宋_GBK"/>
          <w:sz w:val="28"/>
        </w:rPr>
      </w:pPr>
      <w:r>
        <w:rPr>
          <w:rFonts w:hint="eastAsia" w:eastAsia="方正仿宋_GBK"/>
          <w:sz w:val="28"/>
          <w:lang w:val="uk-UA" w:eastAsia="zh-CN"/>
        </w:rPr>
        <w:t>6</w:t>
      </w:r>
      <w:r>
        <w:rPr>
          <w:rFonts w:hint="eastAsia" w:eastAsia="方正仿宋_GBK"/>
          <w:sz w:val="28"/>
          <w:lang w:val="uk-UA"/>
        </w:rPr>
        <w:t>、掌握分析政法舆情动态，指导协调政法单位媒体网络宣传工作，指导政法单位做好涉及政法工作的重大宣传工作。</w:t>
      </w:r>
    </w:p>
    <w:p>
      <w:pPr>
        <w:ind w:firstLine="640"/>
        <w:rPr>
          <w:rFonts w:eastAsiaTheme="minorEastAsia"/>
          <w:lang w:eastAsia="zh-CN"/>
        </w:rPr>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rPr>
          <w:rFonts w:hAnsi="宋体"/>
          <w:sz w:val="28"/>
        </w:rPr>
      </w:pPr>
      <w:r>
        <w:rPr>
          <w:rFonts w:hint="eastAsia" w:eastAsia="方正仿宋_GBK"/>
          <w:sz w:val="28"/>
          <w:lang w:val="uk-UA"/>
        </w:rPr>
        <w:t>按照预算管理有关规定，目前我</w:t>
      </w:r>
      <w:r>
        <w:rPr>
          <w:rFonts w:hint="eastAsia" w:eastAsia="方正仿宋_GBK"/>
          <w:sz w:val="28"/>
          <w:lang w:val="uk-UA" w:eastAsia="zh-CN"/>
        </w:rPr>
        <w:t>县</w:t>
      </w:r>
      <w:r>
        <w:rPr>
          <w:rFonts w:hint="eastAsia" w:eastAsia="方正仿宋_GBK"/>
          <w:sz w:val="28"/>
          <w:lang w:val="uk-UA"/>
        </w:rPr>
        <w:t>部门预算的编制实行综合预算管理，即全部收入和支出都反映在预算中。中国共产党魏县委员会政法委员会机关及所属事业单位的收支包含在部门预算中。</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lang w:val="uk-UA"/>
        </w:rPr>
        <w:t>、收入说明：</w:t>
      </w:r>
      <w:r>
        <w:rPr>
          <w:rFonts w:eastAsia="方正仿宋_GBK"/>
          <w:sz w:val="28"/>
        </w:rPr>
        <w:t>2022</w:t>
      </w:r>
      <w:r>
        <w:rPr>
          <w:rFonts w:hint="eastAsia" w:eastAsia="方正仿宋_GBK"/>
          <w:sz w:val="28"/>
          <w:lang w:val="uk-UA"/>
        </w:rPr>
        <w:t>年收入预算共计</w:t>
      </w:r>
      <w:r>
        <w:rPr>
          <w:rFonts w:hint="eastAsia" w:eastAsia="方正仿宋_GBK"/>
          <w:sz w:val="28"/>
          <w:lang w:eastAsia="zh-CN"/>
        </w:rPr>
        <w:t>682.61</w:t>
      </w:r>
      <w:r>
        <w:rPr>
          <w:rFonts w:hint="eastAsia" w:eastAsia="方正仿宋_GBK"/>
          <w:sz w:val="28"/>
          <w:lang w:val="uk-UA"/>
        </w:rPr>
        <w:t>万元，全部为财政拨款收入。</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lang w:val="uk-UA"/>
        </w:rPr>
        <w:t>、支出说明：</w:t>
      </w:r>
      <w:r>
        <w:rPr>
          <w:rFonts w:eastAsia="方正仿宋_GBK"/>
          <w:sz w:val="28"/>
        </w:rPr>
        <w:t>2022</w:t>
      </w:r>
      <w:r>
        <w:rPr>
          <w:rFonts w:hint="eastAsia" w:eastAsia="方正仿宋_GBK"/>
          <w:sz w:val="28"/>
          <w:lang w:val="uk-UA"/>
        </w:rPr>
        <w:t>年支出预算共计</w:t>
      </w:r>
      <w:r>
        <w:rPr>
          <w:rFonts w:hint="eastAsia" w:eastAsia="方正仿宋_GBK"/>
          <w:sz w:val="28"/>
          <w:lang w:eastAsia="zh-CN"/>
        </w:rPr>
        <w:t>682.61</w:t>
      </w:r>
      <w:r>
        <w:rPr>
          <w:rFonts w:hint="eastAsia" w:eastAsia="方正仿宋_GBK"/>
          <w:sz w:val="28"/>
          <w:lang w:val="uk-UA"/>
        </w:rPr>
        <w:t>万元，其中人员经费支出预算</w:t>
      </w:r>
      <w:r>
        <w:rPr>
          <w:rFonts w:hint="eastAsia" w:eastAsia="方正仿宋_GBK"/>
          <w:sz w:val="28"/>
          <w:lang w:eastAsia="zh-CN"/>
        </w:rPr>
        <w:t>237.18</w:t>
      </w:r>
      <w:r>
        <w:rPr>
          <w:rFonts w:hint="eastAsia" w:eastAsia="方正仿宋_GBK"/>
          <w:sz w:val="28"/>
          <w:lang w:val="uk-UA"/>
        </w:rPr>
        <w:t>万元，日常公用经费支出预算</w:t>
      </w:r>
      <w:r>
        <w:rPr>
          <w:rFonts w:hint="eastAsia" w:eastAsia="方正仿宋_GBK"/>
          <w:sz w:val="28"/>
          <w:lang w:eastAsia="zh-CN"/>
        </w:rPr>
        <w:t>32.02</w:t>
      </w:r>
      <w:r>
        <w:rPr>
          <w:rFonts w:hint="eastAsia" w:eastAsia="方正仿宋_GBK"/>
          <w:sz w:val="28"/>
          <w:lang w:val="uk-UA"/>
        </w:rPr>
        <w:t>万元，项目支出</w:t>
      </w:r>
      <w:r>
        <w:rPr>
          <w:rFonts w:eastAsia="方正仿宋_GBK"/>
          <w:sz w:val="28"/>
        </w:rPr>
        <w:t>413.41</w:t>
      </w:r>
      <w:r>
        <w:rPr>
          <w:rFonts w:hint="eastAsia" w:eastAsia="方正仿宋_GBK"/>
          <w:sz w:val="28"/>
          <w:lang w:val="uk-UA"/>
        </w:rPr>
        <w:t>万元。</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lang w:val="uk-UA"/>
        </w:rPr>
        <w:t>、比上年增减情况：经过对比测算，</w:t>
      </w:r>
      <w:r>
        <w:rPr>
          <w:rFonts w:eastAsia="方正仿宋_GBK"/>
          <w:sz w:val="28"/>
        </w:rPr>
        <w:t>2022</w:t>
      </w:r>
      <w:r>
        <w:rPr>
          <w:rFonts w:hint="eastAsia" w:eastAsia="方正仿宋_GBK"/>
          <w:sz w:val="28"/>
          <w:lang w:val="uk-UA"/>
        </w:rPr>
        <w:t>年财政拨款预算比</w:t>
      </w:r>
      <w:r>
        <w:rPr>
          <w:rFonts w:eastAsia="方正仿宋_GBK"/>
          <w:sz w:val="28"/>
        </w:rPr>
        <w:t>2021</w:t>
      </w:r>
      <w:r>
        <w:rPr>
          <w:rFonts w:hint="eastAsia" w:eastAsia="方正仿宋_GBK"/>
          <w:sz w:val="28"/>
          <w:lang w:val="uk-UA"/>
        </w:rPr>
        <w:t>年增加</w:t>
      </w:r>
      <w:r>
        <w:rPr>
          <w:rFonts w:hint="eastAsia" w:eastAsia="方正仿宋_GBK"/>
          <w:sz w:val="28"/>
          <w:lang w:eastAsia="zh-CN"/>
        </w:rPr>
        <w:t>144.44</w:t>
      </w:r>
      <w:r>
        <w:rPr>
          <w:rFonts w:hint="eastAsia" w:eastAsia="方正仿宋_GBK"/>
          <w:sz w:val="28"/>
          <w:lang w:val="uk-UA"/>
        </w:rPr>
        <w:t>万元。其中：人员经费增加</w:t>
      </w:r>
      <w:r>
        <w:rPr>
          <w:rFonts w:eastAsia="方正仿宋_GBK"/>
          <w:sz w:val="28"/>
        </w:rPr>
        <w:t>29.4</w:t>
      </w:r>
      <w:r>
        <w:rPr>
          <w:rFonts w:hint="eastAsia" w:eastAsia="方正仿宋_GBK"/>
          <w:sz w:val="28"/>
          <w:lang w:eastAsia="zh-CN"/>
        </w:rPr>
        <w:t>2</w:t>
      </w:r>
      <w:r>
        <w:rPr>
          <w:rFonts w:hint="eastAsia" w:eastAsia="方正仿宋_GBK"/>
          <w:sz w:val="28"/>
          <w:lang w:val="uk-UA"/>
        </w:rPr>
        <w:t>万元，主要是人员增加、正常晋级、绩效工资调资增加；日常公用经费增加</w:t>
      </w:r>
      <w:r>
        <w:rPr>
          <w:rFonts w:eastAsia="方正仿宋_GBK"/>
          <w:sz w:val="28"/>
        </w:rPr>
        <w:t>2</w:t>
      </w:r>
      <w:r>
        <w:rPr>
          <w:rFonts w:hint="eastAsia" w:eastAsia="方正仿宋_GBK"/>
          <w:sz w:val="28"/>
          <w:lang w:val="uk-UA"/>
        </w:rPr>
        <w:t>万元，原因是人员增加相应安排公用经费增加；项目支出增加</w:t>
      </w:r>
      <w:r>
        <w:rPr>
          <w:rFonts w:eastAsia="方正仿宋_GBK"/>
          <w:sz w:val="28"/>
        </w:rPr>
        <w:t>100</w:t>
      </w:r>
      <w:r>
        <w:rPr>
          <w:rFonts w:hint="eastAsia" w:eastAsia="方正仿宋_GBK"/>
          <w:sz w:val="28"/>
          <w:lang w:val="uk-UA"/>
        </w:rPr>
        <w:t>万元，主要是维稳经费项目经费列入财政预算。</w:t>
      </w:r>
    </w:p>
    <w:p>
      <w:pPr>
        <w:pStyle w:val="18"/>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eastAsia="zh-CN"/>
        </w:rPr>
        <w:t>32.02</w:t>
      </w:r>
      <w:r>
        <w:t>万元，主要用于保证正常办公的基本需要和维持单位日常业务运转，包括：办公费、邮电费、差旅费、手续费、公务接待费、工会经费、离退休干部经费</w:t>
      </w:r>
      <w:r>
        <w:rPr>
          <w:rFonts w:hint="eastAsia"/>
          <w:lang w:eastAsia="zh-CN"/>
        </w:rPr>
        <w:t>等</w:t>
      </w:r>
      <w:r>
        <w:t>。</w:t>
      </w:r>
    </w:p>
    <w:p>
      <w:pPr>
        <w:spacing w:before="10" w:after="10" w:line="360" w:lineRule="auto"/>
        <w:ind w:firstLine="640"/>
        <w:outlineLvl w:val="2"/>
        <w:rPr>
          <w:lang w:eastAsia="zh-CN"/>
        </w:rPr>
      </w:pP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firstLine="600" w:firstLineChars="200"/>
        <w:rPr>
          <w:rFonts w:ascii="黑体" w:hAnsi="黑体" w:eastAsia="黑体" w:cs="黑体"/>
          <w:color w:val="000000"/>
          <w:sz w:val="32"/>
        </w:rPr>
      </w:pPr>
      <w:r>
        <w:rPr>
          <w:rFonts w:hint="eastAsia" w:ascii="宋体" w:hAnsi="宋体" w:cs="仿宋"/>
          <w:sz w:val="30"/>
          <w:szCs w:val="30"/>
        </w:rPr>
        <w:t>2022年，财政拨款</w:t>
      </w:r>
      <w:r>
        <w:rPr>
          <w:rFonts w:hint="eastAsia" w:ascii="方正兰亭超细黑简体" w:hAnsi="方正兰亭超细黑简体" w:cs="方正兰亭超细黑简体"/>
          <w:sz w:val="30"/>
          <w:szCs w:val="30"/>
        </w:rPr>
        <w:t>“</w:t>
      </w:r>
      <w:r>
        <w:rPr>
          <w:rFonts w:hint="eastAsia" w:ascii="宋体" w:hAnsi="宋体" w:cs="仿宋"/>
          <w:sz w:val="30"/>
          <w:szCs w:val="30"/>
        </w:rPr>
        <w:t>三公</w:t>
      </w:r>
      <w:r>
        <w:rPr>
          <w:rFonts w:hint="eastAsia" w:ascii="方正兰亭超细黑简体" w:hAnsi="方正兰亭超细黑简体" w:cs="方正兰亭超细黑简体"/>
          <w:sz w:val="30"/>
          <w:szCs w:val="30"/>
        </w:rPr>
        <w:t>”</w:t>
      </w:r>
      <w:r>
        <w:rPr>
          <w:rFonts w:hint="eastAsia" w:ascii="宋体" w:hAnsi="宋体" w:cs="仿宋"/>
          <w:sz w:val="30"/>
          <w:szCs w:val="30"/>
        </w:rPr>
        <w:t>经费预算安排0万元。与202</w:t>
      </w:r>
      <w:r>
        <w:rPr>
          <w:rFonts w:hint="eastAsia" w:ascii="宋体" w:hAnsi="宋体" w:cs="仿宋" w:eastAsiaTheme="minorEastAsia"/>
          <w:sz w:val="30"/>
          <w:szCs w:val="30"/>
          <w:lang w:eastAsia="zh-CN"/>
        </w:rPr>
        <w:t>1</w:t>
      </w:r>
      <w:r>
        <w:rPr>
          <w:rFonts w:hint="eastAsia" w:ascii="宋体" w:hAnsi="宋体" w:cs="仿宋"/>
          <w:sz w:val="30"/>
          <w:szCs w:val="30"/>
        </w:rPr>
        <w:t>年相比，公务接待费减少0.2万元，原因是我单位根据单位业务需要，未安排“三公”经费支出。</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lang w:val="uk-UA"/>
        </w:rPr>
        <w:t>第一部分 部门整体绩效目标</w:t>
      </w:r>
    </w:p>
    <w:p>
      <w:pPr>
        <w:spacing w:line="500" w:lineRule="exact"/>
        <w:ind w:firstLine="560"/>
      </w:pPr>
      <w:r>
        <w:rPr>
          <w:rFonts w:hint="eastAsia" w:eastAsia="方正仿宋_GBK"/>
          <w:color w:val="000000"/>
          <w:sz w:val="28"/>
          <w:lang w:val="uk-UA"/>
        </w:rPr>
        <w:t>（一）总体绩效目标</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lang w:val="uk-UA"/>
        </w:rPr>
        <w:t>、深入贯彻习近平新时代中国特色社会主义思想，坚持党对政法工作的绝对领导，</w:t>
      </w:r>
      <w:r>
        <w:rPr>
          <w:rFonts w:hint="eastAsia" w:eastAsia="方正仿宋_GBK"/>
          <w:sz w:val="28"/>
          <w:lang w:val="uk-UA" w:eastAsia="zh-CN"/>
        </w:rPr>
        <w:t>坚决维护习近平总书记党中央的核心</w:t>
      </w:r>
      <w:r>
        <w:rPr>
          <w:rFonts w:hint="eastAsia" w:eastAsia="方正仿宋_GBK"/>
          <w:sz w:val="28"/>
          <w:lang w:val="uk-UA"/>
        </w:rPr>
        <w:t>、全党的核心地位，坚决维护党中央权威和集中统一领导，深入贯彻党的路线方针政策和中央、省委、市委、县委的决策部署，统一全市政法单位思想和行动，确保全县政法单位坚定正确的政治方向。</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lang w:val="uk-UA"/>
        </w:rPr>
        <w:t>、对全县政法工作研究提出全局性部署，推进平安魏县、法治魏县建设，加强过硬队伍建设，深化智能化建设，坚决维护国家政治安全、确保社会大局稳定、促进社会公平正义、保障人民安居乐业。</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lang w:val="uk-UA"/>
        </w:rPr>
        <w:t>、了解掌握和分析研判政法工作情况动态，分析社会稳定形势，创新完善多部门参与的综治维稳工作机制，协调推动预防、化解影响稳定的社会矛盾和风险，协调应对和处置重大突发事件。</w:t>
      </w:r>
    </w:p>
    <w:p>
      <w:pPr>
        <w:spacing w:line="500" w:lineRule="exact"/>
        <w:ind w:firstLine="560" w:firstLineChars="200"/>
        <w:rPr>
          <w:rFonts w:eastAsia="方正仿宋_GBK"/>
          <w:sz w:val="28"/>
        </w:rPr>
      </w:pPr>
      <w:r>
        <w:rPr>
          <w:rFonts w:eastAsia="方正仿宋_GBK"/>
          <w:sz w:val="28"/>
        </w:rPr>
        <w:t>4</w:t>
      </w:r>
      <w:r>
        <w:rPr>
          <w:rFonts w:hint="eastAsia" w:eastAsia="方正仿宋_GBK"/>
          <w:sz w:val="28"/>
          <w:lang w:val="uk-UA"/>
        </w:rPr>
        <w:t>、加强对政法工作的督查，负责社会治安综合治理、维护社会稳定、反邪教有关法律法规政策的实施工作。</w:t>
      </w:r>
    </w:p>
    <w:p>
      <w:pPr>
        <w:spacing w:line="500" w:lineRule="exact"/>
        <w:ind w:firstLine="560" w:firstLineChars="200"/>
        <w:rPr>
          <w:rFonts w:eastAsia="方正仿宋_GBK"/>
          <w:sz w:val="28"/>
        </w:rPr>
      </w:pPr>
      <w:r>
        <w:rPr>
          <w:rFonts w:eastAsia="方正仿宋_GBK"/>
          <w:sz w:val="28"/>
        </w:rPr>
        <w:t>5</w:t>
      </w:r>
      <w:r>
        <w:rPr>
          <w:rFonts w:hint="eastAsia" w:eastAsia="方正仿宋_GBK"/>
          <w:sz w:val="28"/>
          <w:lang w:val="uk-UA"/>
        </w:rPr>
        <w:t>、组织开展政法领域的调查研究，研究拟订政法工作的重大措施，及时向县委提出建议。</w:t>
      </w:r>
    </w:p>
    <w:p>
      <w:pPr>
        <w:spacing w:line="500" w:lineRule="exact"/>
        <w:ind w:firstLine="560" w:firstLineChars="200"/>
        <w:rPr>
          <w:rFonts w:eastAsia="方正仿宋_GBK"/>
          <w:sz w:val="28"/>
        </w:rPr>
      </w:pPr>
      <w:r>
        <w:rPr>
          <w:rFonts w:eastAsia="方正仿宋_GBK"/>
          <w:sz w:val="28"/>
        </w:rPr>
        <w:t>6</w:t>
      </w:r>
      <w:r>
        <w:rPr>
          <w:rFonts w:hint="eastAsia" w:eastAsia="方正仿宋_GBK"/>
          <w:sz w:val="28"/>
          <w:lang w:val="uk-UA"/>
        </w:rPr>
        <w:t>、掌握分析政法舆情动态，指导协调政法单位媒体网络宣传工作，指导政法单位做好涉及政法工作的重大宣传工作。</w:t>
      </w:r>
    </w:p>
    <w:p>
      <w:pPr>
        <w:spacing w:line="500" w:lineRule="exact"/>
        <w:ind w:firstLine="560" w:firstLineChars="200"/>
        <w:rPr>
          <w:rFonts w:hAnsi="宋体"/>
          <w:sz w:val="28"/>
        </w:rPr>
      </w:pPr>
      <w:r>
        <w:rPr>
          <w:rFonts w:hint="eastAsia" w:eastAsia="方正仿宋_GBK"/>
          <w:sz w:val="28"/>
          <w:lang w:val="uk-UA"/>
        </w:rPr>
        <w:t>（二）分项绩效目标</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lang w:val="uk-UA"/>
        </w:rPr>
        <w:t>、综合一科。协助领导了解掌握全县政法工作全面情况。督查督办中央和省委、市委、县委关于政法工作决策部署的贯彻落实情况。负责机关文电、会务、机要、档案、财务劳资、职工福利、后勤保障、固定资产管理、保密、安全等行政管理工作。负责内外联系与综合协调工作。承担对外交流与合作工作。负责机关政务公开工作。负责机关离退休干部服务管理工作。统筹全县政法系统信息化工作，制定发展战略、总体规划、阶段目标。组织全县政法系统信息化基础性、公共性设施项目规划、建设。指导政法智能化建设，协调政法网与其他电子政务系统融合发展。指导全县政法网信息安全保障体系建设，协调信息安全应急处置工作。负责县委政法委机关信息化项目建设和运维工作。研究全县政法工作重大政策和关系政法工作全局的重大事项，提出对策建议。调查掌握全县政法工作动态和社会治安、社会稳定、反邪教形势，提出工作建议。指导协调全县政法调研工作，组织重大课题研究。承担县委政法委主要负责同志调研和文稿服务工作，承担涉及政法工作综合性文稿事务。指导协调政法等单位维护政治安全工作。指导协调政法系统加强全县政治安全工作的调查研究，掌握一定时期内政治安全情况动态，提出工作建议和意见。指导政法等单位搜集、研判影响政治安全的情报信息，对重大隐患风险进行监测预警。统筹协调指导社会稳定工作，分析研判社会稳定形势，组织开展社会稳定风险防控、危险管控。统筹协调和督导政法等单位排查、化解影响社会稳定的重大隐患风险。掌握、研判、处理重大敌情、社情、警情等要情信息，协调相关部门共同做好防范、化解和治理工作。</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lang w:val="uk-UA"/>
        </w:rPr>
        <w:t>、综合二科。配合县委干部主管部门，研究提出加强全县政法队伍建设的意见措施。负责了解政法单位领导班子的能力建设，掌握岗位履职情况，指导和推动党的有关干部政策规定的贯彻落实。指导全县政法系统组织开展政治督察，推动政法队伍纪律作风、廉政建设和警示教育。指导政法系统人才队伍建设，配合有关部门办理全县政法系统功勋荣誉表彰有关工作。组织协调政法舆情的监控分析，研究全县影响国家安全和社会稳定的舆论情况和信息，提出对策建议。加强政法新媒体规范管理和网评队伍建设，综合协调政法舆情应对处置工作。协助县委主管部门做好全县政法领域重大案（事）件的舆论引导工作。负责全县政法系统的思想政治教育工作，承办综合协调政法系统宣传工作及先进典型培树。负责全县政法系统重大活动的宣传工作。指导全县政法系统政法文化工作。指导全县政法系统组织开展政治轮训和教育培训工作，组织机关的教育培训工作。督促政法单位落实教育培训计划、抓好业务学习和岗位练兵。负责机关党建、干部管理工作；负责机关党风廉政建设工作。调查研究全县涉邪教问题，了解掌握邪教和对社会有危害气功组织的情况，分析研判形势，提出建议。协调推动各相关部门做好反邪教工作，统筹部署开展重大专项斗争活动。</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lang w:val="uk-UA"/>
        </w:rPr>
        <w:t>、综合三科。调查分析全县社会治安形势并提出建议。指导落实社会治安综合治理领导责任制，承担社会治安综合治理工作的组织协调、督导检查和综合考评。指导协调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协调推进基层社会治安综合治理体系建设，推动开展基层平安创建活动。指导协调推动全县各级综治中心建设、深化拓展网格化服务管理，完善乡镇（街道）、村（社区）综治维稳机制。指导协调公用设施和重要基础设施安全防护、护路护线联防、校园和医院及周边社会治安综合治理工作。统筹指导和协调推动全县见义勇为工作。调查研究非公有制经济组织、社会组织服务管理有关问题并提出建议。研究完善群众利益协调机制，组织协调矛盾纠纷多元化解工作。研究法治魏县建设中有关重大问题，提出建议。掌握全县政法改革情况，组织研究带有方向性、倾向性和普遍性的重大问题，提出建议。承办联系县委全面依法治县委员会办公室、县委全面深化改革委员会有关具体工作。监督检查全县政法单位执行党的路线方针政策和国家法律法规的情况，调查分析和及时纠正存在的倾向性问题，研究制定相关措施。指导推动全县政法单位建立健全执法监督制度，针对突出问题组织开展专项检查和专项治理。监督和支持政法单位依法履行职责、行使职权，督促依法及时办理有重大影响、群众反映强烈的案件。指导协调中央政法委、省委政法委、市委政法委、县委交办案（事）件和需要县委政法委统筹研究把握原则政策的重大敏感案（事）件的依法处理工作。协调处理涉法涉诉信访工作。</w:t>
      </w:r>
    </w:p>
    <w:p>
      <w:pPr>
        <w:spacing w:line="500" w:lineRule="exact"/>
        <w:ind w:firstLine="560" w:firstLineChars="200"/>
        <w:rPr>
          <w:rFonts w:hAnsi="宋体"/>
          <w:sz w:val="28"/>
        </w:rPr>
      </w:pPr>
      <w:r>
        <w:rPr>
          <w:rFonts w:hint="eastAsia" w:eastAsia="方正仿宋_GBK"/>
          <w:sz w:val="28"/>
          <w:lang w:val="uk-UA"/>
        </w:rPr>
        <w:t>（三）工作保障措施</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lang w:val="uk-UA"/>
        </w:rPr>
        <w:t>、在维护群众利益上下功夫，牢牢把握执法为民的这个核心。以人为本，执法为民，从根本上维护人民的合法权益，牢固执法为民的思想根基，切实把人民群众最期盼、最迫切、最急需解决的民生问题作为加强和改进政法工作的切入点、着力点，自觉从人民最满意的事情做起从人民最不满意的问题改，关注民生、保障民生、改善民生，努力赢得群众的拥护和支持。</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lang w:val="uk-UA"/>
        </w:rPr>
        <w:t>、在社会稳定上下功夫，深入推进平安和谐建设。一是有效化解内部矛盾。针对当前人民内部矛盾凸显的新形势，加强调查研究，总结推广经验。二是突出抓好对敌斗争。加强对国家安全工作、反邪教和反恐工作的领导，加强和改进情报信息和侦查工作。三是重点解决突出矛盾。妥善处理涉法涉诉信访工作，深入开展政法各部门大接访工作活动，采取包案、挂牌督办、部门联动、责任追究等有效措施。</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lang w:val="uk-UA"/>
        </w:rPr>
        <w:t>、规范执法行为上下功夫，大力促进政法工作科学发展，一是对涉及民生的涉法涉诉案件加强监督指导，要解决好，切实做到息诉罢访，案结事了。二是规范执法行为，对政法各部门执法活动中存在的普遍性、倾向性问题，对群众反映强烈的问题或在执法检查中发现的突出问题，一定要加大力度解决，限期整改、完善执法。三是加大监督力度。四是提升工作效能。</w:t>
      </w:r>
    </w:p>
    <w:p>
      <w:pPr>
        <w:spacing w:line="500" w:lineRule="exact"/>
        <w:ind w:firstLine="560" w:firstLineChars="200"/>
        <w:rPr>
          <w:rFonts w:eastAsia="方正仿宋_GBK"/>
          <w:lang w:eastAsia="zh-CN"/>
        </w:rPr>
        <w:sectPr>
          <w:pgSz w:w="16840" w:h="11900" w:orient="landscape"/>
          <w:pgMar w:top="1361" w:right="1020" w:bottom="1361" w:left="1020" w:header="720" w:footer="720" w:gutter="0"/>
          <w:pgNumType w:fmt="decimal"/>
          <w:cols w:space="720" w:num="1"/>
        </w:sectPr>
      </w:pPr>
      <w:r>
        <w:rPr>
          <w:rFonts w:eastAsia="方正仿宋_GBK"/>
          <w:sz w:val="28"/>
        </w:rPr>
        <w:t>4</w:t>
      </w:r>
      <w:r>
        <w:rPr>
          <w:rFonts w:hint="eastAsia" w:eastAsia="方正仿宋_GBK"/>
          <w:sz w:val="28"/>
          <w:lang w:val="uk-UA"/>
        </w:rPr>
        <w:t>、提高政法队伍素质建设，倾力打造风清气正的政法队伍。加强深化政法队伍的学习教育活动，深入开展社会主义法治理念教育，为促进司法公正奠定坚实的思想基础。政法部门特别是领导干部，坚持做到讲大局，讲付出，将实干，特别讲纪律，努力打造一支政治坚定、业务精通、作风优良、执法公正的政法队伍</w:t>
      </w:r>
      <w:r>
        <w:rPr>
          <w:rFonts w:hint="eastAsia" w:eastAsia="方正仿宋_GBK"/>
          <w:sz w:val="28"/>
          <w:lang w:eastAsia="zh-CN"/>
        </w:rPr>
        <w:t>。</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p>
    <w:p>
      <w:pPr>
        <w:ind w:firstLine="640"/>
        <w:rPr>
          <w:sz w:val="28"/>
          <w:szCs w:val="28"/>
          <w:lang w:eastAsia="zh-CN"/>
        </w:rPr>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color w:val="000000"/>
          <w:sz w:val="28"/>
          <w:szCs w:val="28"/>
          <w:lang w:eastAsia="zh-CN"/>
        </w:rPr>
        <w:t>我单位未安排专项资金预算，此项不涉及。</w:t>
      </w:r>
    </w:p>
    <w:p>
      <w:pPr>
        <w:numPr>
          <w:ilvl w:val="0"/>
          <w:numId w:val="1"/>
        </w:numPr>
        <w:ind w:firstLine="472" w:firstLineChars="14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rPr>
          <w:rFonts w:hint="eastAsia" w:ascii="方正楷体_GBK" w:hAnsi="方正楷体_GBK" w:eastAsia="方正楷体_GBK" w:cs="方正楷体_GBK"/>
          <w:b/>
          <w:color w:val="000000"/>
          <w:sz w:val="32"/>
          <w:lang w:eastAsia="zh-CN"/>
        </w:rPr>
      </w:pPr>
    </w:p>
    <w:p>
      <w:pPr>
        <w:ind w:firstLine="413" w:firstLineChars="147"/>
      </w:pPr>
      <w:r>
        <w:rPr>
          <w:rFonts w:ascii="方正仿宋_GBK" w:hAnsi="方正仿宋_GBK" w:eastAsia="方正仿宋_GBK" w:cs="方正仿宋_GBK"/>
          <w:b/>
          <w:color w:val="000000"/>
          <w:sz w:val="28"/>
        </w:rPr>
        <w:t>1、2022年法学会工作经费绩效目标表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1.目标内容1，法学会9月底前召开，参与人数达到200人，懂法守法护法能力明显提升，经费支出达到95%。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法学会参与人数</w:t>
            </w:r>
          </w:p>
        </w:tc>
        <w:tc>
          <w:tcPr>
            <w:tcW w:w="2835" w:type="dxa"/>
            <w:vAlign w:val="center"/>
          </w:tcPr>
          <w:p>
            <w:pPr>
              <w:pStyle w:val="12"/>
            </w:pPr>
            <w:r>
              <w:t>按照法学会实施方案，法学会参与人数达到200人。</w:t>
            </w:r>
          </w:p>
        </w:tc>
        <w:tc>
          <w:tcPr>
            <w:tcW w:w="2551" w:type="dxa"/>
            <w:vAlign w:val="center"/>
          </w:tcPr>
          <w:p>
            <w:pPr>
              <w:pStyle w:val="12"/>
            </w:pPr>
            <w:r>
              <w:t>≥200人</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法学会质量</w:t>
            </w:r>
          </w:p>
        </w:tc>
        <w:tc>
          <w:tcPr>
            <w:tcW w:w="2835" w:type="dxa"/>
            <w:vAlign w:val="center"/>
          </w:tcPr>
          <w:p>
            <w:pPr>
              <w:pStyle w:val="12"/>
            </w:pPr>
            <w:r>
              <w:t>按照法学会工作方案，执法人员懂法、守法、护法率提升到85%</w:t>
            </w:r>
          </w:p>
        </w:tc>
        <w:tc>
          <w:tcPr>
            <w:tcW w:w="2551" w:type="dxa"/>
            <w:vAlign w:val="center"/>
          </w:tcPr>
          <w:p>
            <w:pPr>
              <w:pStyle w:val="12"/>
            </w:pPr>
            <w:r>
              <w:t>≥85%</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召开时间</w:t>
            </w:r>
          </w:p>
        </w:tc>
        <w:tc>
          <w:tcPr>
            <w:tcW w:w="2835" w:type="dxa"/>
            <w:vAlign w:val="center"/>
          </w:tcPr>
          <w:p>
            <w:pPr>
              <w:pStyle w:val="12"/>
            </w:pPr>
            <w:r>
              <w:t>按照法学会实施方案，9月底前完成。</w:t>
            </w:r>
          </w:p>
        </w:tc>
        <w:tc>
          <w:tcPr>
            <w:tcW w:w="2551" w:type="dxa"/>
            <w:vAlign w:val="center"/>
          </w:tcPr>
          <w:p>
            <w:pPr>
              <w:pStyle w:val="12"/>
            </w:pPr>
            <w:r>
              <w:t>99月底</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法学会经费保障</w:t>
            </w:r>
          </w:p>
        </w:tc>
        <w:tc>
          <w:tcPr>
            <w:tcW w:w="2551" w:type="dxa"/>
            <w:vAlign w:val="center"/>
          </w:tcPr>
          <w:p>
            <w:pPr>
              <w:pStyle w:val="12"/>
            </w:pPr>
            <w:r>
              <w:t>10万元</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开展法学会、执法人员用法能力，确保社会经济高质量发展增长达到25%</w:t>
            </w:r>
          </w:p>
        </w:tc>
        <w:tc>
          <w:tcPr>
            <w:tcW w:w="2551" w:type="dxa"/>
            <w:vAlign w:val="center"/>
          </w:tcPr>
          <w:p>
            <w:pPr>
              <w:pStyle w:val="12"/>
            </w:pPr>
            <w:r>
              <w:t>≥25%</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立体化社会治安防控体系覆盖率(%)</w:t>
            </w:r>
          </w:p>
        </w:tc>
        <w:tc>
          <w:tcPr>
            <w:tcW w:w="2551" w:type="dxa"/>
            <w:vAlign w:val="center"/>
          </w:tcPr>
          <w:p>
            <w:pPr>
              <w:pStyle w:val="12"/>
            </w:pPr>
            <w:r>
              <w:t>≥90%</w:t>
            </w:r>
          </w:p>
        </w:tc>
        <w:tc>
          <w:tcPr>
            <w:tcW w:w="2268"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2、2022年信访维稳经费绩效目标表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1.目标内容1开展信访工作，接访次数达到10次，信访群众满意度达到90%，接访处理时间不超过48小时，保障信访经费支出达到100%。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2835" w:type="dxa"/>
            <w:vAlign w:val="center"/>
          </w:tcPr>
          <w:p>
            <w:pPr>
              <w:pStyle w:val="12"/>
            </w:pPr>
            <w:r>
              <w:t>接待群众上访次数</w:t>
            </w:r>
          </w:p>
        </w:tc>
        <w:tc>
          <w:tcPr>
            <w:tcW w:w="2551" w:type="dxa"/>
            <w:vAlign w:val="center"/>
          </w:tcPr>
          <w:p>
            <w:pPr>
              <w:pStyle w:val="12"/>
            </w:pPr>
            <w:r>
              <w:t>≥10次</w:t>
            </w:r>
          </w:p>
        </w:tc>
        <w:tc>
          <w:tcPr>
            <w:tcW w:w="2268" w:type="dxa"/>
            <w:vAlign w:val="center"/>
          </w:tcPr>
          <w:p>
            <w:pPr>
              <w:pStyle w:val="12"/>
            </w:pPr>
            <w:r>
              <w:t>根据实际接访要求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协商信访案件</w:t>
            </w:r>
          </w:p>
        </w:tc>
        <w:tc>
          <w:tcPr>
            <w:tcW w:w="2835" w:type="dxa"/>
            <w:vAlign w:val="center"/>
          </w:tcPr>
          <w:p>
            <w:pPr>
              <w:pStyle w:val="12"/>
            </w:pPr>
            <w:r>
              <w:t>按照信访工作要求，解决信访案件质量达到</w:t>
            </w:r>
          </w:p>
        </w:tc>
        <w:tc>
          <w:tcPr>
            <w:tcW w:w="2551" w:type="dxa"/>
            <w:vAlign w:val="center"/>
          </w:tcPr>
          <w:p>
            <w:pPr>
              <w:pStyle w:val="12"/>
            </w:pPr>
            <w:r>
              <w:t>≥90%</w:t>
            </w:r>
          </w:p>
        </w:tc>
        <w:tc>
          <w:tcPr>
            <w:tcW w:w="2268" w:type="dxa"/>
            <w:vAlign w:val="center"/>
          </w:tcPr>
          <w:p>
            <w:pPr>
              <w:pStyle w:val="12"/>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信访、个体访处理时间</w:t>
            </w:r>
          </w:p>
        </w:tc>
        <w:tc>
          <w:tcPr>
            <w:tcW w:w="2835" w:type="dxa"/>
            <w:vAlign w:val="center"/>
          </w:tcPr>
          <w:p>
            <w:pPr>
              <w:pStyle w:val="12"/>
            </w:pPr>
            <w:r>
              <w:t>信访、个体访处理时间</w:t>
            </w:r>
          </w:p>
        </w:tc>
        <w:tc>
          <w:tcPr>
            <w:tcW w:w="2551" w:type="dxa"/>
            <w:vAlign w:val="center"/>
          </w:tcPr>
          <w:p>
            <w:pPr>
              <w:pStyle w:val="12"/>
            </w:pPr>
            <w:r>
              <w:t>≤48小时</w:t>
            </w:r>
          </w:p>
        </w:tc>
        <w:tc>
          <w:tcPr>
            <w:tcW w:w="2268" w:type="dxa"/>
            <w:vAlign w:val="center"/>
          </w:tcPr>
          <w:p>
            <w:pPr>
              <w:pStyle w:val="12"/>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信访经费</w:t>
            </w:r>
          </w:p>
        </w:tc>
        <w:tc>
          <w:tcPr>
            <w:tcW w:w="2835" w:type="dxa"/>
            <w:vAlign w:val="center"/>
          </w:tcPr>
          <w:p>
            <w:pPr>
              <w:pStyle w:val="12"/>
            </w:pPr>
            <w:r>
              <w:t>信访工作经费保障</w:t>
            </w:r>
          </w:p>
        </w:tc>
        <w:tc>
          <w:tcPr>
            <w:tcW w:w="2551" w:type="dxa"/>
            <w:vAlign w:val="center"/>
          </w:tcPr>
          <w:p>
            <w:pPr>
              <w:pStyle w:val="12"/>
            </w:pPr>
            <w:r>
              <w:t>≤100万元</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信访转诉案件结案率</w:t>
            </w:r>
          </w:p>
        </w:tc>
        <w:tc>
          <w:tcPr>
            <w:tcW w:w="2835" w:type="dxa"/>
            <w:vAlign w:val="center"/>
          </w:tcPr>
          <w:p>
            <w:pPr>
              <w:pStyle w:val="12"/>
            </w:pPr>
            <w:r>
              <w:t>信访转诉案件结案率</w:t>
            </w:r>
          </w:p>
        </w:tc>
        <w:tc>
          <w:tcPr>
            <w:tcW w:w="2551" w:type="dxa"/>
            <w:vAlign w:val="center"/>
          </w:tcPr>
          <w:p>
            <w:pPr>
              <w:pStyle w:val="12"/>
            </w:pPr>
            <w:r>
              <w:t>≥90%</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w:t>
            </w:r>
          </w:p>
        </w:tc>
        <w:tc>
          <w:tcPr>
            <w:tcW w:w="2835" w:type="dxa"/>
            <w:vAlign w:val="center"/>
          </w:tcPr>
          <w:p>
            <w:pPr>
              <w:pStyle w:val="12"/>
            </w:pPr>
            <w:r>
              <w:t>信访社会影响率</w:t>
            </w:r>
          </w:p>
        </w:tc>
        <w:tc>
          <w:tcPr>
            <w:tcW w:w="2551" w:type="dxa"/>
            <w:vAlign w:val="center"/>
          </w:tcPr>
          <w:p>
            <w:pPr>
              <w:pStyle w:val="12"/>
            </w:pPr>
            <w:r>
              <w:t>≤10%</w:t>
            </w:r>
          </w:p>
        </w:tc>
        <w:tc>
          <w:tcPr>
            <w:tcW w:w="2268" w:type="dxa"/>
            <w:vAlign w:val="center"/>
          </w:tcPr>
          <w:p>
            <w:pPr>
              <w:pStyle w:val="12"/>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≥85%</w:t>
            </w:r>
          </w:p>
        </w:tc>
        <w:tc>
          <w:tcPr>
            <w:tcW w:w="2268" w:type="dxa"/>
            <w:vAlign w:val="center"/>
          </w:tcPr>
          <w:p>
            <w:pPr>
              <w:pStyle w:val="12"/>
            </w:pPr>
            <w:r>
              <w:t>按照接访次数</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3、2022年综治手机APP卡和IP账户租赁费绩效目标表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1.目标内容1实现全县22个乡镇街道办2022年综治手机APP卡和IP账户能够正常使用，租赁费</w:t>
            </w:r>
            <w:r>
              <w:tab/>
            </w:r>
            <w:r>
              <w:t>54.72万元能够及时支付，支付率达到98%。</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综治手机APP覆盖数量</w:t>
            </w:r>
          </w:p>
        </w:tc>
        <w:tc>
          <w:tcPr>
            <w:tcW w:w="2551" w:type="dxa"/>
            <w:vAlign w:val="center"/>
          </w:tcPr>
          <w:p>
            <w:pPr>
              <w:pStyle w:val="12"/>
            </w:pPr>
            <w:r>
              <w:t>22个乡镇</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综治手机APP信号质量</w:t>
            </w:r>
          </w:p>
        </w:tc>
        <w:tc>
          <w:tcPr>
            <w:tcW w:w="2835" w:type="dxa"/>
            <w:vAlign w:val="center"/>
          </w:tcPr>
          <w:p>
            <w:pPr>
              <w:pStyle w:val="12"/>
            </w:pPr>
            <w:r>
              <w:t>综治手机APP信号传输质量</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信号传输时效</w:t>
            </w:r>
          </w:p>
        </w:tc>
        <w:tc>
          <w:tcPr>
            <w:tcW w:w="2835" w:type="dxa"/>
            <w:vAlign w:val="center"/>
          </w:tcPr>
          <w:p>
            <w:pPr>
              <w:pStyle w:val="12"/>
            </w:pPr>
            <w:r>
              <w:t>综治手机APP信号传输时效</w:t>
            </w:r>
          </w:p>
        </w:tc>
        <w:tc>
          <w:tcPr>
            <w:tcW w:w="2551" w:type="dxa"/>
            <w:vAlign w:val="center"/>
          </w:tcPr>
          <w:p>
            <w:pPr>
              <w:pStyle w:val="12"/>
            </w:pPr>
            <w:r>
              <w:t>≥5秒</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光纤租赁成本</w:t>
            </w:r>
          </w:p>
        </w:tc>
        <w:tc>
          <w:tcPr>
            <w:tcW w:w="2835" w:type="dxa"/>
            <w:vAlign w:val="center"/>
          </w:tcPr>
          <w:p>
            <w:pPr>
              <w:pStyle w:val="12"/>
            </w:pPr>
            <w:r>
              <w:t>综治手机APP账户租赁成本</w:t>
            </w:r>
          </w:p>
        </w:tc>
        <w:tc>
          <w:tcPr>
            <w:tcW w:w="2551" w:type="dxa"/>
            <w:vAlign w:val="center"/>
          </w:tcPr>
          <w:p>
            <w:pPr>
              <w:pStyle w:val="12"/>
            </w:pPr>
            <w:r>
              <w:t>54.72万元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综治手机运用，减少案件发生率，减少经济损失</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正常运行，不良因素减少，社会效益提升</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4、2022年国家司法救助资金绩效目标表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1.目标内容1，完成司法困难救助人数达到10人次，确保15天将救助金发放到位。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救助次数</w:t>
            </w:r>
          </w:p>
        </w:tc>
        <w:tc>
          <w:tcPr>
            <w:tcW w:w="2835" w:type="dxa"/>
            <w:vAlign w:val="center"/>
          </w:tcPr>
          <w:p>
            <w:pPr>
              <w:pStyle w:val="12"/>
            </w:pPr>
            <w:r>
              <w:t>根据实际情况，完成司法救助次数。</w:t>
            </w:r>
          </w:p>
        </w:tc>
        <w:tc>
          <w:tcPr>
            <w:tcW w:w="2551" w:type="dxa"/>
            <w:vAlign w:val="center"/>
          </w:tcPr>
          <w:p>
            <w:pPr>
              <w:pStyle w:val="12"/>
            </w:pPr>
            <w:r>
              <w:t>10次</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救助质量</w:t>
            </w:r>
          </w:p>
        </w:tc>
        <w:tc>
          <w:tcPr>
            <w:tcW w:w="2835" w:type="dxa"/>
            <w:vAlign w:val="center"/>
          </w:tcPr>
          <w:p>
            <w:pPr>
              <w:pStyle w:val="12"/>
            </w:pPr>
            <w:r>
              <w:t>按照司法救助程序，严格救助质量，确保困难人员及时达到救助。</w:t>
            </w:r>
          </w:p>
        </w:tc>
        <w:tc>
          <w:tcPr>
            <w:tcW w:w="2551" w:type="dxa"/>
            <w:vAlign w:val="center"/>
          </w:tcPr>
          <w:p>
            <w:pPr>
              <w:pStyle w:val="12"/>
            </w:pPr>
            <w:r>
              <w:t>≥95%</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救助时效</w:t>
            </w:r>
          </w:p>
        </w:tc>
        <w:tc>
          <w:tcPr>
            <w:tcW w:w="2835" w:type="dxa"/>
            <w:vAlign w:val="center"/>
          </w:tcPr>
          <w:p>
            <w:pPr>
              <w:pStyle w:val="12"/>
            </w:pPr>
            <w:r>
              <w:t>按照案结时间，在规定的时间内给予司法救助。</w:t>
            </w:r>
          </w:p>
        </w:tc>
        <w:tc>
          <w:tcPr>
            <w:tcW w:w="2551" w:type="dxa"/>
            <w:vAlign w:val="center"/>
          </w:tcPr>
          <w:p>
            <w:pPr>
              <w:pStyle w:val="12"/>
            </w:pPr>
            <w:r>
              <w:t>≤15天</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司法救助成本</w:t>
            </w:r>
          </w:p>
        </w:tc>
        <w:tc>
          <w:tcPr>
            <w:tcW w:w="2835" w:type="dxa"/>
            <w:vAlign w:val="center"/>
          </w:tcPr>
          <w:p>
            <w:pPr>
              <w:pStyle w:val="12"/>
            </w:pPr>
            <w:r>
              <w:t>根据案件大小，合理安排司法救助金。</w:t>
            </w:r>
          </w:p>
        </w:tc>
        <w:tc>
          <w:tcPr>
            <w:tcW w:w="2551" w:type="dxa"/>
            <w:vAlign w:val="center"/>
          </w:tcPr>
          <w:p>
            <w:pPr>
              <w:pStyle w:val="12"/>
            </w:pPr>
            <w:r>
              <w:t>50万元</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及时支付救助金，提高救助人经济水平。</w:t>
            </w:r>
          </w:p>
        </w:tc>
        <w:tc>
          <w:tcPr>
            <w:tcW w:w="2551" w:type="dxa"/>
            <w:vAlign w:val="center"/>
          </w:tcPr>
          <w:p>
            <w:pPr>
              <w:pStyle w:val="12"/>
            </w:pPr>
            <w:r>
              <w:t>≥95%</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严格执法，公正严明，社会影响较好。</w:t>
            </w:r>
          </w:p>
        </w:tc>
        <w:tc>
          <w:tcPr>
            <w:tcW w:w="2551" w:type="dxa"/>
            <w:vAlign w:val="center"/>
          </w:tcPr>
          <w:p>
            <w:pPr>
              <w:pStyle w:val="12"/>
            </w:pPr>
            <w:r>
              <w:t>≥90%</w:t>
            </w:r>
          </w:p>
        </w:tc>
        <w:tc>
          <w:tcPr>
            <w:tcW w:w="2268" w:type="dxa"/>
            <w:vAlign w:val="center"/>
          </w:tcPr>
          <w:p>
            <w:pPr>
              <w:pStyle w:val="12"/>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救助对象满意度</w:t>
            </w:r>
          </w:p>
        </w:tc>
        <w:tc>
          <w:tcPr>
            <w:tcW w:w="2551" w:type="dxa"/>
            <w:vAlign w:val="center"/>
          </w:tcPr>
          <w:p>
            <w:pPr>
              <w:pStyle w:val="12"/>
            </w:pPr>
            <w:r>
              <w:t>≥90%</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5、2022年见义勇为基金绩效目标表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1.目标内容1让见义勇先进个人达到5人次，15天内奖励金发放到位，发放率达到100%。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见义勇为人数</w:t>
            </w:r>
          </w:p>
        </w:tc>
        <w:tc>
          <w:tcPr>
            <w:tcW w:w="2835" w:type="dxa"/>
            <w:vAlign w:val="center"/>
          </w:tcPr>
          <w:p>
            <w:pPr>
              <w:pStyle w:val="12"/>
            </w:pPr>
            <w:r>
              <w:t>根据见义勇为事迹确定人数</w:t>
            </w:r>
          </w:p>
        </w:tc>
        <w:tc>
          <w:tcPr>
            <w:tcW w:w="2551" w:type="dxa"/>
            <w:vAlign w:val="center"/>
          </w:tcPr>
          <w:p>
            <w:pPr>
              <w:pStyle w:val="12"/>
            </w:pPr>
            <w:r>
              <w:t>≤5人</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2835" w:type="dxa"/>
            <w:vAlign w:val="center"/>
          </w:tcPr>
          <w:p>
            <w:pPr>
              <w:pStyle w:val="12"/>
            </w:pPr>
            <w:r>
              <w:t>奖励金发放质量</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发放时限</w:t>
            </w:r>
          </w:p>
        </w:tc>
        <w:tc>
          <w:tcPr>
            <w:tcW w:w="2835" w:type="dxa"/>
            <w:vAlign w:val="center"/>
          </w:tcPr>
          <w:p>
            <w:pPr>
              <w:pStyle w:val="12"/>
            </w:pPr>
            <w:r>
              <w:t>奖励金发放时限</w:t>
            </w:r>
          </w:p>
        </w:tc>
        <w:tc>
          <w:tcPr>
            <w:tcW w:w="2551" w:type="dxa"/>
            <w:vAlign w:val="center"/>
          </w:tcPr>
          <w:p>
            <w:pPr>
              <w:pStyle w:val="12"/>
            </w:pPr>
            <w:r>
              <w:t>≤15天</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发放成本</w:t>
            </w:r>
          </w:p>
        </w:tc>
        <w:tc>
          <w:tcPr>
            <w:tcW w:w="2835" w:type="dxa"/>
            <w:vAlign w:val="center"/>
          </w:tcPr>
          <w:p>
            <w:pPr>
              <w:pStyle w:val="12"/>
            </w:pPr>
            <w:r>
              <w:t>见义勇为基金成本</w:t>
            </w:r>
          </w:p>
        </w:tc>
        <w:tc>
          <w:tcPr>
            <w:tcW w:w="2551" w:type="dxa"/>
            <w:vAlign w:val="center"/>
          </w:tcPr>
          <w:p>
            <w:pPr>
              <w:pStyle w:val="12"/>
            </w:pPr>
            <w:r>
              <w:t>5万元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给见义勇为个人带来的经济效益</w:t>
            </w:r>
          </w:p>
        </w:tc>
        <w:tc>
          <w:tcPr>
            <w:tcW w:w="2551" w:type="dxa"/>
            <w:vAlign w:val="center"/>
          </w:tcPr>
          <w:p>
            <w:pPr>
              <w:pStyle w:val="12"/>
            </w:pPr>
            <w:r>
              <w:t>≤1万元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见义勇为人员奖励、帮扶覆盖率(</w:t>
            </w:r>
          </w:p>
        </w:tc>
        <w:tc>
          <w:tcPr>
            <w:tcW w:w="2835" w:type="dxa"/>
            <w:vAlign w:val="center"/>
          </w:tcPr>
          <w:p>
            <w:pPr>
              <w:pStyle w:val="12"/>
            </w:pPr>
            <w:r>
              <w:t>见义勇为人员奖励、帮扶覆盖率(%)</w:t>
            </w:r>
          </w:p>
        </w:tc>
        <w:tc>
          <w:tcPr>
            <w:tcW w:w="2551" w:type="dxa"/>
            <w:vAlign w:val="center"/>
          </w:tcPr>
          <w:p>
            <w:pPr>
              <w:pStyle w:val="12"/>
            </w:pPr>
            <w:r>
              <w:t>≥98%</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6、2022年扫黑除恶经费绩效目标表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1.目标内容1，扫黑除恶次数达到20次，案件侦破率达到95%，年度工作能够顺利完成，经费保障到位，支出达到98%。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出警次数</w:t>
            </w:r>
          </w:p>
        </w:tc>
        <w:tc>
          <w:tcPr>
            <w:tcW w:w="2835" w:type="dxa"/>
            <w:vAlign w:val="center"/>
          </w:tcPr>
          <w:p>
            <w:pPr>
              <w:pStyle w:val="12"/>
            </w:pPr>
            <w:r>
              <w:t>根据实际情况，完成扫黑除恶次数。</w:t>
            </w:r>
          </w:p>
        </w:tc>
        <w:tc>
          <w:tcPr>
            <w:tcW w:w="2551" w:type="dxa"/>
            <w:vAlign w:val="center"/>
          </w:tcPr>
          <w:p>
            <w:pPr>
              <w:pStyle w:val="12"/>
            </w:pPr>
            <w:r>
              <w:t>20次</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扫黑质量</w:t>
            </w:r>
          </w:p>
        </w:tc>
        <w:tc>
          <w:tcPr>
            <w:tcW w:w="2835" w:type="dxa"/>
            <w:vAlign w:val="center"/>
          </w:tcPr>
          <w:p>
            <w:pPr>
              <w:pStyle w:val="12"/>
            </w:pPr>
            <w:r>
              <w:t>根据案件性质，深挖涉案人员，案件质量提升。</w:t>
            </w:r>
          </w:p>
        </w:tc>
        <w:tc>
          <w:tcPr>
            <w:tcW w:w="2551" w:type="dxa"/>
            <w:vAlign w:val="center"/>
          </w:tcPr>
          <w:p>
            <w:pPr>
              <w:pStyle w:val="12"/>
            </w:pPr>
            <w:r>
              <w:t>≥98%</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2835" w:type="dxa"/>
            <w:vAlign w:val="center"/>
          </w:tcPr>
          <w:p>
            <w:pPr>
              <w:pStyle w:val="12"/>
            </w:pPr>
            <w:r>
              <w:t>结合群众举报，及时立案，消除黑恶势力。</w:t>
            </w:r>
          </w:p>
        </w:tc>
        <w:tc>
          <w:tcPr>
            <w:tcW w:w="2551" w:type="dxa"/>
            <w:vAlign w:val="center"/>
          </w:tcPr>
          <w:p>
            <w:pPr>
              <w:pStyle w:val="12"/>
            </w:pPr>
            <w:r>
              <w:t>15工作日</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根据实际，及时支付扫黑除恶经费。</w:t>
            </w:r>
          </w:p>
        </w:tc>
        <w:tc>
          <w:tcPr>
            <w:tcW w:w="2551" w:type="dxa"/>
            <w:vAlign w:val="center"/>
          </w:tcPr>
          <w:p>
            <w:pPr>
              <w:pStyle w:val="12"/>
            </w:pPr>
            <w:r>
              <w:t>10万元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按照案件影响，资金挽回率。</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降低案件对社会的影响率</w:t>
            </w:r>
          </w:p>
        </w:tc>
        <w:tc>
          <w:tcPr>
            <w:tcW w:w="2551" w:type="dxa"/>
            <w:vAlign w:val="center"/>
          </w:tcPr>
          <w:p>
            <w:pPr>
              <w:pStyle w:val="12"/>
            </w:pPr>
            <w:r>
              <w:t>&lt;10%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≥92%</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7、2022年严重精神障碍患者监护人责任险和以奖代补资金绩效目标表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1.目标内容1确保全县2975名严重精神障碍患者在1月底前购买商业保险，提高监护人生活质量。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购买保险人数</w:t>
            </w:r>
          </w:p>
        </w:tc>
        <w:tc>
          <w:tcPr>
            <w:tcW w:w="2835" w:type="dxa"/>
            <w:vAlign w:val="center"/>
          </w:tcPr>
          <w:p>
            <w:pPr>
              <w:pStyle w:val="12"/>
            </w:pPr>
            <w:r>
              <w:t>为严重精神障碍者购买商业保险人数</w:t>
            </w:r>
          </w:p>
        </w:tc>
        <w:tc>
          <w:tcPr>
            <w:tcW w:w="2551" w:type="dxa"/>
            <w:vAlign w:val="center"/>
          </w:tcPr>
          <w:p>
            <w:pPr>
              <w:pStyle w:val="12"/>
            </w:pPr>
            <w:r>
              <w:t>2975人</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生活质量</w:t>
            </w:r>
          </w:p>
        </w:tc>
        <w:tc>
          <w:tcPr>
            <w:tcW w:w="2835" w:type="dxa"/>
            <w:vAlign w:val="center"/>
          </w:tcPr>
          <w:p>
            <w:pPr>
              <w:pStyle w:val="12"/>
            </w:pPr>
            <w:r>
              <w:t>提高严重精神障碍监护者生活质量。</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购买保险时效</w:t>
            </w:r>
          </w:p>
        </w:tc>
        <w:tc>
          <w:tcPr>
            <w:tcW w:w="2835" w:type="dxa"/>
            <w:vAlign w:val="center"/>
          </w:tcPr>
          <w:p>
            <w:pPr>
              <w:pStyle w:val="12"/>
            </w:pPr>
            <w:r>
              <w:t>及时为严重精神障碍者购买商业保险时间</w:t>
            </w:r>
          </w:p>
        </w:tc>
        <w:tc>
          <w:tcPr>
            <w:tcW w:w="2551" w:type="dxa"/>
            <w:vAlign w:val="center"/>
          </w:tcPr>
          <w:p>
            <w:pPr>
              <w:pStyle w:val="12"/>
            </w:pPr>
            <w:r>
              <w:t>1月底前购买到位</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购买商业保险资金和以奖代补资金</w:t>
            </w:r>
          </w:p>
        </w:tc>
        <w:tc>
          <w:tcPr>
            <w:tcW w:w="2551" w:type="dxa"/>
            <w:vAlign w:val="center"/>
          </w:tcPr>
          <w:p>
            <w:pPr>
              <w:pStyle w:val="12"/>
            </w:pPr>
            <w:r>
              <w:t>35.03万元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减少严重精神障碍者带来的经济损失</w:t>
            </w:r>
          </w:p>
        </w:tc>
        <w:tc>
          <w:tcPr>
            <w:tcW w:w="2551" w:type="dxa"/>
            <w:vAlign w:val="center"/>
          </w:tcPr>
          <w:p>
            <w:pPr>
              <w:pStyle w:val="12"/>
            </w:pPr>
            <w:r>
              <w:t>根据实际情况，弥补损失</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严重精神障碍者带来的社会影响</w:t>
            </w:r>
          </w:p>
        </w:tc>
        <w:tc>
          <w:tcPr>
            <w:tcW w:w="2551" w:type="dxa"/>
            <w:vAlign w:val="center"/>
          </w:tcPr>
          <w:p>
            <w:pPr>
              <w:pStyle w:val="12"/>
            </w:pPr>
            <w:r>
              <w:t>≤10%</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监护人满意度</w:t>
            </w:r>
          </w:p>
        </w:tc>
        <w:tc>
          <w:tcPr>
            <w:tcW w:w="2551" w:type="dxa"/>
            <w:vAlign w:val="center"/>
          </w:tcPr>
          <w:p>
            <w:pPr>
              <w:pStyle w:val="12"/>
            </w:pPr>
            <w:r>
              <w:t>≥90%</w:t>
            </w:r>
          </w:p>
        </w:tc>
        <w:tc>
          <w:tcPr>
            <w:tcW w:w="2268" w:type="dxa"/>
            <w:vAlign w:val="center"/>
          </w:tcPr>
          <w:p>
            <w:pPr>
              <w:pStyle w:val="12"/>
            </w:pPr>
            <w:r>
              <w:t>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8、2022年政法网设备维保费、光纤传输费绩效目标表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1.目标内容1：全县22个乡镇政法网运用正常，支付光纤传输费及时。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乡镇覆盖数量</w:t>
            </w:r>
          </w:p>
        </w:tc>
        <w:tc>
          <w:tcPr>
            <w:tcW w:w="2835" w:type="dxa"/>
            <w:vAlign w:val="center"/>
          </w:tcPr>
          <w:p>
            <w:pPr>
              <w:pStyle w:val="12"/>
            </w:pPr>
            <w:r>
              <w:t>政法网乡镇覆盖数量</w:t>
            </w:r>
          </w:p>
        </w:tc>
        <w:tc>
          <w:tcPr>
            <w:tcW w:w="2551" w:type="dxa"/>
            <w:vAlign w:val="center"/>
          </w:tcPr>
          <w:p>
            <w:pPr>
              <w:pStyle w:val="12"/>
            </w:pPr>
            <w:r>
              <w:t>22个乡镇</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信号传输质量</w:t>
            </w:r>
          </w:p>
        </w:tc>
        <w:tc>
          <w:tcPr>
            <w:tcW w:w="2835" w:type="dxa"/>
            <w:vAlign w:val="center"/>
          </w:tcPr>
          <w:p>
            <w:pPr>
              <w:pStyle w:val="12"/>
            </w:pPr>
            <w:r>
              <w:t>政法网信号传输质量</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传输费支付时限</w:t>
            </w:r>
          </w:p>
        </w:tc>
        <w:tc>
          <w:tcPr>
            <w:tcW w:w="2835" w:type="dxa"/>
            <w:vAlign w:val="center"/>
          </w:tcPr>
          <w:p>
            <w:pPr>
              <w:pStyle w:val="12"/>
            </w:pPr>
            <w:r>
              <w:t>光纤传输费支付时限</w:t>
            </w:r>
          </w:p>
        </w:tc>
        <w:tc>
          <w:tcPr>
            <w:tcW w:w="2551" w:type="dxa"/>
            <w:vAlign w:val="center"/>
          </w:tcPr>
          <w:p>
            <w:pPr>
              <w:pStyle w:val="12"/>
            </w:pPr>
            <w:r>
              <w:t>≤12月份</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费用成本</w:t>
            </w:r>
          </w:p>
        </w:tc>
        <w:tc>
          <w:tcPr>
            <w:tcW w:w="2835" w:type="dxa"/>
            <w:vAlign w:val="center"/>
          </w:tcPr>
          <w:p>
            <w:pPr>
              <w:pStyle w:val="12"/>
            </w:pPr>
            <w:r>
              <w:t>光纤租赁成本</w:t>
            </w:r>
          </w:p>
        </w:tc>
        <w:tc>
          <w:tcPr>
            <w:tcW w:w="2551" w:type="dxa"/>
            <w:vAlign w:val="center"/>
          </w:tcPr>
          <w:p>
            <w:pPr>
              <w:pStyle w:val="12"/>
            </w:pPr>
            <w:r>
              <w:t>23.86万元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政法网信息共享，经济效益提升</w:t>
            </w:r>
          </w:p>
        </w:tc>
        <w:tc>
          <w:tcPr>
            <w:tcW w:w="2551" w:type="dxa"/>
            <w:vAlign w:val="center"/>
          </w:tcPr>
          <w:p>
            <w:pPr>
              <w:pStyle w:val="12"/>
            </w:pPr>
            <w:r>
              <w:t>≥30%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政法网络共享，案件侦破率明显提升，社会效益佳</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9、2022年综合治理经费绩效目标表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1.目标内容1，开展综合治理，社会综合治理明显提升，经费保障到位，支付≤105万元。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综合治理保障人员数量</w:t>
            </w:r>
          </w:p>
        </w:tc>
        <w:tc>
          <w:tcPr>
            <w:tcW w:w="2551" w:type="dxa"/>
            <w:vAlign w:val="center"/>
          </w:tcPr>
          <w:p>
            <w:pPr>
              <w:pStyle w:val="12"/>
            </w:pPr>
            <w:r>
              <w:t>≥105万人</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综合治理质量</w:t>
            </w:r>
          </w:p>
        </w:tc>
        <w:tc>
          <w:tcPr>
            <w:tcW w:w="2835" w:type="dxa"/>
            <w:vAlign w:val="center"/>
          </w:tcPr>
          <w:p>
            <w:pPr>
              <w:pStyle w:val="12"/>
            </w:pPr>
            <w:r>
              <w:t>全县综合治理质量</w:t>
            </w:r>
          </w:p>
        </w:tc>
        <w:tc>
          <w:tcPr>
            <w:tcW w:w="2551" w:type="dxa"/>
            <w:vAlign w:val="center"/>
          </w:tcPr>
          <w:p>
            <w:pPr>
              <w:pStyle w:val="12"/>
            </w:pPr>
            <w:r>
              <w:t>≥98%</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按照综合治理实施方案，完成时限</w:t>
            </w:r>
          </w:p>
        </w:tc>
        <w:tc>
          <w:tcPr>
            <w:tcW w:w="2551" w:type="dxa"/>
            <w:vAlign w:val="center"/>
          </w:tcPr>
          <w:p>
            <w:pPr>
              <w:pStyle w:val="12"/>
            </w:pPr>
            <w:r>
              <w:t>12月份</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综合治理经费</w:t>
            </w:r>
          </w:p>
        </w:tc>
        <w:tc>
          <w:tcPr>
            <w:tcW w:w="2551" w:type="dxa"/>
            <w:vAlign w:val="center"/>
          </w:tcPr>
          <w:p>
            <w:pPr>
              <w:pStyle w:val="12"/>
            </w:pPr>
            <w:r>
              <w:t>105万元</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开展全县法制综合治理，促进全县经济增长</w:t>
            </w:r>
          </w:p>
        </w:tc>
        <w:tc>
          <w:tcPr>
            <w:tcW w:w="2551" w:type="dxa"/>
            <w:vAlign w:val="center"/>
          </w:tcPr>
          <w:p>
            <w:pPr>
              <w:pStyle w:val="12"/>
            </w:pPr>
            <w:r>
              <w:t>≥20%</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w:t>
            </w:r>
          </w:p>
        </w:tc>
        <w:tc>
          <w:tcPr>
            <w:tcW w:w="2835" w:type="dxa"/>
            <w:vAlign w:val="center"/>
          </w:tcPr>
          <w:p>
            <w:pPr>
              <w:pStyle w:val="12"/>
            </w:pPr>
            <w:r>
              <w:t>社会综合治理能力提升，可持续影响升高，社会安定。</w:t>
            </w:r>
          </w:p>
        </w:tc>
        <w:tc>
          <w:tcPr>
            <w:tcW w:w="2551" w:type="dxa"/>
            <w:vAlign w:val="center"/>
          </w:tcPr>
          <w:p>
            <w:pPr>
              <w:pStyle w:val="12"/>
            </w:pPr>
            <w:r>
              <w:t>≥95%</w:t>
            </w:r>
          </w:p>
        </w:tc>
        <w:tc>
          <w:tcPr>
            <w:tcW w:w="2268" w:type="dxa"/>
            <w:vAlign w:val="center"/>
          </w:tcPr>
          <w:p>
            <w:pPr>
              <w:pStyle w:val="12"/>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10、2022年综治视联网光纤租赁费绩效目标表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1.目标内容1,实现全线22个乡镇街道办综治视联网平台平稳运行。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视联网平台覆盖数量</w:t>
            </w:r>
          </w:p>
        </w:tc>
        <w:tc>
          <w:tcPr>
            <w:tcW w:w="2551" w:type="dxa"/>
            <w:vAlign w:val="center"/>
          </w:tcPr>
          <w:p>
            <w:pPr>
              <w:pStyle w:val="12"/>
            </w:pPr>
            <w:r>
              <w:t>22个乡镇</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平台链接质量</w:t>
            </w:r>
          </w:p>
        </w:tc>
        <w:tc>
          <w:tcPr>
            <w:tcW w:w="2835" w:type="dxa"/>
            <w:vAlign w:val="center"/>
          </w:tcPr>
          <w:p>
            <w:pPr>
              <w:pStyle w:val="12"/>
            </w:pPr>
            <w:r>
              <w:t>视联网链接乡镇信号清晰质量</w:t>
            </w:r>
          </w:p>
        </w:tc>
        <w:tc>
          <w:tcPr>
            <w:tcW w:w="2551" w:type="dxa"/>
            <w:vAlign w:val="center"/>
          </w:tcPr>
          <w:p>
            <w:pPr>
              <w:pStyle w:val="12"/>
            </w:pPr>
            <w:r>
              <w:t>≥98%</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信号传输时效</w:t>
            </w:r>
          </w:p>
        </w:tc>
        <w:tc>
          <w:tcPr>
            <w:tcW w:w="2835" w:type="dxa"/>
            <w:vAlign w:val="center"/>
          </w:tcPr>
          <w:p>
            <w:pPr>
              <w:pStyle w:val="12"/>
            </w:pPr>
            <w:r>
              <w:t>视联网信号传输时效</w:t>
            </w:r>
          </w:p>
        </w:tc>
        <w:tc>
          <w:tcPr>
            <w:tcW w:w="2551" w:type="dxa"/>
            <w:vAlign w:val="center"/>
          </w:tcPr>
          <w:p>
            <w:pPr>
              <w:pStyle w:val="12"/>
            </w:pPr>
            <w:r>
              <w:t>≥5秒</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光纤租赁成本</w:t>
            </w:r>
          </w:p>
        </w:tc>
        <w:tc>
          <w:tcPr>
            <w:tcW w:w="2835" w:type="dxa"/>
            <w:vAlign w:val="center"/>
          </w:tcPr>
          <w:p>
            <w:pPr>
              <w:pStyle w:val="12"/>
            </w:pPr>
            <w:r>
              <w:t>视联网光纤租赁成本</w:t>
            </w:r>
          </w:p>
        </w:tc>
        <w:tc>
          <w:tcPr>
            <w:tcW w:w="2551" w:type="dxa"/>
            <w:vAlign w:val="center"/>
          </w:tcPr>
          <w:p>
            <w:pPr>
              <w:pStyle w:val="12"/>
            </w:pPr>
            <w:r>
              <w:t>19.8万元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视联网运用，减少案件发生率，减少经济损失</w:t>
            </w:r>
          </w:p>
        </w:tc>
        <w:tc>
          <w:tcPr>
            <w:tcW w:w="2551" w:type="dxa"/>
            <w:vAlign w:val="center"/>
          </w:tcPr>
          <w:p>
            <w:pPr>
              <w:pStyle w:val="12"/>
            </w:pPr>
            <w:r>
              <w:t>≤100万元</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正常运行，不良因素减少，社会效益提升</w:t>
            </w:r>
          </w:p>
        </w:tc>
        <w:tc>
          <w:tcPr>
            <w:tcW w:w="2551" w:type="dxa"/>
            <w:vAlign w:val="center"/>
          </w:tcPr>
          <w:p>
            <w:pPr>
              <w:pStyle w:val="12"/>
            </w:pPr>
            <w:r>
              <w:t>≥95%</w:t>
            </w:r>
          </w:p>
        </w:tc>
        <w:tc>
          <w:tcPr>
            <w:tcW w:w="2268"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2022年，中国共产党魏县委员会政法委员会安排政府采购预算0.00万元。具体内容见下表。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216中国共产党魏县委员会政法委员会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中国共产党魏县委员会政法委员会（含所属单位）上年末固定资产金额为</w:t>
      </w:r>
      <w:r>
        <w:rPr>
          <w:rFonts w:hint="eastAsia" w:eastAsia="方正仿宋_GBK"/>
          <w:color w:val="000000"/>
          <w:sz w:val="28"/>
          <w:lang w:val="en-US" w:eastAsia="zh-CN"/>
        </w:rPr>
        <w:t>18.24</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216中国共产党魏县委员会政法委员会</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项   目</w:t>
            </w:r>
          </w:p>
        </w:tc>
        <w:tc>
          <w:tcPr>
            <w:tcW w:w="2835"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数量</w:t>
            </w:r>
          </w:p>
        </w:tc>
        <w:tc>
          <w:tcPr>
            <w:tcW w:w="2835" w:type="dxa"/>
            <w:vAlign w:val="center"/>
          </w:tcPr>
          <w:p>
            <w:pPr>
              <w:pStyle w:val="10"/>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资产总额</w:t>
            </w:r>
          </w:p>
        </w:tc>
        <w:tc>
          <w:tcPr>
            <w:tcW w:w="2835" w:type="dxa"/>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2835" w:type="dxa"/>
            <w:vAlign w:val="center"/>
          </w:tcPr>
          <w:p>
            <w:pPr>
              <w:spacing w:line="560" w:lineRule="exact"/>
              <w:jc w:val="center"/>
              <w:rPr>
                <w:rFonts w:hint="default" w:ascii="仿宋" w:hAnsi="仿宋" w:eastAsia="仿宋" w:cs="Times New Roman"/>
                <w:sz w:val="24"/>
                <w:szCs w:val="24"/>
                <w:lang w:val="en-US" w:eastAsia="zh-CN" w:bidi="ar-SA"/>
              </w:rPr>
            </w:pPr>
            <w:r>
              <w:rPr>
                <w:rFonts w:hint="eastAsia" w:ascii="仿宋" w:hAnsi="仿宋" w:eastAsia="仿宋"/>
                <w:lang w:val="en-US" w:eastAsia="zh-CN"/>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１、房屋（平方米）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其中：办公用房（平方米）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２、车辆（台、辆）</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３、单价在50万元以上的设备</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４、其他固定资产</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0" w:type="auto"/>
            <w:vAlign w:val="center"/>
          </w:tcPr>
          <w:p>
            <w:pPr>
              <w:spacing w:line="560" w:lineRule="exact"/>
              <w:jc w:val="center"/>
              <w:rPr>
                <w:rFonts w:hint="default" w:ascii="仿宋" w:hAnsi="仿宋" w:eastAsia="仿宋" w:cs="宋体"/>
                <w:sz w:val="24"/>
                <w:szCs w:val="24"/>
                <w:lang w:val="en-US" w:eastAsia="zh-CN" w:bidi="ar-SA"/>
              </w:rPr>
            </w:pPr>
            <w:r>
              <w:rPr>
                <w:rFonts w:hint="eastAsia" w:ascii="仿宋" w:hAnsi="仿宋" w:eastAsia="仿宋" w:cs="宋体"/>
                <w:lang w:val="en-US" w:eastAsia="zh-CN"/>
              </w:rPr>
              <w:t>18.24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兰亭超细黑简体">
    <w:altName w:val="汉仪中等线简"/>
    <w:panose1 w:val="00000000000000000000"/>
    <w:charset w:val="86"/>
    <w:family w:val="auto"/>
    <w:pitch w:val="default"/>
    <w:sig w:usb0="00000000" w:usb1="00000000" w:usb2="00000010" w:usb3="00000000" w:csb0="00040000" w:csb1="00000000"/>
  </w:font>
  <w:font w:name="汉仪中等线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1F257"/>
    <w:multiLevelType w:val="singleLevel"/>
    <w:tmpl w:val="E0E1F25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QxMDkxYWQxNmNmZmIwN2FhZmNhNDM5YmU0YjMifQ=="/>
  </w:docVars>
  <w:rsids>
    <w:rsidRoot w:val="00503304"/>
    <w:rsid w:val="000305EA"/>
    <w:rsid w:val="00244DE9"/>
    <w:rsid w:val="00503304"/>
    <w:rsid w:val="006B3474"/>
    <w:rsid w:val="006B5B83"/>
    <w:rsid w:val="008D7450"/>
    <w:rsid w:val="00AD6A7C"/>
    <w:rsid w:val="00D37534"/>
    <w:rsid w:val="00E43D58"/>
    <w:rsid w:val="091C0163"/>
    <w:rsid w:val="0A824B04"/>
    <w:rsid w:val="13A81C97"/>
    <w:rsid w:val="2BD17ACF"/>
    <w:rsid w:val="2D2C1F30"/>
    <w:rsid w:val="36FE225B"/>
    <w:rsid w:val="51550C39"/>
    <w:rsid w:val="5CDD3C76"/>
    <w:rsid w:val="7FBA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11552</Words>
  <Characters>12925</Characters>
  <Lines>200</Lines>
  <Paragraphs>56</Paragraphs>
  <TotalTime>1</TotalTime>
  <ScaleCrop>false</ScaleCrop>
  <LinksUpToDate>false</LinksUpToDate>
  <CharactersWithSpaces>13319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2022-03-17T13:40:00Z</dcterms:created>
  <dc:creator>Administrator</dc:creator>
  <cp:lastModifiedBy>xxhb</cp:lastModifiedBy>
  <cp:lastPrinted>2023-04-19T09:36:00Z</cp:lastPrinted>
  <dcterms:modified xsi:type="dcterms:W3CDTF">2023-11-02T17:17:23Z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7873FDCC597189E82369436537A81507</vt:lpwstr>
  </property>
</Properties>
</file>