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 xml:space="preserve">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一、中国共产党魏县委员会政法委员会本级收支预算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rPr>
      </w:pPr>
    </w:p>
    <w:p>
      <w:pPr>
        <w:jc w:val="center"/>
        <w:outlineLvl w:val="0"/>
        <w:sectPr>
          <w:footerReference r:id="rId3" w:type="default"/>
          <w:footerReference r:id="rId4" w:type="even"/>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一、中国共产党魏县委员会政法委员会本级收支预算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216001中国共产党魏县委员会政法委员会本级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682.61</w:t>
            </w:r>
          </w:p>
        </w:tc>
        <w:tc>
          <w:tcPr>
            <w:tcW w:w="4535" w:type="dxa"/>
            <w:vAlign w:val="center"/>
          </w:tcPr>
          <w:p>
            <w:pPr>
              <w:pStyle w:val="12"/>
            </w:pPr>
            <w:r>
              <w:t>一、一般公共服务支出</w:t>
            </w:r>
          </w:p>
        </w:tc>
        <w:tc>
          <w:tcPr>
            <w:tcW w:w="2126" w:type="dxa"/>
            <w:vAlign w:val="center"/>
          </w:tcPr>
          <w:p>
            <w:pPr>
              <w:pStyle w:val="11"/>
            </w:pPr>
            <w:r>
              <w:t>669.05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682.61</w:t>
            </w:r>
          </w:p>
        </w:tc>
        <w:tc>
          <w:tcPr>
            <w:tcW w:w="4535" w:type="dxa"/>
            <w:vAlign w:val="center"/>
          </w:tcPr>
          <w:p>
            <w:pPr>
              <w:pStyle w:val="14"/>
            </w:pPr>
            <w:r>
              <w:t>本年支出合计</w:t>
            </w:r>
          </w:p>
        </w:tc>
        <w:tc>
          <w:tcPr>
            <w:tcW w:w="2126" w:type="dxa"/>
            <w:vAlign w:val="center"/>
          </w:tcPr>
          <w:p>
            <w:pPr>
              <w:pStyle w:val="15"/>
            </w:pPr>
            <w:r>
              <w:t>682.61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682.61</w:t>
            </w:r>
          </w:p>
        </w:tc>
        <w:tc>
          <w:tcPr>
            <w:tcW w:w="4535" w:type="dxa"/>
            <w:vAlign w:val="center"/>
          </w:tcPr>
          <w:p>
            <w:pPr>
              <w:pStyle w:val="14"/>
            </w:pPr>
            <w:r>
              <w:t>支出总计</w:t>
            </w:r>
          </w:p>
        </w:tc>
        <w:tc>
          <w:tcPr>
            <w:tcW w:w="2126" w:type="dxa"/>
            <w:vAlign w:val="center"/>
          </w:tcPr>
          <w:p>
            <w:pPr>
              <w:pStyle w:val="15"/>
            </w:pPr>
            <w:r>
              <w:t>682.61</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216001中国共产党魏县委员会政法委员会本级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682.61</w:t>
            </w:r>
          </w:p>
        </w:tc>
        <w:tc>
          <w:tcPr>
            <w:tcW w:w="1134" w:type="dxa"/>
            <w:vAlign w:val="center"/>
          </w:tcPr>
          <w:p>
            <w:pPr>
              <w:pStyle w:val="15"/>
            </w:pPr>
            <w:r>
              <w:t>682.61</w:t>
            </w:r>
          </w:p>
        </w:tc>
        <w:tc>
          <w:tcPr>
            <w:tcW w:w="1134" w:type="dxa"/>
            <w:vAlign w:val="center"/>
          </w:tcPr>
          <w:p>
            <w:pPr>
              <w:pStyle w:val="15"/>
            </w:pPr>
            <w:r>
              <w:t>682.61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669.05</w:t>
            </w:r>
          </w:p>
        </w:tc>
        <w:tc>
          <w:tcPr>
            <w:tcW w:w="1134" w:type="dxa"/>
            <w:vAlign w:val="center"/>
          </w:tcPr>
          <w:p>
            <w:pPr>
              <w:pStyle w:val="11"/>
            </w:pPr>
            <w:r>
              <w:t>669.05</w:t>
            </w:r>
          </w:p>
        </w:tc>
        <w:tc>
          <w:tcPr>
            <w:tcW w:w="1134" w:type="dxa"/>
            <w:vAlign w:val="center"/>
          </w:tcPr>
          <w:p>
            <w:pPr>
              <w:pStyle w:val="11"/>
            </w:pPr>
            <w:r>
              <w:t>669.05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413.41</w:t>
            </w:r>
          </w:p>
        </w:tc>
        <w:tc>
          <w:tcPr>
            <w:tcW w:w="1134" w:type="dxa"/>
            <w:vAlign w:val="center"/>
          </w:tcPr>
          <w:p>
            <w:pPr>
              <w:pStyle w:val="11"/>
            </w:pPr>
            <w:r>
              <w:t>413.41</w:t>
            </w:r>
          </w:p>
        </w:tc>
        <w:tc>
          <w:tcPr>
            <w:tcW w:w="1134" w:type="dxa"/>
            <w:vAlign w:val="center"/>
          </w:tcPr>
          <w:p>
            <w:pPr>
              <w:pStyle w:val="11"/>
            </w:pPr>
            <w:r>
              <w:t>413.41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268.89</w:t>
            </w:r>
          </w:p>
        </w:tc>
        <w:tc>
          <w:tcPr>
            <w:tcW w:w="1134" w:type="dxa"/>
            <w:vAlign w:val="center"/>
          </w:tcPr>
          <w:p>
            <w:pPr>
              <w:pStyle w:val="11"/>
            </w:pPr>
            <w:r>
              <w:t>268.89</w:t>
            </w:r>
          </w:p>
        </w:tc>
        <w:tc>
          <w:tcPr>
            <w:tcW w:w="1134" w:type="dxa"/>
            <w:vAlign w:val="center"/>
          </w:tcPr>
          <w:p>
            <w:pPr>
              <w:pStyle w:val="11"/>
            </w:pPr>
            <w:r>
              <w:t>268.89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2011103</w:t>
            </w:r>
          </w:p>
        </w:tc>
        <w:tc>
          <w:tcPr>
            <w:tcW w:w="1559" w:type="dxa"/>
            <w:vAlign w:val="center"/>
          </w:tcPr>
          <w:p>
            <w:pPr>
              <w:pStyle w:val="12"/>
            </w:pPr>
            <w:r>
              <w:t>机关服务</w:t>
            </w:r>
          </w:p>
        </w:tc>
        <w:tc>
          <w:tcPr>
            <w:tcW w:w="1134" w:type="dxa"/>
            <w:vAlign w:val="center"/>
          </w:tcPr>
          <w:p>
            <w:pPr>
              <w:pStyle w:val="11"/>
            </w:pPr>
            <w:r>
              <w:t>19.80</w:t>
            </w:r>
          </w:p>
        </w:tc>
        <w:tc>
          <w:tcPr>
            <w:tcW w:w="1134" w:type="dxa"/>
            <w:vAlign w:val="center"/>
          </w:tcPr>
          <w:p>
            <w:pPr>
              <w:pStyle w:val="11"/>
            </w:pPr>
            <w:r>
              <w:t>19.80</w:t>
            </w:r>
          </w:p>
        </w:tc>
        <w:tc>
          <w:tcPr>
            <w:tcW w:w="1134" w:type="dxa"/>
            <w:vAlign w:val="center"/>
          </w:tcPr>
          <w:p>
            <w:pPr>
              <w:pStyle w:val="11"/>
            </w:pPr>
            <w:r>
              <w:t>19.80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2011104</w:t>
            </w:r>
          </w:p>
        </w:tc>
        <w:tc>
          <w:tcPr>
            <w:tcW w:w="1559" w:type="dxa"/>
            <w:vAlign w:val="center"/>
          </w:tcPr>
          <w:p>
            <w:pPr>
              <w:pStyle w:val="12"/>
            </w:pPr>
            <w:r>
              <w:t>大案要案查处</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2011199</w:t>
            </w:r>
          </w:p>
        </w:tc>
        <w:tc>
          <w:tcPr>
            <w:tcW w:w="1559" w:type="dxa"/>
            <w:vAlign w:val="center"/>
          </w:tcPr>
          <w:p>
            <w:pPr>
              <w:pStyle w:val="12"/>
            </w:pPr>
            <w:r>
              <w:t>其他纪检监察事务支出</w:t>
            </w:r>
          </w:p>
        </w:tc>
        <w:tc>
          <w:tcPr>
            <w:tcW w:w="1134" w:type="dxa"/>
            <w:vAlign w:val="center"/>
          </w:tcPr>
          <w:p>
            <w:pPr>
              <w:pStyle w:val="11"/>
            </w:pPr>
            <w:r>
              <w:t>114.72</w:t>
            </w:r>
          </w:p>
        </w:tc>
        <w:tc>
          <w:tcPr>
            <w:tcW w:w="1134" w:type="dxa"/>
            <w:vAlign w:val="center"/>
          </w:tcPr>
          <w:p>
            <w:pPr>
              <w:pStyle w:val="11"/>
            </w:pPr>
            <w:r>
              <w:t>114.72</w:t>
            </w:r>
          </w:p>
        </w:tc>
        <w:tc>
          <w:tcPr>
            <w:tcW w:w="1134" w:type="dxa"/>
            <w:vAlign w:val="center"/>
          </w:tcPr>
          <w:p>
            <w:pPr>
              <w:pStyle w:val="11"/>
            </w:pPr>
            <w:r>
              <w:t>114.72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255.64</w:t>
            </w:r>
          </w:p>
        </w:tc>
        <w:tc>
          <w:tcPr>
            <w:tcW w:w="1134" w:type="dxa"/>
            <w:vAlign w:val="center"/>
          </w:tcPr>
          <w:p>
            <w:pPr>
              <w:pStyle w:val="11"/>
            </w:pPr>
            <w:r>
              <w:t>255.64</w:t>
            </w:r>
          </w:p>
        </w:tc>
        <w:tc>
          <w:tcPr>
            <w:tcW w:w="1134" w:type="dxa"/>
            <w:vAlign w:val="center"/>
          </w:tcPr>
          <w:p>
            <w:pPr>
              <w:pStyle w:val="11"/>
            </w:pPr>
            <w:r>
              <w:t>255.64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255.64</w:t>
            </w:r>
          </w:p>
        </w:tc>
        <w:tc>
          <w:tcPr>
            <w:tcW w:w="1134" w:type="dxa"/>
            <w:vAlign w:val="center"/>
          </w:tcPr>
          <w:p>
            <w:pPr>
              <w:pStyle w:val="11"/>
            </w:pPr>
            <w:r>
              <w:t>255.64</w:t>
            </w:r>
          </w:p>
        </w:tc>
        <w:tc>
          <w:tcPr>
            <w:tcW w:w="1134" w:type="dxa"/>
            <w:vAlign w:val="center"/>
          </w:tcPr>
          <w:p>
            <w:pPr>
              <w:pStyle w:val="11"/>
            </w:pPr>
            <w:r>
              <w:t>255.64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3.98</w:t>
            </w:r>
          </w:p>
        </w:tc>
        <w:tc>
          <w:tcPr>
            <w:tcW w:w="1134" w:type="dxa"/>
            <w:vAlign w:val="center"/>
          </w:tcPr>
          <w:p>
            <w:pPr>
              <w:pStyle w:val="11"/>
            </w:pPr>
            <w:r>
              <w:t>3.98</w:t>
            </w:r>
          </w:p>
        </w:tc>
        <w:tc>
          <w:tcPr>
            <w:tcW w:w="1134" w:type="dxa"/>
            <w:vAlign w:val="center"/>
          </w:tcPr>
          <w:p>
            <w:pPr>
              <w:pStyle w:val="11"/>
            </w:pPr>
            <w:r>
              <w:t>3.98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3.98</w:t>
            </w:r>
          </w:p>
        </w:tc>
        <w:tc>
          <w:tcPr>
            <w:tcW w:w="1134" w:type="dxa"/>
            <w:vAlign w:val="center"/>
          </w:tcPr>
          <w:p>
            <w:pPr>
              <w:pStyle w:val="11"/>
            </w:pPr>
            <w:r>
              <w:t>3.98</w:t>
            </w:r>
          </w:p>
        </w:tc>
        <w:tc>
          <w:tcPr>
            <w:tcW w:w="1134" w:type="dxa"/>
            <w:vAlign w:val="center"/>
          </w:tcPr>
          <w:p>
            <w:pPr>
              <w:pStyle w:val="11"/>
            </w:pPr>
            <w:r>
              <w:t>3.98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3.98</w:t>
            </w:r>
          </w:p>
        </w:tc>
        <w:tc>
          <w:tcPr>
            <w:tcW w:w="1134" w:type="dxa"/>
            <w:vAlign w:val="center"/>
          </w:tcPr>
          <w:p>
            <w:pPr>
              <w:pStyle w:val="11"/>
            </w:pPr>
            <w:r>
              <w:t>3.98</w:t>
            </w:r>
          </w:p>
        </w:tc>
        <w:tc>
          <w:tcPr>
            <w:tcW w:w="1134" w:type="dxa"/>
            <w:vAlign w:val="center"/>
          </w:tcPr>
          <w:p>
            <w:pPr>
              <w:pStyle w:val="11"/>
            </w:pPr>
            <w:r>
              <w:t>3.98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9.58</w:t>
            </w:r>
          </w:p>
        </w:tc>
        <w:tc>
          <w:tcPr>
            <w:tcW w:w="1134" w:type="dxa"/>
            <w:vAlign w:val="center"/>
          </w:tcPr>
          <w:p>
            <w:pPr>
              <w:pStyle w:val="11"/>
            </w:pPr>
            <w:r>
              <w:t>9.58</w:t>
            </w:r>
          </w:p>
        </w:tc>
        <w:tc>
          <w:tcPr>
            <w:tcW w:w="1134" w:type="dxa"/>
            <w:vAlign w:val="center"/>
          </w:tcPr>
          <w:p>
            <w:pPr>
              <w:pStyle w:val="11"/>
            </w:pPr>
            <w:r>
              <w:t>9.58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9.58</w:t>
            </w:r>
          </w:p>
        </w:tc>
        <w:tc>
          <w:tcPr>
            <w:tcW w:w="1134" w:type="dxa"/>
            <w:vAlign w:val="center"/>
          </w:tcPr>
          <w:p>
            <w:pPr>
              <w:pStyle w:val="11"/>
            </w:pPr>
            <w:r>
              <w:t>9.58</w:t>
            </w:r>
          </w:p>
        </w:tc>
        <w:tc>
          <w:tcPr>
            <w:tcW w:w="1134" w:type="dxa"/>
            <w:vAlign w:val="center"/>
          </w:tcPr>
          <w:p>
            <w:pPr>
              <w:pStyle w:val="11"/>
            </w:pPr>
            <w:r>
              <w:t>9.58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9.58</w:t>
            </w:r>
          </w:p>
        </w:tc>
        <w:tc>
          <w:tcPr>
            <w:tcW w:w="1134" w:type="dxa"/>
            <w:vAlign w:val="center"/>
          </w:tcPr>
          <w:p>
            <w:pPr>
              <w:pStyle w:val="11"/>
            </w:pPr>
            <w:r>
              <w:t>9.58</w:t>
            </w:r>
          </w:p>
        </w:tc>
        <w:tc>
          <w:tcPr>
            <w:tcW w:w="1134" w:type="dxa"/>
            <w:vAlign w:val="center"/>
          </w:tcPr>
          <w:p>
            <w:pPr>
              <w:pStyle w:val="11"/>
            </w:pPr>
            <w:r>
              <w:t>9.58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216001中国共产党魏县委员会政法委员会本级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682.61</w:t>
            </w:r>
          </w:p>
        </w:tc>
        <w:tc>
          <w:tcPr>
            <w:tcW w:w="1361" w:type="dxa"/>
            <w:vAlign w:val="center"/>
          </w:tcPr>
          <w:p>
            <w:pPr>
              <w:pStyle w:val="15"/>
            </w:pPr>
            <w:r>
              <w:t>269.20</w:t>
            </w:r>
          </w:p>
        </w:tc>
        <w:tc>
          <w:tcPr>
            <w:tcW w:w="1361" w:type="dxa"/>
            <w:vAlign w:val="center"/>
          </w:tcPr>
          <w:p>
            <w:pPr>
              <w:pStyle w:val="15"/>
            </w:pPr>
            <w:r>
              <w:t>413.41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669.05</w:t>
            </w:r>
          </w:p>
        </w:tc>
        <w:tc>
          <w:tcPr>
            <w:tcW w:w="1361" w:type="dxa"/>
            <w:vAlign w:val="center"/>
          </w:tcPr>
          <w:p>
            <w:pPr>
              <w:pStyle w:val="11"/>
            </w:pPr>
            <w:r>
              <w:t>255.64</w:t>
            </w:r>
          </w:p>
        </w:tc>
        <w:tc>
          <w:tcPr>
            <w:tcW w:w="1361" w:type="dxa"/>
            <w:vAlign w:val="center"/>
          </w:tcPr>
          <w:p>
            <w:pPr>
              <w:pStyle w:val="11"/>
            </w:pPr>
            <w:r>
              <w:t>413.41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413.41</w:t>
            </w:r>
          </w:p>
        </w:tc>
        <w:tc>
          <w:tcPr>
            <w:tcW w:w="1361" w:type="dxa"/>
            <w:vAlign w:val="center"/>
          </w:tcPr>
          <w:p>
            <w:pPr>
              <w:pStyle w:val="11"/>
            </w:pPr>
          </w:p>
        </w:tc>
        <w:tc>
          <w:tcPr>
            <w:tcW w:w="1361" w:type="dxa"/>
            <w:vAlign w:val="center"/>
          </w:tcPr>
          <w:p>
            <w:pPr>
              <w:pStyle w:val="11"/>
            </w:pPr>
            <w:r>
              <w:t>413.41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2011102</w:t>
            </w:r>
          </w:p>
        </w:tc>
        <w:tc>
          <w:tcPr>
            <w:tcW w:w="4535" w:type="dxa"/>
            <w:vAlign w:val="center"/>
          </w:tcPr>
          <w:p>
            <w:pPr>
              <w:pStyle w:val="12"/>
            </w:pPr>
            <w:r>
              <w:t>一般行政管理事务</w:t>
            </w:r>
          </w:p>
        </w:tc>
        <w:tc>
          <w:tcPr>
            <w:tcW w:w="1361" w:type="dxa"/>
            <w:vAlign w:val="center"/>
          </w:tcPr>
          <w:p>
            <w:pPr>
              <w:pStyle w:val="11"/>
            </w:pPr>
            <w:r>
              <w:t>268.89</w:t>
            </w:r>
          </w:p>
        </w:tc>
        <w:tc>
          <w:tcPr>
            <w:tcW w:w="1361" w:type="dxa"/>
            <w:vAlign w:val="center"/>
          </w:tcPr>
          <w:p>
            <w:pPr>
              <w:pStyle w:val="11"/>
            </w:pPr>
          </w:p>
        </w:tc>
        <w:tc>
          <w:tcPr>
            <w:tcW w:w="1361" w:type="dxa"/>
            <w:vAlign w:val="center"/>
          </w:tcPr>
          <w:p>
            <w:pPr>
              <w:pStyle w:val="11"/>
            </w:pPr>
            <w:r>
              <w:t>268.89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2011103</w:t>
            </w:r>
          </w:p>
        </w:tc>
        <w:tc>
          <w:tcPr>
            <w:tcW w:w="4535" w:type="dxa"/>
            <w:vAlign w:val="center"/>
          </w:tcPr>
          <w:p>
            <w:pPr>
              <w:pStyle w:val="12"/>
            </w:pPr>
            <w:r>
              <w:t>机关服务</w:t>
            </w:r>
          </w:p>
        </w:tc>
        <w:tc>
          <w:tcPr>
            <w:tcW w:w="1361" w:type="dxa"/>
            <w:vAlign w:val="center"/>
          </w:tcPr>
          <w:p>
            <w:pPr>
              <w:pStyle w:val="11"/>
            </w:pPr>
            <w:r>
              <w:t>19.80</w:t>
            </w:r>
          </w:p>
        </w:tc>
        <w:tc>
          <w:tcPr>
            <w:tcW w:w="1361" w:type="dxa"/>
            <w:vAlign w:val="center"/>
          </w:tcPr>
          <w:p>
            <w:pPr>
              <w:pStyle w:val="11"/>
            </w:pPr>
          </w:p>
        </w:tc>
        <w:tc>
          <w:tcPr>
            <w:tcW w:w="1361" w:type="dxa"/>
            <w:vAlign w:val="center"/>
          </w:tcPr>
          <w:p>
            <w:pPr>
              <w:pStyle w:val="11"/>
            </w:pPr>
            <w:r>
              <w:t>19.80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2011104</w:t>
            </w:r>
          </w:p>
        </w:tc>
        <w:tc>
          <w:tcPr>
            <w:tcW w:w="4535" w:type="dxa"/>
            <w:vAlign w:val="center"/>
          </w:tcPr>
          <w:p>
            <w:pPr>
              <w:pStyle w:val="12"/>
            </w:pPr>
            <w:r>
              <w:t>大案要案查处</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2011199</w:t>
            </w:r>
          </w:p>
        </w:tc>
        <w:tc>
          <w:tcPr>
            <w:tcW w:w="4535" w:type="dxa"/>
            <w:vAlign w:val="center"/>
          </w:tcPr>
          <w:p>
            <w:pPr>
              <w:pStyle w:val="12"/>
            </w:pPr>
            <w:r>
              <w:t>其他纪检监察事务支出</w:t>
            </w:r>
          </w:p>
        </w:tc>
        <w:tc>
          <w:tcPr>
            <w:tcW w:w="1361" w:type="dxa"/>
            <w:vAlign w:val="center"/>
          </w:tcPr>
          <w:p>
            <w:pPr>
              <w:pStyle w:val="11"/>
            </w:pPr>
            <w:r>
              <w:t>114.72</w:t>
            </w:r>
          </w:p>
        </w:tc>
        <w:tc>
          <w:tcPr>
            <w:tcW w:w="1361" w:type="dxa"/>
            <w:vAlign w:val="center"/>
          </w:tcPr>
          <w:p>
            <w:pPr>
              <w:pStyle w:val="11"/>
            </w:pPr>
          </w:p>
        </w:tc>
        <w:tc>
          <w:tcPr>
            <w:tcW w:w="1361" w:type="dxa"/>
            <w:vAlign w:val="center"/>
          </w:tcPr>
          <w:p>
            <w:pPr>
              <w:pStyle w:val="11"/>
            </w:pPr>
            <w:r>
              <w:t>114.72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255.64</w:t>
            </w:r>
          </w:p>
        </w:tc>
        <w:tc>
          <w:tcPr>
            <w:tcW w:w="1361" w:type="dxa"/>
            <w:vAlign w:val="center"/>
          </w:tcPr>
          <w:p>
            <w:pPr>
              <w:pStyle w:val="11"/>
            </w:pPr>
            <w:r>
              <w:t>255.64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255.64</w:t>
            </w:r>
          </w:p>
        </w:tc>
        <w:tc>
          <w:tcPr>
            <w:tcW w:w="1361" w:type="dxa"/>
            <w:vAlign w:val="center"/>
          </w:tcPr>
          <w:p>
            <w:pPr>
              <w:pStyle w:val="11"/>
            </w:pPr>
            <w:r>
              <w:t>255.64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3.98</w:t>
            </w:r>
          </w:p>
        </w:tc>
        <w:tc>
          <w:tcPr>
            <w:tcW w:w="1361" w:type="dxa"/>
            <w:vAlign w:val="center"/>
          </w:tcPr>
          <w:p>
            <w:pPr>
              <w:pStyle w:val="11"/>
            </w:pPr>
            <w:r>
              <w:t>3.98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3.98</w:t>
            </w:r>
          </w:p>
        </w:tc>
        <w:tc>
          <w:tcPr>
            <w:tcW w:w="1361" w:type="dxa"/>
            <w:vAlign w:val="center"/>
          </w:tcPr>
          <w:p>
            <w:pPr>
              <w:pStyle w:val="11"/>
            </w:pPr>
            <w:r>
              <w:t>3.98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3.98</w:t>
            </w:r>
          </w:p>
        </w:tc>
        <w:tc>
          <w:tcPr>
            <w:tcW w:w="1361" w:type="dxa"/>
            <w:vAlign w:val="center"/>
          </w:tcPr>
          <w:p>
            <w:pPr>
              <w:pStyle w:val="11"/>
            </w:pPr>
            <w:r>
              <w:t>3.98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9.58</w:t>
            </w:r>
          </w:p>
        </w:tc>
        <w:tc>
          <w:tcPr>
            <w:tcW w:w="1361" w:type="dxa"/>
            <w:vAlign w:val="center"/>
          </w:tcPr>
          <w:p>
            <w:pPr>
              <w:pStyle w:val="11"/>
            </w:pPr>
            <w:r>
              <w:t>9.58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9.58</w:t>
            </w:r>
          </w:p>
        </w:tc>
        <w:tc>
          <w:tcPr>
            <w:tcW w:w="1361" w:type="dxa"/>
            <w:vAlign w:val="center"/>
          </w:tcPr>
          <w:p>
            <w:pPr>
              <w:pStyle w:val="11"/>
            </w:pPr>
            <w:r>
              <w:t>9.58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9.58</w:t>
            </w:r>
          </w:p>
        </w:tc>
        <w:tc>
          <w:tcPr>
            <w:tcW w:w="1361" w:type="dxa"/>
            <w:vAlign w:val="center"/>
          </w:tcPr>
          <w:p>
            <w:pPr>
              <w:pStyle w:val="11"/>
            </w:pPr>
            <w:r>
              <w:t>9.58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216001中国共产党魏县委员会政法委员会本级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682.61</w:t>
            </w:r>
          </w:p>
        </w:tc>
        <w:tc>
          <w:tcPr>
            <w:tcW w:w="3402" w:type="dxa"/>
            <w:vAlign w:val="center"/>
          </w:tcPr>
          <w:p>
            <w:pPr>
              <w:pStyle w:val="12"/>
            </w:pPr>
            <w:r>
              <w:t>一、一般公共服务支出</w:t>
            </w:r>
          </w:p>
        </w:tc>
        <w:tc>
          <w:tcPr>
            <w:tcW w:w="1474" w:type="dxa"/>
            <w:vAlign w:val="center"/>
          </w:tcPr>
          <w:p>
            <w:pPr>
              <w:pStyle w:val="11"/>
            </w:pPr>
            <w:r>
              <w:t>669.05</w:t>
            </w:r>
          </w:p>
        </w:tc>
        <w:tc>
          <w:tcPr>
            <w:tcW w:w="1474" w:type="dxa"/>
            <w:vAlign w:val="center"/>
          </w:tcPr>
          <w:p>
            <w:pPr>
              <w:pStyle w:val="11"/>
            </w:pPr>
            <w:r>
              <w:t>669.05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3.98</w:t>
            </w:r>
          </w:p>
        </w:tc>
        <w:tc>
          <w:tcPr>
            <w:tcW w:w="1474" w:type="dxa"/>
            <w:vAlign w:val="center"/>
          </w:tcPr>
          <w:p>
            <w:pPr>
              <w:pStyle w:val="11"/>
            </w:pPr>
            <w:r>
              <w:t>3.98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9.58</w:t>
            </w:r>
          </w:p>
        </w:tc>
        <w:tc>
          <w:tcPr>
            <w:tcW w:w="1474" w:type="dxa"/>
            <w:vAlign w:val="center"/>
          </w:tcPr>
          <w:p>
            <w:pPr>
              <w:pStyle w:val="11"/>
            </w:pPr>
            <w:r>
              <w:t>9.58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682.61</w:t>
            </w:r>
          </w:p>
        </w:tc>
        <w:tc>
          <w:tcPr>
            <w:tcW w:w="3402" w:type="dxa"/>
            <w:vAlign w:val="center"/>
          </w:tcPr>
          <w:p>
            <w:pPr>
              <w:pStyle w:val="14"/>
            </w:pPr>
            <w:r>
              <w:t>本年支出合计</w:t>
            </w:r>
          </w:p>
        </w:tc>
        <w:tc>
          <w:tcPr>
            <w:tcW w:w="1474" w:type="dxa"/>
            <w:vAlign w:val="center"/>
          </w:tcPr>
          <w:p>
            <w:pPr>
              <w:pStyle w:val="15"/>
            </w:pPr>
            <w:r>
              <w:t>682.61</w:t>
            </w:r>
          </w:p>
        </w:tc>
        <w:tc>
          <w:tcPr>
            <w:tcW w:w="1474" w:type="dxa"/>
            <w:vAlign w:val="center"/>
          </w:tcPr>
          <w:p>
            <w:pPr>
              <w:pStyle w:val="15"/>
            </w:pPr>
            <w:r>
              <w:t>682.61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682.61</w:t>
            </w:r>
          </w:p>
        </w:tc>
        <w:tc>
          <w:tcPr>
            <w:tcW w:w="3402" w:type="dxa"/>
            <w:vAlign w:val="center"/>
          </w:tcPr>
          <w:p>
            <w:pPr>
              <w:pStyle w:val="14"/>
            </w:pPr>
            <w:r>
              <w:t>支出总计</w:t>
            </w:r>
          </w:p>
        </w:tc>
        <w:tc>
          <w:tcPr>
            <w:tcW w:w="1474" w:type="dxa"/>
            <w:vAlign w:val="center"/>
          </w:tcPr>
          <w:p>
            <w:pPr>
              <w:pStyle w:val="15"/>
            </w:pPr>
            <w:r>
              <w:t>682.61</w:t>
            </w:r>
          </w:p>
        </w:tc>
        <w:tc>
          <w:tcPr>
            <w:tcW w:w="1474" w:type="dxa"/>
            <w:vAlign w:val="center"/>
          </w:tcPr>
          <w:p>
            <w:pPr>
              <w:pStyle w:val="15"/>
            </w:pPr>
            <w:r>
              <w:t>682.61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216001中国共产党魏县委员会政法委员会本级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682.61</w:t>
            </w:r>
          </w:p>
        </w:tc>
        <w:tc>
          <w:tcPr>
            <w:tcW w:w="2551" w:type="dxa"/>
            <w:vAlign w:val="center"/>
          </w:tcPr>
          <w:p>
            <w:pPr>
              <w:pStyle w:val="15"/>
            </w:pPr>
            <w:r>
              <w:t>269.20</w:t>
            </w:r>
          </w:p>
        </w:tc>
        <w:tc>
          <w:tcPr>
            <w:tcW w:w="2551" w:type="dxa"/>
            <w:vAlign w:val="center"/>
          </w:tcPr>
          <w:p>
            <w:pPr>
              <w:pStyle w:val="15"/>
            </w:pPr>
            <w:r>
              <w:t>413.41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669.05</w:t>
            </w:r>
          </w:p>
        </w:tc>
        <w:tc>
          <w:tcPr>
            <w:tcW w:w="2551" w:type="dxa"/>
            <w:vAlign w:val="center"/>
          </w:tcPr>
          <w:p>
            <w:pPr>
              <w:pStyle w:val="11"/>
            </w:pPr>
            <w:r>
              <w:t>255.64</w:t>
            </w:r>
          </w:p>
        </w:tc>
        <w:tc>
          <w:tcPr>
            <w:tcW w:w="2551" w:type="dxa"/>
            <w:vAlign w:val="center"/>
          </w:tcPr>
          <w:p>
            <w:pPr>
              <w:pStyle w:val="11"/>
            </w:pPr>
            <w:r>
              <w:t>413.41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413.41</w:t>
            </w:r>
          </w:p>
        </w:tc>
        <w:tc>
          <w:tcPr>
            <w:tcW w:w="2551" w:type="dxa"/>
            <w:vAlign w:val="center"/>
          </w:tcPr>
          <w:p>
            <w:pPr>
              <w:pStyle w:val="11"/>
            </w:pPr>
          </w:p>
        </w:tc>
        <w:tc>
          <w:tcPr>
            <w:tcW w:w="2551" w:type="dxa"/>
            <w:vAlign w:val="center"/>
          </w:tcPr>
          <w:p>
            <w:pPr>
              <w:pStyle w:val="11"/>
            </w:pPr>
            <w:r>
              <w:t>413.41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2011102</w:t>
            </w:r>
          </w:p>
        </w:tc>
        <w:tc>
          <w:tcPr>
            <w:tcW w:w="4535" w:type="dxa"/>
            <w:vAlign w:val="center"/>
          </w:tcPr>
          <w:p>
            <w:pPr>
              <w:pStyle w:val="12"/>
            </w:pPr>
            <w:r>
              <w:t>一般行政管理事务</w:t>
            </w:r>
          </w:p>
        </w:tc>
        <w:tc>
          <w:tcPr>
            <w:tcW w:w="2551" w:type="dxa"/>
            <w:vAlign w:val="center"/>
          </w:tcPr>
          <w:p>
            <w:pPr>
              <w:pStyle w:val="11"/>
            </w:pPr>
            <w:r>
              <w:t>268.89</w:t>
            </w:r>
          </w:p>
        </w:tc>
        <w:tc>
          <w:tcPr>
            <w:tcW w:w="2551" w:type="dxa"/>
            <w:vAlign w:val="center"/>
          </w:tcPr>
          <w:p>
            <w:pPr>
              <w:pStyle w:val="11"/>
            </w:pPr>
          </w:p>
        </w:tc>
        <w:tc>
          <w:tcPr>
            <w:tcW w:w="2551" w:type="dxa"/>
            <w:vAlign w:val="center"/>
          </w:tcPr>
          <w:p>
            <w:pPr>
              <w:pStyle w:val="11"/>
            </w:pPr>
            <w:r>
              <w:t>268.89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2011103</w:t>
            </w:r>
          </w:p>
        </w:tc>
        <w:tc>
          <w:tcPr>
            <w:tcW w:w="4535" w:type="dxa"/>
            <w:vAlign w:val="center"/>
          </w:tcPr>
          <w:p>
            <w:pPr>
              <w:pStyle w:val="12"/>
            </w:pPr>
            <w:r>
              <w:t>机关服务</w:t>
            </w:r>
          </w:p>
        </w:tc>
        <w:tc>
          <w:tcPr>
            <w:tcW w:w="2551" w:type="dxa"/>
            <w:vAlign w:val="center"/>
          </w:tcPr>
          <w:p>
            <w:pPr>
              <w:pStyle w:val="11"/>
            </w:pPr>
            <w:r>
              <w:t>19.80</w:t>
            </w:r>
          </w:p>
        </w:tc>
        <w:tc>
          <w:tcPr>
            <w:tcW w:w="2551" w:type="dxa"/>
            <w:vAlign w:val="center"/>
          </w:tcPr>
          <w:p>
            <w:pPr>
              <w:pStyle w:val="11"/>
            </w:pPr>
          </w:p>
        </w:tc>
        <w:tc>
          <w:tcPr>
            <w:tcW w:w="2551" w:type="dxa"/>
            <w:vAlign w:val="center"/>
          </w:tcPr>
          <w:p>
            <w:pPr>
              <w:pStyle w:val="11"/>
            </w:pPr>
            <w:r>
              <w:t>19.80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2011104</w:t>
            </w:r>
          </w:p>
        </w:tc>
        <w:tc>
          <w:tcPr>
            <w:tcW w:w="4535" w:type="dxa"/>
            <w:vAlign w:val="center"/>
          </w:tcPr>
          <w:p>
            <w:pPr>
              <w:pStyle w:val="12"/>
            </w:pPr>
            <w:r>
              <w:t>大案要案查处</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2011199</w:t>
            </w:r>
          </w:p>
        </w:tc>
        <w:tc>
          <w:tcPr>
            <w:tcW w:w="4535" w:type="dxa"/>
            <w:vAlign w:val="center"/>
          </w:tcPr>
          <w:p>
            <w:pPr>
              <w:pStyle w:val="12"/>
            </w:pPr>
            <w:r>
              <w:t>其他纪检监察事务支出</w:t>
            </w:r>
          </w:p>
        </w:tc>
        <w:tc>
          <w:tcPr>
            <w:tcW w:w="2551" w:type="dxa"/>
            <w:vAlign w:val="center"/>
          </w:tcPr>
          <w:p>
            <w:pPr>
              <w:pStyle w:val="11"/>
            </w:pPr>
            <w:r>
              <w:t>114.72</w:t>
            </w:r>
          </w:p>
        </w:tc>
        <w:tc>
          <w:tcPr>
            <w:tcW w:w="2551" w:type="dxa"/>
            <w:vAlign w:val="center"/>
          </w:tcPr>
          <w:p>
            <w:pPr>
              <w:pStyle w:val="11"/>
            </w:pPr>
          </w:p>
        </w:tc>
        <w:tc>
          <w:tcPr>
            <w:tcW w:w="2551" w:type="dxa"/>
            <w:vAlign w:val="center"/>
          </w:tcPr>
          <w:p>
            <w:pPr>
              <w:pStyle w:val="11"/>
            </w:pPr>
            <w:r>
              <w:t>114.72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255.64</w:t>
            </w:r>
          </w:p>
        </w:tc>
        <w:tc>
          <w:tcPr>
            <w:tcW w:w="2551" w:type="dxa"/>
            <w:vAlign w:val="center"/>
          </w:tcPr>
          <w:p>
            <w:pPr>
              <w:pStyle w:val="11"/>
            </w:pPr>
            <w:r>
              <w:t>255.64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255.64</w:t>
            </w:r>
          </w:p>
        </w:tc>
        <w:tc>
          <w:tcPr>
            <w:tcW w:w="2551" w:type="dxa"/>
            <w:vAlign w:val="center"/>
          </w:tcPr>
          <w:p>
            <w:pPr>
              <w:pStyle w:val="11"/>
            </w:pPr>
            <w:r>
              <w:t>255.64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3.98</w:t>
            </w:r>
          </w:p>
        </w:tc>
        <w:tc>
          <w:tcPr>
            <w:tcW w:w="2551" w:type="dxa"/>
            <w:vAlign w:val="center"/>
          </w:tcPr>
          <w:p>
            <w:pPr>
              <w:pStyle w:val="11"/>
            </w:pPr>
            <w:r>
              <w:t>3.98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3.98</w:t>
            </w:r>
          </w:p>
        </w:tc>
        <w:tc>
          <w:tcPr>
            <w:tcW w:w="2551" w:type="dxa"/>
            <w:vAlign w:val="center"/>
          </w:tcPr>
          <w:p>
            <w:pPr>
              <w:pStyle w:val="11"/>
            </w:pPr>
            <w:r>
              <w:t>3.98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3.98</w:t>
            </w:r>
          </w:p>
        </w:tc>
        <w:tc>
          <w:tcPr>
            <w:tcW w:w="2551" w:type="dxa"/>
            <w:vAlign w:val="center"/>
          </w:tcPr>
          <w:p>
            <w:pPr>
              <w:pStyle w:val="11"/>
            </w:pPr>
            <w:r>
              <w:t>3.98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9.58</w:t>
            </w:r>
          </w:p>
        </w:tc>
        <w:tc>
          <w:tcPr>
            <w:tcW w:w="2551" w:type="dxa"/>
            <w:vAlign w:val="center"/>
          </w:tcPr>
          <w:p>
            <w:pPr>
              <w:pStyle w:val="11"/>
            </w:pPr>
            <w:r>
              <w:t>9.58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9.58</w:t>
            </w:r>
          </w:p>
        </w:tc>
        <w:tc>
          <w:tcPr>
            <w:tcW w:w="2551" w:type="dxa"/>
            <w:vAlign w:val="center"/>
          </w:tcPr>
          <w:p>
            <w:pPr>
              <w:pStyle w:val="11"/>
            </w:pPr>
            <w:r>
              <w:t>9.58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9.58</w:t>
            </w:r>
          </w:p>
        </w:tc>
        <w:tc>
          <w:tcPr>
            <w:tcW w:w="2551" w:type="dxa"/>
            <w:vAlign w:val="center"/>
          </w:tcPr>
          <w:p>
            <w:pPr>
              <w:pStyle w:val="11"/>
            </w:pPr>
            <w:r>
              <w:t>9.58</w:t>
            </w:r>
          </w:p>
        </w:tc>
        <w:tc>
          <w:tcPr>
            <w:tcW w:w="2551"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216001中国共产党魏县委员会政法委员会本级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269.20</w:t>
            </w:r>
          </w:p>
        </w:tc>
        <w:tc>
          <w:tcPr>
            <w:tcW w:w="2551" w:type="dxa"/>
            <w:vAlign w:val="center"/>
          </w:tcPr>
          <w:p>
            <w:pPr>
              <w:pStyle w:val="15"/>
            </w:pPr>
            <w:r>
              <w:t>237.18</w:t>
            </w:r>
          </w:p>
        </w:tc>
        <w:tc>
          <w:tcPr>
            <w:tcW w:w="2551" w:type="dxa"/>
            <w:vAlign w:val="center"/>
          </w:tcPr>
          <w:p>
            <w:pPr>
              <w:pStyle w:val="15"/>
            </w:pPr>
            <w:r>
              <w:t>32.02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231.40</w:t>
            </w:r>
          </w:p>
        </w:tc>
        <w:tc>
          <w:tcPr>
            <w:tcW w:w="2551" w:type="dxa"/>
            <w:vAlign w:val="center"/>
          </w:tcPr>
          <w:p>
            <w:pPr>
              <w:pStyle w:val="11"/>
            </w:pPr>
            <w:r>
              <w:t>231.40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133.53</w:t>
            </w:r>
          </w:p>
        </w:tc>
        <w:tc>
          <w:tcPr>
            <w:tcW w:w="2551" w:type="dxa"/>
            <w:vAlign w:val="center"/>
          </w:tcPr>
          <w:p>
            <w:pPr>
              <w:pStyle w:val="11"/>
            </w:pPr>
            <w:r>
              <w:t>133.53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28.77</w:t>
            </w:r>
          </w:p>
        </w:tc>
        <w:tc>
          <w:tcPr>
            <w:tcW w:w="2551" w:type="dxa"/>
            <w:vAlign w:val="center"/>
          </w:tcPr>
          <w:p>
            <w:pPr>
              <w:pStyle w:val="11"/>
            </w:pPr>
            <w:r>
              <w:t>28.77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7.48</w:t>
            </w:r>
          </w:p>
        </w:tc>
        <w:tc>
          <w:tcPr>
            <w:tcW w:w="2551" w:type="dxa"/>
            <w:vAlign w:val="center"/>
          </w:tcPr>
          <w:p>
            <w:pPr>
              <w:pStyle w:val="11"/>
            </w:pPr>
            <w:r>
              <w:t>7.48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19.38</w:t>
            </w:r>
          </w:p>
        </w:tc>
        <w:tc>
          <w:tcPr>
            <w:tcW w:w="2551" w:type="dxa"/>
            <w:vAlign w:val="center"/>
          </w:tcPr>
          <w:p>
            <w:pPr>
              <w:pStyle w:val="11"/>
            </w:pPr>
            <w:r>
              <w:t>19.38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9.69</w:t>
            </w:r>
          </w:p>
        </w:tc>
        <w:tc>
          <w:tcPr>
            <w:tcW w:w="2551" w:type="dxa"/>
            <w:vAlign w:val="center"/>
          </w:tcPr>
          <w:p>
            <w:pPr>
              <w:pStyle w:val="11"/>
            </w:pPr>
            <w:r>
              <w:t>9.69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9.58</w:t>
            </w:r>
          </w:p>
        </w:tc>
        <w:tc>
          <w:tcPr>
            <w:tcW w:w="2551" w:type="dxa"/>
            <w:vAlign w:val="center"/>
          </w:tcPr>
          <w:p>
            <w:pPr>
              <w:pStyle w:val="11"/>
            </w:pPr>
            <w:r>
              <w:t>9.58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22.97</w:t>
            </w:r>
          </w:p>
        </w:tc>
        <w:tc>
          <w:tcPr>
            <w:tcW w:w="2551" w:type="dxa"/>
            <w:vAlign w:val="center"/>
          </w:tcPr>
          <w:p>
            <w:pPr>
              <w:pStyle w:val="11"/>
            </w:pPr>
            <w:r>
              <w:t>22.97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32.02</w:t>
            </w:r>
          </w:p>
        </w:tc>
        <w:tc>
          <w:tcPr>
            <w:tcW w:w="2551" w:type="dxa"/>
            <w:vAlign w:val="center"/>
          </w:tcPr>
          <w:p>
            <w:pPr>
              <w:pStyle w:val="11"/>
            </w:pPr>
          </w:p>
        </w:tc>
        <w:tc>
          <w:tcPr>
            <w:tcW w:w="2551" w:type="dxa"/>
            <w:vAlign w:val="center"/>
          </w:tcPr>
          <w:p>
            <w:pPr>
              <w:pStyle w:val="11"/>
            </w:pPr>
            <w:r>
              <w:t>32.02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19.00</w:t>
            </w:r>
          </w:p>
        </w:tc>
        <w:tc>
          <w:tcPr>
            <w:tcW w:w="2551" w:type="dxa"/>
            <w:vAlign w:val="center"/>
          </w:tcPr>
          <w:p>
            <w:pPr>
              <w:pStyle w:val="11"/>
            </w:pPr>
          </w:p>
        </w:tc>
        <w:tc>
          <w:tcPr>
            <w:tcW w:w="2551" w:type="dxa"/>
            <w:vAlign w:val="center"/>
          </w:tcPr>
          <w:p>
            <w:pPr>
              <w:pStyle w:val="11"/>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13.02</w:t>
            </w:r>
          </w:p>
        </w:tc>
        <w:tc>
          <w:tcPr>
            <w:tcW w:w="2551" w:type="dxa"/>
            <w:vAlign w:val="center"/>
          </w:tcPr>
          <w:p>
            <w:pPr>
              <w:pStyle w:val="11"/>
            </w:pPr>
          </w:p>
        </w:tc>
        <w:tc>
          <w:tcPr>
            <w:tcW w:w="2551" w:type="dxa"/>
            <w:vAlign w:val="center"/>
          </w:tcPr>
          <w:p>
            <w:pPr>
              <w:pStyle w:val="11"/>
            </w:pPr>
            <w:r>
              <w:t>13.02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5.78</w:t>
            </w:r>
          </w:p>
        </w:tc>
        <w:tc>
          <w:tcPr>
            <w:tcW w:w="2551" w:type="dxa"/>
            <w:vAlign w:val="center"/>
          </w:tcPr>
          <w:p>
            <w:pPr>
              <w:pStyle w:val="11"/>
            </w:pPr>
            <w:r>
              <w:t>5.78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3.98</w:t>
            </w:r>
          </w:p>
        </w:tc>
        <w:tc>
          <w:tcPr>
            <w:tcW w:w="2551" w:type="dxa"/>
            <w:vAlign w:val="center"/>
          </w:tcPr>
          <w:p>
            <w:pPr>
              <w:pStyle w:val="11"/>
            </w:pPr>
            <w:r>
              <w:t>3.98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1.80</w:t>
            </w:r>
          </w:p>
        </w:tc>
        <w:tc>
          <w:tcPr>
            <w:tcW w:w="2551" w:type="dxa"/>
            <w:vAlign w:val="center"/>
          </w:tcPr>
          <w:p>
            <w:pPr>
              <w:pStyle w:val="11"/>
            </w:pPr>
            <w:r>
              <w:t>1.80</w:t>
            </w:r>
          </w:p>
        </w:tc>
        <w:tc>
          <w:tcPr>
            <w:tcW w:w="2551"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216001中国共产党魏县委员会政法委员会本级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216001中国共产党魏县委员会政法委员会本级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20"/>
        <w:gridCol w:w="1960"/>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216001中国共产党魏县委员会政法委员会本级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ind w:firstLine="0" w:firstLineChars="0"/>
              <w:rPr>
                <w:rFonts w:ascii="方正书宋_GBK" w:hAnsi="方正书宋_GBK" w:eastAsia="方正书宋_GBK" w:cs="方正书宋_GBK"/>
                <w:b/>
                <w:sz w:val="21"/>
                <w:szCs w:val="24"/>
                <w:lang w:val="en-US" w:eastAsia="uk-UA" w:bidi="ar-SA"/>
              </w:rPr>
            </w:pPr>
            <w:r>
              <w:t>序号</w:t>
            </w:r>
          </w:p>
          <w:p>
            <w:pPr>
              <w:pStyle w:val="10"/>
            </w:pPr>
          </w:p>
        </w:tc>
        <w:tc>
          <w:tcPr>
            <w:tcW w:w="4220" w:type="dxa"/>
            <w:vMerge w:val="restart"/>
            <w:vAlign w:val="center"/>
          </w:tcPr>
          <w:p>
            <w:pPr>
              <w:pStyle w:val="10"/>
              <w:ind w:firstLine="0" w:firstLineChars="0"/>
              <w:rPr>
                <w:rFonts w:ascii="方正书宋_GBK" w:hAnsi="方正书宋_GBK" w:eastAsia="方正书宋_GBK" w:cs="方正书宋_GBK"/>
                <w:b/>
                <w:sz w:val="21"/>
                <w:szCs w:val="24"/>
                <w:lang w:val="en-US" w:eastAsia="uk-UA" w:bidi="ar-SA"/>
              </w:rPr>
            </w:pPr>
            <w:r>
              <w:t>项  目</w:t>
            </w:r>
            <w:bookmarkStart w:id="1" w:name="_GoBack"/>
            <w:bookmarkEnd w:id="1"/>
          </w:p>
          <w:p>
            <w:pPr>
              <w:pStyle w:val="10"/>
            </w:pPr>
          </w:p>
        </w:tc>
        <w:tc>
          <w:tcPr>
            <w:tcW w:w="9103" w:type="dxa"/>
            <w:gridSpan w:val="4"/>
            <w:vAlign w:val="center"/>
          </w:tcPr>
          <w:p>
            <w:pPr>
              <w:pStyle w:val="10"/>
              <w:ind w:firstLine="0" w:firstLineChars="0"/>
              <w:rPr>
                <w:rFonts w:ascii="方正书宋_GBK" w:hAnsi="方正书宋_GBK" w:eastAsia="方正书宋_GBK" w:cs="方正书宋_GBK"/>
                <w:b/>
                <w:sz w:val="21"/>
                <w:szCs w:val="24"/>
                <w:lang w:val="en-US" w:eastAsia="uk-UA" w:bidi="ar-SA"/>
              </w:rPr>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220" w:type="dxa"/>
            <w:vMerge w:val="continue"/>
          </w:tcPr>
          <w:p/>
        </w:tc>
        <w:tc>
          <w:tcPr>
            <w:tcW w:w="1960" w:type="dxa"/>
            <w:vAlign w:val="center"/>
          </w:tcPr>
          <w:p>
            <w:pPr>
              <w:pStyle w:val="10"/>
              <w:ind w:firstLine="0" w:firstLineChars="0"/>
              <w:rPr>
                <w:rFonts w:ascii="方正书宋_GBK" w:hAnsi="方正书宋_GBK" w:eastAsia="方正书宋_GBK" w:cs="方正书宋_GBK"/>
                <w:b/>
                <w:sz w:val="21"/>
                <w:szCs w:val="24"/>
                <w:lang w:val="en-US" w:eastAsia="uk-UA" w:bidi="ar-SA"/>
              </w:rPr>
            </w:pPr>
            <w:r>
              <w:t>合计</w:t>
            </w:r>
          </w:p>
        </w:tc>
        <w:tc>
          <w:tcPr>
            <w:tcW w:w="2381" w:type="dxa"/>
            <w:vAlign w:val="center"/>
          </w:tcPr>
          <w:p>
            <w:pPr>
              <w:pStyle w:val="10"/>
              <w:ind w:firstLine="0" w:firstLineChars="0"/>
              <w:rPr>
                <w:rFonts w:ascii="方正书宋_GBK" w:hAnsi="方正书宋_GBK" w:eastAsia="方正书宋_GBK" w:cs="方正书宋_GBK"/>
                <w:b/>
                <w:sz w:val="21"/>
                <w:szCs w:val="24"/>
                <w:lang w:val="en-US" w:eastAsia="uk-UA" w:bidi="ar-SA"/>
              </w:rPr>
            </w:pPr>
            <w:r>
              <w:t>一般公共预算              财政拨款</w:t>
            </w:r>
          </w:p>
        </w:tc>
        <w:tc>
          <w:tcPr>
            <w:tcW w:w="2381" w:type="dxa"/>
            <w:vAlign w:val="center"/>
          </w:tcPr>
          <w:p>
            <w:pPr>
              <w:pStyle w:val="10"/>
              <w:ind w:firstLine="0" w:firstLineChars="0"/>
              <w:rPr>
                <w:rFonts w:ascii="方正书宋_GBK" w:hAnsi="方正书宋_GBK" w:eastAsia="方正书宋_GBK" w:cs="方正书宋_GBK"/>
                <w:b/>
                <w:sz w:val="21"/>
                <w:szCs w:val="24"/>
                <w:lang w:val="en-US" w:eastAsia="uk-UA" w:bidi="ar-SA"/>
              </w:rPr>
            </w:pPr>
            <w:r>
              <w:t>政府性基金                  预算拨款</w:t>
            </w:r>
          </w:p>
        </w:tc>
        <w:tc>
          <w:tcPr>
            <w:tcW w:w="2381" w:type="dxa"/>
            <w:vAlign w:val="center"/>
          </w:tcPr>
          <w:p>
            <w:pPr>
              <w:pStyle w:val="10"/>
              <w:ind w:firstLine="0" w:firstLineChars="0"/>
              <w:rPr>
                <w:rFonts w:ascii="方正书宋_GBK" w:hAnsi="方正书宋_GBK" w:eastAsia="方正书宋_GBK" w:cs="方正书宋_GBK"/>
                <w:b/>
                <w:sz w:val="21"/>
                <w:szCs w:val="24"/>
                <w:lang w:val="en-US" w:eastAsia="uk-UA" w:bidi="ar-SA"/>
              </w:rPr>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ind w:firstLine="0" w:firstLineChars="0"/>
              <w:rPr>
                <w:rFonts w:ascii="方正书宋_GBK" w:hAnsi="方正书宋_GBK" w:eastAsia="方正书宋_GBK" w:cs="方正书宋_GBK"/>
                <w:b/>
                <w:sz w:val="21"/>
                <w:szCs w:val="24"/>
                <w:lang w:val="en-US" w:eastAsia="uk-UA" w:bidi="ar-SA"/>
              </w:rPr>
            </w:pPr>
            <w:r>
              <w:t>栏次</w:t>
            </w:r>
          </w:p>
        </w:tc>
        <w:tc>
          <w:tcPr>
            <w:tcW w:w="4220" w:type="dxa"/>
            <w:vAlign w:val="center"/>
          </w:tcPr>
          <w:p>
            <w:pPr>
              <w:pStyle w:val="10"/>
              <w:ind w:firstLine="0" w:firstLineChars="0"/>
              <w:rPr>
                <w:rFonts w:ascii="方正书宋_GBK" w:hAnsi="方正书宋_GBK" w:eastAsia="方正书宋_GBK" w:cs="方正书宋_GBK"/>
                <w:b/>
                <w:sz w:val="21"/>
                <w:szCs w:val="24"/>
                <w:lang w:val="en-US" w:eastAsia="uk-UA" w:bidi="ar-SA"/>
              </w:rPr>
            </w:pPr>
            <w:r>
              <w:t>1</w:t>
            </w:r>
          </w:p>
        </w:tc>
        <w:tc>
          <w:tcPr>
            <w:tcW w:w="1960" w:type="dxa"/>
            <w:vAlign w:val="center"/>
          </w:tcPr>
          <w:p>
            <w:pPr>
              <w:pStyle w:val="10"/>
              <w:ind w:firstLine="0" w:firstLineChars="0"/>
              <w:rPr>
                <w:rFonts w:ascii="方正书宋_GBK" w:hAnsi="方正书宋_GBK" w:eastAsia="方正书宋_GBK" w:cs="方正书宋_GBK"/>
                <w:b/>
                <w:sz w:val="21"/>
                <w:szCs w:val="24"/>
                <w:lang w:val="en-US" w:eastAsia="uk-UA" w:bidi="ar-SA"/>
              </w:rPr>
            </w:pPr>
            <w:r>
              <w:t>2</w:t>
            </w:r>
          </w:p>
        </w:tc>
        <w:tc>
          <w:tcPr>
            <w:tcW w:w="2381" w:type="dxa"/>
            <w:vAlign w:val="center"/>
          </w:tcPr>
          <w:p>
            <w:pPr>
              <w:pStyle w:val="10"/>
              <w:ind w:firstLine="0" w:firstLineChars="0"/>
              <w:rPr>
                <w:rFonts w:ascii="方正书宋_GBK" w:hAnsi="方正书宋_GBK" w:eastAsia="方正书宋_GBK" w:cs="方正书宋_GBK"/>
                <w:b/>
                <w:sz w:val="21"/>
                <w:szCs w:val="24"/>
                <w:lang w:val="en-US" w:eastAsia="uk-UA" w:bidi="ar-SA"/>
              </w:rPr>
            </w:pPr>
            <w:r>
              <w:t>3</w:t>
            </w:r>
          </w:p>
        </w:tc>
        <w:tc>
          <w:tcPr>
            <w:tcW w:w="2381" w:type="dxa"/>
            <w:vAlign w:val="center"/>
          </w:tcPr>
          <w:p>
            <w:pPr>
              <w:pStyle w:val="10"/>
              <w:ind w:firstLine="0" w:firstLineChars="0"/>
              <w:rPr>
                <w:rFonts w:ascii="方正书宋_GBK" w:hAnsi="方正书宋_GBK" w:eastAsia="方正书宋_GBK" w:cs="方正书宋_GBK"/>
                <w:b/>
                <w:sz w:val="21"/>
                <w:szCs w:val="24"/>
                <w:lang w:val="en-US" w:eastAsia="uk-UA" w:bidi="ar-SA"/>
              </w:rPr>
            </w:pPr>
            <w:r>
              <w:t>4</w:t>
            </w:r>
          </w:p>
        </w:tc>
        <w:tc>
          <w:tcPr>
            <w:tcW w:w="2381" w:type="dxa"/>
            <w:vAlign w:val="center"/>
          </w:tcPr>
          <w:p>
            <w:pPr>
              <w:pStyle w:val="10"/>
              <w:ind w:firstLine="0" w:firstLineChars="0"/>
              <w:rPr>
                <w:rFonts w:ascii="方正书宋_GBK" w:hAnsi="方正书宋_GBK" w:eastAsia="方正书宋_GBK" w:cs="方正书宋_GBK"/>
                <w:b/>
                <w:sz w:val="21"/>
                <w:szCs w:val="24"/>
                <w:lang w:val="en-US" w:eastAsia="uk-UA" w:bidi="ar-SA"/>
              </w:rP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p>
        </w:tc>
        <w:tc>
          <w:tcPr>
            <w:tcW w:w="4220" w:type="dxa"/>
            <w:vAlign w:val="center"/>
          </w:tcPr>
          <w:p>
            <w:pPr>
              <w:pStyle w:val="14"/>
              <w:ind w:firstLine="0" w:firstLineChars="0"/>
              <w:rPr>
                <w:rFonts w:ascii="方正书宋_GBK" w:hAnsi="方正书宋_GBK" w:eastAsia="方正书宋_GBK" w:cs="方正书宋_GBK"/>
                <w:b/>
                <w:sz w:val="21"/>
                <w:szCs w:val="24"/>
                <w:lang w:val="en-US" w:eastAsia="uk-UA" w:bidi="ar-SA"/>
              </w:rPr>
            </w:pPr>
            <w:r>
              <w:t>合计</w:t>
            </w:r>
          </w:p>
        </w:tc>
        <w:tc>
          <w:tcPr>
            <w:tcW w:w="1960" w:type="dxa"/>
            <w:vAlign w:val="center"/>
          </w:tcPr>
          <w:p>
            <w:pPr>
              <w:pStyle w:val="15"/>
              <w:ind w:firstLine="0" w:firstLineChars="0"/>
              <w:rPr>
                <w:rFonts w:ascii="方正书宋_GBK" w:hAnsi="方正书宋_GBK" w:eastAsia="方正书宋_GBK" w:cs="方正书宋_GBK"/>
                <w:b/>
                <w:sz w:val="21"/>
                <w:szCs w:val="24"/>
                <w:lang w:val="en-US" w:eastAsia="uk-UA" w:bidi="ar-SA"/>
              </w:rPr>
            </w:pPr>
          </w:p>
        </w:tc>
        <w:tc>
          <w:tcPr>
            <w:tcW w:w="2381" w:type="dxa"/>
            <w:vAlign w:val="center"/>
          </w:tcPr>
          <w:p>
            <w:pPr>
              <w:pStyle w:val="15"/>
              <w:ind w:firstLine="0" w:firstLineChars="0"/>
              <w:rPr>
                <w:rFonts w:ascii="方正书宋_GBK" w:hAnsi="方正书宋_GBK" w:eastAsia="方正书宋_GBK" w:cs="方正书宋_GBK"/>
                <w:b/>
                <w:sz w:val="21"/>
                <w:szCs w:val="24"/>
                <w:lang w:val="en-US" w:eastAsia="uk-UA" w:bidi="ar-SA"/>
              </w:rPr>
            </w:pPr>
          </w:p>
        </w:tc>
        <w:tc>
          <w:tcPr>
            <w:tcW w:w="2381" w:type="dxa"/>
            <w:vAlign w:val="center"/>
          </w:tcPr>
          <w:p>
            <w:pPr>
              <w:pStyle w:val="15"/>
              <w:ind w:firstLine="0" w:firstLineChars="0"/>
              <w:rPr>
                <w:rFonts w:ascii="方正书宋_GBK" w:hAnsi="方正书宋_GBK" w:eastAsia="方正书宋_GBK" w:cs="方正书宋_GBK"/>
                <w:b/>
                <w:sz w:val="21"/>
                <w:szCs w:val="24"/>
                <w:lang w:val="en-US" w:eastAsia="uk-UA" w:bidi="ar-SA"/>
              </w:rPr>
            </w:pPr>
          </w:p>
        </w:tc>
        <w:tc>
          <w:tcPr>
            <w:tcW w:w="2381" w:type="dxa"/>
            <w:vAlign w:val="center"/>
          </w:tcPr>
          <w:p>
            <w:pPr>
              <w:pStyle w:val="15"/>
              <w:ind w:firstLine="0" w:firstLineChars="0"/>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2</w:t>
            </w:r>
          </w:p>
        </w:tc>
        <w:tc>
          <w:tcPr>
            <w:tcW w:w="4220" w:type="dxa"/>
            <w:vAlign w:val="center"/>
          </w:tcPr>
          <w:p>
            <w:pPr>
              <w:pStyle w:val="12"/>
              <w:ind w:firstLine="0" w:firstLineChars="0"/>
              <w:rPr>
                <w:rFonts w:ascii="方正书宋_GBK" w:hAnsi="方正书宋_GBK" w:eastAsia="方正书宋_GBK" w:cs="方正书宋_GBK"/>
                <w:sz w:val="21"/>
                <w:szCs w:val="24"/>
                <w:lang w:val="en-US" w:eastAsia="uk-UA" w:bidi="ar-SA"/>
              </w:rPr>
            </w:pPr>
            <w:r>
              <w:t>“三公”经费小计</w:t>
            </w:r>
          </w:p>
        </w:tc>
        <w:tc>
          <w:tcPr>
            <w:tcW w:w="1960"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3</w:t>
            </w:r>
          </w:p>
        </w:tc>
        <w:tc>
          <w:tcPr>
            <w:tcW w:w="4220" w:type="dxa"/>
            <w:vAlign w:val="center"/>
          </w:tcPr>
          <w:p>
            <w:pPr>
              <w:pStyle w:val="12"/>
              <w:ind w:firstLine="0" w:firstLineChars="0"/>
              <w:rPr>
                <w:rFonts w:ascii="方正书宋_GBK" w:hAnsi="方正书宋_GBK" w:eastAsia="方正书宋_GBK" w:cs="方正书宋_GBK"/>
                <w:sz w:val="21"/>
                <w:szCs w:val="24"/>
                <w:lang w:val="en-US" w:eastAsia="uk-UA" w:bidi="ar-SA"/>
              </w:rPr>
            </w:pPr>
            <w:r>
              <w:t>一、因公出国（境）费</w:t>
            </w:r>
          </w:p>
        </w:tc>
        <w:tc>
          <w:tcPr>
            <w:tcW w:w="1960"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4</w:t>
            </w:r>
          </w:p>
        </w:tc>
        <w:tc>
          <w:tcPr>
            <w:tcW w:w="4220" w:type="dxa"/>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其中：教学科研人员因公出国（境）</w:t>
            </w:r>
          </w:p>
        </w:tc>
        <w:tc>
          <w:tcPr>
            <w:tcW w:w="1960"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5</w:t>
            </w:r>
          </w:p>
        </w:tc>
        <w:tc>
          <w:tcPr>
            <w:tcW w:w="4220" w:type="dxa"/>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1960"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6</w:t>
            </w:r>
          </w:p>
        </w:tc>
        <w:tc>
          <w:tcPr>
            <w:tcW w:w="4220" w:type="dxa"/>
            <w:vAlign w:val="center"/>
          </w:tcPr>
          <w:p>
            <w:pPr>
              <w:pStyle w:val="12"/>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960"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7</w:t>
            </w:r>
          </w:p>
        </w:tc>
        <w:tc>
          <w:tcPr>
            <w:tcW w:w="4220" w:type="dxa"/>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1960"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8</w:t>
            </w:r>
          </w:p>
        </w:tc>
        <w:tc>
          <w:tcPr>
            <w:tcW w:w="4220" w:type="dxa"/>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1960"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9</w:t>
            </w:r>
          </w:p>
        </w:tc>
        <w:tc>
          <w:tcPr>
            <w:tcW w:w="4220" w:type="dxa"/>
            <w:vAlign w:val="center"/>
          </w:tcPr>
          <w:p>
            <w:pPr>
              <w:pStyle w:val="12"/>
              <w:ind w:firstLine="0" w:firstLineChars="0"/>
              <w:rPr>
                <w:rFonts w:ascii="方正书宋_GBK" w:hAnsi="方正书宋_GBK" w:eastAsia="方正书宋_GBK" w:cs="方正书宋_GBK"/>
                <w:sz w:val="21"/>
                <w:szCs w:val="24"/>
                <w:lang w:val="en-US" w:eastAsia="uk-UA" w:bidi="ar-SA"/>
              </w:rPr>
            </w:pPr>
            <w:r>
              <w:t>三、公务接待费</w:t>
            </w:r>
          </w:p>
        </w:tc>
        <w:tc>
          <w:tcPr>
            <w:tcW w:w="1960"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bl>
    <w:p>
      <w:pPr>
        <w:ind w:firstLine="42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中国共产党魏县委员会政法委员会本级2022年单位预算信息公开情况说明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按照《预算法》、《地方预决算公开操作规程》和《关于进一步推进预算公开工作的实施意见》规定，现将中国共产党魏县委员会政法委员会本级2022年单位预算公开如下：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firstLineChars="200"/>
        <w:rPr>
          <w:rFonts w:eastAsia="方正仿宋_GBK"/>
          <w:sz w:val="28"/>
        </w:rPr>
      </w:pPr>
      <w:r>
        <w:rPr>
          <w:rFonts w:hint="eastAsia" w:eastAsia="方正仿宋_GBK"/>
          <w:sz w:val="28"/>
          <w:lang w:val="uk-UA" w:eastAsia="zh-CN"/>
        </w:rPr>
        <w:t>1</w:t>
      </w:r>
      <w:r>
        <w:rPr>
          <w:rFonts w:hint="eastAsia" w:eastAsia="方正仿宋_GBK"/>
          <w:sz w:val="28"/>
          <w:lang w:val="uk-UA"/>
        </w:rPr>
        <w:t>、深入贯彻习近平新时代中国特色社会主义思想，坚持党对政法工作的绝对领导，坚决维护习近平总书记在党中央的核心、全党的核心地位，坚决维护党中央权威和集中统一领导，深入贯彻党的路线方针政策和中央、省委、市委、县委的决策部署，统一全市政法单位思想和行动，确保全县政法单位坚定正确的政治方向。</w:t>
      </w:r>
    </w:p>
    <w:p>
      <w:pPr>
        <w:spacing w:line="500" w:lineRule="exact"/>
        <w:ind w:firstLine="560" w:firstLineChars="200"/>
        <w:rPr>
          <w:rFonts w:eastAsia="方正仿宋_GBK"/>
          <w:sz w:val="28"/>
        </w:rPr>
      </w:pPr>
      <w:r>
        <w:rPr>
          <w:rFonts w:hint="eastAsia" w:eastAsia="方正仿宋_GBK"/>
          <w:sz w:val="28"/>
          <w:lang w:val="uk-UA" w:eastAsia="zh-CN"/>
        </w:rPr>
        <w:t>2</w:t>
      </w:r>
      <w:r>
        <w:rPr>
          <w:rFonts w:hint="eastAsia" w:eastAsia="方正仿宋_GBK"/>
          <w:sz w:val="28"/>
          <w:lang w:val="uk-UA"/>
        </w:rPr>
        <w:t>、对全县政法工作研究提出全局性部署，推进平安魏县、法治魏县建设，加强过硬队伍建设，深化智能化建设，坚决维护国家政治安全、确保社会大局稳定、促进社会公平正义、保障人民安居乐业。</w:t>
      </w:r>
    </w:p>
    <w:p>
      <w:pPr>
        <w:spacing w:line="500" w:lineRule="exact"/>
        <w:ind w:firstLine="560" w:firstLineChars="200"/>
        <w:rPr>
          <w:rFonts w:eastAsia="方正仿宋_GBK"/>
          <w:sz w:val="28"/>
        </w:rPr>
      </w:pPr>
      <w:r>
        <w:rPr>
          <w:rFonts w:hint="eastAsia" w:eastAsia="方正仿宋_GBK"/>
          <w:sz w:val="28"/>
          <w:lang w:val="uk-UA" w:eastAsia="zh-CN"/>
        </w:rPr>
        <w:t>3</w:t>
      </w:r>
      <w:r>
        <w:rPr>
          <w:rFonts w:hint="eastAsia" w:eastAsia="方正仿宋_GBK"/>
          <w:sz w:val="28"/>
          <w:lang w:val="uk-UA"/>
        </w:rPr>
        <w:t>、了解掌握和分析研判政法工作情况动态，分析社会稳定形势，创新完善多部门参与的综治维稳工作机制，协调推动预防、化解影响稳定的社会矛盾和风险，协调应对和处置重大突发事件。</w:t>
      </w:r>
    </w:p>
    <w:p>
      <w:pPr>
        <w:spacing w:line="500" w:lineRule="exact"/>
        <w:ind w:firstLine="560" w:firstLineChars="200"/>
        <w:rPr>
          <w:rFonts w:eastAsia="方正仿宋_GBK"/>
          <w:sz w:val="28"/>
        </w:rPr>
      </w:pPr>
      <w:r>
        <w:rPr>
          <w:rFonts w:hint="eastAsia" w:eastAsia="方正仿宋_GBK"/>
          <w:sz w:val="28"/>
          <w:lang w:val="uk-UA" w:eastAsia="zh-CN"/>
        </w:rPr>
        <w:t>4</w:t>
      </w:r>
      <w:r>
        <w:rPr>
          <w:rFonts w:hint="eastAsia" w:eastAsia="方正仿宋_GBK"/>
          <w:sz w:val="28"/>
          <w:lang w:val="uk-UA"/>
        </w:rPr>
        <w:t>、加强对政法工作的督查，负责社会治安综合治理、维护社会稳定、反邪教有关法律法规政策的实施工作。</w:t>
      </w:r>
    </w:p>
    <w:p>
      <w:pPr>
        <w:spacing w:line="500" w:lineRule="exact"/>
        <w:ind w:firstLine="560" w:firstLineChars="200"/>
        <w:rPr>
          <w:rFonts w:eastAsia="方正仿宋_GBK"/>
          <w:sz w:val="28"/>
        </w:rPr>
      </w:pPr>
      <w:r>
        <w:rPr>
          <w:rFonts w:hint="eastAsia" w:eastAsia="方正仿宋_GBK"/>
          <w:sz w:val="28"/>
          <w:lang w:val="uk-UA" w:eastAsia="zh-CN"/>
        </w:rPr>
        <w:t>5</w:t>
      </w:r>
      <w:r>
        <w:rPr>
          <w:rFonts w:hint="eastAsia" w:eastAsia="方正仿宋_GBK"/>
          <w:sz w:val="28"/>
          <w:lang w:val="uk-UA"/>
        </w:rPr>
        <w:t>、组织开展政法领域的调查研究，研究拟订政法工作的重大措施，及时向县委提出建议。</w:t>
      </w:r>
    </w:p>
    <w:p>
      <w:pPr>
        <w:spacing w:line="500" w:lineRule="exact"/>
        <w:ind w:firstLine="560" w:firstLineChars="200"/>
        <w:rPr>
          <w:rFonts w:eastAsia="方正仿宋_GBK"/>
          <w:sz w:val="28"/>
        </w:rPr>
      </w:pPr>
      <w:r>
        <w:rPr>
          <w:rFonts w:hint="eastAsia" w:eastAsia="方正仿宋_GBK"/>
          <w:sz w:val="28"/>
          <w:lang w:val="uk-UA" w:eastAsia="zh-CN"/>
        </w:rPr>
        <w:t>6</w:t>
      </w:r>
      <w:r>
        <w:rPr>
          <w:rFonts w:hint="eastAsia" w:eastAsia="方正仿宋_GBK"/>
          <w:sz w:val="28"/>
          <w:lang w:val="uk-UA"/>
        </w:rPr>
        <w:t>、掌握分析政法舆情动态，指导协调政法单位媒体网络宣传工作，指导政法单位做好涉及政法工作的重大宣传工作。</w:t>
      </w:r>
    </w:p>
    <w:p>
      <w:pPr>
        <w:ind w:firstLine="640"/>
        <w:rPr>
          <w:rFonts w:hint="eastAsia" w:ascii="方正楷体_GBK" w:hAnsi="方正楷体_GBK" w:eastAsia="方正楷体_GBK" w:cs="方正楷体_GBK"/>
          <w:b/>
          <w:color w:val="000000"/>
          <w:sz w:val="32"/>
          <w:lang w:eastAsia="zh-CN"/>
        </w:rPr>
      </w:pPr>
    </w:p>
    <w:p>
      <w:pPr>
        <w:ind w:firstLine="640"/>
        <w:rPr>
          <w:rFonts w:hint="eastAsia" w:ascii="方正楷体_GBK" w:hAnsi="方正楷体_GBK" w:eastAsia="方正楷体_GBK" w:cs="方正楷体_GBK"/>
          <w:b/>
          <w:color w:val="000000"/>
          <w:sz w:val="32"/>
          <w:lang w:eastAsia="zh-CN"/>
        </w:rPr>
      </w:pPr>
    </w:p>
    <w:p>
      <w:pPr>
        <w:ind w:firstLine="640"/>
        <w:rPr>
          <w:rFonts w:hint="eastAsia" w:ascii="方正楷体_GBK" w:hAnsi="方正楷体_GBK" w:eastAsia="方正楷体_GBK" w:cs="方正楷体_GBK"/>
          <w:b/>
          <w:color w:val="000000"/>
          <w:sz w:val="32"/>
          <w:lang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中国共产党魏县委员会政法委员会本级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r>
        <w:rPr>
          <w:rFonts w:ascii="黑体" w:hAnsi="黑体" w:eastAsia="黑体" w:cs="黑体"/>
          <w:color w:val="000000"/>
          <w:sz w:val="32"/>
        </w:rPr>
        <w:t>二、部门预算安排的总体情况</w:t>
      </w:r>
    </w:p>
    <w:p>
      <w:pPr>
        <w:spacing w:line="500" w:lineRule="exact"/>
        <w:ind w:firstLine="560" w:firstLineChars="200"/>
        <w:rPr>
          <w:rFonts w:hAnsi="宋体"/>
          <w:sz w:val="28"/>
        </w:rPr>
      </w:pPr>
      <w:r>
        <w:rPr>
          <w:rFonts w:hint="eastAsia" w:eastAsia="方正仿宋_GBK"/>
          <w:sz w:val="28"/>
          <w:lang w:val="uk-UA"/>
        </w:rPr>
        <w:t>按照预算管理有关规定，目前我</w:t>
      </w:r>
      <w:r>
        <w:rPr>
          <w:rFonts w:hint="eastAsia" w:eastAsia="方正仿宋_GBK"/>
          <w:sz w:val="28"/>
          <w:lang w:val="uk-UA" w:eastAsia="zh-CN"/>
        </w:rPr>
        <w:t>县</w:t>
      </w:r>
      <w:r>
        <w:rPr>
          <w:rFonts w:hint="eastAsia" w:eastAsia="方正仿宋_GBK"/>
          <w:sz w:val="28"/>
          <w:lang w:val="uk-UA"/>
        </w:rPr>
        <w:t>部门预算的编制实行综合预算管理，即全部收入和支出都反映在预算中。中国共产党魏县委员会政法委员会机关及所属事业单位的收支包含在部门预算中。</w:t>
      </w:r>
    </w:p>
    <w:p>
      <w:pPr>
        <w:spacing w:line="500" w:lineRule="exact"/>
        <w:ind w:firstLine="560" w:firstLineChars="200"/>
        <w:rPr>
          <w:rFonts w:eastAsia="方正仿宋_GBK"/>
          <w:sz w:val="28"/>
        </w:rPr>
      </w:pPr>
      <w:r>
        <w:rPr>
          <w:rFonts w:eastAsia="方正仿宋_GBK"/>
          <w:sz w:val="28"/>
        </w:rPr>
        <w:t>1</w:t>
      </w:r>
      <w:r>
        <w:rPr>
          <w:rFonts w:hint="eastAsia" w:eastAsia="方正仿宋_GBK"/>
          <w:sz w:val="28"/>
          <w:lang w:val="uk-UA"/>
        </w:rPr>
        <w:t>、收入说明：</w:t>
      </w:r>
      <w:r>
        <w:rPr>
          <w:rFonts w:eastAsia="方正仿宋_GBK"/>
          <w:sz w:val="28"/>
        </w:rPr>
        <w:t>2022</w:t>
      </w:r>
      <w:r>
        <w:rPr>
          <w:rFonts w:hint="eastAsia" w:eastAsia="方正仿宋_GBK"/>
          <w:sz w:val="28"/>
          <w:lang w:val="uk-UA"/>
        </w:rPr>
        <w:t>年收入预算共计</w:t>
      </w:r>
      <w:r>
        <w:rPr>
          <w:rFonts w:hint="eastAsia" w:eastAsia="方正仿宋_GBK"/>
          <w:sz w:val="28"/>
          <w:lang w:eastAsia="zh-CN"/>
        </w:rPr>
        <w:t>682.61</w:t>
      </w:r>
      <w:r>
        <w:rPr>
          <w:rFonts w:hint="eastAsia" w:eastAsia="方正仿宋_GBK"/>
          <w:sz w:val="28"/>
          <w:lang w:val="uk-UA"/>
        </w:rPr>
        <w:t>万元，全部为财政拨款收入。</w:t>
      </w:r>
    </w:p>
    <w:p>
      <w:pPr>
        <w:spacing w:line="500" w:lineRule="exact"/>
        <w:ind w:firstLine="560" w:firstLineChars="200"/>
        <w:rPr>
          <w:rFonts w:eastAsia="方正仿宋_GBK"/>
          <w:sz w:val="28"/>
        </w:rPr>
      </w:pPr>
      <w:r>
        <w:rPr>
          <w:rFonts w:eastAsia="方正仿宋_GBK"/>
          <w:sz w:val="28"/>
        </w:rPr>
        <w:t>2</w:t>
      </w:r>
      <w:r>
        <w:rPr>
          <w:rFonts w:hint="eastAsia" w:eastAsia="方正仿宋_GBK"/>
          <w:sz w:val="28"/>
          <w:lang w:val="uk-UA"/>
        </w:rPr>
        <w:t>、支出说明：</w:t>
      </w:r>
      <w:r>
        <w:rPr>
          <w:rFonts w:eastAsia="方正仿宋_GBK"/>
          <w:sz w:val="28"/>
        </w:rPr>
        <w:t>2022</w:t>
      </w:r>
      <w:r>
        <w:rPr>
          <w:rFonts w:hint="eastAsia" w:eastAsia="方正仿宋_GBK"/>
          <w:sz w:val="28"/>
          <w:lang w:val="uk-UA"/>
        </w:rPr>
        <w:t>年支出预算共计</w:t>
      </w:r>
      <w:r>
        <w:rPr>
          <w:rFonts w:hint="eastAsia" w:eastAsia="方正仿宋_GBK"/>
          <w:sz w:val="28"/>
          <w:lang w:eastAsia="zh-CN"/>
        </w:rPr>
        <w:t>682.61</w:t>
      </w:r>
      <w:r>
        <w:rPr>
          <w:rFonts w:hint="eastAsia" w:eastAsia="方正仿宋_GBK"/>
          <w:sz w:val="28"/>
          <w:lang w:val="uk-UA"/>
        </w:rPr>
        <w:t>万元，其中人员经费支出预算</w:t>
      </w:r>
      <w:r>
        <w:rPr>
          <w:rFonts w:hint="eastAsia" w:eastAsia="方正仿宋_GBK"/>
          <w:sz w:val="28"/>
          <w:lang w:eastAsia="zh-CN"/>
        </w:rPr>
        <w:t>237.18</w:t>
      </w:r>
      <w:r>
        <w:rPr>
          <w:rFonts w:hint="eastAsia" w:eastAsia="方正仿宋_GBK"/>
          <w:sz w:val="28"/>
          <w:lang w:val="uk-UA"/>
        </w:rPr>
        <w:t>万元，日常公用经费支出预算</w:t>
      </w:r>
      <w:r>
        <w:rPr>
          <w:rFonts w:hint="eastAsia" w:eastAsia="方正仿宋_GBK"/>
          <w:sz w:val="28"/>
          <w:lang w:eastAsia="zh-CN"/>
        </w:rPr>
        <w:t>32.02</w:t>
      </w:r>
      <w:r>
        <w:rPr>
          <w:rFonts w:hint="eastAsia" w:eastAsia="方正仿宋_GBK"/>
          <w:sz w:val="28"/>
          <w:lang w:val="uk-UA"/>
        </w:rPr>
        <w:t>万元，项目支出</w:t>
      </w:r>
      <w:r>
        <w:rPr>
          <w:rFonts w:eastAsia="方正仿宋_GBK"/>
          <w:sz w:val="28"/>
        </w:rPr>
        <w:t>413.41</w:t>
      </w:r>
      <w:r>
        <w:rPr>
          <w:rFonts w:hint="eastAsia" w:eastAsia="方正仿宋_GBK"/>
          <w:sz w:val="28"/>
          <w:lang w:val="uk-UA"/>
        </w:rPr>
        <w:t>万元。</w:t>
      </w:r>
    </w:p>
    <w:p>
      <w:pPr>
        <w:spacing w:line="500" w:lineRule="exact"/>
        <w:ind w:firstLine="560" w:firstLineChars="200"/>
        <w:rPr>
          <w:rFonts w:eastAsia="方正仿宋_GBK"/>
          <w:sz w:val="28"/>
        </w:rPr>
      </w:pPr>
      <w:r>
        <w:rPr>
          <w:rFonts w:eastAsia="方正仿宋_GBK"/>
          <w:sz w:val="28"/>
        </w:rPr>
        <w:t>3</w:t>
      </w:r>
      <w:r>
        <w:rPr>
          <w:rFonts w:hint="eastAsia" w:eastAsia="方正仿宋_GBK"/>
          <w:sz w:val="28"/>
          <w:lang w:val="uk-UA"/>
        </w:rPr>
        <w:t>、比上年增减情况：经过对比测算，</w:t>
      </w:r>
      <w:r>
        <w:rPr>
          <w:rFonts w:eastAsia="方正仿宋_GBK"/>
          <w:sz w:val="28"/>
        </w:rPr>
        <w:t>2022</w:t>
      </w:r>
      <w:r>
        <w:rPr>
          <w:rFonts w:hint="eastAsia" w:eastAsia="方正仿宋_GBK"/>
          <w:sz w:val="28"/>
          <w:lang w:val="uk-UA"/>
        </w:rPr>
        <w:t>年财政拨款预算比</w:t>
      </w:r>
      <w:r>
        <w:rPr>
          <w:rFonts w:eastAsia="方正仿宋_GBK"/>
          <w:sz w:val="28"/>
        </w:rPr>
        <w:t>2021</w:t>
      </w:r>
      <w:r>
        <w:rPr>
          <w:rFonts w:hint="eastAsia" w:eastAsia="方正仿宋_GBK"/>
          <w:sz w:val="28"/>
          <w:lang w:val="uk-UA"/>
        </w:rPr>
        <w:t>年增加</w:t>
      </w:r>
      <w:r>
        <w:rPr>
          <w:rFonts w:hint="eastAsia" w:eastAsia="方正仿宋_GBK"/>
          <w:sz w:val="28"/>
          <w:lang w:eastAsia="zh-CN"/>
        </w:rPr>
        <w:t>144.44</w:t>
      </w:r>
      <w:r>
        <w:rPr>
          <w:rFonts w:hint="eastAsia" w:eastAsia="方正仿宋_GBK"/>
          <w:sz w:val="28"/>
          <w:lang w:val="uk-UA"/>
        </w:rPr>
        <w:t>万元。其中：人员经费增加</w:t>
      </w:r>
      <w:r>
        <w:rPr>
          <w:rFonts w:eastAsia="方正仿宋_GBK"/>
          <w:sz w:val="28"/>
        </w:rPr>
        <w:t>29.4</w:t>
      </w:r>
      <w:r>
        <w:rPr>
          <w:rFonts w:hint="eastAsia" w:eastAsia="方正仿宋_GBK"/>
          <w:sz w:val="28"/>
          <w:lang w:eastAsia="zh-CN"/>
        </w:rPr>
        <w:t>2</w:t>
      </w:r>
      <w:r>
        <w:rPr>
          <w:rFonts w:hint="eastAsia" w:eastAsia="方正仿宋_GBK"/>
          <w:sz w:val="28"/>
          <w:lang w:val="uk-UA"/>
        </w:rPr>
        <w:t>万元，主要是人员增加、正常晋级、绩效工资调资增加；日常公用经费增加</w:t>
      </w:r>
      <w:r>
        <w:rPr>
          <w:rFonts w:eastAsia="方正仿宋_GBK"/>
          <w:sz w:val="28"/>
        </w:rPr>
        <w:t>2</w:t>
      </w:r>
      <w:r>
        <w:rPr>
          <w:rFonts w:hint="eastAsia" w:eastAsia="方正仿宋_GBK"/>
          <w:sz w:val="28"/>
          <w:lang w:val="uk-UA"/>
        </w:rPr>
        <w:t>万元，原因是人员增加相应安排公用经费增加；项目支出增加</w:t>
      </w:r>
      <w:r>
        <w:rPr>
          <w:rFonts w:eastAsia="方正仿宋_GBK"/>
          <w:sz w:val="28"/>
        </w:rPr>
        <w:t>100</w:t>
      </w:r>
      <w:r>
        <w:rPr>
          <w:rFonts w:hint="eastAsia" w:eastAsia="方正仿宋_GBK"/>
          <w:sz w:val="28"/>
          <w:lang w:val="uk-UA"/>
        </w:rPr>
        <w:t>万元，主要是维稳经费项目经费列入财政预算。</w:t>
      </w:r>
    </w:p>
    <w:p>
      <w:pPr>
        <w:pStyle w:val="18"/>
      </w:pPr>
    </w:p>
    <w:p>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pStyle w:val="19"/>
      </w:pPr>
      <w:r>
        <w:t>机关运行经费共计安排</w:t>
      </w:r>
      <w:r>
        <w:rPr>
          <w:rFonts w:hint="eastAsia"/>
          <w:lang w:eastAsia="zh-CN"/>
        </w:rPr>
        <w:t>32.02</w:t>
      </w:r>
      <w:r>
        <w:t>万元，主要用于保证正常办公的基本需要和维持单位日常业务运转，包括：办公费、邮电费、差旅费、手续费、公务接待费、工会经费、离退休干部经费</w:t>
      </w:r>
      <w:r>
        <w:rPr>
          <w:rFonts w:hint="eastAsia"/>
          <w:lang w:eastAsia="zh-CN"/>
        </w:rPr>
        <w:t>等</w:t>
      </w:r>
      <w:r>
        <w:t>。</w:t>
      </w:r>
    </w:p>
    <w:p>
      <w:pPr>
        <w:spacing w:before="10" w:after="10" w:line="360" w:lineRule="auto"/>
        <w:ind w:firstLine="640"/>
        <w:outlineLvl w:val="2"/>
        <w:rPr>
          <w:lang w:eastAsia="zh-CN"/>
        </w:rPr>
      </w:pPr>
    </w:p>
    <w:p>
      <w:pPr>
        <w:pStyle w:val="19"/>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autoSpaceDE w:val="0"/>
        <w:autoSpaceDN w:val="0"/>
        <w:adjustRightInd w:val="0"/>
        <w:ind w:firstLine="600" w:firstLineChars="200"/>
        <w:rPr>
          <w:rFonts w:ascii="黑体" w:hAnsi="黑体" w:eastAsia="黑体" w:cs="黑体"/>
          <w:color w:val="000000"/>
          <w:sz w:val="32"/>
        </w:rPr>
      </w:pPr>
      <w:r>
        <w:rPr>
          <w:rFonts w:hint="eastAsia" w:ascii="宋体" w:hAnsi="宋体" w:cs="仿宋"/>
          <w:sz w:val="30"/>
          <w:szCs w:val="30"/>
        </w:rPr>
        <w:t>2022年，财政拨款</w:t>
      </w:r>
      <w:r>
        <w:rPr>
          <w:rFonts w:hint="eastAsia" w:ascii="方正兰亭超细黑简体" w:hAnsi="方正兰亭超细黑简体" w:cs="方正兰亭超细黑简体"/>
          <w:sz w:val="30"/>
          <w:szCs w:val="30"/>
        </w:rPr>
        <w:t>“</w:t>
      </w:r>
      <w:r>
        <w:rPr>
          <w:rFonts w:hint="eastAsia" w:ascii="宋体" w:hAnsi="宋体" w:cs="仿宋"/>
          <w:sz w:val="30"/>
          <w:szCs w:val="30"/>
        </w:rPr>
        <w:t>三公</w:t>
      </w:r>
      <w:r>
        <w:rPr>
          <w:rFonts w:hint="eastAsia" w:ascii="方正兰亭超细黑简体" w:hAnsi="方正兰亭超细黑简体" w:cs="方正兰亭超细黑简体"/>
          <w:sz w:val="30"/>
          <w:szCs w:val="30"/>
        </w:rPr>
        <w:t>”</w:t>
      </w:r>
      <w:r>
        <w:rPr>
          <w:rFonts w:hint="eastAsia" w:ascii="宋体" w:hAnsi="宋体" w:cs="仿宋"/>
          <w:sz w:val="30"/>
          <w:szCs w:val="30"/>
        </w:rPr>
        <w:t>经费预算安排0万元。与202</w:t>
      </w:r>
      <w:r>
        <w:rPr>
          <w:rFonts w:hint="eastAsia" w:ascii="宋体" w:hAnsi="宋体" w:cs="仿宋" w:eastAsiaTheme="minorEastAsia"/>
          <w:sz w:val="30"/>
          <w:szCs w:val="30"/>
          <w:lang w:eastAsia="zh-CN"/>
        </w:rPr>
        <w:t>1</w:t>
      </w:r>
      <w:r>
        <w:rPr>
          <w:rFonts w:hint="eastAsia" w:ascii="宋体" w:hAnsi="宋体" w:cs="仿宋"/>
          <w:sz w:val="30"/>
          <w:szCs w:val="30"/>
        </w:rPr>
        <w:t>年相比，公务接待费减少0.2万元，原因是我单位根据单位业务需要，未安排“三公”经费支出。</w:t>
      </w:r>
    </w:p>
    <w:p>
      <w:pPr>
        <w:pStyle w:val="28"/>
      </w:pP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1、2022年法学会工作经费绩效目标表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1.目标内容1，法学会9月底前召开，参与人数达到200人，懂法守法护法能力明显提升，经费支出达到95%。</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法学会参与人数</w:t>
            </w:r>
          </w:p>
        </w:tc>
        <w:tc>
          <w:tcPr>
            <w:tcW w:w="2835" w:type="dxa"/>
            <w:vAlign w:val="center"/>
          </w:tcPr>
          <w:p>
            <w:pPr>
              <w:pStyle w:val="12"/>
            </w:pPr>
            <w:r>
              <w:t>按照法学会实施方案，法学会参与人数达到200人。</w:t>
            </w:r>
          </w:p>
        </w:tc>
        <w:tc>
          <w:tcPr>
            <w:tcW w:w="2551" w:type="dxa"/>
            <w:vAlign w:val="center"/>
          </w:tcPr>
          <w:p>
            <w:pPr>
              <w:pStyle w:val="12"/>
            </w:pPr>
            <w:r>
              <w:t>≥200人</w:t>
            </w:r>
          </w:p>
        </w:tc>
        <w:tc>
          <w:tcPr>
            <w:tcW w:w="2268" w:type="dxa"/>
            <w:vAlign w:val="center"/>
          </w:tcPr>
          <w:p>
            <w:pPr>
              <w:pStyle w:val="12"/>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法学会质量</w:t>
            </w:r>
          </w:p>
        </w:tc>
        <w:tc>
          <w:tcPr>
            <w:tcW w:w="2835" w:type="dxa"/>
            <w:vAlign w:val="center"/>
          </w:tcPr>
          <w:p>
            <w:pPr>
              <w:pStyle w:val="12"/>
            </w:pPr>
            <w:r>
              <w:t>按照法学会工作方案，执法人员懂法、守法、护法率提升到85%</w:t>
            </w:r>
          </w:p>
        </w:tc>
        <w:tc>
          <w:tcPr>
            <w:tcW w:w="2551" w:type="dxa"/>
            <w:vAlign w:val="center"/>
          </w:tcPr>
          <w:p>
            <w:pPr>
              <w:pStyle w:val="12"/>
            </w:pPr>
            <w:r>
              <w:t>≥85%</w:t>
            </w:r>
          </w:p>
        </w:tc>
        <w:tc>
          <w:tcPr>
            <w:tcW w:w="2268" w:type="dxa"/>
            <w:vAlign w:val="center"/>
          </w:tcPr>
          <w:p>
            <w:pPr>
              <w:pStyle w:val="12"/>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召开时间</w:t>
            </w:r>
          </w:p>
        </w:tc>
        <w:tc>
          <w:tcPr>
            <w:tcW w:w="2835" w:type="dxa"/>
            <w:vAlign w:val="center"/>
          </w:tcPr>
          <w:p>
            <w:pPr>
              <w:pStyle w:val="12"/>
            </w:pPr>
            <w:r>
              <w:t>按照法学会实施方案，9月底前完成。</w:t>
            </w:r>
          </w:p>
        </w:tc>
        <w:tc>
          <w:tcPr>
            <w:tcW w:w="2551" w:type="dxa"/>
            <w:vAlign w:val="center"/>
          </w:tcPr>
          <w:p>
            <w:pPr>
              <w:pStyle w:val="12"/>
            </w:pPr>
            <w:r>
              <w:t>99月底</w:t>
            </w:r>
          </w:p>
        </w:tc>
        <w:tc>
          <w:tcPr>
            <w:tcW w:w="2268" w:type="dxa"/>
            <w:vAlign w:val="center"/>
          </w:tcPr>
          <w:p>
            <w:pPr>
              <w:pStyle w:val="12"/>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经费保障</w:t>
            </w:r>
          </w:p>
        </w:tc>
        <w:tc>
          <w:tcPr>
            <w:tcW w:w="2835" w:type="dxa"/>
            <w:vAlign w:val="center"/>
          </w:tcPr>
          <w:p>
            <w:pPr>
              <w:pStyle w:val="12"/>
            </w:pPr>
            <w:r>
              <w:t>法学会经费保障</w:t>
            </w:r>
          </w:p>
        </w:tc>
        <w:tc>
          <w:tcPr>
            <w:tcW w:w="2551" w:type="dxa"/>
            <w:vAlign w:val="center"/>
          </w:tcPr>
          <w:p>
            <w:pPr>
              <w:pStyle w:val="12"/>
            </w:pPr>
            <w:r>
              <w:t>10万元</w:t>
            </w:r>
          </w:p>
        </w:tc>
        <w:tc>
          <w:tcPr>
            <w:tcW w:w="2268" w:type="dxa"/>
            <w:vAlign w:val="center"/>
          </w:tcPr>
          <w:p>
            <w:pPr>
              <w:pStyle w:val="12"/>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2835" w:type="dxa"/>
            <w:vAlign w:val="center"/>
          </w:tcPr>
          <w:p>
            <w:pPr>
              <w:pStyle w:val="12"/>
            </w:pPr>
            <w:r>
              <w:t>开展法学会、执法人员用法能力，确保社会经济高质量发展增长达到25%</w:t>
            </w:r>
          </w:p>
        </w:tc>
        <w:tc>
          <w:tcPr>
            <w:tcW w:w="2551" w:type="dxa"/>
            <w:vAlign w:val="center"/>
          </w:tcPr>
          <w:p>
            <w:pPr>
              <w:pStyle w:val="12"/>
            </w:pPr>
            <w:r>
              <w:t>≥25%</w:t>
            </w:r>
          </w:p>
        </w:tc>
        <w:tc>
          <w:tcPr>
            <w:tcW w:w="2268" w:type="dxa"/>
            <w:vAlign w:val="center"/>
          </w:tcPr>
          <w:p>
            <w:pPr>
              <w:pStyle w:val="12"/>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立体化社会治安防控体系覆盖率(</w:t>
            </w:r>
          </w:p>
        </w:tc>
        <w:tc>
          <w:tcPr>
            <w:tcW w:w="2835" w:type="dxa"/>
            <w:vAlign w:val="center"/>
          </w:tcPr>
          <w:p>
            <w:pPr>
              <w:pStyle w:val="12"/>
            </w:pPr>
            <w:r>
              <w:t>立体化社会治安防控体系覆盖率(%)</w:t>
            </w:r>
          </w:p>
        </w:tc>
        <w:tc>
          <w:tcPr>
            <w:tcW w:w="2551" w:type="dxa"/>
            <w:vAlign w:val="center"/>
          </w:tcPr>
          <w:p>
            <w:pPr>
              <w:pStyle w:val="12"/>
            </w:pPr>
            <w:r>
              <w:t>≥90%</w:t>
            </w:r>
          </w:p>
        </w:tc>
        <w:tc>
          <w:tcPr>
            <w:tcW w:w="2268" w:type="dxa"/>
            <w:vAlign w:val="center"/>
          </w:tcPr>
          <w:p>
            <w:pPr>
              <w:pStyle w:val="12"/>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2835" w:type="dxa"/>
            <w:vAlign w:val="center"/>
          </w:tcPr>
          <w:p>
            <w:pPr>
              <w:pStyle w:val="12"/>
            </w:pPr>
            <w:r>
              <w:t>社会公众满意度</w:t>
            </w:r>
          </w:p>
        </w:tc>
        <w:tc>
          <w:tcPr>
            <w:tcW w:w="2551" w:type="dxa"/>
            <w:vAlign w:val="center"/>
          </w:tcPr>
          <w:p>
            <w:pPr>
              <w:pStyle w:val="12"/>
            </w:pPr>
            <w:r>
              <w:t>≥95%</w:t>
            </w:r>
          </w:p>
        </w:tc>
        <w:tc>
          <w:tcPr>
            <w:tcW w:w="2268" w:type="dxa"/>
            <w:vAlign w:val="center"/>
          </w:tcPr>
          <w:p>
            <w:pPr>
              <w:pStyle w:val="12"/>
            </w:pPr>
            <w:r>
              <w:t>群众满意度</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2、2022年信访维稳经费绩效目标表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1.目标内容1开展信访工作，接访次数达到10次，信访群众满意度达到90%，接访处理时间不超过48小时，保障信访经费支出达到100%。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接访次数</w:t>
            </w:r>
          </w:p>
        </w:tc>
        <w:tc>
          <w:tcPr>
            <w:tcW w:w="2835" w:type="dxa"/>
            <w:vAlign w:val="center"/>
          </w:tcPr>
          <w:p>
            <w:pPr>
              <w:pStyle w:val="12"/>
            </w:pPr>
            <w:r>
              <w:t>接待群众上访次数</w:t>
            </w:r>
          </w:p>
        </w:tc>
        <w:tc>
          <w:tcPr>
            <w:tcW w:w="2551" w:type="dxa"/>
            <w:vAlign w:val="center"/>
          </w:tcPr>
          <w:p>
            <w:pPr>
              <w:pStyle w:val="12"/>
            </w:pPr>
            <w:r>
              <w:t>≥10次</w:t>
            </w:r>
          </w:p>
        </w:tc>
        <w:tc>
          <w:tcPr>
            <w:tcW w:w="2268" w:type="dxa"/>
            <w:vAlign w:val="center"/>
          </w:tcPr>
          <w:p>
            <w:pPr>
              <w:pStyle w:val="12"/>
            </w:pPr>
            <w:r>
              <w:t>根据实际接访要求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协商信访案件</w:t>
            </w:r>
          </w:p>
        </w:tc>
        <w:tc>
          <w:tcPr>
            <w:tcW w:w="2835" w:type="dxa"/>
            <w:vAlign w:val="center"/>
          </w:tcPr>
          <w:p>
            <w:pPr>
              <w:pStyle w:val="12"/>
            </w:pPr>
            <w:r>
              <w:t>按照信访工作要求，解决信访案件质量达到</w:t>
            </w:r>
          </w:p>
        </w:tc>
        <w:tc>
          <w:tcPr>
            <w:tcW w:w="2551" w:type="dxa"/>
            <w:vAlign w:val="center"/>
          </w:tcPr>
          <w:p>
            <w:pPr>
              <w:pStyle w:val="12"/>
            </w:pPr>
            <w:r>
              <w:t>≥90%</w:t>
            </w:r>
          </w:p>
        </w:tc>
        <w:tc>
          <w:tcPr>
            <w:tcW w:w="2268" w:type="dxa"/>
            <w:vAlign w:val="center"/>
          </w:tcPr>
          <w:p>
            <w:pPr>
              <w:pStyle w:val="12"/>
            </w:pPr>
            <w:r>
              <w:t>按照信访述求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信访、个体访处理时间</w:t>
            </w:r>
          </w:p>
        </w:tc>
        <w:tc>
          <w:tcPr>
            <w:tcW w:w="2835" w:type="dxa"/>
            <w:vAlign w:val="center"/>
          </w:tcPr>
          <w:p>
            <w:pPr>
              <w:pStyle w:val="12"/>
            </w:pPr>
            <w:r>
              <w:t>信访、个体访处理时间</w:t>
            </w:r>
          </w:p>
        </w:tc>
        <w:tc>
          <w:tcPr>
            <w:tcW w:w="2551" w:type="dxa"/>
            <w:vAlign w:val="center"/>
          </w:tcPr>
          <w:p>
            <w:pPr>
              <w:pStyle w:val="12"/>
            </w:pPr>
            <w:r>
              <w:t>≤48小时</w:t>
            </w:r>
          </w:p>
        </w:tc>
        <w:tc>
          <w:tcPr>
            <w:tcW w:w="2268" w:type="dxa"/>
            <w:vAlign w:val="center"/>
          </w:tcPr>
          <w:p>
            <w:pPr>
              <w:pStyle w:val="12"/>
            </w:pPr>
            <w:r>
              <w:t>按照信访述求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信访经费</w:t>
            </w:r>
          </w:p>
        </w:tc>
        <w:tc>
          <w:tcPr>
            <w:tcW w:w="2835" w:type="dxa"/>
            <w:vAlign w:val="center"/>
          </w:tcPr>
          <w:p>
            <w:pPr>
              <w:pStyle w:val="12"/>
            </w:pPr>
            <w:r>
              <w:t>信访工作经费保障</w:t>
            </w:r>
          </w:p>
        </w:tc>
        <w:tc>
          <w:tcPr>
            <w:tcW w:w="2551" w:type="dxa"/>
            <w:vAlign w:val="center"/>
          </w:tcPr>
          <w:p>
            <w:pPr>
              <w:pStyle w:val="12"/>
            </w:pPr>
            <w:r>
              <w:t>≤100万元</w:t>
            </w:r>
          </w:p>
        </w:tc>
        <w:tc>
          <w:tcPr>
            <w:tcW w:w="2268" w:type="dxa"/>
            <w:vAlign w:val="center"/>
          </w:tcPr>
          <w:p>
            <w:pPr>
              <w:pStyle w:val="12"/>
            </w:pPr>
            <w:r>
              <w:t>按照接访次数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信访转诉案件结案率</w:t>
            </w:r>
          </w:p>
        </w:tc>
        <w:tc>
          <w:tcPr>
            <w:tcW w:w="2835" w:type="dxa"/>
            <w:vAlign w:val="center"/>
          </w:tcPr>
          <w:p>
            <w:pPr>
              <w:pStyle w:val="12"/>
            </w:pPr>
            <w:r>
              <w:t>信访转诉案件结案率</w:t>
            </w:r>
          </w:p>
        </w:tc>
        <w:tc>
          <w:tcPr>
            <w:tcW w:w="2551" w:type="dxa"/>
            <w:vAlign w:val="center"/>
          </w:tcPr>
          <w:p>
            <w:pPr>
              <w:pStyle w:val="12"/>
            </w:pPr>
            <w:r>
              <w:t>≥90%</w:t>
            </w:r>
          </w:p>
        </w:tc>
        <w:tc>
          <w:tcPr>
            <w:tcW w:w="2268" w:type="dxa"/>
            <w:vAlign w:val="center"/>
          </w:tcPr>
          <w:p>
            <w:pPr>
              <w:pStyle w:val="12"/>
            </w:pPr>
            <w:r>
              <w:t>按照接访次数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w:t>
            </w:r>
          </w:p>
        </w:tc>
        <w:tc>
          <w:tcPr>
            <w:tcW w:w="2835" w:type="dxa"/>
            <w:vAlign w:val="center"/>
          </w:tcPr>
          <w:p>
            <w:pPr>
              <w:pStyle w:val="12"/>
            </w:pPr>
            <w:r>
              <w:t>信访社会影响率</w:t>
            </w:r>
          </w:p>
        </w:tc>
        <w:tc>
          <w:tcPr>
            <w:tcW w:w="2551" w:type="dxa"/>
            <w:vAlign w:val="center"/>
          </w:tcPr>
          <w:p>
            <w:pPr>
              <w:pStyle w:val="12"/>
            </w:pPr>
            <w:r>
              <w:t>≤10%</w:t>
            </w:r>
          </w:p>
        </w:tc>
        <w:tc>
          <w:tcPr>
            <w:tcW w:w="2268" w:type="dxa"/>
            <w:vAlign w:val="center"/>
          </w:tcPr>
          <w:p>
            <w:pPr>
              <w:pStyle w:val="12"/>
            </w:pPr>
            <w:r>
              <w:t>按照接访次数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2835" w:type="dxa"/>
            <w:vAlign w:val="center"/>
          </w:tcPr>
          <w:p>
            <w:pPr>
              <w:pStyle w:val="12"/>
            </w:pPr>
            <w:r>
              <w:t>信访群众满意度</w:t>
            </w:r>
          </w:p>
        </w:tc>
        <w:tc>
          <w:tcPr>
            <w:tcW w:w="2551" w:type="dxa"/>
            <w:vAlign w:val="center"/>
          </w:tcPr>
          <w:p>
            <w:pPr>
              <w:pStyle w:val="12"/>
            </w:pPr>
            <w:r>
              <w:t>≥85%</w:t>
            </w:r>
          </w:p>
        </w:tc>
        <w:tc>
          <w:tcPr>
            <w:tcW w:w="2268" w:type="dxa"/>
            <w:vAlign w:val="center"/>
          </w:tcPr>
          <w:p>
            <w:pPr>
              <w:pStyle w:val="12"/>
            </w:pPr>
            <w:r>
              <w:t>按照接访次数</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3、2022年综治手机APP卡和IP账户租赁费绩效目标表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1.目标内容1实现全县22个乡镇街道办2022年综治手机APP卡和IP账户能够正常使用，租赁费</w:t>
            </w:r>
            <w:r>
              <w:tab/>
            </w:r>
            <w:r>
              <w:t>54.72万元能够及时支付，支付率达到98%。</w:t>
            </w:r>
            <w:r>
              <w:tab/>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乡镇数量</w:t>
            </w:r>
          </w:p>
        </w:tc>
        <w:tc>
          <w:tcPr>
            <w:tcW w:w="2835" w:type="dxa"/>
            <w:vAlign w:val="center"/>
          </w:tcPr>
          <w:p>
            <w:pPr>
              <w:pStyle w:val="12"/>
            </w:pPr>
            <w:r>
              <w:t>综治手机APP覆盖数量</w:t>
            </w:r>
          </w:p>
        </w:tc>
        <w:tc>
          <w:tcPr>
            <w:tcW w:w="2551" w:type="dxa"/>
            <w:vAlign w:val="center"/>
          </w:tcPr>
          <w:p>
            <w:pPr>
              <w:pStyle w:val="12"/>
            </w:pPr>
            <w:r>
              <w:t>22个乡镇</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综治手机APP信号质量</w:t>
            </w:r>
          </w:p>
        </w:tc>
        <w:tc>
          <w:tcPr>
            <w:tcW w:w="2835" w:type="dxa"/>
            <w:vAlign w:val="center"/>
          </w:tcPr>
          <w:p>
            <w:pPr>
              <w:pStyle w:val="12"/>
            </w:pPr>
            <w:r>
              <w:t>综治手机APP信号传输质量</w:t>
            </w:r>
          </w:p>
        </w:tc>
        <w:tc>
          <w:tcPr>
            <w:tcW w:w="2551" w:type="dxa"/>
            <w:vAlign w:val="center"/>
          </w:tcPr>
          <w:p>
            <w:pPr>
              <w:pStyle w:val="12"/>
            </w:pPr>
            <w:r>
              <w:t>≥98%</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信号传输时效</w:t>
            </w:r>
          </w:p>
        </w:tc>
        <w:tc>
          <w:tcPr>
            <w:tcW w:w="2835" w:type="dxa"/>
            <w:vAlign w:val="center"/>
          </w:tcPr>
          <w:p>
            <w:pPr>
              <w:pStyle w:val="12"/>
            </w:pPr>
            <w:r>
              <w:t>综治手机APP信号传输时效</w:t>
            </w:r>
          </w:p>
        </w:tc>
        <w:tc>
          <w:tcPr>
            <w:tcW w:w="2551" w:type="dxa"/>
            <w:vAlign w:val="center"/>
          </w:tcPr>
          <w:p>
            <w:pPr>
              <w:pStyle w:val="12"/>
            </w:pPr>
            <w:r>
              <w:t>≥5秒</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光纤租赁成本</w:t>
            </w:r>
          </w:p>
        </w:tc>
        <w:tc>
          <w:tcPr>
            <w:tcW w:w="2835" w:type="dxa"/>
            <w:vAlign w:val="center"/>
          </w:tcPr>
          <w:p>
            <w:pPr>
              <w:pStyle w:val="12"/>
            </w:pPr>
            <w:r>
              <w:t>综治手机APP账户租赁成本</w:t>
            </w:r>
          </w:p>
        </w:tc>
        <w:tc>
          <w:tcPr>
            <w:tcW w:w="2551" w:type="dxa"/>
            <w:vAlign w:val="center"/>
          </w:tcPr>
          <w:p>
            <w:pPr>
              <w:pStyle w:val="12"/>
            </w:pPr>
            <w:r>
              <w:t>54.72万元</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2835" w:type="dxa"/>
            <w:vAlign w:val="center"/>
          </w:tcPr>
          <w:p>
            <w:pPr>
              <w:pStyle w:val="12"/>
            </w:pPr>
            <w:r>
              <w:t>综治手机运用，减少案件发生率，减少经济损失</w:t>
            </w:r>
          </w:p>
        </w:tc>
        <w:tc>
          <w:tcPr>
            <w:tcW w:w="2551" w:type="dxa"/>
            <w:vAlign w:val="center"/>
          </w:tcPr>
          <w:p>
            <w:pPr>
              <w:pStyle w:val="12"/>
            </w:pPr>
            <w:r>
              <w:t>≥98%</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正常运行，不良因素减少，社会效益提升</w:t>
            </w:r>
          </w:p>
        </w:tc>
        <w:tc>
          <w:tcPr>
            <w:tcW w:w="2551" w:type="dxa"/>
            <w:vAlign w:val="center"/>
          </w:tcPr>
          <w:p>
            <w:pPr>
              <w:pStyle w:val="12"/>
            </w:pPr>
            <w:r>
              <w:t>≥95%</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≥98%</w:t>
            </w:r>
          </w:p>
        </w:tc>
        <w:tc>
          <w:tcPr>
            <w:tcW w:w="2268" w:type="dxa"/>
            <w:vAlign w:val="center"/>
          </w:tcPr>
          <w:p>
            <w:pPr>
              <w:pStyle w:val="12"/>
            </w:pPr>
            <w:r>
              <w:t>群众满意度</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4、2022年国家司法救助资金绩效目标表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1.目标内容1，完成司法困难救助人数达到10人次，确保15天将救助金发放到位。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救助次数</w:t>
            </w:r>
          </w:p>
        </w:tc>
        <w:tc>
          <w:tcPr>
            <w:tcW w:w="2835" w:type="dxa"/>
            <w:vAlign w:val="center"/>
          </w:tcPr>
          <w:p>
            <w:pPr>
              <w:pStyle w:val="12"/>
            </w:pPr>
            <w:r>
              <w:t>根据实际情况，完成司法救助次数。</w:t>
            </w:r>
          </w:p>
        </w:tc>
        <w:tc>
          <w:tcPr>
            <w:tcW w:w="2551" w:type="dxa"/>
            <w:vAlign w:val="center"/>
          </w:tcPr>
          <w:p>
            <w:pPr>
              <w:pStyle w:val="12"/>
            </w:pPr>
            <w:r>
              <w:t>10次</w:t>
            </w:r>
          </w:p>
        </w:tc>
        <w:tc>
          <w:tcPr>
            <w:tcW w:w="2268" w:type="dxa"/>
            <w:vAlign w:val="center"/>
          </w:tcPr>
          <w:p>
            <w:pPr>
              <w:pStyle w:val="12"/>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救助质量</w:t>
            </w:r>
          </w:p>
        </w:tc>
        <w:tc>
          <w:tcPr>
            <w:tcW w:w="2835" w:type="dxa"/>
            <w:vAlign w:val="center"/>
          </w:tcPr>
          <w:p>
            <w:pPr>
              <w:pStyle w:val="12"/>
            </w:pPr>
            <w:r>
              <w:t>按照司法救助程序，严格救助质量，确保困难人员及时达到救助。</w:t>
            </w:r>
          </w:p>
        </w:tc>
        <w:tc>
          <w:tcPr>
            <w:tcW w:w="2551" w:type="dxa"/>
            <w:vAlign w:val="center"/>
          </w:tcPr>
          <w:p>
            <w:pPr>
              <w:pStyle w:val="12"/>
            </w:pPr>
            <w:r>
              <w:t>≥95%</w:t>
            </w:r>
          </w:p>
        </w:tc>
        <w:tc>
          <w:tcPr>
            <w:tcW w:w="2268" w:type="dxa"/>
            <w:vAlign w:val="center"/>
          </w:tcPr>
          <w:p>
            <w:pPr>
              <w:pStyle w:val="12"/>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救助时效</w:t>
            </w:r>
          </w:p>
        </w:tc>
        <w:tc>
          <w:tcPr>
            <w:tcW w:w="2835" w:type="dxa"/>
            <w:vAlign w:val="center"/>
          </w:tcPr>
          <w:p>
            <w:pPr>
              <w:pStyle w:val="12"/>
            </w:pPr>
            <w:r>
              <w:t>按照案结时间，在规定的时间内给予司法救助。</w:t>
            </w:r>
          </w:p>
        </w:tc>
        <w:tc>
          <w:tcPr>
            <w:tcW w:w="2551" w:type="dxa"/>
            <w:vAlign w:val="center"/>
          </w:tcPr>
          <w:p>
            <w:pPr>
              <w:pStyle w:val="12"/>
            </w:pPr>
            <w:r>
              <w:t>≤15天</w:t>
            </w:r>
          </w:p>
        </w:tc>
        <w:tc>
          <w:tcPr>
            <w:tcW w:w="2268" w:type="dxa"/>
            <w:vAlign w:val="center"/>
          </w:tcPr>
          <w:p>
            <w:pPr>
              <w:pStyle w:val="12"/>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司法救助成本</w:t>
            </w:r>
          </w:p>
        </w:tc>
        <w:tc>
          <w:tcPr>
            <w:tcW w:w="2835" w:type="dxa"/>
            <w:vAlign w:val="center"/>
          </w:tcPr>
          <w:p>
            <w:pPr>
              <w:pStyle w:val="12"/>
            </w:pPr>
            <w:r>
              <w:t>根据案件大小，合理安排司法救助金。</w:t>
            </w:r>
          </w:p>
        </w:tc>
        <w:tc>
          <w:tcPr>
            <w:tcW w:w="2551" w:type="dxa"/>
            <w:vAlign w:val="center"/>
          </w:tcPr>
          <w:p>
            <w:pPr>
              <w:pStyle w:val="12"/>
            </w:pPr>
            <w:r>
              <w:t>50万元</w:t>
            </w:r>
          </w:p>
        </w:tc>
        <w:tc>
          <w:tcPr>
            <w:tcW w:w="2268" w:type="dxa"/>
            <w:vAlign w:val="center"/>
          </w:tcPr>
          <w:p>
            <w:pPr>
              <w:pStyle w:val="12"/>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2835" w:type="dxa"/>
            <w:vAlign w:val="center"/>
          </w:tcPr>
          <w:p>
            <w:pPr>
              <w:pStyle w:val="12"/>
            </w:pPr>
            <w:r>
              <w:t>及时支付救助金，提高救助人经济水平。</w:t>
            </w:r>
          </w:p>
        </w:tc>
        <w:tc>
          <w:tcPr>
            <w:tcW w:w="2551" w:type="dxa"/>
            <w:vAlign w:val="center"/>
          </w:tcPr>
          <w:p>
            <w:pPr>
              <w:pStyle w:val="12"/>
            </w:pPr>
            <w:r>
              <w:t>≥95%</w:t>
            </w:r>
          </w:p>
        </w:tc>
        <w:tc>
          <w:tcPr>
            <w:tcW w:w="2268" w:type="dxa"/>
            <w:vAlign w:val="center"/>
          </w:tcPr>
          <w:p>
            <w:pPr>
              <w:pStyle w:val="12"/>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严格执法，公正严明，社会影响较好。</w:t>
            </w:r>
          </w:p>
        </w:tc>
        <w:tc>
          <w:tcPr>
            <w:tcW w:w="2551" w:type="dxa"/>
            <w:vAlign w:val="center"/>
          </w:tcPr>
          <w:p>
            <w:pPr>
              <w:pStyle w:val="12"/>
            </w:pPr>
            <w:r>
              <w:t>≥90%</w:t>
            </w:r>
          </w:p>
        </w:tc>
        <w:tc>
          <w:tcPr>
            <w:tcW w:w="2268" w:type="dxa"/>
            <w:vAlign w:val="center"/>
          </w:tcPr>
          <w:p>
            <w:pPr>
              <w:pStyle w:val="12"/>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救助对象满意度</w:t>
            </w:r>
          </w:p>
        </w:tc>
        <w:tc>
          <w:tcPr>
            <w:tcW w:w="2551" w:type="dxa"/>
            <w:vAlign w:val="center"/>
          </w:tcPr>
          <w:p>
            <w:pPr>
              <w:pStyle w:val="12"/>
            </w:pPr>
            <w:r>
              <w:t>≥90%</w:t>
            </w:r>
          </w:p>
        </w:tc>
        <w:tc>
          <w:tcPr>
            <w:tcW w:w="2268" w:type="dxa"/>
            <w:vAlign w:val="center"/>
          </w:tcPr>
          <w:p>
            <w:pPr>
              <w:pStyle w:val="12"/>
            </w:pPr>
            <w:r>
              <w:t>满意度</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5、2022年见义勇为基金绩效目标表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1.目标内容1让见义勇先进个人达到5人次，15天内奖励金发放到位，发放率达到100%。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见义勇为人数</w:t>
            </w:r>
          </w:p>
        </w:tc>
        <w:tc>
          <w:tcPr>
            <w:tcW w:w="2835" w:type="dxa"/>
            <w:vAlign w:val="center"/>
          </w:tcPr>
          <w:p>
            <w:pPr>
              <w:pStyle w:val="12"/>
            </w:pPr>
            <w:r>
              <w:t>根据见义勇为事迹确定人数</w:t>
            </w:r>
          </w:p>
        </w:tc>
        <w:tc>
          <w:tcPr>
            <w:tcW w:w="2551" w:type="dxa"/>
            <w:vAlign w:val="center"/>
          </w:tcPr>
          <w:p>
            <w:pPr>
              <w:pStyle w:val="12"/>
            </w:pPr>
            <w:r>
              <w:t>≤5人</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发放质量</w:t>
            </w:r>
          </w:p>
        </w:tc>
        <w:tc>
          <w:tcPr>
            <w:tcW w:w="2835" w:type="dxa"/>
            <w:vAlign w:val="center"/>
          </w:tcPr>
          <w:p>
            <w:pPr>
              <w:pStyle w:val="12"/>
            </w:pPr>
            <w:r>
              <w:t>奖励金发放质量</w:t>
            </w:r>
          </w:p>
        </w:tc>
        <w:tc>
          <w:tcPr>
            <w:tcW w:w="2551" w:type="dxa"/>
            <w:vAlign w:val="center"/>
          </w:tcPr>
          <w:p>
            <w:pPr>
              <w:pStyle w:val="12"/>
            </w:pPr>
            <w:r>
              <w:t>≥100%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发放时限</w:t>
            </w:r>
          </w:p>
        </w:tc>
        <w:tc>
          <w:tcPr>
            <w:tcW w:w="2835" w:type="dxa"/>
            <w:vAlign w:val="center"/>
          </w:tcPr>
          <w:p>
            <w:pPr>
              <w:pStyle w:val="12"/>
            </w:pPr>
            <w:r>
              <w:t>奖励金发放时限</w:t>
            </w:r>
          </w:p>
        </w:tc>
        <w:tc>
          <w:tcPr>
            <w:tcW w:w="2551" w:type="dxa"/>
            <w:vAlign w:val="center"/>
          </w:tcPr>
          <w:p>
            <w:pPr>
              <w:pStyle w:val="12"/>
            </w:pPr>
            <w:r>
              <w:t>≤15天</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发放成本</w:t>
            </w:r>
          </w:p>
        </w:tc>
        <w:tc>
          <w:tcPr>
            <w:tcW w:w="2835" w:type="dxa"/>
            <w:vAlign w:val="center"/>
          </w:tcPr>
          <w:p>
            <w:pPr>
              <w:pStyle w:val="12"/>
            </w:pPr>
            <w:r>
              <w:t>见义勇为基金成本</w:t>
            </w:r>
          </w:p>
        </w:tc>
        <w:tc>
          <w:tcPr>
            <w:tcW w:w="2551" w:type="dxa"/>
            <w:vAlign w:val="center"/>
          </w:tcPr>
          <w:p>
            <w:pPr>
              <w:pStyle w:val="12"/>
            </w:pPr>
            <w:r>
              <w:t>5万元</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2835" w:type="dxa"/>
            <w:vAlign w:val="center"/>
          </w:tcPr>
          <w:p>
            <w:pPr>
              <w:pStyle w:val="12"/>
            </w:pPr>
            <w:r>
              <w:t>给见义勇为个人带来的经济效益</w:t>
            </w:r>
          </w:p>
        </w:tc>
        <w:tc>
          <w:tcPr>
            <w:tcW w:w="2551" w:type="dxa"/>
            <w:vAlign w:val="center"/>
          </w:tcPr>
          <w:p>
            <w:pPr>
              <w:pStyle w:val="12"/>
            </w:pPr>
            <w:r>
              <w:t>≤1万元</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见义勇为人员奖励、帮扶覆盖率(</w:t>
            </w:r>
          </w:p>
        </w:tc>
        <w:tc>
          <w:tcPr>
            <w:tcW w:w="2835" w:type="dxa"/>
            <w:vAlign w:val="center"/>
          </w:tcPr>
          <w:p>
            <w:pPr>
              <w:pStyle w:val="12"/>
            </w:pPr>
            <w:r>
              <w:t>见义勇为人员奖励、帮扶覆盖率(%)</w:t>
            </w:r>
          </w:p>
        </w:tc>
        <w:tc>
          <w:tcPr>
            <w:tcW w:w="2551" w:type="dxa"/>
            <w:vAlign w:val="center"/>
          </w:tcPr>
          <w:p>
            <w:pPr>
              <w:pStyle w:val="12"/>
            </w:pPr>
            <w:r>
              <w:t>≥98%</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满意度</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6、2022年扫黑除恶经费绩效目标表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1.目标内容1，扫黑除恶次数达到20次，案件侦破率达到95%，年度工作能够顺利完成，经费保障到位，支出达到98%。</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出警次数</w:t>
            </w:r>
          </w:p>
        </w:tc>
        <w:tc>
          <w:tcPr>
            <w:tcW w:w="2835" w:type="dxa"/>
            <w:vAlign w:val="center"/>
          </w:tcPr>
          <w:p>
            <w:pPr>
              <w:pStyle w:val="12"/>
            </w:pPr>
            <w:r>
              <w:t>根据实际情况，完成扫黑除恶次数。</w:t>
            </w:r>
          </w:p>
        </w:tc>
        <w:tc>
          <w:tcPr>
            <w:tcW w:w="2551" w:type="dxa"/>
            <w:vAlign w:val="center"/>
          </w:tcPr>
          <w:p>
            <w:pPr>
              <w:pStyle w:val="12"/>
            </w:pPr>
            <w:r>
              <w:t>20次</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扫黑质量</w:t>
            </w:r>
          </w:p>
        </w:tc>
        <w:tc>
          <w:tcPr>
            <w:tcW w:w="2835" w:type="dxa"/>
            <w:vAlign w:val="center"/>
          </w:tcPr>
          <w:p>
            <w:pPr>
              <w:pStyle w:val="12"/>
            </w:pPr>
            <w:r>
              <w:t>根据案件性质，深挖涉案人员，案件质量提升。</w:t>
            </w:r>
          </w:p>
        </w:tc>
        <w:tc>
          <w:tcPr>
            <w:tcW w:w="2551" w:type="dxa"/>
            <w:vAlign w:val="center"/>
          </w:tcPr>
          <w:p>
            <w:pPr>
              <w:pStyle w:val="12"/>
            </w:pPr>
            <w:r>
              <w:t>≥98%</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工作时限</w:t>
            </w:r>
          </w:p>
        </w:tc>
        <w:tc>
          <w:tcPr>
            <w:tcW w:w="2835" w:type="dxa"/>
            <w:vAlign w:val="center"/>
          </w:tcPr>
          <w:p>
            <w:pPr>
              <w:pStyle w:val="12"/>
            </w:pPr>
            <w:r>
              <w:t>结合群众举报，及时立案，消除黑恶势力。</w:t>
            </w:r>
          </w:p>
        </w:tc>
        <w:tc>
          <w:tcPr>
            <w:tcW w:w="2551" w:type="dxa"/>
            <w:vAlign w:val="center"/>
          </w:tcPr>
          <w:p>
            <w:pPr>
              <w:pStyle w:val="12"/>
            </w:pPr>
            <w:r>
              <w:t>15工作日</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经费保障</w:t>
            </w:r>
          </w:p>
        </w:tc>
        <w:tc>
          <w:tcPr>
            <w:tcW w:w="2835" w:type="dxa"/>
            <w:vAlign w:val="center"/>
          </w:tcPr>
          <w:p>
            <w:pPr>
              <w:pStyle w:val="12"/>
            </w:pPr>
            <w:r>
              <w:t>根据实际，及时支付扫黑除恶经费。</w:t>
            </w:r>
          </w:p>
        </w:tc>
        <w:tc>
          <w:tcPr>
            <w:tcW w:w="2551" w:type="dxa"/>
            <w:vAlign w:val="center"/>
          </w:tcPr>
          <w:p>
            <w:pPr>
              <w:pStyle w:val="12"/>
            </w:pPr>
            <w:r>
              <w:t>10万元</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2835" w:type="dxa"/>
            <w:vAlign w:val="center"/>
          </w:tcPr>
          <w:p>
            <w:pPr>
              <w:pStyle w:val="12"/>
            </w:pPr>
            <w:r>
              <w:t>按照案件影响，资金挽回率。</w:t>
            </w:r>
          </w:p>
        </w:tc>
        <w:tc>
          <w:tcPr>
            <w:tcW w:w="2551" w:type="dxa"/>
            <w:vAlign w:val="center"/>
          </w:tcPr>
          <w:p>
            <w:pPr>
              <w:pStyle w:val="12"/>
            </w:pPr>
            <w:r>
              <w:t>≥95%</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降低案件对社会的影响率</w:t>
            </w:r>
          </w:p>
        </w:tc>
        <w:tc>
          <w:tcPr>
            <w:tcW w:w="2551" w:type="dxa"/>
            <w:vAlign w:val="center"/>
          </w:tcPr>
          <w:p>
            <w:pPr>
              <w:pStyle w:val="12"/>
            </w:pPr>
            <w:r>
              <w:t>&lt;10%</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≥92%</w:t>
            </w:r>
          </w:p>
        </w:tc>
        <w:tc>
          <w:tcPr>
            <w:tcW w:w="2268" w:type="dxa"/>
            <w:vAlign w:val="center"/>
          </w:tcPr>
          <w:p>
            <w:pPr>
              <w:pStyle w:val="12"/>
            </w:pPr>
            <w:r>
              <w:t>满意度</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7、2022年严重精神障碍患者监护人责任险和以奖代补资金绩效目标表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1.目标内容1确保全县2975名严重精神障碍患者在1月底前购买商业保险，提高监护人生活质量。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购买保险人数</w:t>
            </w:r>
          </w:p>
        </w:tc>
        <w:tc>
          <w:tcPr>
            <w:tcW w:w="2835" w:type="dxa"/>
            <w:vAlign w:val="center"/>
          </w:tcPr>
          <w:p>
            <w:pPr>
              <w:pStyle w:val="12"/>
            </w:pPr>
            <w:r>
              <w:t>为严重精神障碍者购买商业保险人数</w:t>
            </w:r>
          </w:p>
        </w:tc>
        <w:tc>
          <w:tcPr>
            <w:tcW w:w="2551" w:type="dxa"/>
            <w:vAlign w:val="center"/>
          </w:tcPr>
          <w:p>
            <w:pPr>
              <w:pStyle w:val="12"/>
            </w:pPr>
            <w:r>
              <w:t>2975人</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生活质量</w:t>
            </w:r>
          </w:p>
        </w:tc>
        <w:tc>
          <w:tcPr>
            <w:tcW w:w="2835" w:type="dxa"/>
            <w:vAlign w:val="center"/>
          </w:tcPr>
          <w:p>
            <w:pPr>
              <w:pStyle w:val="12"/>
            </w:pPr>
            <w:r>
              <w:t>提高严重精神障碍监护者生活质量。</w:t>
            </w:r>
          </w:p>
        </w:tc>
        <w:tc>
          <w:tcPr>
            <w:tcW w:w="2551" w:type="dxa"/>
            <w:vAlign w:val="center"/>
          </w:tcPr>
          <w:p>
            <w:pPr>
              <w:pStyle w:val="12"/>
            </w:pPr>
            <w:r>
              <w:t>≥95%</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购买保险时效</w:t>
            </w:r>
          </w:p>
        </w:tc>
        <w:tc>
          <w:tcPr>
            <w:tcW w:w="2835" w:type="dxa"/>
            <w:vAlign w:val="center"/>
          </w:tcPr>
          <w:p>
            <w:pPr>
              <w:pStyle w:val="12"/>
            </w:pPr>
            <w:r>
              <w:t>及时为严重精神障碍者购买商业保险时间</w:t>
            </w:r>
          </w:p>
        </w:tc>
        <w:tc>
          <w:tcPr>
            <w:tcW w:w="2551" w:type="dxa"/>
            <w:vAlign w:val="center"/>
          </w:tcPr>
          <w:p>
            <w:pPr>
              <w:pStyle w:val="12"/>
            </w:pPr>
            <w:r>
              <w:t>1月底前购买到位</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购买商业保险资金和以奖代补资金</w:t>
            </w:r>
          </w:p>
        </w:tc>
        <w:tc>
          <w:tcPr>
            <w:tcW w:w="2551" w:type="dxa"/>
            <w:vAlign w:val="center"/>
          </w:tcPr>
          <w:p>
            <w:pPr>
              <w:pStyle w:val="12"/>
            </w:pPr>
            <w:r>
              <w:t>35.03万元</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2835" w:type="dxa"/>
            <w:vAlign w:val="center"/>
          </w:tcPr>
          <w:p>
            <w:pPr>
              <w:pStyle w:val="12"/>
            </w:pPr>
            <w:r>
              <w:t>减少严重精神障碍者带来的经济损失</w:t>
            </w:r>
          </w:p>
        </w:tc>
        <w:tc>
          <w:tcPr>
            <w:tcW w:w="2551" w:type="dxa"/>
            <w:vAlign w:val="center"/>
          </w:tcPr>
          <w:p>
            <w:pPr>
              <w:pStyle w:val="12"/>
            </w:pPr>
            <w:r>
              <w:t>根据实际情况，弥补损失</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严重精神障碍者带来的社会影响</w:t>
            </w:r>
          </w:p>
        </w:tc>
        <w:tc>
          <w:tcPr>
            <w:tcW w:w="2551" w:type="dxa"/>
            <w:vAlign w:val="center"/>
          </w:tcPr>
          <w:p>
            <w:pPr>
              <w:pStyle w:val="12"/>
            </w:pPr>
            <w:r>
              <w:t>≤10%</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监护人满意度</w:t>
            </w:r>
          </w:p>
        </w:tc>
        <w:tc>
          <w:tcPr>
            <w:tcW w:w="2551" w:type="dxa"/>
            <w:vAlign w:val="center"/>
          </w:tcPr>
          <w:p>
            <w:pPr>
              <w:pStyle w:val="12"/>
            </w:pPr>
            <w:r>
              <w:t>≥90%</w:t>
            </w:r>
          </w:p>
        </w:tc>
        <w:tc>
          <w:tcPr>
            <w:tcW w:w="2268" w:type="dxa"/>
            <w:vAlign w:val="center"/>
          </w:tcPr>
          <w:p>
            <w:pPr>
              <w:pStyle w:val="12"/>
            </w:pPr>
            <w:r>
              <w:t>满意度</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8、2022年政法网设备维保费、光纤传输费绩效目标表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1.目标内容1：全县22个乡镇政法网运用正常，支付光纤传输费及时。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乡镇覆盖数量</w:t>
            </w:r>
          </w:p>
        </w:tc>
        <w:tc>
          <w:tcPr>
            <w:tcW w:w="2835" w:type="dxa"/>
            <w:vAlign w:val="center"/>
          </w:tcPr>
          <w:p>
            <w:pPr>
              <w:pStyle w:val="12"/>
            </w:pPr>
            <w:r>
              <w:t>政法网乡镇覆盖数量</w:t>
            </w:r>
          </w:p>
        </w:tc>
        <w:tc>
          <w:tcPr>
            <w:tcW w:w="2551" w:type="dxa"/>
            <w:vAlign w:val="center"/>
          </w:tcPr>
          <w:p>
            <w:pPr>
              <w:pStyle w:val="12"/>
            </w:pPr>
            <w:r>
              <w:t>22个乡镇</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信号传输质量</w:t>
            </w:r>
          </w:p>
        </w:tc>
        <w:tc>
          <w:tcPr>
            <w:tcW w:w="2835" w:type="dxa"/>
            <w:vAlign w:val="center"/>
          </w:tcPr>
          <w:p>
            <w:pPr>
              <w:pStyle w:val="12"/>
            </w:pPr>
            <w:r>
              <w:t>政法网信号传输质量</w:t>
            </w:r>
          </w:p>
        </w:tc>
        <w:tc>
          <w:tcPr>
            <w:tcW w:w="2551" w:type="dxa"/>
            <w:vAlign w:val="center"/>
          </w:tcPr>
          <w:p>
            <w:pPr>
              <w:pStyle w:val="12"/>
            </w:pPr>
            <w:r>
              <w:t>≥95%</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传输费支付时限</w:t>
            </w:r>
          </w:p>
        </w:tc>
        <w:tc>
          <w:tcPr>
            <w:tcW w:w="2835" w:type="dxa"/>
            <w:vAlign w:val="center"/>
          </w:tcPr>
          <w:p>
            <w:pPr>
              <w:pStyle w:val="12"/>
            </w:pPr>
            <w:r>
              <w:t>光纤传输费支付时限</w:t>
            </w:r>
          </w:p>
        </w:tc>
        <w:tc>
          <w:tcPr>
            <w:tcW w:w="2551" w:type="dxa"/>
            <w:vAlign w:val="center"/>
          </w:tcPr>
          <w:p>
            <w:pPr>
              <w:pStyle w:val="12"/>
            </w:pPr>
            <w:r>
              <w:t>≤12月份</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费用成本</w:t>
            </w:r>
          </w:p>
        </w:tc>
        <w:tc>
          <w:tcPr>
            <w:tcW w:w="2835" w:type="dxa"/>
            <w:vAlign w:val="center"/>
          </w:tcPr>
          <w:p>
            <w:pPr>
              <w:pStyle w:val="12"/>
            </w:pPr>
            <w:r>
              <w:t>光纤租赁成本</w:t>
            </w:r>
          </w:p>
        </w:tc>
        <w:tc>
          <w:tcPr>
            <w:tcW w:w="2551" w:type="dxa"/>
            <w:vAlign w:val="center"/>
          </w:tcPr>
          <w:p>
            <w:pPr>
              <w:pStyle w:val="12"/>
            </w:pPr>
            <w:r>
              <w:t>23.86万元</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2835" w:type="dxa"/>
            <w:vAlign w:val="center"/>
          </w:tcPr>
          <w:p>
            <w:pPr>
              <w:pStyle w:val="12"/>
            </w:pPr>
            <w:r>
              <w:t>政法网信息共享，经济效益提升</w:t>
            </w:r>
          </w:p>
        </w:tc>
        <w:tc>
          <w:tcPr>
            <w:tcW w:w="2551" w:type="dxa"/>
            <w:vAlign w:val="center"/>
          </w:tcPr>
          <w:p>
            <w:pPr>
              <w:pStyle w:val="12"/>
            </w:pPr>
            <w:r>
              <w:t>≥30%</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政法网络共享，案件侦破率明显提升，社会效益佳</w:t>
            </w:r>
          </w:p>
        </w:tc>
        <w:tc>
          <w:tcPr>
            <w:tcW w:w="2551" w:type="dxa"/>
            <w:vAlign w:val="center"/>
          </w:tcPr>
          <w:p>
            <w:pPr>
              <w:pStyle w:val="12"/>
            </w:pPr>
            <w:r>
              <w:t>≥95%</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群众满意度</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9、2022年综合治理经费绩效目标表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1.目标内容1，开展综合治理，社会综合治理明显提升，经费保障到位，支付≤105万元。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2835" w:type="dxa"/>
            <w:vAlign w:val="center"/>
          </w:tcPr>
          <w:p>
            <w:pPr>
              <w:pStyle w:val="12"/>
            </w:pPr>
            <w:r>
              <w:t>综合治理保障人员数量</w:t>
            </w:r>
          </w:p>
        </w:tc>
        <w:tc>
          <w:tcPr>
            <w:tcW w:w="2551" w:type="dxa"/>
            <w:vAlign w:val="center"/>
          </w:tcPr>
          <w:p>
            <w:pPr>
              <w:pStyle w:val="12"/>
            </w:pPr>
            <w:r>
              <w:t>≥105万人</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综合治理质量</w:t>
            </w:r>
          </w:p>
        </w:tc>
        <w:tc>
          <w:tcPr>
            <w:tcW w:w="2835" w:type="dxa"/>
            <w:vAlign w:val="center"/>
          </w:tcPr>
          <w:p>
            <w:pPr>
              <w:pStyle w:val="12"/>
            </w:pPr>
            <w:r>
              <w:t>全县综合治理质量</w:t>
            </w:r>
          </w:p>
        </w:tc>
        <w:tc>
          <w:tcPr>
            <w:tcW w:w="2551" w:type="dxa"/>
            <w:vAlign w:val="center"/>
          </w:tcPr>
          <w:p>
            <w:pPr>
              <w:pStyle w:val="12"/>
            </w:pPr>
            <w:r>
              <w:t>≥98%</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按照综合治理实施方案，完成时限</w:t>
            </w:r>
          </w:p>
        </w:tc>
        <w:tc>
          <w:tcPr>
            <w:tcW w:w="2551" w:type="dxa"/>
            <w:vAlign w:val="center"/>
          </w:tcPr>
          <w:p>
            <w:pPr>
              <w:pStyle w:val="12"/>
            </w:pPr>
            <w:r>
              <w:t>12月份</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综合治理经费</w:t>
            </w:r>
          </w:p>
        </w:tc>
        <w:tc>
          <w:tcPr>
            <w:tcW w:w="2551" w:type="dxa"/>
            <w:vAlign w:val="center"/>
          </w:tcPr>
          <w:p>
            <w:pPr>
              <w:pStyle w:val="12"/>
            </w:pPr>
            <w:r>
              <w:t>105万元</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2835" w:type="dxa"/>
            <w:vAlign w:val="center"/>
          </w:tcPr>
          <w:p>
            <w:pPr>
              <w:pStyle w:val="12"/>
            </w:pPr>
            <w:r>
              <w:t>开展全县法制综合治理，促进全县经济增长</w:t>
            </w:r>
          </w:p>
        </w:tc>
        <w:tc>
          <w:tcPr>
            <w:tcW w:w="2551" w:type="dxa"/>
            <w:vAlign w:val="center"/>
          </w:tcPr>
          <w:p>
            <w:pPr>
              <w:pStyle w:val="12"/>
            </w:pPr>
            <w:r>
              <w:t>≥20%</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持续影响</w:t>
            </w:r>
          </w:p>
        </w:tc>
        <w:tc>
          <w:tcPr>
            <w:tcW w:w="2835" w:type="dxa"/>
            <w:vAlign w:val="center"/>
          </w:tcPr>
          <w:p>
            <w:pPr>
              <w:pStyle w:val="12"/>
            </w:pPr>
            <w:r>
              <w:t>社会综合治理能力提升，可持续影响升高，社会安定。</w:t>
            </w:r>
          </w:p>
        </w:tc>
        <w:tc>
          <w:tcPr>
            <w:tcW w:w="2551" w:type="dxa"/>
            <w:vAlign w:val="center"/>
          </w:tcPr>
          <w:p>
            <w:pPr>
              <w:pStyle w:val="12"/>
            </w:pPr>
            <w:r>
              <w:t>≥95%</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群众满意度</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10、2022年综治视联网光纤租赁费绩效目标表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1.目标内容1,实现全线22个乡镇街道办综治视联网平台平稳运行。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乡镇数量</w:t>
            </w:r>
          </w:p>
        </w:tc>
        <w:tc>
          <w:tcPr>
            <w:tcW w:w="2835" w:type="dxa"/>
            <w:vAlign w:val="center"/>
          </w:tcPr>
          <w:p>
            <w:pPr>
              <w:pStyle w:val="12"/>
            </w:pPr>
            <w:r>
              <w:t>视联网平台覆盖数量</w:t>
            </w:r>
          </w:p>
        </w:tc>
        <w:tc>
          <w:tcPr>
            <w:tcW w:w="2551" w:type="dxa"/>
            <w:vAlign w:val="center"/>
          </w:tcPr>
          <w:p>
            <w:pPr>
              <w:pStyle w:val="12"/>
            </w:pPr>
            <w:r>
              <w:t>22个乡镇</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平台链接质量</w:t>
            </w:r>
          </w:p>
        </w:tc>
        <w:tc>
          <w:tcPr>
            <w:tcW w:w="2835" w:type="dxa"/>
            <w:vAlign w:val="center"/>
          </w:tcPr>
          <w:p>
            <w:pPr>
              <w:pStyle w:val="12"/>
            </w:pPr>
            <w:r>
              <w:t>视联网链接乡镇信号清晰质量</w:t>
            </w:r>
          </w:p>
        </w:tc>
        <w:tc>
          <w:tcPr>
            <w:tcW w:w="2551" w:type="dxa"/>
            <w:vAlign w:val="center"/>
          </w:tcPr>
          <w:p>
            <w:pPr>
              <w:pStyle w:val="12"/>
            </w:pPr>
            <w:r>
              <w:t>≥98%</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信号传输时效</w:t>
            </w:r>
          </w:p>
        </w:tc>
        <w:tc>
          <w:tcPr>
            <w:tcW w:w="2835" w:type="dxa"/>
            <w:vAlign w:val="center"/>
          </w:tcPr>
          <w:p>
            <w:pPr>
              <w:pStyle w:val="12"/>
            </w:pPr>
            <w:r>
              <w:t>视联网信号传输时效</w:t>
            </w:r>
          </w:p>
        </w:tc>
        <w:tc>
          <w:tcPr>
            <w:tcW w:w="2551" w:type="dxa"/>
            <w:vAlign w:val="center"/>
          </w:tcPr>
          <w:p>
            <w:pPr>
              <w:pStyle w:val="12"/>
            </w:pPr>
            <w:r>
              <w:t>≥5秒</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光纤租赁成本</w:t>
            </w:r>
          </w:p>
        </w:tc>
        <w:tc>
          <w:tcPr>
            <w:tcW w:w="2835" w:type="dxa"/>
            <w:vAlign w:val="center"/>
          </w:tcPr>
          <w:p>
            <w:pPr>
              <w:pStyle w:val="12"/>
            </w:pPr>
            <w:r>
              <w:t>视联网光纤租赁成本</w:t>
            </w:r>
          </w:p>
        </w:tc>
        <w:tc>
          <w:tcPr>
            <w:tcW w:w="2551" w:type="dxa"/>
            <w:vAlign w:val="center"/>
          </w:tcPr>
          <w:p>
            <w:pPr>
              <w:pStyle w:val="12"/>
            </w:pPr>
            <w:r>
              <w:t>19.8万元</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2835" w:type="dxa"/>
            <w:vAlign w:val="center"/>
          </w:tcPr>
          <w:p>
            <w:pPr>
              <w:pStyle w:val="12"/>
            </w:pPr>
            <w:r>
              <w:t>视联网运用，减少案件发生率，减少经济损失</w:t>
            </w:r>
          </w:p>
        </w:tc>
        <w:tc>
          <w:tcPr>
            <w:tcW w:w="2551" w:type="dxa"/>
            <w:vAlign w:val="center"/>
          </w:tcPr>
          <w:p>
            <w:pPr>
              <w:pStyle w:val="12"/>
            </w:pPr>
            <w:r>
              <w:t>≤100万元</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正常运行，不良因素减少，社会效益提升</w:t>
            </w:r>
          </w:p>
        </w:tc>
        <w:tc>
          <w:tcPr>
            <w:tcW w:w="2551" w:type="dxa"/>
            <w:vAlign w:val="center"/>
          </w:tcPr>
          <w:p>
            <w:pPr>
              <w:pStyle w:val="12"/>
            </w:pPr>
            <w:r>
              <w:t>≥95%</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≥98%</w:t>
            </w:r>
          </w:p>
        </w:tc>
        <w:tc>
          <w:tcPr>
            <w:tcW w:w="2268" w:type="dxa"/>
            <w:vAlign w:val="center"/>
          </w:tcPr>
          <w:p>
            <w:pPr>
              <w:pStyle w:val="12"/>
            </w:pPr>
            <w:r>
              <w:t>群众满意度</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2022年，中国共产党魏县委员会政法委员会本级安排政府采购预算0.00万元。具体内容见下表。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216001中国共产党魏县委员会政法委员会本级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中国共产党魏县委员会政法委员会（含所属单位）上年末固定资产金额为</w:t>
      </w:r>
      <w:r>
        <w:rPr>
          <w:rFonts w:hint="eastAsia" w:eastAsia="方正仿宋_GBK"/>
          <w:color w:val="000000"/>
          <w:sz w:val="28"/>
          <w:lang w:val="en-US" w:eastAsia="zh-CN"/>
        </w:rPr>
        <w:t>18.24</w:t>
      </w:r>
      <w:r>
        <w:rPr>
          <w:rFonts w:eastAsia="方正仿宋_GBK"/>
          <w:color w:val="000000"/>
          <w:sz w:val="28"/>
        </w:rPr>
        <w:t>万元（详见下表）。本年度拟购置固定资产总额为0.00万元，已按要求列入政府采购预算，详见政府采购预算表。</w:t>
      </w:r>
    </w:p>
    <w:p>
      <w:pPr>
        <w:jc w:val="center"/>
        <w:rPr>
          <w:rFonts w:hint="eastAsia" w:ascii="方正小标宋_GBK" w:hAnsi="方正小标宋_GBK" w:eastAsia="方正小标宋_GBK" w:cs="方正小标宋_GBK"/>
          <w:color w:val="000000"/>
          <w:sz w:val="36"/>
          <w:lang w:eastAsia="zh-CN"/>
        </w:rPr>
      </w:pP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216中国共产党魏县委员会政法委员会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spacing w:line="560" w:lineRule="exact"/>
              <w:rPr>
                <w:rFonts w:ascii="Times New Roman" w:hAnsi="Times New Roman" w:eastAsia="仿宋_GB2312" w:cs="Times New Roman"/>
                <w:b/>
                <w:sz w:val="21"/>
                <w:szCs w:val="24"/>
                <w:lang w:val="en-US" w:eastAsia="uk-UA" w:bidi="ar-SA"/>
              </w:rPr>
            </w:pPr>
            <w:r>
              <w:rPr>
                <w:rFonts w:ascii="Times New Roman" w:hAnsi="Times New Roman" w:eastAsia="仿宋_GB2312" w:cs="Times New Roman"/>
              </w:rPr>
              <w:t>项   目</w:t>
            </w:r>
          </w:p>
        </w:tc>
        <w:tc>
          <w:tcPr>
            <w:tcW w:w="2835" w:type="dxa"/>
            <w:vAlign w:val="center"/>
          </w:tcPr>
          <w:p>
            <w:pPr>
              <w:pStyle w:val="10"/>
              <w:spacing w:line="560" w:lineRule="exact"/>
              <w:rPr>
                <w:rFonts w:ascii="Times New Roman" w:hAnsi="Times New Roman" w:eastAsia="仿宋_GB2312" w:cs="Times New Roman"/>
                <w:b/>
                <w:sz w:val="21"/>
                <w:szCs w:val="24"/>
                <w:lang w:val="en-US" w:eastAsia="uk-UA" w:bidi="ar-SA"/>
              </w:rPr>
            </w:pPr>
            <w:r>
              <w:rPr>
                <w:rFonts w:ascii="Times New Roman" w:hAnsi="Times New Roman" w:eastAsia="仿宋_GB2312" w:cs="Times New Roman"/>
              </w:rPr>
              <w:t>数量</w:t>
            </w:r>
          </w:p>
        </w:tc>
        <w:tc>
          <w:tcPr>
            <w:tcW w:w="2835" w:type="dxa"/>
            <w:vAlign w:val="center"/>
          </w:tcPr>
          <w:p>
            <w:pPr>
              <w:pStyle w:val="10"/>
              <w:spacing w:line="560" w:lineRule="exact"/>
              <w:rPr>
                <w:rFonts w:ascii="Times New Roman" w:hAnsi="Times New Roman" w:eastAsia="仿宋_GB2312" w:cs="Times New Roman"/>
                <w:b/>
                <w:sz w:val="21"/>
                <w:szCs w:val="24"/>
                <w:lang w:val="en-US" w:eastAsia="uk-UA" w:bidi="ar-SA"/>
              </w:rPr>
            </w:pPr>
            <w:r>
              <w:rPr>
                <w:rFonts w:ascii="Times New Roman" w:hAnsi="Times New Roman" w:eastAsia="仿宋_GB2312" w:cs="Times New Roman"/>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资产总额</w:t>
            </w:r>
          </w:p>
        </w:tc>
        <w:tc>
          <w:tcPr>
            <w:tcW w:w="2835" w:type="dxa"/>
            <w:vAlign w:val="center"/>
          </w:tcPr>
          <w:p>
            <w:pPr>
              <w:spacing w:line="560" w:lineRule="exact"/>
              <w:jc w:val="center"/>
              <w:rPr>
                <w:rFonts w:ascii="仿宋" w:hAnsi="仿宋" w:eastAsia="仿宋" w:cs="宋体"/>
                <w:sz w:val="24"/>
                <w:szCs w:val="24"/>
                <w:lang w:val="en-US" w:eastAsia="uk-UA" w:bidi="ar-SA"/>
              </w:rPr>
            </w:pPr>
            <w:r>
              <w:rPr>
                <w:rFonts w:hint="eastAsia" w:ascii="仿宋" w:hAnsi="仿宋" w:eastAsia="仿宋" w:cs="宋体"/>
              </w:rPr>
              <w:t>－</w:t>
            </w:r>
          </w:p>
        </w:tc>
        <w:tc>
          <w:tcPr>
            <w:tcW w:w="2835" w:type="dxa"/>
            <w:vAlign w:val="center"/>
          </w:tcPr>
          <w:p>
            <w:pPr>
              <w:spacing w:line="560" w:lineRule="exact"/>
              <w:jc w:val="center"/>
              <w:rPr>
                <w:rFonts w:hint="default" w:ascii="仿宋" w:hAnsi="仿宋" w:eastAsia="仿宋" w:cs="Times New Roman"/>
                <w:sz w:val="24"/>
                <w:szCs w:val="24"/>
                <w:lang w:val="en-US" w:eastAsia="zh-CN" w:bidi="ar-SA"/>
              </w:rPr>
            </w:pPr>
            <w:r>
              <w:rPr>
                <w:rFonts w:hint="eastAsia" w:ascii="仿宋" w:hAnsi="仿宋" w:eastAsia="仿宋"/>
                <w:lang w:val="en-US" w:eastAsia="zh-CN"/>
              </w:rP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１、房屋（平方米）</w:t>
            </w:r>
          </w:p>
        </w:tc>
        <w:tc>
          <w:tcPr>
            <w:tcW w:w="0" w:type="auto"/>
            <w:vAlign w:val="center"/>
          </w:tcPr>
          <w:p>
            <w:pPr>
              <w:spacing w:line="560" w:lineRule="exact"/>
              <w:jc w:val="center"/>
              <w:rPr>
                <w:rFonts w:ascii="仿宋" w:hAnsi="仿宋" w:eastAsia="仿宋" w:cs="Times New Roman"/>
                <w:sz w:val="24"/>
                <w:szCs w:val="24"/>
                <w:lang w:val="en-US" w:eastAsia="zh-CN" w:bidi="ar-SA"/>
              </w:rPr>
            </w:pPr>
            <w:r>
              <w:rPr>
                <w:rFonts w:hint="eastAsia" w:ascii="仿宋" w:hAnsi="仿宋" w:eastAsia="仿宋" w:cs="宋体"/>
              </w:rPr>
              <w:t>－</w:t>
            </w:r>
          </w:p>
        </w:tc>
        <w:tc>
          <w:tcPr>
            <w:tcW w:w="0" w:type="auto"/>
            <w:vAlign w:val="center"/>
          </w:tcPr>
          <w:p>
            <w:pPr>
              <w:spacing w:line="560" w:lineRule="exact"/>
              <w:jc w:val="center"/>
              <w:rPr>
                <w:rFonts w:ascii="仿宋" w:hAnsi="仿宋" w:eastAsia="仿宋" w:cs="宋体"/>
                <w:sz w:val="24"/>
                <w:szCs w:val="24"/>
                <w:lang w:val="en-US" w:eastAsia="uk-UA" w:bidi="ar-SA"/>
              </w:rPr>
            </w:pPr>
            <w:r>
              <w:rPr>
                <w:rFonts w:hint="eastAsia" w:ascii="仿宋" w:hAnsi="仿宋" w:eastAsia="仿宋" w:cs="宋体"/>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其中：办公用房（平方米）</w:t>
            </w:r>
          </w:p>
        </w:tc>
        <w:tc>
          <w:tcPr>
            <w:tcW w:w="0" w:type="auto"/>
            <w:vAlign w:val="center"/>
          </w:tcPr>
          <w:p>
            <w:pPr>
              <w:spacing w:line="560" w:lineRule="exact"/>
              <w:jc w:val="center"/>
              <w:rPr>
                <w:rFonts w:ascii="仿宋" w:hAnsi="仿宋" w:eastAsia="仿宋" w:cs="Times New Roman"/>
                <w:sz w:val="24"/>
                <w:szCs w:val="24"/>
                <w:lang w:val="en-US" w:eastAsia="zh-CN" w:bidi="ar-SA"/>
              </w:rPr>
            </w:pPr>
            <w:r>
              <w:rPr>
                <w:rFonts w:hint="eastAsia" w:ascii="仿宋" w:hAnsi="仿宋" w:eastAsia="仿宋" w:cs="宋体"/>
              </w:rPr>
              <w:t>－</w:t>
            </w:r>
          </w:p>
        </w:tc>
        <w:tc>
          <w:tcPr>
            <w:tcW w:w="0" w:type="auto"/>
            <w:vAlign w:val="center"/>
          </w:tcPr>
          <w:p>
            <w:pPr>
              <w:spacing w:line="560" w:lineRule="exact"/>
              <w:jc w:val="center"/>
              <w:rPr>
                <w:rFonts w:ascii="仿宋" w:hAnsi="仿宋" w:eastAsia="仿宋" w:cs="Times New Roman"/>
                <w:sz w:val="24"/>
                <w:szCs w:val="24"/>
                <w:lang w:val="en-US" w:eastAsia="zh-CN" w:bidi="ar-SA"/>
              </w:rPr>
            </w:pPr>
            <w:r>
              <w:rPr>
                <w:rFonts w:hint="eastAsia" w:ascii="仿宋" w:hAnsi="仿宋" w:eastAsia="仿宋" w:cs="宋体"/>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２、车辆（台、辆）</w:t>
            </w:r>
          </w:p>
        </w:tc>
        <w:tc>
          <w:tcPr>
            <w:tcW w:w="0" w:type="auto"/>
            <w:vAlign w:val="center"/>
          </w:tcPr>
          <w:p>
            <w:pPr>
              <w:spacing w:line="560" w:lineRule="exact"/>
              <w:jc w:val="center"/>
              <w:rPr>
                <w:rFonts w:ascii="仿宋" w:hAnsi="仿宋" w:eastAsia="仿宋" w:cs="宋体"/>
                <w:sz w:val="24"/>
                <w:szCs w:val="24"/>
                <w:lang w:val="en-US" w:eastAsia="zh-CN" w:bidi="ar-SA"/>
              </w:rPr>
            </w:pPr>
            <w:r>
              <w:rPr>
                <w:rFonts w:hint="eastAsia" w:ascii="仿宋" w:hAnsi="仿宋" w:eastAsia="仿宋" w:cs="宋体"/>
              </w:rPr>
              <w:t>－</w:t>
            </w:r>
          </w:p>
        </w:tc>
        <w:tc>
          <w:tcPr>
            <w:tcW w:w="0" w:type="auto"/>
            <w:vAlign w:val="center"/>
          </w:tcPr>
          <w:p>
            <w:pPr>
              <w:spacing w:line="560" w:lineRule="exact"/>
              <w:jc w:val="center"/>
              <w:rPr>
                <w:rFonts w:ascii="仿宋" w:hAnsi="仿宋" w:eastAsia="仿宋" w:cs="宋体"/>
                <w:sz w:val="24"/>
                <w:szCs w:val="24"/>
                <w:lang w:val="en-US" w:eastAsia="zh-CN" w:bidi="ar-SA"/>
              </w:rPr>
            </w:pPr>
            <w:r>
              <w:rPr>
                <w:rFonts w:hint="eastAsia" w:ascii="仿宋" w:hAnsi="仿宋" w:eastAsia="仿宋" w:cs="宋体"/>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３、单价在50万元以上的设备</w:t>
            </w:r>
          </w:p>
        </w:tc>
        <w:tc>
          <w:tcPr>
            <w:tcW w:w="0" w:type="auto"/>
            <w:vAlign w:val="center"/>
          </w:tcPr>
          <w:p>
            <w:pPr>
              <w:spacing w:line="560" w:lineRule="exact"/>
              <w:jc w:val="center"/>
              <w:rPr>
                <w:rFonts w:ascii="仿宋" w:hAnsi="仿宋" w:eastAsia="仿宋" w:cs="宋体"/>
                <w:sz w:val="24"/>
                <w:szCs w:val="24"/>
                <w:lang w:val="en-US" w:eastAsia="zh-CN" w:bidi="ar-SA"/>
              </w:rPr>
            </w:pPr>
            <w:r>
              <w:rPr>
                <w:rFonts w:hint="eastAsia" w:ascii="仿宋" w:hAnsi="仿宋" w:eastAsia="仿宋" w:cs="宋体"/>
              </w:rPr>
              <w:t>－</w:t>
            </w:r>
          </w:p>
        </w:tc>
        <w:tc>
          <w:tcPr>
            <w:tcW w:w="0" w:type="auto"/>
            <w:vAlign w:val="center"/>
          </w:tcPr>
          <w:p>
            <w:pPr>
              <w:spacing w:line="560" w:lineRule="exact"/>
              <w:jc w:val="center"/>
              <w:rPr>
                <w:rFonts w:ascii="仿宋" w:hAnsi="仿宋" w:eastAsia="仿宋" w:cs="宋体"/>
                <w:sz w:val="24"/>
                <w:szCs w:val="24"/>
                <w:lang w:val="en-US" w:eastAsia="uk-UA" w:bidi="ar-SA"/>
              </w:rPr>
            </w:pPr>
            <w:r>
              <w:rPr>
                <w:rFonts w:hint="eastAsia" w:ascii="仿宋" w:hAnsi="仿宋" w:eastAsia="仿宋" w:cs="宋体"/>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４、其他固定资产</w:t>
            </w:r>
          </w:p>
        </w:tc>
        <w:tc>
          <w:tcPr>
            <w:tcW w:w="0" w:type="auto"/>
            <w:vAlign w:val="center"/>
          </w:tcPr>
          <w:p>
            <w:pPr>
              <w:spacing w:line="560" w:lineRule="exact"/>
              <w:jc w:val="center"/>
              <w:rPr>
                <w:rFonts w:ascii="仿宋" w:hAnsi="仿宋" w:eastAsia="仿宋" w:cs="宋体"/>
                <w:sz w:val="24"/>
                <w:szCs w:val="24"/>
                <w:lang w:val="en-US" w:eastAsia="uk-UA" w:bidi="ar-SA"/>
              </w:rPr>
            </w:pPr>
            <w:r>
              <w:rPr>
                <w:rFonts w:hint="eastAsia" w:ascii="仿宋" w:hAnsi="仿宋" w:eastAsia="仿宋" w:cs="宋体"/>
              </w:rPr>
              <w:t>－</w:t>
            </w:r>
          </w:p>
        </w:tc>
        <w:tc>
          <w:tcPr>
            <w:tcW w:w="0" w:type="auto"/>
            <w:vAlign w:val="center"/>
          </w:tcPr>
          <w:p>
            <w:pPr>
              <w:spacing w:line="560" w:lineRule="exact"/>
              <w:jc w:val="center"/>
              <w:rPr>
                <w:rFonts w:hint="default" w:ascii="仿宋" w:hAnsi="仿宋" w:eastAsia="仿宋" w:cs="宋体"/>
                <w:sz w:val="24"/>
                <w:szCs w:val="24"/>
                <w:lang w:val="en-US" w:eastAsia="zh-CN" w:bidi="ar-SA"/>
              </w:rPr>
            </w:pPr>
            <w:r>
              <w:rPr>
                <w:rFonts w:hint="eastAsia" w:ascii="仿宋" w:hAnsi="仿宋" w:eastAsia="仿宋" w:cs="宋体"/>
                <w:lang w:val="en-US" w:eastAsia="zh-CN"/>
              </w:rPr>
              <w:t>18.24</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兰亭超细黑简体">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PAGE "page number"</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YWQxMDkxYWQxNmNmZmIwN2FhZmNhNDM5YmU0YjMifQ=="/>
  </w:docVars>
  <w:rsids>
    <w:rsidRoot w:val="00503304"/>
    <w:rsid w:val="000305EA"/>
    <w:rsid w:val="00244DE9"/>
    <w:rsid w:val="00503304"/>
    <w:rsid w:val="006B3474"/>
    <w:rsid w:val="006B5B83"/>
    <w:rsid w:val="008D7450"/>
    <w:rsid w:val="00AD6A7C"/>
    <w:rsid w:val="00D37534"/>
    <w:rsid w:val="00E43D58"/>
    <w:rsid w:val="091C0163"/>
    <w:rsid w:val="1F2760B0"/>
    <w:rsid w:val="24EA02AB"/>
    <w:rsid w:val="49C77AD9"/>
    <w:rsid w:val="59F456B7"/>
    <w:rsid w:val="64DF6A1E"/>
    <w:rsid w:val="66331C58"/>
    <w:rsid w:val="73642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7" Type="http://schemas.openxmlformats.org/officeDocument/2006/relationships/fontTable" Target="fontTable.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2022-03-17T13:06:55Z</dcterms:created>
  <dcterms:modified xsi:type="dcterms:W3CDTF">2022-03-17T05:06:55Z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2022-03-17T13:06:55Z</dcterms:created>
  <dcterms:modified xsi:type="dcterms:W3CDTF">2022-03-17T05:06:55Z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2022-03-17T13:06:55Z</dcterms:created>
  <dcterms:modified xsi:type="dcterms:W3CDTF">2022-03-17T05:06:55Z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2022-03-17T13:06:54Z</dcterms:created>
  <dcterms:modified xsi:type="dcterms:W3CDTF">2022-03-17T05:06:54Z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2022-03-17T13:07:00Z</dcterms:created>
  <dcterms:modified xsi:type="dcterms:W3CDTF">2022-03-17T05:07:00Z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2022-03-17T13:06:59Z</dcterms:created>
  <dcterms:modified xsi:type="dcterms:W3CDTF">2022-03-17T05:06:59Z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2022-03-17T13:07:00Z</dcterms:created>
  <dcterms:modified xsi:type="dcterms:W3CDTF">2022-03-17T05:07:00Z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2022-03-17T13:07:00Z</dcterms:created>
  <dcterms:modified xsi:type="dcterms:W3CDTF">2022-03-17T05:06:59Z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2022-03-17T13:07:00Z</dcterms:created>
  <dcterms:modified xsi:type="dcterms:W3CDTF">2022-03-17T05:07:00Z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2022-03-17T13:06:55Z</dcterms:created>
  <dcterms:modified xsi:type="dcterms:W3CDTF">2022-03-17T05:06:55Z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2022-03-17T13:07:00Z</dcterms:created>
  <dcterms:modified xsi:type="dcterms:W3CDTF">2022-03-17T05:07:00Z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2022-03-17T13:06:55Z</dcterms:created>
  <dcterms:modified xsi:type="dcterms:W3CDTF">2022-03-17T05:06:55Z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2022-03-17T13:06:55Z</dcterms:created>
  <dcterms:modified xsi:type="dcterms:W3CDTF">2022-03-17T05:06:55Z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2022-03-17T13:06:56Z</dcterms:created>
  <dcterms:modified xsi:type="dcterms:W3CDTF">2022-03-17T05:06:56Z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2022-03-17T13:07:01Z</dcterms:created>
  <dcterms:modified xsi:type="dcterms:W3CDTF">2022-03-17T05:07:01Z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2022-03-17T13:07:00Z</dcterms:created>
  <dcterms:modified xsi:type="dcterms:W3CDTF">2022-03-17T05:07:00Z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2022-03-17T13:06:55Z</dcterms:created>
  <dcterms:modified xsi:type="dcterms:W3CDTF">2022-03-17T05:06:55Z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2022-03-17T13:07:00Z</dcterms:created>
  <dcterms:modified xsi:type="dcterms:W3CDTF">2022-03-17T05:07:00Z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2022-03-17T13:06:54Z</dcterms:created>
  <dcterms:modified xsi:type="dcterms:W3CDTF">2022-03-17T05:06:54Z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2022-03-17T13:06:56Z</dcterms:created>
  <dcterms:modified xsi:type="dcterms:W3CDTF">2022-03-17T05:06:55Z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2022-03-17T13:07:00Z</dcterms:created>
  <dcterms:modified xsi:type="dcterms:W3CDTF">2022-03-17T05:07:00Z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2022-03-17T13:06:59Z</dcterms:created>
  <dcterms:modified xsi:type="dcterms:W3CDTF">2022-03-17T05:06:58Z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2022-03-17T13:07:00Z</dcterms:created>
  <dcterms:modified xsi:type="dcterms:W3CDTF">2022-03-17T05:07:00Z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2022-03-17T13:06:55Z</dcterms:created>
  <dcterms:modified xsi:type="dcterms:W3CDTF">2022-03-17T05:06:55Z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2022-03-17T13:06:54Z</dcterms:created>
  <dcterms:modified xsi:type="dcterms:W3CDTF">2022-03-17T05:06:53Z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4B0C749-B59C-4987-8B82-F8613897088E}">
  <ds:schemaRefs/>
</ds:datastoreItem>
</file>

<file path=customXml/itemProps11.xml><?xml version="1.0" encoding="utf-8"?>
<ds:datastoreItem xmlns:ds="http://schemas.openxmlformats.org/officeDocument/2006/customXml" ds:itemID="{7F6339B3-F567-4E76-A912-3736BED24C56}">
  <ds:schemaRefs/>
</ds:datastoreItem>
</file>

<file path=customXml/itemProps12.xml><?xml version="1.0" encoding="utf-8"?>
<ds:datastoreItem xmlns:ds="http://schemas.openxmlformats.org/officeDocument/2006/customXml" ds:itemID="{F1CC909E-1530-423C-8AF6-D49D4DBEE670}">
  <ds:schemaRefs/>
</ds:datastoreItem>
</file>

<file path=customXml/itemProps13.xml><?xml version="1.0" encoding="utf-8"?>
<ds:datastoreItem xmlns:ds="http://schemas.openxmlformats.org/officeDocument/2006/customXml" ds:itemID="{1F13EA33-0603-4949-8ACF-FA4D149DEFDD}">
  <ds:schemaRefs/>
</ds:datastoreItem>
</file>

<file path=customXml/itemProps14.xml><?xml version="1.0" encoding="utf-8"?>
<ds:datastoreItem xmlns:ds="http://schemas.openxmlformats.org/officeDocument/2006/customXml" ds:itemID="{B9FC1649-59E8-4769-AE75-1B21F555C52E}">
  <ds:schemaRefs/>
</ds:datastoreItem>
</file>

<file path=customXml/itemProps15.xml><?xml version="1.0" encoding="utf-8"?>
<ds:datastoreItem xmlns:ds="http://schemas.openxmlformats.org/officeDocument/2006/customXml" ds:itemID="{1C1434B9-1AF8-4C70-B977-F2F09A710407}">
  <ds:schemaRefs/>
</ds:datastoreItem>
</file>

<file path=customXml/itemProps16.xml><?xml version="1.0" encoding="utf-8"?>
<ds:datastoreItem xmlns:ds="http://schemas.openxmlformats.org/officeDocument/2006/customXml" ds:itemID="{7D1679C4-2E22-4599-B248-5D24B7F3D711}">
  <ds:schemaRefs/>
</ds:datastoreItem>
</file>

<file path=customXml/itemProps17.xml><?xml version="1.0" encoding="utf-8"?>
<ds:datastoreItem xmlns:ds="http://schemas.openxmlformats.org/officeDocument/2006/customXml" ds:itemID="{BFE7C8E8-4CEA-4296-90C6-DCE6A6826D32}">
  <ds:schemaRefs/>
</ds:datastoreItem>
</file>

<file path=customXml/itemProps18.xml><?xml version="1.0" encoding="utf-8"?>
<ds:datastoreItem xmlns:ds="http://schemas.openxmlformats.org/officeDocument/2006/customXml" ds:itemID="{82CA4C84-CADA-42E7-8920-E0A62CFBAB37}">
  <ds:schemaRefs/>
</ds:datastoreItem>
</file>

<file path=customXml/itemProps19.xml><?xml version="1.0" encoding="utf-8"?>
<ds:datastoreItem xmlns:ds="http://schemas.openxmlformats.org/officeDocument/2006/customXml" ds:itemID="{A71E9F29-5142-464B-8689-D7DDFA8F4225}">
  <ds:schemaRefs/>
</ds:datastoreItem>
</file>

<file path=customXml/itemProps2.xml><?xml version="1.0" encoding="utf-8"?>
<ds:datastoreItem xmlns:ds="http://schemas.openxmlformats.org/officeDocument/2006/customXml" ds:itemID="{AAF5009D-DC0C-4822-9872-CAD767B465CD}">
  <ds:schemaRefs/>
</ds:datastoreItem>
</file>

<file path=customXml/itemProps20.xml><?xml version="1.0" encoding="utf-8"?>
<ds:datastoreItem xmlns:ds="http://schemas.openxmlformats.org/officeDocument/2006/customXml" ds:itemID="{3BAD337B-DE06-4F33-B5E2-DA262B3DACAD}">
  <ds:schemaRefs/>
</ds:datastoreItem>
</file>

<file path=customXml/itemProps21.xml><?xml version="1.0" encoding="utf-8"?>
<ds:datastoreItem xmlns:ds="http://schemas.openxmlformats.org/officeDocument/2006/customXml" ds:itemID="{07C8AEA1-6685-4D00-8965-CFA2F95FA653}">
  <ds:schemaRefs/>
</ds:datastoreItem>
</file>

<file path=customXml/itemProps22.xml><?xml version="1.0" encoding="utf-8"?>
<ds:datastoreItem xmlns:ds="http://schemas.openxmlformats.org/officeDocument/2006/customXml" ds:itemID="{6264CAE3-4E34-452C-B87C-D1295C5F3F45}">
  <ds:schemaRefs/>
</ds:datastoreItem>
</file>

<file path=customXml/itemProps23.xml><?xml version="1.0" encoding="utf-8"?>
<ds:datastoreItem xmlns:ds="http://schemas.openxmlformats.org/officeDocument/2006/customXml" ds:itemID="{B06A2DB1-9340-4C9E-B526-2F82AD3CB5C4}">
  <ds:schemaRefs/>
</ds:datastoreItem>
</file>

<file path=customXml/itemProps24.xml><?xml version="1.0" encoding="utf-8"?>
<ds:datastoreItem xmlns:ds="http://schemas.openxmlformats.org/officeDocument/2006/customXml" ds:itemID="{EF1D9922-971A-4882-9679-FC99D5CE5531}">
  <ds:schemaRefs/>
</ds:datastoreItem>
</file>

<file path=customXml/itemProps25.xml><?xml version="1.0" encoding="utf-8"?>
<ds:datastoreItem xmlns:ds="http://schemas.openxmlformats.org/officeDocument/2006/customXml" ds:itemID="{8B8277A6-92F6-4625-B89E-A16D0AAA100E}">
  <ds:schemaRefs/>
</ds:datastoreItem>
</file>

<file path=customXml/itemProps26.xml><?xml version="1.0" encoding="utf-8"?>
<ds:datastoreItem xmlns:ds="http://schemas.openxmlformats.org/officeDocument/2006/customXml" ds:itemID="{BDF21F53-3A08-43F4-B104-0B6BB155218C}">
  <ds:schemaRefs/>
</ds:datastoreItem>
</file>

<file path=customXml/itemProps27.xml><?xml version="1.0" encoding="utf-8"?>
<ds:datastoreItem xmlns:ds="http://schemas.openxmlformats.org/officeDocument/2006/customXml" ds:itemID="{6D006F94-C791-40D2-AE07-CB8B17770369}">
  <ds:schemaRefs/>
</ds:datastoreItem>
</file>

<file path=customXml/itemProps28.xml><?xml version="1.0" encoding="utf-8"?>
<ds:datastoreItem xmlns:ds="http://schemas.openxmlformats.org/officeDocument/2006/customXml" ds:itemID="{6917471C-BD32-48CE-8F20-9A4DE5331600}">
  <ds:schemaRefs/>
</ds:datastoreItem>
</file>

<file path=customXml/itemProps29.xml><?xml version="1.0" encoding="utf-8"?>
<ds:datastoreItem xmlns:ds="http://schemas.openxmlformats.org/officeDocument/2006/customXml" ds:itemID="{4190C0E6-773B-4E4C-930B-9A671C8F5390}">
  <ds:schemaRefs/>
</ds:datastoreItem>
</file>

<file path=customXml/itemProps3.xml><?xml version="1.0" encoding="utf-8"?>
<ds:datastoreItem xmlns:ds="http://schemas.openxmlformats.org/officeDocument/2006/customXml" ds:itemID="{E93D4186-0435-4E08-AD68-93AD8FF3AB85}">
  <ds:schemaRefs/>
</ds:datastoreItem>
</file>

<file path=customXml/itemProps30.xml><?xml version="1.0" encoding="utf-8"?>
<ds:datastoreItem xmlns:ds="http://schemas.openxmlformats.org/officeDocument/2006/customXml" ds:itemID="{1CB4F7D6-3D84-4664-B303-E691341761BE}">
  <ds:schemaRefs/>
</ds:datastoreItem>
</file>

<file path=customXml/itemProps31.xml><?xml version="1.0" encoding="utf-8"?>
<ds:datastoreItem xmlns:ds="http://schemas.openxmlformats.org/officeDocument/2006/customXml" ds:itemID="{7523AE4D-6913-4877-B242-2E2032A858E1}">
  <ds:schemaRefs/>
</ds:datastoreItem>
</file>

<file path=customXml/itemProps32.xml><?xml version="1.0" encoding="utf-8"?>
<ds:datastoreItem xmlns:ds="http://schemas.openxmlformats.org/officeDocument/2006/customXml" ds:itemID="{428735DA-2098-45CA-B0D1-0A5108BAA4ED}">
  <ds:schemaRefs/>
</ds:datastoreItem>
</file>

<file path=customXml/itemProps33.xml><?xml version="1.0" encoding="utf-8"?>
<ds:datastoreItem xmlns:ds="http://schemas.openxmlformats.org/officeDocument/2006/customXml" ds:itemID="{A6E39BE8-E320-4227-B1DC-93A574561107}">
  <ds:schemaRefs/>
</ds:datastoreItem>
</file>

<file path=customXml/itemProps34.xml><?xml version="1.0" encoding="utf-8"?>
<ds:datastoreItem xmlns:ds="http://schemas.openxmlformats.org/officeDocument/2006/customXml" ds:itemID="{82D3382B-485D-4874-887B-99750AC44147}">
  <ds:schemaRefs/>
</ds:datastoreItem>
</file>

<file path=customXml/itemProps35.xml><?xml version="1.0" encoding="utf-8"?>
<ds:datastoreItem xmlns:ds="http://schemas.openxmlformats.org/officeDocument/2006/customXml" ds:itemID="{D28F17FA-D839-4193-861C-8EE00FC29E21}">
  <ds:schemaRefs/>
</ds:datastoreItem>
</file>

<file path=customXml/itemProps36.xml><?xml version="1.0" encoding="utf-8"?>
<ds:datastoreItem xmlns:ds="http://schemas.openxmlformats.org/officeDocument/2006/customXml" ds:itemID="{3C01CE6D-DF53-4A36-A030-BAF1D462EF74}">
  <ds:schemaRefs/>
</ds:datastoreItem>
</file>

<file path=customXml/itemProps37.xml><?xml version="1.0" encoding="utf-8"?>
<ds:datastoreItem xmlns:ds="http://schemas.openxmlformats.org/officeDocument/2006/customXml" ds:itemID="{9D33584B-84FD-455D-AB7E-2240B7E91D18}">
  <ds:schemaRefs/>
</ds:datastoreItem>
</file>

<file path=customXml/itemProps38.xml><?xml version="1.0" encoding="utf-8"?>
<ds:datastoreItem xmlns:ds="http://schemas.openxmlformats.org/officeDocument/2006/customXml" ds:itemID="{9C03ED55-139C-443A-A440-D3B55716E52A}">
  <ds:schemaRefs/>
</ds:datastoreItem>
</file>

<file path=customXml/itemProps39.xml><?xml version="1.0" encoding="utf-8"?>
<ds:datastoreItem xmlns:ds="http://schemas.openxmlformats.org/officeDocument/2006/customXml" ds:itemID="{E2E9310F-8158-42E6-8B71-FF0CA8F61940}">
  <ds:schemaRefs/>
</ds:datastoreItem>
</file>

<file path=customXml/itemProps4.xml><?xml version="1.0" encoding="utf-8"?>
<ds:datastoreItem xmlns:ds="http://schemas.openxmlformats.org/officeDocument/2006/customXml" ds:itemID="{91D21A0D-921D-40E5-9A26-AA58C2AB1675}">
  <ds:schemaRefs/>
</ds:datastoreItem>
</file>

<file path=customXml/itemProps40.xml><?xml version="1.0" encoding="utf-8"?>
<ds:datastoreItem xmlns:ds="http://schemas.openxmlformats.org/officeDocument/2006/customXml" ds:itemID="{8B8B2CE2-D31E-47F8-B603-8F8BA08E2CA3}">
  <ds:schemaRefs/>
</ds:datastoreItem>
</file>

<file path=customXml/itemProps41.xml><?xml version="1.0" encoding="utf-8"?>
<ds:datastoreItem xmlns:ds="http://schemas.openxmlformats.org/officeDocument/2006/customXml" ds:itemID="{16E8BFE1-4B86-42C4-8F6C-2C0112D6ABBD}">
  <ds:schemaRefs/>
</ds:datastoreItem>
</file>

<file path=customXml/itemProps42.xml><?xml version="1.0" encoding="utf-8"?>
<ds:datastoreItem xmlns:ds="http://schemas.openxmlformats.org/officeDocument/2006/customXml" ds:itemID="{24317027-9B57-4569-8B68-08E79C9829CF}">
  <ds:schemaRefs/>
</ds:datastoreItem>
</file>

<file path=customXml/itemProps43.xml><?xml version="1.0" encoding="utf-8"?>
<ds:datastoreItem xmlns:ds="http://schemas.openxmlformats.org/officeDocument/2006/customXml" ds:itemID="{8E12CE34-F6B4-4599-8875-0D0948FE5A63}">
  <ds:schemaRefs/>
</ds:datastoreItem>
</file>

<file path=customXml/itemProps44.xml><?xml version="1.0" encoding="utf-8"?>
<ds:datastoreItem xmlns:ds="http://schemas.openxmlformats.org/officeDocument/2006/customXml" ds:itemID="{923316D4-75E2-4671-9C45-3A9AC456FC74}">
  <ds:schemaRefs/>
</ds:datastoreItem>
</file>

<file path=customXml/itemProps45.xml><?xml version="1.0" encoding="utf-8"?>
<ds:datastoreItem xmlns:ds="http://schemas.openxmlformats.org/officeDocument/2006/customXml" ds:itemID="{F43FE7E1-85DD-4A5C-A751-6A0A10EBF91F}">
  <ds:schemaRefs/>
</ds:datastoreItem>
</file>

<file path=customXml/itemProps46.xml><?xml version="1.0" encoding="utf-8"?>
<ds:datastoreItem xmlns:ds="http://schemas.openxmlformats.org/officeDocument/2006/customXml" ds:itemID="{5B81B3EA-F6D4-4394-801F-74FCC60FD1EC}">
  <ds:schemaRefs/>
</ds:datastoreItem>
</file>

<file path=customXml/itemProps47.xml><?xml version="1.0" encoding="utf-8"?>
<ds:datastoreItem xmlns:ds="http://schemas.openxmlformats.org/officeDocument/2006/customXml" ds:itemID="{73DB361D-3D7F-4ED1-99B8-42764EA1265F}">
  <ds:schemaRefs/>
</ds:datastoreItem>
</file>

<file path=customXml/itemProps48.xml><?xml version="1.0" encoding="utf-8"?>
<ds:datastoreItem xmlns:ds="http://schemas.openxmlformats.org/officeDocument/2006/customXml" ds:itemID="{5F214A68-8FB4-439F-9355-9C69EA100CE0}">
  <ds:schemaRefs/>
</ds:datastoreItem>
</file>

<file path=customXml/itemProps49.xml><?xml version="1.0" encoding="utf-8"?>
<ds:datastoreItem xmlns:ds="http://schemas.openxmlformats.org/officeDocument/2006/customXml" ds:itemID="{4B3377B0-D33F-4BD3-BA97-578F14617BCA}">
  <ds:schemaRefs/>
</ds:datastoreItem>
</file>

<file path=customXml/itemProps5.xml><?xml version="1.0" encoding="utf-8"?>
<ds:datastoreItem xmlns:ds="http://schemas.openxmlformats.org/officeDocument/2006/customXml" ds:itemID="{242D0637-A592-45EE-A763-FE97362AB0DB}">
  <ds:schemaRefs/>
</ds:datastoreItem>
</file>

<file path=customXml/itemProps50.xml><?xml version="1.0" encoding="utf-8"?>
<ds:datastoreItem xmlns:ds="http://schemas.openxmlformats.org/officeDocument/2006/customXml" ds:itemID="{111088A6-16EB-4E62-8D87-6DF7B1935288}">
  <ds:schemaRefs/>
</ds:datastoreItem>
</file>

<file path=customXml/itemProps51.xml><?xml version="1.0" encoding="utf-8"?>
<ds:datastoreItem xmlns:ds="http://schemas.openxmlformats.org/officeDocument/2006/customXml" ds:itemID="{56FFA0DF-EE85-4F58-9F60-BF03DAF5A3E7}">
  <ds:schemaRefs/>
</ds:datastoreItem>
</file>

<file path=customXml/itemProps6.xml><?xml version="1.0" encoding="utf-8"?>
<ds:datastoreItem xmlns:ds="http://schemas.openxmlformats.org/officeDocument/2006/customXml" ds:itemID="{8BB18B22-B54D-40EC-9CB0-CFEF3E05DBCA}">
  <ds:schemaRefs/>
</ds:datastoreItem>
</file>

<file path=customXml/itemProps7.xml><?xml version="1.0" encoding="utf-8"?>
<ds:datastoreItem xmlns:ds="http://schemas.openxmlformats.org/officeDocument/2006/customXml" ds:itemID="{B36F899F-EBE2-43FE-BBFA-1C2B26964B2B}">
  <ds:schemaRefs/>
</ds:datastoreItem>
</file>

<file path=customXml/itemProps8.xml><?xml version="1.0" encoding="utf-8"?>
<ds:datastoreItem xmlns:ds="http://schemas.openxmlformats.org/officeDocument/2006/customXml" ds:itemID="{2216C7EA-69B2-40B8-9B84-B9E128ACF07B}">
  <ds:schemaRefs/>
</ds:datastoreItem>
</file>

<file path=customXml/itemProps9.xml><?xml version="1.0" encoding="utf-8"?>
<ds:datastoreItem xmlns:ds="http://schemas.openxmlformats.org/officeDocument/2006/customXml" ds:itemID="{65F531AA-5F71-45CA-92FD-171237D2A6A8}">
  <ds:schemaRefs/>
</ds:datastoreItem>
</file>

<file path=docProps/app.xml><?xml version="1.0" encoding="utf-8"?>
<Properties xmlns="http://schemas.openxmlformats.org/officeDocument/2006/extended-properties" xmlns:vt="http://schemas.openxmlformats.org/officeDocument/2006/docPropsVTypes">
  <Template>Normal.dotm</Template>
  <Pages>30</Pages>
  <Words>8083</Words>
  <Characters>9463</Characters>
  <Lines>200</Lines>
  <Paragraphs>56</Paragraphs>
  <TotalTime>1</TotalTime>
  <ScaleCrop>false</ScaleCrop>
  <LinksUpToDate>false</LinksUpToDate>
  <CharactersWithSpaces>9606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2022-03-17T05:40:00Z</dcterms:created>
  <dc:creator>Administrator</dc:creator>
  <cp:lastModifiedBy>Administrator</cp:lastModifiedBy>
  <dcterms:modified xsi:type="dcterms:W3CDTF">2023-08-17T02:26:15Z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011B250147A14B6B92B5A99B9172CB9F</vt:lpwstr>
  </property>
</Properties>
</file>