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930魏县车往镇人民政府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775.20</w:t>
            </w:r>
          </w:p>
        </w:tc>
        <w:tc>
          <w:tcPr>
            <w:tcW w:w="4535" w:type="dxa"/>
            <w:vAlign w:val="center"/>
          </w:tcPr>
          <w:p>
            <w:pPr>
              <w:pStyle w:val="14"/>
            </w:pPr>
            <w:r>
              <w:t>一、一般公共服务支出</w:t>
            </w:r>
          </w:p>
        </w:tc>
        <w:tc>
          <w:tcPr>
            <w:tcW w:w="2126" w:type="dxa"/>
            <w:vAlign w:val="center"/>
          </w:tcPr>
          <w:p>
            <w:pPr>
              <w:pStyle w:val="13"/>
            </w:pPr>
            <w:r>
              <w:t>379.36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847.00</w:t>
            </w:r>
          </w:p>
        </w:tc>
        <w:tc>
          <w:tcPr>
            <w:tcW w:w="4535" w:type="dxa"/>
            <w:vAlign w:val="center"/>
          </w:tcPr>
          <w:p>
            <w:pPr>
              <w:pStyle w:val="16"/>
            </w:pPr>
            <w:r>
              <w:t>本年支出合计</w:t>
            </w:r>
          </w:p>
        </w:tc>
        <w:tc>
          <w:tcPr>
            <w:tcW w:w="2126" w:type="dxa"/>
            <w:vAlign w:val="center"/>
          </w:tcPr>
          <w:p>
            <w:pPr>
              <w:pStyle w:val="17"/>
            </w:pPr>
            <w:r>
              <w:t>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847.00</w:t>
            </w:r>
          </w:p>
        </w:tc>
        <w:tc>
          <w:tcPr>
            <w:tcW w:w="4535" w:type="dxa"/>
            <w:vAlign w:val="center"/>
          </w:tcPr>
          <w:p>
            <w:pPr>
              <w:pStyle w:val="16"/>
            </w:pPr>
            <w:r>
              <w:t>支出总计</w:t>
            </w:r>
          </w:p>
        </w:tc>
        <w:tc>
          <w:tcPr>
            <w:tcW w:w="2126" w:type="dxa"/>
            <w:vAlign w:val="center"/>
          </w:tcPr>
          <w:p>
            <w:pPr>
              <w:pStyle w:val="17"/>
            </w:pPr>
            <w:r>
              <w:t>847.00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847.00</w:t>
            </w:r>
          </w:p>
        </w:tc>
        <w:tc>
          <w:tcPr>
            <w:tcW w:w="1361" w:type="dxa"/>
            <w:vAlign w:val="center"/>
          </w:tcPr>
          <w:p>
            <w:pPr>
              <w:pStyle w:val="17"/>
            </w:pPr>
            <w:r>
              <w:t>287.95</w:t>
            </w:r>
          </w:p>
        </w:tc>
        <w:tc>
          <w:tcPr>
            <w:tcW w:w="1361" w:type="dxa"/>
            <w:vAlign w:val="center"/>
          </w:tcPr>
          <w:p>
            <w:pPr>
              <w:pStyle w:val="17"/>
            </w:pPr>
            <w:r>
              <w:t>559.05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20.16</w:t>
            </w:r>
          </w:p>
        </w:tc>
        <w:tc>
          <w:tcPr>
            <w:tcW w:w="1361" w:type="dxa"/>
            <w:vAlign w:val="center"/>
          </w:tcPr>
          <w:p>
            <w:pPr>
              <w:pStyle w:val="13"/>
            </w:pPr>
            <w:r>
              <w:t>20.16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775.20</w:t>
            </w:r>
          </w:p>
        </w:tc>
        <w:tc>
          <w:tcPr>
            <w:tcW w:w="3402" w:type="dxa"/>
            <w:vAlign w:val="center"/>
          </w:tcPr>
          <w:p>
            <w:pPr>
              <w:pStyle w:val="14"/>
            </w:pPr>
            <w:r>
              <w:t>一、一般公共服务支出</w:t>
            </w:r>
          </w:p>
        </w:tc>
        <w:tc>
          <w:tcPr>
            <w:tcW w:w="1474" w:type="dxa"/>
            <w:vAlign w:val="center"/>
          </w:tcPr>
          <w:p>
            <w:pPr>
              <w:pStyle w:val="13"/>
            </w:pPr>
            <w:r>
              <w:t>379.36</w:t>
            </w:r>
          </w:p>
        </w:tc>
        <w:tc>
          <w:tcPr>
            <w:tcW w:w="1474" w:type="dxa"/>
            <w:vAlign w:val="center"/>
          </w:tcPr>
          <w:p>
            <w:pPr>
              <w:pStyle w:val="13"/>
            </w:pPr>
            <w:r>
              <w:t>379.36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38.63</w:t>
            </w:r>
          </w:p>
        </w:tc>
        <w:tc>
          <w:tcPr>
            <w:tcW w:w="1474" w:type="dxa"/>
            <w:vAlign w:val="center"/>
          </w:tcPr>
          <w:p>
            <w:pPr>
              <w:pStyle w:val="13"/>
            </w:pPr>
            <w:r>
              <w:t>38.63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13.13</w:t>
            </w:r>
          </w:p>
        </w:tc>
        <w:tc>
          <w:tcPr>
            <w:tcW w:w="1474" w:type="dxa"/>
            <w:vAlign w:val="center"/>
          </w:tcPr>
          <w:p>
            <w:pPr>
              <w:pStyle w:val="13"/>
            </w:pPr>
            <w:r>
              <w:t>13.13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344.08</w:t>
            </w:r>
          </w:p>
        </w:tc>
        <w:tc>
          <w:tcPr>
            <w:tcW w:w="1474" w:type="dxa"/>
            <w:vAlign w:val="center"/>
          </w:tcPr>
          <w:p>
            <w:pPr>
              <w:pStyle w:val="13"/>
            </w:pPr>
            <w:r>
              <w:t>344.08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847.00</w:t>
            </w:r>
          </w:p>
        </w:tc>
        <w:tc>
          <w:tcPr>
            <w:tcW w:w="3402" w:type="dxa"/>
            <w:vAlign w:val="center"/>
          </w:tcPr>
          <w:p>
            <w:pPr>
              <w:pStyle w:val="16"/>
            </w:pPr>
            <w:r>
              <w:t>本年支出合计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847.00</w:t>
            </w:r>
          </w:p>
        </w:tc>
        <w:tc>
          <w:tcPr>
            <w:tcW w:w="3402" w:type="dxa"/>
            <w:vAlign w:val="center"/>
          </w:tcPr>
          <w:p>
            <w:pPr>
              <w:pStyle w:val="16"/>
            </w:pPr>
            <w:r>
              <w:t>支出总计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775.20</w:t>
            </w:r>
          </w:p>
        </w:tc>
        <w:tc>
          <w:tcPr>
            <w:tcW w:w="2551" w:type="dxa"/>
            <w:vAlign w:val="center"/>
          </w:tcPr>
          <w:p>
            <w:pPr>
              <w:pStyle w:val="17"/>
            </w:pPr>
            <w:r>
              <w:t>287.95</w:t>
            </w:r>
          </w:p>
        </w:tc>
        <w:tc>
          <w:tcPr>
            <w:tcW w:w="2551" w:type="dxa"/>
            <w:vAlign w:val="center"/>
          </w:tcPr>
          <w:p>
            <w:pPr>
              <w:pStyle w:val="17"/>
            </w:pPr>
            <w:r>
              <w:t>487.25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287.95</w:t>
            </w:r>
          </w:p>
        </w:tc>
        <w:tc>
          <w:tcPr>
            <w:tcW w:w="2551" w:type="dxa"/>
            <w:vAlign w:val="center"/>
          </w:tcPr>
          <w:p>
            <w:pPr>
              <w:pStyle w:val="17"/>
            </w:pPr>
            <w:r>
              <w:t>257.29</w:t>
            </w:r>
          </w:p>
        </w:tc>
        <w:tc>
          <w:tcPr>
            <w:tcW w:w="2551" w:type="dxa"/>
            <w:vAlign w:val="center"/>
          </w:tcPr>
          <w:p>
            <w:pPr>
              <w:pStyle w:val="17"/>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240.72</w:t>
            </w:r>
          </w:p>
        </w:tc>
        <w:tc>
          <w:tcPr>
            <w:tcW w:w="2551" w:type="dxa"/>
            <w:vAlign w:val="center"/>
          </w:tcPr>
          <w:p>
            <w:pPr>
              <w:pStyle w:val="13"/>
            </w:pPr>
            <w:r>
              <w:t>240.72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138.12</w:t>
            </w:r>
          </w:p>
        </w:tc>
        <w:tc>
          <w:tcPr>
            <w:tcW w:w="2551" w:type="dxa"/>
            <w:vAlign w:val="center"/>
          </w:tcPr>
          <w:p>
            <w:pPr>
              <w:pStyle w:val="13"/>
            </w:pPr>
            <w:r>
              <w:t>138.12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17.97</w:t>
            </w:r>
          </w:p>
        </w:tc>
        <w:tc>
          <w:tcPr>
            <w:tcW w:w="2551" w:type="dxa"/>
            <w:vAlign w:val="center"/>
          </w:tcPr>
          <w:p>
            <w:pPr>
              <w:pStyle w:val="13"/>
            </w:pPr>
            <w:r>
              <w:t>17.97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6.13</w:t>
            </w:r>
          </w:p>
        </w:tc>
        <w:tc>
          <w:tcPr>
            <w:tcW w:w="2551" w:type="dxa"/>
            <w:vAlign w:val="center"/>
          </w:tcPr>
          <w:p>
            <w:pPr>
              <w:pStyle w:val="13"/>
            </w:pPr>
            <w:r>
              <w:t>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33.47</w:t>
            </w:r>
          </w:p>
        </w:tc>
        <w:tc>
          <w:tcPr>
            <w:tcW w:w="2551" w:type="dxa"/>
            <w:vAlign w:val="center"/>
          </w:tcPr>
          <w:p>
            <w:pPr>
              <w:pStyle w:val="13"/>
            </w:pPr>
            <w:r>
              <w:t>33.47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30.66</w:t>
            </w:r>
          </w:p>
        </w:tc>
        <w:tc>
          <w:tcPr>
            <w:tcW w:w="2551" w:type="dxa"/>
            <w:vAlign w:val="center"/>
          </w:tcPr>
          <w:p>
            <w:pPr>
              <w:pStyle w:val="13"/>
            </w:pPr>
          </w:p>
        </w:tc>
        <w:tc>
          <w:tcPr>
            <w:tcW w:w="2551" w:type="dxa"/>
            <w:vAlign w:val="center"/>
          </w:tcPr>
          <w:p>
            <w:pPr>
              <w:pStyle w:val="13"/>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9.06</w:t>
            </w:r>
          </w:p>
        </w:tc>
        <w:tc>
          <w:tcPr>
            <w:tcW w:w="2551" w:type="dxa"/>
            <w:vAlign w:val="center"/>
          </w:tcPr>
          <w:p>
            <w:pPr>
              <w:pStyle w:val="13"/>
            </w:pPr>
          </w:p>
        </w:tc>
        <w:tc>
          <w:tcPr>
            <w:tcW w:w="2551"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魏县车往镇人民政府2022年部门预算信息公开情况说明</w:t>
      </w:r>
    </w:p>
    <w:p>
      <w:pPr>
        <w:jc w:val="center"/>
      </w:pPr>
      <w:r>
        <w:rPr>
          <w:rFonts w:ascii="方正小标宋_GBK" w:hAnsi="方正小标宋_GBK" w:eastAsia="方正小标宋_GBK" w:cs="方正小标宋_GBK"/>
          <w:color w:val="000000"/>
          <w:sz w:val="44"/>
        </w:rPr>
        <w:t>魏县车往镇人民政府2022年部门预算信息公开情况说明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按照《预算法》、《地方预决算公开操作规程》和《关于进一步推进预算公开工作的实施意见》规定，现将魏县车往镇人民政府2022年部门预算公开如下：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19"/>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hint="eastAsia" w:eastAsiaTheme="minorEastAsia"/>
          <w:lang w:eastAsia="zh-CN"/>
        </w:rPr>
      </w:pP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部门预算的编制实行综合预算管理，即全部收入和支出都反映在预算中。魏县车往镇人民政府机关及所属事业单位的收支包含在部门预算中。</w:t>
      </w:r>
    </w:p>
    <w:p>
      <w:pPr>
        <w:pStyle w:val="20"/>
        <w:rPr>
          <w:rFonts w:hint="eastAsia" w:eastAsiaTheme="minorEastAsia"/>
          <w:lang w:eastAsia="zh-CN"/>
        </w:rPr>
      </w:pPr>
      <w:r>
        <w:t>1、收入说明：2022年收入预算共计</w:t>
      </w:r>
      <w:r>
        <w:rPr>
          <w:rFonts w:hint="eastAsia" w:eastAsiaTheme="minorEastAsia"/>
          <w:lang w:eastAsia="zh-CN"/>
        </w:rPr>
        <w:t>847</w:t>
      </w:r>
      <w:r>
        <w:t>万元，全部为财政拨款收入。</w:t>
      </w:r>
      <w:r>
        <w:rPr>
          <w:rFonts w:hint="eastAsia" w:asciiTheme="minorEastAsia" w:hAnsiTheme="minorEastAsia" w:eastAsiaTheme="minorEastAsia"/>
          <w:lang w:eastAsia="zh-CN"/>
        </w:rPr>
        <w:t>其中：一般公共预算拨款收入775.2万元，政府性基金预算拨款收入71.8万元。</w:t>
      </w:r>
    </w:p>
    <w:p>
      <w:pPr>
        <w:pStyle w:val="20"/>
      </w:pPr>
      <w:r>
        <w:t>2、支出说明：2022年支出预算共计</w:t>
      </w:r>
      <w:r>
        <w:rPr>
          <w:rFonts w:hint="eastAsia" w:eastAsiaTheme="minorEastAsia"/>
          <w:lang w:eastAsia="zh-CN"/>
        </w:rPr>
        <w:t>847</w:t>
      </w:r>
      <w:r>
        <w:t>万元，其中：人员经费支出预算257.</w:t>
      </w:r>
      <w:r>
        <w:rPr>
          <w:rFonts w:hint="eastAsia" w:eastAsiaTheme="minorEastAsia"/>
          <w:lang w:eastAsia="zh-CN"/>
        </w:rPr>
        <w:t>29</w:t>
      </w:r>
      <w:r>
        <w:t>万元，正常公用部分支出预算3</w:t>
      </w:r>
      <w:r>
        <w:rPr>
          <w:rFonts w:hint="eastAsia"/>
          <w:lang w:eastAsia="zh-CN"/>
        </w:rPr>
        <w:t>0</w:t>
      </w:r>
      <w:r>
        <w:t>.</w:t>
      </w:r>
      <w:r>
        <w:rPr>
          <w:rFonts w:hint="eastAsia" w:eastAsiaTheme="minorEastAsia"/>
          <w:lang w:eastAsia="zh-CN"/>
        </w:rPr>
        <w:t>6</w:t>
      </w:r>
      <w:r>
        <w:t>6万元</w:t>
      </w:r>
      <w:r>
        <w:rPr>
          <w:rFonts w:hint="eastAsia" w:asciiTheme="minorEastAsia" w:hAnsiTheme="minorEastAsia" w:eastAsiaTheme="minorEastAsia"/>
          <w:lang w:eastAsia="zh-CN"/>
        </w:rPr>
        <w:t>，</w:t>
      </w:r>
      <w:r>
        <w:t>其他运转类</w:t>
      </w:r>
      <w:r>
        <w:rPr>
          <w:rFonts w:hint="eastAsia" w:asciiTheme="minorEastAsia" w:hAnsiTheme="minorEastAsia" w:eastAsiaTheme="minorEastAsia"/>
          <w:lang w:eastAsia="zh-CN"/>
        </w:rPr>
        <w:t>项目支出预算</w:t>
      </w:r>
      <w:r>
        <w:t>487.</w:t>
      </w:r>
      <w:r>
        <w:rPr>
          <w:rFonts w:hint="eastAsia" w:eastAsiaTheme="minorEastAsia"/>
          <w:lang w:eastAsia="zh-CN"/>
        </w:rPr>
        <w:t>25</w:t>
      </w:r>
      <w:r>
        <w:t>万元（其中土地补偿支出71.8.00万元）。</w:t>
      </w:r>
    </w:p>
    <w:p>
      <w:pPr>
        <w:pStyle w:val="20"/>
      </w:pPr>
      <w:r>
        <w:t>3、比上年增减情况：经过对比测算，2022年财政拨款预算比2021年增加293.35万元，其中：人员经费减少202.2万元，主要是退休人员到社保中心统一管理，不在本单位支出；其他运转类增加487.09万元；日常公用经费增加8.46万元，主要是在职人员增加公用经费也相应增加；项目经费没有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宋体" w:hAnsi="宋体" w:eastAsia="宋体" w:cs="宋体"/>
        </w:rPr>
        <w:t>机关运行经费共计安排</w:t>
      </w:r>
      <w:r>
        <w:rPr>
          <w:rFonts w:hint="eastAsia"/>
          <w:lang w:eastAsia="zh-CN"/>
        </w:rPr>
        <w:t>30.66</w:t>
      </w:r>
      <w:r>
        <w:rPr>
          <w:rFonts w:hint="eastAsia" w:ascii="宋体" w:hAnsi="宋体" w:eastAsia="宋体" w:cs="宋体"/>
        </w:rPr>
        <w:t>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w:t>
      </w:r>
      <w:r>
        <w:rPr>
          <w:rFonts w:hint="eastAsia" w:ascii="宋体" w:hAnsi="宋体" w:eastAsia="宋体" w:cs="宋体"/>
          <w:lang w:val="uk-UA"/>
        </w:rPr>
        <w:t>年，财政拨款</w:t>
      </w:r>
      <w:r>
        <w:t>“</w:t>
      </w:r>
      <w:r>
        <w:rPr>
          <w:rFonts w:hint="eastAsia" w:ascii="宋体" w:hAnsi="宋体" w:eastAsia="宋体" w:cs="宋体"/>
          <w:lang w:val="uk-UA"/>
        </w:rPr>
        <w:t>三公</w:t>
      </w:r>
      <w:r>
        <w:t>”</w:t>
      </w:r>
      <w:r>
        <w:rPr>
          <w:rFonts w:hint="eastAsia" w:ascii="宋体" w:hAnsi="宋体" w:eastAsia="宋体" w:cs="宋体"/>
          <w:lang w:val="uk-UA"/>
        </w:rPr>
        <w:t>经费预算安排</w:t>
      </w:r>
      <w:r>
        <w:t>0</w:t>
      </w:r>
      <w:r>
        <w:rPr>
          <w:rFonts w:hint="eastAsia" w:ascii="宋体" w:hAnsi="宋体" w:eastAsia="宋体" w:cs="宋体"/>
          <w:lang w:val="uk-UA"/>
        </w:rPr>
        <w:t>万元，其中：因公出国</w:t>
      </w:r>
      <w:r>
        <w:t>(</w:t>
      </w:r>
      <w:r>
        <w:rPr>
          <w:rFonts w:hint="eastAsia" w:ascii="宋体" w:hAnsi="宋体" w:eastAsia="宋体" w:cs="宋体"/>
          <w:lang w:val="uk-UA"/>
        </w:rPr>
        <w:t>境</w:t>
      </w:r>
      <w:r>
        <w:t>)</w:t>
      </w:r>
      <w:r>
        <w:rPr>
          <w:rFonts w:hint="eastAsia" w:ascii="宋体" w:hAnsi="宋体" w:eastAsia="宋体" w:cs="宋体"/>
          <w:lang w:val="uk-UA"/>
        </w:rPr>
        <w:t>费</w:t>
      </w:r>
      <w:r>
        <w:t>0</w:t>
      </w:r>
      <w:r>
        <w:rPr>
          <w:rFonts w:hint="eastAsia" w:ascii="宋体" w:hAnsi="宋体" w:eastAsia="宋体" w:cs="宋体"/>
          <w:lang w:val="uk-UA"/>
        </w:rPr>
        <w:t>万元，公务用车购置及运维费</w:t>
      </w:r>
      <w:r>
        <w:t>0</w:t>
      </w:r>
      <w:r>
        <w:rPr>
          <w:rFonts w:hint="eastAsia" w:ascii="宋体" w:hAnsi="宋体" w:eastAsia="宋体" w:cs="宋体"/>
          <w:lang w:val="uk-UA"/>
        </w:rPr>
        <w:t>万元</w:t>
      </w:r>
      <w:r>
        <w:t>(</w:t>
      </w:r>
      <w:r>
        <w:rPr>
          <w:rFonts w:hint="eastAsia" w:ascii="宋体" w:hAnsi="宋体" w:eastAsia="宋体" w:cs="宋体"/>
          <w:lang w:val="uk-UA"/>
        </w:rPr>
        <w:t>其中：公务用车购置费为</w:t>
      </w:r>
      <w:r>
        <w:t>0</w:t>
      </w:r>
      <w:r>
        <w:rPr>
          <w:rFonts w:hint="eastAsia" w:ascii="宋体" w:hAnsi="宋体" w:eastAsia="宋体" w:cs="宋体"/>
          <w:lang w:val="uk-UA"/>
        </w:rPr>
        <w:t>万元，公务用车运行费</w:t>
      </w:r>
      <w:r>
        <w:t>0</w:t>
      </w:r>
      <w:r>
        <w:rPr>
          <w:rFonts w:hint="eastAsia" w:ascii="宋体" w:hAnsi="宋体" w:eastAsia="宋体" w:cs="宋体"/>
          <w:lang w:val="uk-UA"/>
        </w:rPr>
        <w:t>万元</w:t>
      </w:r>
      <w:r>
        <w:t>)</w:t>
      </w:r>
      <w:r>
        <w:rPr>
          <w:rFonts w:hint="eastAsia" w:ascii="宋体" w:hAnsi="宋体" w:eastAsia="宋体" w:cs="宋体"/>
          <w:lang w:val="uk-UA"/>
        </w:rPr>
        <w:t>，公务接待费</w:t>
      </w:r>
      <w:r>
        <w:t>0</w:t>
      </w:r>
      <w:r>
        <w:rPr>
          <w:rFonts w:hint="eastAsia" w:ascii="宋体" w:hAnsi="宋体" w:eastAsia="宋体" w:cs="宋体"/>
          <w:lang w:val="uk-UA"/>
        </w:rPr>
        <w:t>万元。与</w:t>
      </w:r>
      <w:r>
        <w:t>2021</w:t>
      </w:r>
      <w:r>
        <w:rPr>
          <w:rFonts w:hint="eastAsia" w:ascii="宋体" w:hAnsi="宋体" w:eastAsia="宋体" w:cs="宋体"/>
          <w:lang w:val="uk-UA"/>
        </w:rPr>
        <w:t>年相比，因公出国</w:t>
      </w:r>
      <w:r>
        <w:t>(</w:t>
      </w:r>
      <w:r>
        <w:rPr>
          <w:rFonts w:hint="eastAsia" w:ascii="宋体" w:hAnsi="宋体" w:eastAsia="宋体" w:cs="宋体"/>
          <w:lang w:val="uk-UA"/>
        </w:rPr>
        <w:t>境</w:t>
      </w:r>
      <w:r>
        <w:t>)</w:t>
      </w:r>
      <w:r>
        <w:rPr>
          <w:rFonts w:hint="eastAsia" w:ascii="宋体" w:hAnsi="宋体" w:eastAsia="宋体" w:cs="宋体"/>
          <w:lang w:val="uk-UA"/>
        </w:rPr>
        <w:t>费、公务用车运行费、公务接待费没有增减变动，均与去年持平。主要原因是我单位根据实际情况，未安排出国经费，</w:t>
      </w:r>
      <w:r>
        <w:rPr>
          <w:rFonts w:hint="eastAsia" w:ascii="宋体" w:hAnsi="宋体" w:eastAsia="宋体" w:cs="宋体"/>
          <w:lang w:val="uk-UA" w:eastAsia="zh-CN"/>
        </w:rPr>
        <w:t>公车改革后</w:t>
      </w:r>
      <w:r>
        <w:rPr>
          <w:rFonts w:hint="eastAsia" w:ascii="宋体" w:hAnsi="宋体" w:eastAsia="宋体" w:cs="宋体"/>
          <w:lang w:val="uk-UA"/>
        </w:rPr>
        <w:t>没有公务车辆，也未安排相关经费，公务接待费实行</w:t>
      </w:r>
      <w:r>
        <w:rPr>
          <w:rFonts w:hint="eastAsia" w:ascii="宋体" w:hAnsi="宋体" w:eastAsia="宋体" w:cs="宋体"/>
          <w:lang w:val="uk-UA" w:eastAsia="zh-CN"/>
        </w:rPr>
        <w:t>“</w:t>
      </w:r>
      <w:r>
        <w:rPr>
          <w:rFonts w:hint="eastAsia" w:ascii="宋体" w:hAnsi="宋体" w:eastAsia="宋体" w:cs="宋体"/>
          <w:lang w:val="uk-UA"/>
        </w:rPr>
        <w:t>零招待</w:t>
      </w:r>
      <w:r>
        <w:rPr>
          <w:rFonts w:hint="eastAsia" w:ascii="宋体" w:hAnsi="宋体" w:eastAsia="宋体" w:cs="宋体"/>
          <w:lang w:val="uk-UA" w:eastAsia="zh-CN"/>
        </w:rPr>
        <w:t>”</w:t>
      </w:r>
      <w:r>
        <w:rPr>
          <w:rFonts w:hint="eastAsia" w:ascii="宋体" w:hAnsi="宋体" w:eastAsia="宋体" w:cs="宋体"/>
          <w:lang w:val="uk-UA"/>
        </w:rPr>
        <w:t>制度，也未进行安排</w:t>
      </w:r>
      <w:r>
        <w:rPr>
          <w:rFonts w:hint="eastAsia"/>
          <w:lang w:val="uk-UA"/>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r>
        <w:rPr>
          <w:rFonts w:hint="eastAsia"/>
          <w:lang w:eastAsia="zh-CN"/>
        </w:rPr>
        <w:t>。</w:t>
      </w:r>
    </w:p>
    <w:p>
      <w:pPr>
        <w:pStyle w:val="23"/>
      </w:pPr>
      <w:r>
        <w:t>3、科学的制定本地产业发展规划、推进农业结构调整、营造良好的发展环境，增强农村集体经济实力</w:t>
      </w:r>
      <w:r>
        <w:rPr>
          <w:rFonts w:hint="eastAsia"/>
          <w:lang w:eastAsia="zh-CN"/>
        </w:rPr>
        <w:t>。</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4"/>
      </w:pPr>
      <w:r>
        <w:t>1</w:t>
      </w:r>
      <w:r>
        <w:rPr>
          <w:rFonts w:hint="eastAsia" w:ascii="宋体" w:hAnsi="宋体" w:eastAsia="宋体" w:cs="宋体"/>
          <w:lang w:val="uk-UA"/>
        </w:rPr>
        <w:t>、贯彻落实党在农村的各项方针、政策，圆满完成县委、县政府下达的目标任务。</w:t>
      </w:r>
      <w:r>
        <w:t xml:space="preserve">                  </w:t>
      </w:r>
    </w:p>
    <w:p>
      <w:pPr>
        <w:pStyle w:val="24"/>
      </w:pPr>
      <w:r>
        <w:t>2</w:t>
      </w:r>
      <w:r>
        <w:rPr>
          <w:rFonts w:hint="eastAsia"/>
          <w:lang w:val="uk-UA"/>
        </w:rPr>
        <w:t>、抓好党的建设。主要包括领导班子建设、党风廉政建设、农村基层组织建设和机构改革控编减员。</w:t>
      </w:r>
      <w:r>
        <w:t xml:space="preserve">   </w:t>
      </w:r>
    </w:p>
    <w:p>
      <w:pPr>
        <w:pStyle w:val="24"/>
      </w:pPr>
      <w:r>
        <w:t>3</w:t>
      </w:r>
      <w:r>
        <w:rPr>
          <w:rFonts w:hint="eastAsia"/>
          <w:lang w:val="uk-UA"/>
        </w:rPr>
        <w:t>、以经济建设为中心，重点抓好高效农业、第三产业和民营企业，加快小康建设步伐。</w:t>
      </w:r>
      <w:r>
        <w:t xml:space="preserve">               </w:t>
      </w:r>
    </w:p>
    <w:p>
      <w:pPr>
        <w:pStyle w:val="24"/>
      </w:pPr>
      <w:r>
        <w:t>4</w:t>
      </w:r>
      <w:r>
        <w:rPr>
          <w:rFonts w:hint="eastAsia"/>
          <w:lang w:val="uk-UA"/>
        </w:rPr>
        <w:t>、办好公益事业。重点抓好乡、村学校、医疗卫生、道路交通等。</w:t>
      </w:r>
      <w:r>
        <w:t xml:space="preserve">                       </w:t>
      </w:r>
    </w:p>
    <w:p>
      <w:pPr>
        <w:pStyle w:val="24"/>
      </w:pPr>
      <w:r>
        <w:t>5</w:t>
      </w:r>
      <w:r>
        <w:rPr>
          <w:rFonts w:hint="eastAsia"/>
          <w:lang w:val="uk-UA"/>
        </w:rPr>
        <w:t>、完成县委、县政府交办的其他工作。</w:t>
      </w:r>
    </w:p>
    <w:p>
      <w:pPr>
        <w:spacing w:line="500" w:lineRule="exact"/>
        <w:ind w:firstLine="560"/>
        <w:rPr>
          <w:rFonts w:hint="eastAsia" w:eastAsia="方正仿宋_GBK"/>
          <w:color w:val="000000"/>
          <w:sz w:val="28"/>
          <w:lang w:eastAsia="zh-CN"/>
        </w:rPr>
      </w:pPr>
      <w:r>
        <w:rPr>
          <w:rFonts w:eastAsia="方正仿宋_GBK"/>
          <w:color w:val="000000"/>
          <w:sz w:val="28"/>
        </w:rPr>
        <w:t>（三）工作保障措施</w:t>
      </w:r>
    </w:p>
    <w:p>
      <w:pPr>
        <w:pStyle w:val="25"/>
      </w:pPr>
      <w:r>
        <w:t>1</w:t>
      </w:r>
      <w:r>
        <w:rPr>
          <w:rFonts w:hint="eastAsia" w:ascii="宋体" w:hAnsi="宋体" w:eastAsia="宋体" w:cs="宋体"/>
          <w:lang w:val="uk-UA"/>
        </w:rPr>
        <w:t>、统筹城乡发展，不断夯实经济社会发展基</w:t>
      </w:r>
      <w:r>
        <w:rPr>
          <w:rFonts w:hint="eastAsia"/>
          <w:lang w:val="uk-UA"/>
        </w:rPr>
        <w:t>础</w:t>
      </w:r>
    </w:p>
    <w:p>
      <w:pPr>
        <w:pStyle w:val="25"/>
      </w:pPr>
      <w:r>
        <w:rPr>
          <w:rFonts w:hint="eastAsia"/>
          <w:lang w:val="uk-U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w:t>
      </w:r>
      <w:r>
        <w:rPr>
          <w:rFonts w:hint="eastAsia"/>
          <w:lang w:val="uk-UA"/>
        </w:rPr>
        <w:t>、细化措施办法，全力抓好安全信访稳定工作</w:t>
      </w:r>
    </w:p>
    <w:p>
      <w:pPr>
        <w:pStyle w:val="25"/>
      </w:pPr>
      <w:r>
        <w:rPr>
          <w:rFonts w:hint="eastAsia"/>
          <w:lang w:val="uk-U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w:t>
      </w:r>
      <w:r>
        <w:rPr>
          <w:rFonts w:hint="eastAsia"/>
          <w:lang w:val="uk-UA"/>
        </w:rPr>
        <w:t>、坚持改革创新，下大力气扎实抓好党建工作</w:t>
      </w:r>
    </w:p>
    <w:p>
      <w:pPr>
        <w:pStyle w:val="25"/>
      </w:pPr>
      <w:r>
        <w:rPr>
          <w:rFonts w:hint="eastAsia"/>
          <w:lang w:val="uk-UA"/>
        </w:rPr>
        <w:t>一是切实加强思想政治建设。坚持用党的先进理论武装头脑，进一步完善党委中心组学习制度，创建</w:t>
      </w:r>
      <w:r>
        <w:t>“</w:t>
      </w:r>
      <w:r>
        <w:rPr>
          <w:rFonts w:hint="eastAsia"/>
          <w:lang w:val="uk-UA"/>
        </w:rPr>
        <w:t>学习型党组织</w:t>
      </w:r>
      <w:r>
        <w:t>”</w:t>
      </w:r>
      <w:r>
        <w:rPr>
          <w:rFonts w:hint="eastAsia"/>
          <w:lang w:val="uk-UA"/>
        </w:rPr>
        <w:t>和</w:t>
      </w:r>
      <w:r>
        <w:t>“</w:t>
      </w:r>
      <w:r>
        <w:rPr>
          <w:rFonts w:hint="eastAsia"/>
          <w:lang w:val="uk-UA"/>
        </w:rPr>
        <w:t>学习型领导班子</w:t>
      </w:r>
      <w:r>
        <w:t>”</w:t>
      </w:r>
      <w:r>
        <w:rPr>
          <w:rFonts w:hint="eastAsia"/>
          <w:lang w:val="uk-U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lang w:val="uk-UA"/>
        </w:rPr>
        <w:t>抓班子、带队伍、促发展</w:t>
      </w:r>
      <w:r>
        <w:t>”</w:t>
      </w:r>
      <w:r>
        <w:rPr>
          <w:rFonts w:hint="eastAsia"/>
          <w:lang w:val="uk-UA"/>
        </w:rPr>
        <w:t>为主线，积极探索和完善干部队伍管理机制，尽可能调动党员干部干事创业激情，在管人、用人上下功夫，有效整合资源，助推发展。</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eastAsia="方正楷体_GBK" w:cs="方正楷体_GBK"/>
          <w:b/>
          <w:color w:val="000000"/>
          <w:sz w:val="32"/>
          <w:lang w:eastAsia="zh-CN"/>
        </w:rPr>
      </w:pPr>
    </w:p>
    <w:p>
      <w:pPr>
        <w:ind w:firstLine="640"/>
        <w:rPr>
          <w:rFonts w:hint="eastAsia"/>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28"/>
          <w:szCs w:val="28"/>
          <w:lang w:eastAsia="zh-CN"/>
        </w:rPr>
        <w:t>本年度未安排专项资金支出预算。</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1.车往26个村，需要34.6万元运转，提高村办公积极性，更好地服务群众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34.6万元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309.48万元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1.通过及时拨付46.17万元的乡经费，使车往镇乡村振兴、环境整治、疫情防控等工作正常开展，保障车往镇对辖区内26个村的有效管理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，需资金96.85万元，提高工作积极性，保证德政事务正常办理。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96.85万元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5、2022年大牙及从峰公路占地补偿绩效目标表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1.拨付大牙线占地补偿，占地360亩，资金61.2万元、维护社会稳定，提高生活水平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补偿款全额发放到户</w:t>
            </w:r>
          </w:p>
        </w:tc>
        <w:tc>
          <w:tcPr>
            <w:tcW w:w="2835" w:type="dxa"/>
            <w:vAlign w:val="center"/>
          </w:tcPr>
          <w:p>
            <w:pPr>
              <w:pStyle w:val="14"/>
            </w:pPr>
            <w:r>
              <w:t>完成对大牙线占地补偿金61.2万元的发放工作</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2022年，魏县车往镇人民政府安排政府采购预算0.00万元。具体内容见下表。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930魏县车往镇人民政府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魏县车往镇人民政府（含所属单位）上年末固定资产金额为</w:t>
      </w:r>
      <w:r>
        <w:rPr>
          <w:rFonts w:hint="eastAsia" w:eastAsia="方正仿宋_GBK"/>
          <w:color w:val="000000"/>
          <w:sz w:val="28"/>
          <w:lang w:val="en-US" w:eastAsia="zh-CN"/>
        </w:rPr>
        <w:t>69.251298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930魏县车往镇人民政府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1271</w:t>
            </w:r>
          </w:p>
        </w:tc>
        <w:tc>
          <w:tcPr>
            <w:tcW w:w="2835" w:type="dxa"/>
            <w:vAlign w:val="center"/>
          </w:tcPr>
          <w:p>
            <w:pPr>
              <w:pStyle w:val="13"/>
              <w:rPr>
                <w:rFonts w:hint="default" w:eastAsia="方正书宋_GBK"/>
                <w:lang w:val="en-US" w:eastAsia="zh-CN"/>
              </w:rPr>
            </w:pPr>
            <w:r>
              <w:rPr>
                <w:rFonts w:hint="eastAsia"/>
                <w:lang w:val="en-US" w:eastAsia="zh-CN"/>
              </w:rPr>
              <w:t>68.890555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家具和用具</w:t>
            </w:r>
          </w:p>
        </w:tc>
        <w:tc>
          <w:tcPr>
            <w:tcW w:w="2835" w:type="dxa"/>
            <w:vAlign w:val="center"/>
          </w:tcPr>
          <w:p>
            <w:pPr>
              <w:pStyle w:val="15"/>
              <w:rPr>
                <w:rFonts w:hint="default" w:eastAsia="方正书宋_GBK"/>
                <w:lang w:val="en-US" w:eastAsia="zh-CN"/>
              </w:rPr>
            </w:pPr>
            <w:r>
              <w:rPr>
                <w:rFonts w:hint="eastAsia"/>
                <w:lang w:val="en-US" w:eastAsia="zh-CN"/>
              </w:rPr>
              <w:t>133</w:t>
            </w:r>
          </w:p>
        </w:tc>
        <w:tc>
          <w:tcPr>
            <w:tcW w:w="2835" w:type="dxa"/>
            <w:vAlign w:val="center"/>
          </w:tcPr>
          <w:p>
            <w:pPr>
              <w:pStyle w:val="13"/>
              <w:rPr>
                <w:rFonts w:hint="default" w:eastAsia="方正书宋_GBK"/>
                <w:lang w:val="en-US" w:eastAsia="zh-CN"/>
              </w:rPr>
            </w:pPr>
            <w:r>
              <w:rPr>
                <w:rFonts w:hint="eastAsia"/>
                <w:lang w:val="en-US" w:eastAsia="zh-CN"/>
              </w:rPr>
              <w:t>0.360743</w:t>
            </w:r>
          </w:p>
        </w:tc>
      </w:tr>
    </w:tbl>
    <w:p>
      <w:pPr>
        <w:ind w:firstLine="420"/>
      </w:pPr>
      <w:bookmarkStart w:id="18" w:name="_GoBack"/>
      <w:bookmarkEnd w:id="18"/>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Y2M2M4NWZjZTA1N2E3MTFjOTIzZjM4YTllOGUwZGQifQ=="/>
  </w:docVars>
  <w:rsids>
    <w:rsidRoot w:val="001B58D1"/>
    <w:rsid w:val="00027169"/>
    <w:rsid w:val="001B58D1"/>
    <w:rsid w:val="002974B6"/>
    <w:rsid w:val="00E17818"/>
    <w:rsid w:val="00FD5232"/>
    <w:rsid w:val="024A66EA"/>
    <w:rsid w:val="073D5541"/>
    <w:rsid w:val="4208370C"/>
    <w:rsid w:val="75EB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2022-03-07T14:45:47Z</dcterms:created>
  <dcterms:modified xsi:type="dcterms:W3CDTF">2022-03-07T06:45:47Z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F5AEE-7376-43DE-8D9E-A83E65E0C491}">
  <ds:schemaRefs/>
</ds:datastoreItem>
</file>

<file path=customXml/itemProps10.xml><?xml version="1.0" encoding="utf-8"?>
<ds:datastoreItem xmlns:ds="http://schemas.openxmlformats.org/officeDocument/2006/customXml" ds:itemID="{ED825AAB-AA90-4A85-B51F-823343FE4A52}">
  <ds:schemaRefs/>
</ds:datastoreItem>
</file>

<file path=customXml/itemProps11.xml><?xml version="1.0" encoding="utf-8"?>
<ds:datastoreItem xmlns:ds="http://schemas.openxmlformats.org/officeDocument/2006/customXml" ds:itemID="{822AFFAA-612A-4ADD-91AF-C32B1FDDFB5F}">
  <ds:schemaRefs/>
</ds:datastoreItem>
</file>

<file path=customXml/itemProps12.xml><?xml version="1.0" encoding="utf-8"?>
<ds:datastoreItem xmlns:ds="http://schemas.openxmlformats.org/officeDocument/2006/customXml" ds:itemID="{191B36D1-E779-4E27-9AF9-A34D1B30971E}">
  <ds:schemaRefs/>
</ds:datastoreItem>
</file>

<file path=customXml/itemProps13.xml><?xml version="1.0" encoding="utf-8"?>
<ds:datastoreItem xmlns:ds="http://schemas.openxmlformats.org/officeDocument/2006/customXml" ds:itemID="{7D89C667-E6D6-4DE6-99FA-1624E491D52B}">
  <ds:schemaRefs/>
</ds:datastoreItem>
</file>

<file path=customXml/itemProps14.xml><?xml version="1.0" encoding="utf-8"?>
<ds:datastoreItem xmlns:ds="http://schemas.openxmlformats.org/officeDocument/2006/customXml" ds:itemID="{6607D25A-6660-4A68-ABDD-D3DFC67C289D}">
  <ds:schemaRefs/>
</ds:datastoreItem>
</file>

<file path=customXml/itemProps15.xml><?xml version="1.0" encoding="utf-8"?>
<ds:datastoreItem xmlns:ds="http://schemas.openxmlformats.org/officeDocument/2006/customXml" ds:itemID="{3C490C36-455C-4AF9-864B-84C0A657AA8F}">
  <ds:schemaRefs/>
</ds:datastoreItem>
</file>

<file path=customXml/itemProps16.xml><?xml version="1.0" encoding="utf-8"?>
<ds:datastoreItem xmlns:ds="http://schemas.openxmlformats.org/officeDocument/2006/customXml" ds:itemID="{471BFB62-045B-4467-B4E1-5DE05A070DB3}">
  <ds:schemaRefs/>
</ds:datastoreItem>
</file>

<file path=customXml/itemProps17.xml><?xml version="1.0" encoding="utf-8"?>
<ds:datastoreItem xmlns:ds="http://schemas.openxmlformats.org/officeDocument/2006/customXml" ds:itemID="{F10E5837-7212-411E-BE3D-F3F480CF442B}">
  <ds:schemaRefs/>
</ds:datastoreItem>
</file>

<file path=customXml/itemProps18.xml><?xml version="1.0" encoding="utf-8"?>
<ds:datastoreItem xmlns:ds="http://schemas.openxmlformats.org/officeDocument/2006/customXml" ds:itemID="{E7E8DFD9-68A7-48F9-B073-8385AA110E29}">
  <ds:schemaRefs/>
</ds:datastoreItem>
</file>

<file path=customXml/itemProps19.xml><?xml version="1.0" encoding="utf-8"?>
<ds:datastoreItem xmlns:ds="http://schemas.openxmlformats.org/officeDocument/2006/customXml" ds:itemID="{20281E4E-5F6B-4E9B-99EF-48B7787B36D6}">
  <ds:schemaRefs/>
</ds:datastoreItem>
</file>

<file path=customXml/itemProps2.xml><?xml version="1.0" encoding="utf-8"?>
<ds:datastoreItem xmlns:ds="http://schemas.openxmlformats.org/officeDocument/2006/customXml" ds:itemID="{0A079180-1CE3-4534-8327-F6E62D379B9E}">
  <ds:schemaRefs/>
</ds:datastoreItem>
</file>

<file path=customXml/itemProps20.xml><?xml version="1.0" encoding="utf-8"?>
<ds:datastoreItem xmlns:ds="http://schemas.openxmlformats.org/officeDocument/2006/customXml" ds:itemID="{F319F145-8657-45D4-B9BF-9A0787A74390}">
  <ds:schemaRefs/>
</ds:datastoreItem>
</file>

<file path=customXml/itemProps21.xml><?xml version="1.0" encoding="utf-8"?>
<ds:datastoreItem xmlns:ds="http://schemas.openxmlformats.org/officeDocument/2006/customXml" ds:itemID="{0F922EF6-7E41-4367-855B-707A20C9366B}">
  <ds:schemaRefs/>
</ds:datastoreItem>
</file>

<file path=customXml/itemProps22.xml><?xml version="1.0" encoding="utf-8"?>
<ds:datastoreItem xmlns:ds="http://schemas.openxmlformats.org/officeDocument/2006/customXml" ds:itemID="{090F5E32-27EA-44DF-A016-138A7F909FF0}">
  <ds:schemaRefs/>
</ds:datastoreItem>
</file>

<file path=customXml/itemProps23.xml><?xml version="1.0" encoding="utf-8"?>
<ds:datastoreItem xmlns:ds="http://schemas.openxmlformats.org/officeDocument/2006/customXml" ds:itemID="{5A07FEB2-B526-4473-AACD-D746B3A63291}">
  <ds:schemaRefs/>
</ds:datastoreItem>
</file>

<file path=customXml/itemProps24.xml><?xml version="1.0" encoding="utf-8"?>
<ds:datastoreItem xmlns:ds="http://schemas.openxmlformats.org/officeDocument/2006/customXml" ds:itemID="{531B4A2E-5DDC-415A-B008-551B4ED0052D}">
  <ds:schemaRefs/>
</ds:datastoreItem>
</file>

<file path=customXml/itemProps25.xml><?xml version="1.0" encoding="utf-8"?>
<ds:datastoreItem xmlns:ds="http://schemas.openxmlformats.org/officeDocument/2006/customXml" ds:itemID="{81CD3BE4-A9A8-4B95-B221-CD1CF56EACBA}">
  <ds:schemaRefs/>
</ds:datastoreItem>
</file>

<file path=customXml/itemProps26.xml><?xml version="1.0" encoding="utf-8"?>
<ds:datastoreItem xmlns:ds="http://schemas.openxmlformats.org/officeDocument/2006/customXml" ds:itemID="{EB426FF7-F5E2-4417-A1A9-A62A1F7AB3A9}">
  <ds:schemaRefs/>
</ds:datastoreItem>
</file>

<file path=customXml/itemProps27.xml><?xml version="1.0" encoding="utf-8"?>
<ds:datastoreItem xmlns:ds="http://schemas.openxmlformats.org/officeDocument/2006/customXml" ds:itemID="{2B33C03A-96D3-446F-AEE7-348E285C2C1E}">
  <ds:schemaRefs/>
</ds:datastoreItem>
</file>

<file path=customXml/itemProps28.xml><?xml version="1.0" encoding="utf-8"?>
<ds:datastoreItem xmlns:ds="http://schemas.openxmlformats.org/officeDocument/2006/customXml" ds:itemID="{E24F3957-92EC-41D7-BF95-35BBE07618BE}">
  <ds:schemaRefs/>
</ds:datastoreItem>
</file>

<file path=customXml/itemProps29.xml><?xml version="1.0" encoding="utf-8"?>
<ds:datastoreItem xmlns:ds="http://schemas.openxmlformats.org/officeDocument/2006/customXml" ds:itemID="{F0B3476C-7836-4F74-BCE2-E34D0A5024A5}">
  <ds:schemaRefs/>
</ds:datastoreItem>
</file>

<file path=customXml/itemProps3.xml><?xml version="1.0" encoding="utf-8"?>
<ds:datastoreItem xmlns:ds="http://schemas.openxmlformats.org/officeDocument/2006/customXml" ds:itemID="{4614ABF9-FE91-4F41-9543-091980E8857E}">
  <ds:schemaRefs/>
</ds:datastoreItem>
</file>

<file path=customXml/itemProps30.xml><?xml version="1.0" encoding="utf-8"?>
<ds:datastoreItem xmlns:ds="http://schemas.openxmlformats.org/officeDocument/2006/customXml" ds:itemID="{F2239E89-5A14-429D-B669-10EEB38003DB}">
  <ds:schemaRefs/>
</ds:datastoreItem>
</file>

<file path=customXml/itemProps31.xml><?xml version="1.0" encoding="utf-8"?>
<ds:datastoreItem xmlns:ds="http://schemas.openxmlformats.org/officeDocument/2006/customXml" ds:itemID="{DE13242F-BAE2-43B7-99CE-B8FB973BC174}">
  <ds:schemaRefs/>
</ds:datastoreItem>
</file>

<file path=customXml/itemProps32.xml><?xml version="1.0" encoding="utf-8"?>
<ds:datastoreItem xmlns:ds="http://schemas.openxmlformats.org/officeDocument/2006/customXml" ds:itemID="{EB667460-00D6-499C-BAEE-7FAAE8B98967}">
  <ds:schemaRefs/>
</ds:datastoreItem>
</file>

<file path=customXml/itemProps33.xml><?xml version="1.0" encoding="utf-8"?>
<ds:datastoreItem xmlns:ds="http://schemas.openxmlformats.org/officeDocument/2006/customXml" ds:itemID="{D9B07029-0339-449A-BC5C-61ADF84C9C02}">
  <ds:schemaRefs/>
</ds:datastoreItem>
</file>

<file path=customXml/itemProps34.xml><?xml version="1.0" encoding="utf-8"?>
<ds:datastoreItem xmlns:ds="http://schemas.openxmlformats.org/officeDocument/2006/customXml" ds:itemID="{2EDBE402-5266-4473-96A3-9F616879A01B}">
  <ds:schemaRefs/>
</ds:datastoreItem>
</file>

<file path=customXml/itemProps4.xml><?xml version="1.0" encoding="utf-8"?>
<ds:datastoreItem xmlns:ds="http://schemas.openxmlformats.org/officeDocument/2006/customXml" ds:itemID="{A8EBC802-4E88-4637-A056-A14FA955CF8E}">
  <ds:schemaRefs/>
</ds:datastoreItem>
</file>

<file path=customXml/itemProps5.xml><?xml version="1.0" encoding="utf-8"?>
<ds:datastoreItem xmlns:ds="http://schemas.openxmlformats.org/officeDocument/2006/customXml" ds:itemID="{5B56475D-A129-491A-B3AE-5D226292F820}">
  <ds:schemaRefs/>
</ds:datastoreItem>
</file>

<file path=customXml/itemProps6.xml><?xml version="1.0" encoding="utf-8"?>
<ds:datastoreItem xmlns:ds="http://schemas.openxmlformats.org/officeDocument/2006/customXml" ds:itemID="{0895327C-D060-4838-922A-16BE7C62524B}">
  <ds:schemaRefs/>
</ds:datastoreItem>
</file>

<file path=customXml/itemProps7.xml><?xml version="1.0" encoding="utf-8"?>
<ds:datastoreItem xmlns:ds="http://schemas.openxmlformats.org/officeDocument/2006/customXml" ds:itemID="{945F2BFA-36D6-4347-823A-3AD41B1EC061}">
  <ds:schemaRefs/>
</ds:datastoreItem>
</file>

<file path=customXml/itemProps8.xml><?xml version="1.0" encoding="utf-8"?>
<ds:datastoreItem xmlns:ds="http://schemas.openxmlformats.org/officeDocument/2006/customXml" ds:itemID="{B5ADA20F-4B4D-4663-86E6-4A450880C7D9}">
  <ds:schemaRefs/>
</ds:datastoreItem>
</file>

<file path=customXml/itemProps9.xml><?xml version="1.0" encoding="utf-8"?>
<ds:datastoreItem xmlns:ds="http://schemas.openxmlformats.org/officeDocument/2006/customXml" ds:itemID="{301A31F1-BF3B-49ED-A2A8-B3B0233F24A6}">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9411</Words>
  <Characters>10999</Characters>
  <Lines>186</Lines>
  <Paragraphs>52</Paragraphs>
  <TotalTime>114</TotalTime>
  <ScaleCrop>false</ScaleCrop>
  <LinksUpToDate>false</LinksUpToDate>
  <CharactersWithSpaces>11260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2022-03-07T14:45:00Z</dcterms:created>
  <dc:creator>Administrator</dc:creator>
  <cp:lastModifiedBy>Administrator</cp:lastModifiedBy>
  <dcterms:modified xsi:type="dcterms:W3CDTF">2023-08-17T08:40:51Z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63D12076E565419AB2407FEC7A7B0373_12</vt:lpwstr>
  </property>
</Properties>
</file>