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 xml:space="preserve"> </w:t>
      </w: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rPr>
          <w:lang w:eastAsia="zh-CN"/>
        </w:rPr>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val="en-US" w:eastAsia="zh-CN"/>
        </w:rPr>
        <w:t>魏县文化广电和旅游局</w:t>
      </w:r>
      <w:r>
        <w:t>本级收支预算</w:t>
      </w:r>
      <w:r>
        <w:tab/>
      </w:r>
      <w:r>
        <w:rPr>
          <w:rFonts w:hint="eastAsia"/>
          <w:lang w:eastAsia="zh-CN"/>
        </w:rPr>
        <w:t>1</w:t>
      </w:r>
      <w:r>
        <w:rPr>
          <w:rFonts w:hint="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一、魏县文化广电和旅游局本级收支预算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357001魏县文化广电和旅游局本级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1208.53</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r>
              <w:t>1163.08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1208.53</w:t>
            </w:r>
          </w:p>
        </w:tc>
        <w:tc>
          <w:tcPr>
            <w:tcW w:w="4535" w:type="dxa"/>
            <w:vAlign w:val="center"/>
          </w:tcPr>
          <w:p>
            <w:pPr>
              <w:pStyle w:val="14"/>
            </w:pPr>
            <w:r>
              <w:t>本年支出合计</w:t>
            </w:r>
          </w:p>
        </w:tc>
        <w:tc>
          <w:tcPr>
            <w:tcW w:w="2126" w:type="dxa"/>
            <w:vAlign w:val="center"/>
          </w:tcPr>
          <w:p>
            <w:pPr>
              <w:pStyle w:val="15"/>
            </w:pPr>
            <w:r>
              <w:t>1208.53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1208.53</w:t>
            </w:r>
          </w:p>
        </w:tc>
        <w:tc>
          <w:tcPr>
            <w:tcW w:w="4535" w:type="dxa"/>
            <w:vAlign w:val="center"/>
          </w:tcPr>
          <w:p>
            <w:pPr>
              <w:pStyle w:val="14"/>
            </w:pPr>
            <w:r>
              <w:t>支出总计</w:t>
            </w:r>
          </w:p>
        </w:tc>
        <w:tc>
          <w:tcPr>
            <w:tcW w:w="2126" w:type="dxa"/>
            <w:vAlign w:val="center"/>
          </w:tcPr>
          <w:p>
            <w:pPr>
              <w:pStyle w:val="15"/>
            </w:pPr>
            <w:r>
              <w:t>1208.53</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357001魏县文化广电和旅游局本级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1208.53</w:t>
            </w:r>
          </w:p>
        </w:tc>
        <w:tc>
          <w:tcPr>
            <w:tcW w:w="1134" w:type="dxa"/>
            <w:vAlign w:val="center"/>
          </w:tcPr>
          <w:p>
            <w:pPr>
              <w:pStyle w:val="15"/>
            </w:pPr>
            <w:r>
              <w:t>1208.53</w:t>
            </w:r>
          </w:p>
        </w:tc>
        <w:tc>
          <w:tcPr>
            <w:tcW w:w="1134" w:type="dxa"/>
            <w:vAlign w:val="center"/>
          </w:tcPr>
          <w:p>
            <w:pPr>
              <w:pStyle w:val="15"/>
            </w:pPr>
            <w:r>
              <w:t>1208.53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3"/>
            </w:pPr>
            <w:r>
              <w:t>1163.08</w:t>
            </w:r>
          </w:p>
        </w:tc>
        <w:tc>
          <w:tcPr>
            <w:tcW w:w="1134" w:type="dxa"/>
            <w:vAlign w:val="center"/>
          </w:tcPr>
          <w:p>
            <w:pPr>
              <w:pStyle w:val="13"/>
            </w:pPr>
            <w:r>
              <w:t>1163.08</w:t>
            </w:r>
          </w:p>
        </w:tc>
        <w:tc>
          <w:tcPr>
            <w:tcW w:w="1134" w:type="dxa"/>
            <w:vAlign w:val="center"/>
          </w:tcPr>
          <w:p>
            <w:pPr>
              <w:pStyle w:val="13"/>
            </w:pPr>
            <w:r>
              <w:t>1163.08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3"/>
            </w:pPr>
            <w:r>
              <w:t>731.30</w:t>
            </w:r>
          </w:p>
        </w:tc>
        <w:tc>
          <w:tcPr>
            <w:tcW w:w="1134" w:type="dxa"/>
            <w:vAlign w:val="center"/>
          </w:tcPr>
          <w:p>
            <w:pPr>
              <w:pStyle w:val="13"/>
            </w:pPr>
            <w:r>
              <w:t>731.30</w:t>
            </w:r>
          </w:p>
        </w:tc>
        <w:tc>
          <w:tcPr>
            <w:tcW w:w="1134" w:type="dxa"/>
            <w:vAlign w:val="center"/>
          </w:tcPr>
          <w:p>
            <w:pPr>
              <w:pStyle w:val="13"/>
            </w:pPr>
            <w:r>
              <w:t>731.30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3"/>
            </w:pPr>
            <w:r>
              <w:t>178.62</w:t>
            </w:r>
          </w:p>
        </w:tc>
        <w:tc>
          <w:tcPr>
            <w:tcW w:w="1134" w:type="dxa"/>
            <w:vAlign w:val="center"/>
          </w:tcPr>
          <w:p>
            <w:pPr>
              <w:pStyle w:val="13"/>
            </w:pPr>
            <w:r>
              <w:t>178.62</w:t>
            </w:r>
          </w:p>
        </w:tc>
        <w:tc>
          <w:tcPr>
            <w:tcW w:w="1134" w:type="dxa"/>
            <w:vAlign w:val="center"/>
          </w:tcPr>
          <w:p>
            <w:pPr>
              <w:pStyle w:val="13"/>
            </w:pPr>
            <w:r>
              <w:t>178.62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2070102</w:t>
            </w:r>
          </w:p>
        </w:tc>
        <w:tc>
          <w:tcPr>
            <w:tcW w:w="1559" w:type="dxa"/>
            <w:vAlign w:val="center"/>
          </w:tcPr>
          <w:p>
            <w:pPr>
              <w:pStyle w:val="12"/>
            </w:pPr>
            <w:r>
              <w:t>一般行政管理事务</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3"/>
            </w:pPr>
            <w:r>
              <w:t>403.50</w:t>
            </w:r>
          </w:p>
        </w:tc>
        <w:tc>
          <w:tcPr>
            <w:tcW w:w="1134" w:type="dxa"/>
            <w:vAlign w:val="center"/>
          </w:tcPr>
          <w:p>
            <w:pPr>
              <w:pStyle w:val="13"/>
            </w:pPr>
            <w:r>
              <w:t>403.50</w:t>
            </w:r>
          </w:p>
        </w:tc>
        <w:tc>
          <w:tcPr>
            <w:tcW w:w="1134" w:type="dxa"/>
            <w:vAlign w:val="center"/>
          </w:tcPr>
          <w:p>
            <w:pPr>
              <w:pStyle w:val="13"/>
            </w:pPr>
            <w:r>
              <w:t>403.50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2070108</w:t>
            </w:r>
          </w:p>
        </w:tc>
        <w:tc>
          <w:tcPr>
            <w:tcW w:w="1559" w:type="dxa"/>
            <w:vAlign w:val="center"/>
          </w:tcPr>
          <w:p>
            <w:pPr>
              <w:pStyle w:val="12"/>
            </w:pPr>
            <w:r>
              <w:t>文化活动</w:t>
            </w:r>
          </w:p>
        </w:tc>
        <w:tc>
          <w:tcPr>
            <w:tcW w:w="1134" w:type="dxa"/>
            <w:vAlign w:val="center"/>
          </w:tcPr>
          <w:p>
            <w:pPr>
              <w:pStyle w:val="13"/>
            </w:pPr>
            <w:r>
              <w:t>49.50</w:t>
            </w:r>
          </w:p>
        </w:tc>
        <w:tc>
          <w:tcPr>
            <w:tcW w:w="1134" w:type="dxa"/>
            <w:vAlign w:val="center"/>
          </w:tcPr>
          <w:p>
            <w:pPr>
              <w:pStyle w:val="13"/>
            </w:pPr>
            <w:r>
              <w:t>49.50</w:t>
            </w:r>
          </w:p>
        </w:tc>
        <w:tc>
          <w:tcPr>
            <w:tcW w:w="1134" w:type="dxa"/>
            <w:vAlign w:val="center"/>
          </w:tcPr>
          <w:p>
            <w:pPr>
              <w:pStyle w:val="13"/>
            </w:pPr>
            <w:r>
              <w:t>49.50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2070113</w:t>
            </w:r>
          </w:p>
        </w:tc>
        <w:tc>
          <w:tcPr>
            <w:tcW w:w="1559" w:type="dxa"/>
            <w:vAlign w:val="center"/>
          </w:tcPr>
          <w:p>
            <w:pPr>
              <w:pStyle w:val="12"/>
            </w:pPr>
            <w:r>
              <w:t>旅游宣传</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3"/>
            </w:pPr>
            <w:r>
              <w:t>81.68</w:t>
            </w:r>
          </w:p>
        </w:tc>
        <w:tc>
          <w:tcPr>
            <w:tcW w:w="1134" w:type="dxa"/>
            <w:vAlign w:val="center"/>
          </w:tcPr>
          <w:p>
            <w:pPr>
              <w:pStyle w:val="13"/>
            </w:pPr>
            <w:r>
              <w:t>81.68</w:t>
            </w:r>
          </w:p>
        </w:tc>
        <w:tc>
          <w:tcPr>
            <w:tcW w:w="1134" w:type="dxa"/>
            <w:vAlign w:val="center"/>
          </w:tcPr>
          <w:p>
            <w:pPr>
              <w:pStyle w:val="13"/>
            </w:pPr>
            <w:r>
              <w:t>81.68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20702</w:t>
            </w:r>
          </w:p>
        </w:tc>
        <w:tc>
          <w:tcPr>
            <w:tcW w:w="1559" w:type="dxa"/>
            <w:vAlign w:val="center"/>
          </w:tcPr>
          <w:p>
            <w:pPr>
              <w:pStyle w:val="12"/>
            </w:pPr>
            <w:r>
              <w:t>文物</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2070202</w:t>
            </w:r>
          </w:p>
        </w:tc>
        <w:tc>
          <w:tcPr>
            <w:tcW w:w="1559" w:type="dxa"/>
            <w:vAlign w:val="center"/>
          </w:tcPr>
          <w:p>
            <w:pPr>
              <w:pStyle w:val="12"/>
            </w:pPr>
            <w:r>
              <w:t>一般行政管理事务</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3"/>
            </w:pPr>
            <w:r>
              <w:t>426.78</w:t>
            </w:r>
          </w:p>
        </w:tc>
        <w:tc>
          <w:tcPr>
            <w:tcW w:w="1134" w:type="dxa"/>
            <w:vAlign w:val="center"/>
          </w:tcPr>
          <w:p>
            <w:pPr>
              <w:pStyle w:val="13"/>
            </w:pPr>
            <w:r>
              <w:t>426.78</w:t>
            </w:r>
          </w:p>
        </w:tc>
        <w:tc>
          <w:tcPr>
            <w:tcW w:w="1134" w:type="dxa"/>
            <w:vAlign w:val="center"/>
          </w:tcPr>
          <w:p>
            <w:pPr>
              <w:pStyle w:val="13"/>
            </w:pPr>
            <w:r>
              <w:t>426.78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3"/>
            </w:pPr>
            <w:r>
              <w:t>426.78</w:t>
            </w:r>
          </w:p>
        </w:tc>
        <w:tc>
          <w:tcPr>
            <w:tcW w:w="1134" w:type="dxa"/>
            <w:vAlign w:val="center"/>
          </w:tcPr>
          <w:p>
            <w:pPr>
              <w:pStyle w:val="13"/>
            </w:pPr>
            <w:r>
              <w:t>426.78</w:t>
            </w:r>
          </w:p>
        </w:tc>
        <w:tc>
          <w:tcPr>
            <w:tcW w:w="1134" w:type="dxa"/>
            <w:vAlign w:val="center"/>
          </w:tcPr>
          <w:p>
            <w:pPr>
              <w:pStyle w:val="13"/>
            </w:pPr>
            <w:r>
              <w:t>426.78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37.91</w:t>
            </w:r>
          </w:p>
        </w:tc>
        <w:tc>
          <w:tcPr>
            <w:tcW w:w="1134" w:type="dxa"/>
            <w:vAlign w:val="center"/>
          </w:tcPr>
          <w:p>
            <w:pPr>
              <w:pStyle w:val="13"/>
            </w:pPr>
            <w:r>
              <w:t>37.91</w:t>
            </w:r>
          </w:p>
        </w:tc>
        <w:tc>
          <w:tcPr>
            <w:tcW w:w="1134" w:type="dxa"/>
            <w:vAlign w:val="center"/>
          </w:tcPr>
          <w:p>
            <w:pPr>
              <w:pStyle w:val="13"/>
            </w:pPr>
            <w:r>
              <w:t>37.91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37.91</w:t>
            </w:r>
          </w:p>
        </w:tc>
        <w:tc>
          <w:tcPr>
            <w:tcW w:w="1134" w:type="dxa"/>
            <w:vAlign w:val="center"/>
          </w:tcPr>
          <w:p>
            <w:pPr>
              <w:pStyle w:val="13"/>
            </w:pPr>
            <w:r>
              <w:t>37.91</w:t>
            </w:r>
          </w:p>
        </w:tc>
        <w:tc>
          <w:tcPr>
            <w:tcW w:w="1134" w:type="dxa"/>
            <w:vAlign w:val="center"/>
          </w:tcPr>
          <w:p>
            <w:pPr>
              <w:pStyle w:val="13"/>
            </w:pPr>
            <w:r>
              <w:t>37.91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3"/>
            </w:pPr>
            <w:r>
              <w:t>15.67</w:t>
            </w:r>
          </w:p>
        </w:tc>
        <w:tc>
          <w:tcPr>
            <w:tcW w:w="1134" w:type="dxa"/>
            <w:vAlign w:val="center"/>
          </w:tcPr>
          <w:p>
            <w:pPr>
              <w:pStyle w:val="13"/>
            </w:pPr>
            <w:r>
              <w:t>15.67</w:t>
            </w:r>
          </w:p>
        </w:tc>
        <w:tc>
          <w:tcPr>
            <w:tcW w:w="1134" w:type="dxa"/>
            <w:vAlign w:val="center"/>
          </w:tcPr>
          <w:p>
            <w:pPr>
              <w:pStyle w:val="13"/>
            </w:pPr>
            <w:r>
              <w:t>15.67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14.83</w:t>
            </w:r>
          </w:p>
        </w:tc>
        <w:tc>
          <w:tcPr>
            <w:tcW w:w="1134" w:type="dxa"/>
            <w:vAlign w:val="center"/>
          </w:tcPr>
          <w:p>
            <w:pPr>
              <w:pStyle w:val="13"/>
            </w:pPr>
            <w:r>
              <w:t>14.83</w:t>
            </w:r>
          </w:p>
        </w:tc>
        <w:tc>
          <w:tcPr>
            <w:tcW w:w="1134" w:type="dxa"/>
            <w:vAlign w:val="center"/>
          </w:tcPr>
          <w:p>
            <w:pPr>
              <w:pStyle w:val="13"/>
            </w:pPr>
            <w:r>
              <w:t>14.83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3"/>
            </w:pPr>
            <w:r>
              <w:t>7.41</w:t>
            </w:r>
          </w:p>
        </w:tc>
        <w:tc>
          <w:tcPr>
            <w:tcW w:w="1134" w:type="dxa"/>
            <w:vAlign w:val="center"/>
          </w:tcPr>
          <w:p>
            <w:pPr>
              <w:pStyle w:val="13"/>
            </w:pPr>
            <w:r>
              <w:t>7.41</w:t>
            </w:r>
          </w:p>
        </w:tc>
        <w:tc>
          <w:tcPr>
            <w:tcW w:w="1134" w:type="dxa"/>
            <w:vAlign w:val="center"/>
          </w:tcPr>
          <w:p>
            <w:pPr>
              <w:pStyle w:val="13"/>
            </w:pPr>
            <w:r>
              <w:t>7.41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7.54</w:t>
            </w:r>
          </w:p>
        </w:tc>
        <w:tc>
          <w:tcPr>
            <w:tcW w:w="1134" w:type="dxa"/>
            <w:vAlign w:val="center"/>
          </w:tcPr>
          <w:p>
            <w:pPr>
              <w:pStyle w:val="13"/>
            </w:pPr>
            <w:r>
              <w:t>7.54</w:t>
            </w:r>
          </w:p>
        </w:tc>
        <w:tc>
          <w:tcPr>
            <w:tcW w:w="1134" w:type="dxa"/>
            <w:vAlign w:val="center"/>
          </w:tcPr>
          <w:p>
            <w:pPr>
              <w:pStyle w:val="13"/>
            </w:pPr>
            <w:r>
              <w:t>7.54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3"/>
            </w:pPr>
            <w:r>
              <w:t>7.54</w:t>
            </w:r>
          </w:p>
        </w:tc>
        <w:tc>
          <w:tcPr>
            <w:tcW w:w="1134" w:type="dxa"/>
            <w:vAlign w:val="center"/>
          </w:tcPr>
          <w:p>
            <w:pPr>
              <w:pStyle w:val="13"/>
            </w:pPr>
            <w:r>
              <w:t>7.54</w:t>
            </w:r>
          </w:p>
        </w:tc>
        <w:tc>
          <w:tcPr>
            <w:tcW w:w="1134" w:type="dxa"/>
            <w:vAlign w:val="center"/>
          </w:tcPr>
          <w:p>
            <w:pPr>
              <w:pStyle w:val="13"/>
            </w:pPr>
            <w:r>
              <w:t>7.54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3"/>
            </w:pPr>
            <w:r>
              <w:t>7.54</w:t>
            </w:r>
          </w:p>
        </w:tc>
        <w:tc>
          <w:tcPr>
            <w:tcW w:w="1134" w:type="dxa"/>
            <w:vAlign w:val="center"/>
          </w:tcPr>
          <w:p>
            <w:pPr>
              <w:pStyle w:val="13"/>
            </w:pPr>
            <w:r>
              <w:t>7.54</w:t>
            </w:r>
          </w:p>
        </w:tc>
        <w:tc>
          <w:tcPr>
            <w:tcW w:w="1134" w:type="dxa"/>
            <w:vAlign w:val="center"/>
          </w:tcPr>
          <w:p>
            <w:pPr>
              <w:pStyle w:val="13"/>
            </w:pPr>
            <w:r>
              <w:t>7.54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357001魏县文化广电和旅游局本级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1208.53</w:t>
            </w:r>
          </w:p>
        </w:tc>
        <w:tc>
          <w:tcPr>
            <w:tcW w:w="1361" w:type="dxa"/>
            <w:vAlign w:val="center"/>
          </w:tcPr>
          <w:p>
            <w:pPr>
              <w:pStyle w:val="15"/>
            </w:pPr>
            <w:r>
              <w:t>224.07</w:t>
            </w:r>
          </w:p>
        </w:tc>
        <w:tc>
          <w:tcPr>
            <w:tcW w:w="1361" w:type="dxa"/>
            <w:vAlign w:val="center"/>
          </w:tcPr>
          <w:p>
            <w:pPr>
              <w:pStyle w:val="15"/>
            </w:pPr>
            <w:r>
              <w:t>984.46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3"/>
            </w:pPr>
            <w:r>
              <w:t>1163.08</w:t>
            </w:r>
          </w:p>
        </w:tc>
        <w:tc>
          <w:tcPr>
            <w:tcW w:w="1361" w:type="dxa"/>
            <w:vAlign w:val="center"/>
          </w:tcPr>
          <w:p>
            <w:pPr>
              <w:pStyle w:val="13"/>
            </w:pPr>
            <w:r>
              <w:t>178.62</w:t>
            </w:r>
          </w:p>
        </w:tc>
        <w:tc>
          <w:tcPr>
            <w:tcW w:w="1361" w:type="dxa"/>
            <w:vAlign w:val="center"/>
          </w:tcPr>
          <w:p>
            <w:pPr>
              <w:pStyle w:val="13"/>
            </w:pPr>
            <w:r>
              <w:t>984.46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3"/>
            </w:pPr>
            <w:r>
              <w:t>731.30</w:t>
            </w:r>
          </w:p>
        </w:tc>
        <w:tc>
          <w:tcPr>
            <w:tcW w:w="1361" w:type="dxa"/>
            <w:vAlign w:val="center"/>
          </w:tcPr>
          <w:p>
            <w:pPr>
              <w:pStyle w:val="13"/>
            </w:pPr>
            <w:r>
              <w:t>178.62</w:t>
            </w:r>
          </w:p>
        </w:tc>
        <w:tc>
          <w:tcPr>
            <w:tcW w:w="1361" w:type="dxa"/>
            <w:vAlign w:val="center"/>
          </w:tcPr>
          <w:p>
            <w:pPr>
              <w:pStyle w:val="13"/>
            </w:pPr>
            <w:r>
              <w:t>552.68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3"/>
            </w:pPr>
            <w:r>
              <w:t>178.62</w:t>
            </w:r>
          </w:p>
        </w:tc>
        <w:tc>
          <w:tcPr>
            <w:tcW w:w="1361" w:type="dxa"/>
            <w:vAlign w:val="center"/>
          </w:tcPr>
          <w:p>
            <w:pPr>
              <w:pStyle w:val="13"/>
            </w:pPr>
            <w:r>
              <w:t>178.62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2070102</w:t>
            </w:r>
          </w:p>
        </w:tc>
        <w:tc>
          <w:tcPr>
            <w:tcW w:w="4535" w:type="dxa"/>
            <w:vAlign w:val="center"/>
          </w:tcPr>
          <w:p>
            <w:pPr>
              <w:pStyle w:val="12"/>
            </w:pPr>
            <w:r>
              <w:t>一般行政管理事务</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3"/>
            </w:pPr>
            <w:r>
              <w:t>403.50</w:t>
            </w:r>
          </w:p>
        </w:tc>
        <w:tc>
          <w:tcPr>
            <w:tcW w:w="1361" w:type="dxa"/>
            <w:vAlign w:val="center"/>
          </w:tcPr>
          <w:p>
            <w:pPr>
              <w:pStyle w:val="13"/>
            </w:pPr>
          </w:p>
        </w:tc>
        <w:tc>
          <w:tcPr>
            <w:tcW w:w="1361" w:type="dxa"/>
            <w:vAlign w:val="center"/>
          </w:tcPr>
          <w:p>
            <w:pPr>
              <w:pStyle w:val="13"/>
            </w:pPr>
            <w:r>
              <w:t>403.50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2070108</w:t>
            </w:r>
          </w:p>
        </w:tc>
        <w:tc>
          <w:tcPr>
            <w:tcW w:w="4535" w:type="dxa"/>
            <w:vAlign w:val="center"/>
          </w:tcPr>
          <w:p>
            <w:pPr>
              <w:pStyle w:val="12"/>
            </w:pPr>
            <w:r>
              <w:t>文化活动</w:t>
            </w:r>
          </w:p>
        </w:tc>
        <w:tc>
          <w:tcPr>
            <w:tcW w:w="1361" w:type="dxa"/>
            <w:vAlign w:val="center"/>
          </w:tcPr>
          <w:p>
            <w:pPr>
              <w:pStyle w:val="13"/>
            </w:pPr>
            <w:r>
              <w:t>49.50</w:t>
            </w:r>
          </w:p>
        </w:tc>
        <w:tc>
          <w:tcPr>
            <w:tcW w:w="1361" w:type="dxa"/>
            <w:vAlign w:val="center"/>
          </w:tcPr>
          <w:p>
            <w:pPr>
              <w:pStyle w:val="13"/>
            </w:pPr>
          </w:p>
        </w:tc>
        <w:tc>
          <w:tcPr>
            <w:tcW w:w="1361" w:type="dxa"/>
            <w:vAlign w:val="center"/>
          </w:tcPr>
          <w:p>
            <w:pPr>
              <w:pStyle w:val="13"/>
            </w:pPr>
            <w:r>
              <w:t>49.50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2070113</w:t>
            </w:r>
          </w:p>
        </w:tc>
        <w:tc>
          <w:tcPr>
            <w:tcW w:w="4535" w:type="dxa"/>
            <w:vAlign w:val="center"/>
          </w:tcPr>
          <w:p>
            <w:pPr>
              <w:pStyle w:val="12"/>
            </w:pPr>
            <w:r>
              <w:t>旅游宣传</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3"/>
            </w:pPr>
            <w:r>
              <w:t>81.68</w:t>
            </w:r>
          </w:p>
        </w:tc>
        <w:tc>
          <w:tcPr>
            <w:tcW w:w="1361" w:type="dxa"/>
            <w:vAlign w:val="center"/>
          </w:tcPr>
          <w:p>
            <w:pPr>
              <w:pStyle w:val="13"/>
            </w:pPr>
          </w:p>
        </w:tc>
        <w:tc>
          <w:tcPr>
            <w:tcW w:w="1361" w:type="dxa"/>
            <w:vAlign w:val="center"/>
          </w:tcPr>
          <w:p>
            <w:pPr>
              <w:pStyle w:val="13"/>
            </w:pPr>
            <w:r>
              <w:t>81.68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20702</w:t>
            </w:r>
          </w:p>
        </w:tc>
        <w:tc>
          <w:tcPr>
            <w:tcW w:w="4535" w:type="dxa"/>
            <w:vAlign w:val="center"/>
          </w:tcPr>
          <w:p>
            <w:pPr>
              <w:pStyle w:val="12"/>
            </w:pPr>
            <w:r>
              <w:t>文物</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2070202</w:t>
            </w:r>
          </w:p>
        </w:tc>
        <w:tc>
          <w:tcPr>
            <w:tcW w:w="4535" w:type="dxa"/>
            <w:vAlign w:val="center"/>
          </w:tcPr>
          <w:p>
            <w:pPr>
              <w:pStyle w:val="12"/>
            </w:pPr>
            <w:r>
              <w:t>一般行政管理事务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3"/>
            </w:pPr>
            <w:r>
              <w:t>426.78</w:t>
            </w:r>
          </w:p>
        </w:tc>
        <w:tc>
          <w:tcPr>
            <w:tcW w:w="1361" w:type="dxa"/>
            <w:vAlign w:val="center"/>
          </w:tcPr>
          <w:p>
            <w:pPr>
              <w:pStyle w:val="13"/>
            </w:pPr>
          </w:p>
        </w:tc>
        <w:tc>
          <w:tcPr>
            <w:tcW w:w="1361" w:type="dxa"/>
            <w:vAlign w:val="center"/>
          </w:tcPr>
          <w:p>
            <w:pPr>
              <w:pStyle w:val="13"/>
            </w:pPr>
            <w:r>
              <w:t>426.78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3"/>
            </w:pPr>
            <w:r>
              <w:t>426.78</w:t>
            </w:r>
          </w:p>
        </w:tc>
        <w:tc>
          <w:tcPr>
            <w:tcW w:w="1361" w:type="dxa"/>
            <w:vAlign w:val="center"/>
          </w:tcPr>
          <w:p>
            <w:pPr>
              <w:pStyle w:val="13"/>
            </w:pPr>
          </w:p>
        </w:tc>
        <w:tc>
          <w:tcPr>
            <w:tcW w:w="1361" w:type="dxa"/>
            <w:vAlign w:val="center"/>
          </w:tcPr>
          <w:p>
            <w:pPr>
              <w:pStyle w:val="13"/>
            </w:pPr>
            <w:r>
              <w:t>426.78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37.91</w:t>
            </w:r>
          </w:p>
        </w:tc>
        <w:tc>
          <w:tcPr>
            <w:tcW w:w="1361" w:type="dxa"/>
            <w:vAlign w:val="center"/>
          </w:tcPr>
          <w:p>
            <w:pPr>
              <w:pStyle w:val="13"/>
            </w:pPr>
            <w:r>
              <w:t>37.91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37.91</w:t>
            </w:r>
          </w:p>
        </w:tc>
        <w:tc>
          <w:tcPr>
            <w:tcW w:w="1361" w:type="dxa"/>
            <w:vAlign w:val="center"/>
          </w:tcPr>
          <w:p>
            <w:pPr>
              <w:pStyle w:val="13"/>
            </w:pPr>
            <w:r>
              <w:t>37.91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3"/>
            </w:pPr>
            <w:r>
              <w:t>15.67</w:t>
            </w:r>
          </w:p>
        </w:tc>
        <w:tc>
          <w:tcPr>
            <w:tcW w:w="1361" w:type="dxa"/>
            <w:vAlign w:val="center"/>
          </w:tcPr>
          <w:p>
            <w:pPr>
              <w:pStyle w:val="13"/>
            </w:pPr>
            <w:r>
              <w:t>15.67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14.83</w:t>
            </w:r>
          </w:p>
        </w:tc>
        <w:tc>
          <w:tcPr>
            <w:tcW w:w="1361" w:type="dxa"/>
            <w:vAlign w:val="center"/>
          </w:tcPr>
          <w:p>
            <w:pPr>
              <w:pStyle w:val="13"/>
            </w:pPr>
            <w:r>
              <w:t>14.83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3"/>
            </w:pPr>
            <w:r>
              <w:t>7.41</w:t>
            </w:r>
          </w:p>
        </w:tc>
        <w:tc>
          <w:tcPr>
            <w:tcW w:w="1361" w:type="dxa"/>
            <w:vAlign w:val="center"/>
          </w:tcPr>
          <w:p>
            <w:pPr>
              <w:pStyle w:val="13"/>
            </w:pPr>
            <w:r>
              <w:t>7.41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7.54</w:t>
            </w:r>
          </w:p>
        </w:tc>
        <w:tc>
          <w:tcPr>
            <w:tcW w:w="1361" w:type="dxa"/>
            <w:vAlign w:val="center"/>
          </w:tcPr>
          <w:p>
            <w:pPr>
              <w:pStyle w:val="13"/>
            </w:pPr>
            <w:r>
              <w:t>7.54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3"/>
            </w:pPr>
            <w:r>
              <w:t>7.54</w:t>
            </w:r>
          </w:p>
        </w:tc>
        <w:tc>
          <w:tcPr>
            <w:tcW w:w="1361" w:type="dxa"/>
            <w:vAlign w:val="center"/>
          </w:tcPr>
          <w:p>
            <w:pPr>
              <w:pStyle w:val="13"/>
            </w:pPr>
            <w:r>
              <w:t>7.54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3"/>
            </w:pPr>
            <w:r>
              <w:t>7.54</w:t>
            </w:r>
          </w:p>
        </w:tc>
        <w:tc>
          <w:tcPr>
            <w:tcW w:w="1361" w:type="dxa"/>
            <w:vAlign w:val="center"/>
          </w:tcPr>
          <w:p>
            <w:pPr>
              <w:pStyle w:val="13"/>
            </w:pPr>
            <w:r>
              <w:t>7.54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357001魏县文化广电和旅游局本级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1208.53</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r>
              <w:t>1163.08</w:t>
            </w:r>
          </w:p>
        </w:tc>
        <w:tc>
          <w:tcPr>
            <w:tcW w:w="1474" w:type="dxa"/>
            <w:vAlign w:val="center"/>
          </w:tcPr>
          <w:p>
            <w:pPr>
              <w:pStyle w:val="13"/>
            </w:pPr>
            <w:r>
              <w:t>1163.08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37.91</w:t>
            </w:r>
          </w:p>
        </w:tc>
        <w:tc>
          <w:tcPr>
            <w:tcW w:w="1474" w:type="dxa"/>
            <w:vAlign w:val="center"/>
          </w:tcPr>
          <w:p>
            <w:pPr>
              <w:pStyle w:val="13"/>
            </w:pPr>
            <w:r>
              <w:t>37.91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7.54</w:t>
            </w:r>
          </w:p>
        </w:tc>
        <w:tc>
          <w:tcPr>
            <w:tcW w:w="1474" w:type="dxa"/>
            <w:vAlign w:val="center"/>
          </w:tcPr>
          <w:p>
            <w:pPr>
              <w:pStyle w:val="13"/>
            </w:pPr>
            <w:r>
              <w:t>7.54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1208.53</w:t>
            </w:r>
          </w:p>
        </w:tc>
        <w:tc>
          <w:tcPr>
            <w:tcW w:w="3402" w:type="dxa"/>
            <w:vAlign w:val="center"/>
          </w:tcPr>
          <w:p>
            <w:pPr>
              <w:pStyle w:val="14"/>
            </w:pPr>
            <w:r>
              <w:t>本年支出合计</w:t>
            </w:r>
          </w:p>
        </w:tc>
        <w:tc>
          <w:tcPr>
            <w:tcW w:w="1474" w:type="dxa"/>
            <w:vAlign w:val="center"/>
          </w:tcPr>
          <w:p>
            <w:pPr>
              <w:pStyle w:val="15"/>
            </w:pPr>
            <w:r>
              <w:t>1208.53</w:t>
            </w:r>
          </w:p>
        </w:tc>
        <w:tc>
          <w:tcPr>
            <w:tcW w:w="1474" w:type="dxa"/>
            <w:vAlign w:val="center"/>
          </w:tcPr>
          <w:p>
            <w:pPr>
              <w:pStyle w:val="15"/>
            </w:pPr>
            <w:r>
              <w:t>1208.53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1208.53</w:t>
            </w:r>
          </w:p>
        </w:tc>
        <w:tc>
          <w:tcPr>
            <w:tcW w:w="3402" w:type="dxa"/>
            <w:vAlign w:val="center"/>
          </w:tcPr>
          <w:p>
            <w:pPr>
              <w:pStyle w:val="14"/>
            </w:pPr>
            <w:r>
              <w:t>支出总计</w:t>
            </w:r>
          </w:p>
        </w:tc>
        <w:tc>
          <w:tcPr>
            <w:tcW w:w="1474" w:type="dxa"/>
            <w:vAlign w:val="center"/>
          </w:tcPr>
          <w:p>
            <w:pPr>
              <w:pStyle w:val="15"/>
            </w:pPr>
            <w:r>
              <w:t>1208.53</w:t>
            </w:r>
          </w:p>
        </w:tc>
        <w:tc>
          <w:tcPr>
            <w:tcW w:w="1474" w:type="dxa"/>
            <w:vAlign w:val="center"/>
          </w:tcPr>
          <w:p>
            <w:pPr>
              <w:pStyle w:val="15"/>
            </w:pPr>
            <w:r>
              <w:t>1208.53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357001魏县文化广电和旅游局本级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1208.53</w:t>
            </w:r>
          </w:p>
        </w:tc>
        <w:tc>
          <w:tcPr>
            <w:tcW w:w="2551" w:type="dxa"/>
            <w:vAlign w:val="center"/>
          </w:tcPr>
          <w:p>
            <w:pPr>
              <w:pStyle w:val="15"/>
            </w:pPr>
            <w:r>
              <w:t>224.07</w:t>
            </w:r>
          </w:p>
        </w:tc>
        <w:tc>
          <w:tcPr>
            <w:tcW w:w="2551" w:type="dxa"/>
            <w:vAlign w:val="center"/>
          </w:tcPr>
          <w:p>
            <w:pPr>
              <w:pStyle w:val="15"/>
            </w:pPr>
            <w:r>
              <w:t>984.46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3"/>
            </w:pPr>
            <w:r>
              <w:t>1163.08</w:t>
            </w:r>
          </w:p>
        </w:tc>
        <w:tc>
          <w:tcPr>
            <w:tcW w:w="2551" w:type="dxa"/>
            <w:vAlign w:val="center"/>
          </w:tcPr>
          <w:p>
            <w:pPr>
              <w:pStyle w:val="13"/>
            </w:pPr>
            <w:r>
              <w:t>178.62</w:t>
            </w:r>
          </w:p>
        </w:tc>
        <w:tc>
          <w:tcPr>
            <w:tcW w:w="2551" w:type="dxa"/>
            <w:vAlign w:val="center"/>
          </w:tcPr>
          <w:p>
            <w:pPr>
              <w:pStyle w:val="13"/>
            </w:pPr>
            <w:r>
              <w:t>984.46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3"/>
            </w:pPr>
            <w:r>
              <w:t>731.30</w:t>
            </w:r>
          </w:p>
        </w:tc>
        <w:tc>
          <w:tcPr>
            <w:tcW w:w="2551" w:type="dxa"/>
            <w:vAlign w:val="center"/>
          </w:tcPr>
          <w:p>
            <w:pPr>
              <w:pStyle w:val="13"/>
            </w:pPr>
            <w:r>
              <w:t>178.62</w:t>
            </w:r>
          </w:p>
        </w:tc>
        <w:tc>
          <w:tcPr>
            <w:tcW w:w="2551" w:type="dxa"/>
            <w:vAlign w:val="center"/>
          </w:tcPr>
          <w:p>
            <w:pPr>
              <w:pStyle w:val="13"/>
            </w:pPr>
            <w:r>
              <w:t>552.68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3"/>
            </w:pPr>
            <w:r>
              <w:t>178.62</w:t>
            </w:r>
          </w:p>
        </w:tc>
        <w:tc>
          <w:tcPr>
            <w:tcW w:w="2551" w:type="dxa"/>
            <w:vAlign w:val="center"/>
          </w:tcPr>
          <w:p>
            <w:pPr>
              <w:pStyle w:val="13"/>
            </w:pPr>
            <w:r>
              <w:t>178.62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2070102</w:t>
            </w:r>
          </w:p>
        </w:tc>
        <w:tc>
          <w:tcPr>
            <w:tcW w:w="4535" w:type="dxa"/>
            <w:vAlign w:val="center"/>
          </w:tcPr>
          <w:p>
            <w:pPr>
              <w:pStyle w:val="12"/>
            </w:pPr>
            <w:r>
              <w:t>一般行政管理事务</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3"/>
            </w:pPr>
            <w:r>
              <w:t>403.50</w:t>
            </w:r>
          </w:p>
        </w:tc>
        <w:tc>
          <w:tcPr>
            <w:tcW w:w="2551" w:type="dxa"/>
            <w:vAlign w:val="center"/>
          </w:tcPr>
          <w:p>
            <w:pPr>
              <w:pStyle w:val="13"/>
            </w:pPr>
          </w:p>
        </w:tc>
        <w:tc>
          <w:tcPr>
            <w:tcW w:w="2551" w:type="dxa"/>
            <w:vAlign w:val="center"/>
          </w:tcPr>
          <w:p>
            <w:pPr>
              <w:pStyle w:val="13"/>
            </w:pPr>
            <w:r>
              <w:t>403.50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2070108</w:t>
            </w:r>
          </w:p>
        </w:tc>
        <w:tc>
          <w:tcPr>
            <w:tcW w:w="4535" w:type="dxa"/>
            <w:vAlign w:val="center"/>
          </w:tcPr>
          <w:p>
            <w:pPr>
              <w:pStyle w:val="12"/>
            </w:pPr>
            <w:r>
              <w:t>文化活动</w:t>
            </w:r>
          </w:p>
        </w:tc>
        <w:tc>
          <w:tcPr>
            <w:tcW w:w="2551" w:type="dxa"/>
            <w:vAlign w:val="center"/>
          </w:tcPr>
          <w:p>
            <w:pPr>
              <w:pStyle w:val="13"/>
            </w:pPr>
            <w:r>
              <w:t>49.50</w:t>
            </w:r>
          </w:p>
        </w:tc>
        <w:tc>
          <w:tcPr>
            <w:tcW w:w="2551" w:type="dxa"/>
            <w:vAlign w:val="center"/>
          </w:tcPr>
          <w:p>
            <w:pPr>
              <w:pStyle w:val="13"/>
            </w:pPr>
          </w:p>
        </w:tc>
        <w:tc>
          <w:tcPr>
            <w:tcW w:w="2551" w:type="dxa"/>
            <w:vAlign w:val="center"/>
          </w:tcPr>
          <w:p>
            <w:pPr>
              <w:pStyle w:val="13"/>
            </w:pPr>
            <w:r>
              <w:t>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2070113</w:t>
            </w:r>
          </w:p>
        </w:tc>
        <w:tc>
          <w:tcPr>
            <w:tcW w:w="4535" w:type="dxa"/>
            <w:vAlign w:val="center"/>
          </w:tcPr>
          <w:p>
            <w:pPr>
              <w:pStyle w:val="12"/>
            </w:pPr>
            <w:r>
              <w:t>旅游宣传</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3"/>
            </w:pPr>
            <w:r>
              <w:t>81.68</w:t>
            </w:r>
          </w:p>
        </w:tc>
        <w:tc>
          <w:tcPr>
            <w:tcW w:w="2551" w:type="dxa"/>
            <w:vAlign w:val="center"/>
          </w:tcPr>
          <w:p>
            <w:pPr>
              <w:pStyle w:val="13"/>
            </w:pPr>
          </w:p>
        </w:tc>
        <w:tc>
          <w:tcPr>
            <w:tcW w:w="2551" w:type="dxa"/>
            <w:vAlign w:val="center"/>
          </w:tcPr>
          <w:p>
            <w:pPr>
              <w:pStyle w:val="13"/>
            </w:pPr>
            <w:r>
              <w:t>81.68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20702</w:t>
            </w:r>
          </w:p>
        </w:tc>
        <w:tc>
          <w:tcPr>
            <w:tcW w:w="4535" w:type="dxa"/>
            <w:vAlign w:val="center"/>
          </w:tcPr>
          <w:p>
            <w:pPr>
              <w:pStyle w:val="12"/>
            </w:pPr>
            <w:r>
              <w:t>文物</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2070202</w:t>
            </w:r>
          </w:p>
        </w:tc>
        <w:tc>
          <w:tcPr>
            <w:tcW w:w="4535" w:type="dxa"/>
            <w:vAlign w:val="center"/>
          </w:tcPr>
          <w:p>
            <w:pPr>
              <w:pStyle w:val="12"/>
            </w:pPr>
            <w:r>
              <w:t>一般行政管理事务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3"/>
            </w:pPr>
            <w:r>
              <w:t>426.78</w:t>
            </w:r>
          </w:p>
        </w:tc>
        <w:tc>
          <w:tcPr>
            <w:tcW w:w="2551" w:type="dxa"/>
            <w:vAlign w:val="center"/>
          </w:tcPr>
          <w:p>
            <w:pPr>
              <w:pStyle w:val="13"/>
            </w:pPr>
          </w:p>
        </w:tc>
        <w:tc>
          <w:tcPr>
            <w:tcW w:w="2551" w:type="dxa"/>
            <w:vAlign w:val="center"/>
          </w:tcPr>
          <w:p>
            <w:pPr>
              <w:pStyle w:val="13"/>
            </w:pPr>
            <w:r>
              <w:t>426.78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3"/>
            </w:pPr>
            <w:r>
              <w:t>426.78</w:t>
            </w:r>
          </w:p>
        </w:tc>
        <w:tc>
          <w:tcPr>
            <w:tcW w:w="2551" w:type="dxa"/>
            <w:vAlign w:val="center"/>
          </w:tcPr>
          <w:p>
            <w:pPr>
              <w:pStyle w:val="13"/>
            </w:pPr>
          </w:p>
        </w:tc>
        <w:tc>
          <w:tcPr>
            <w:tcW w:w="2551" w:type="dxa"/>
            <w:vAlign w:val="center"/>
          </w:tcPr>
          <w:p>
            <w:pPr>
              <w:pStyle w:val="13"/>
            </w:pPr>
            <w:r>
              <w:t>426.78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37.91</w:t>
            </w:r>
          </w:p>
        </w:tc>
        <w:tc>
          <w:tcPr>
            <w:tcW w:w="2551" w:type="dxa"/>
            <w:vAlign w:val="center"/>
          </w:tcPr>
          <w:p>
            <w:pPr>
              <w:pStyle w:val="13"/>
            </w:pPr>
            <w:r>
              <w:t>37.91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37.91</w:t>
            </w:r>
          </w:p>
        </w:tc>
        <w:tc>
          <w:tcPr>
            <w:tcW w:w="2551" w:type="dxa"/>
            <w:vAlign w:val="center"/>
          </w:tcPr>
          <w:p>
            <w:pPr>
              <w:pStyle w:val="13"/>
            </w:pPr>
            <w:r>
              <w:t>37.91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3"/>
            </w:pPr>
            <w:r>
              <w:t>15.67</w:t>
            </w:r>
          </w:p>
        </w:tc>
        <w:tc>
          <w:tcPr>
            <w:tcW w:w="2551" w:type="dxa"/>
            <w:vAlign w:val="center"/>
          </w:tcPr>
          <w:p>
            <w:pPr>
              <w:pStyle w:val="13"/>
            </w:pPr>
            <w:r>
              <w:t>15.67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14.83</w:t>
            </w:r>
          </w:p>
        </w:tc>
        <w:tc>
          <w:tcPr>
            <w:tcW w:w="2551" w:type="dxa"/>
            <w:vAlign w:val="center"/>
          </w:tcPr>
          <w:p>
            <w:pPr>
              <w:pStyle w:val="13"/>
            </w:pPr>
            <w:r>
              <w:t>14.83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3"/>
            </w:pPr>
            <w:r>
              <w:t>7.41</w:t>
            </w:r>
          </w:p>
        </w:tc>
        <w:tc>
          <w:tcPr>
            <w:tcW w:w="2551" w:type="dxa"/>
            <w:vAlign w:val="center"/>
          </w:tcPr>
          <w:p>
            <w:pPr>
              <w:pStyle w:val="13"/>
            </w:pPr>
            <w:r>
              <w:t>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7.54</w:t>
            </w:r>
          </w:p>
        </w:tc>
        <w:tc>
          <w:tcPr>
            <w:tcW w:w="2551" w:type="dxa"/>
            <w:vAlign w:val="center"/>
          </w:tcPr>
          <w:p>
            <w:pPr>
              <w:pStyle w:val="13"/>
            </w:pPr>
            <w:r>
              <w:t>7.54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3"/>
            </w:pPr>
            <w:r>
              <w:t>7.54</w:t>
            </w:r>
          </w:p>
        </w:tc>
        <w:tc>
          <w:tcPr>
            <w:tcW w:w="2551" w:type="dxa"/>
            <w:vAlign w:val="center"/>
          </w:tcPr>
          <w:p>
            <w:pPr>
              <w:pStyle w:val="13"/>
            </w:pPr>
            <w:r>
              <w:t>7.54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3"/>
            </w:pPr>
            <w:r>
              <w:t>7.54</w:t>
            </w:r>
          </w:p>
        </w:tc>
        <w:tc>
          <w:tcPr>
            <w:tcW w:w="2551" w:type="dxa"/>
            <w:vAlign w:val="center"/>
          </w:tcPr>
          <w:p>
            <w:pPr>
              <w:pStyle w:val="13"/>
            </w:pPr>
            <w:r>
              <w:t>7.54</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357001魏县文化广电和旅游局本级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224.07</w:t>
            </w:r>
          </w:p>
        </w:tc>
        <w:tc>
          <w:tcPr>
            <w:tcW w:w="2551" w:type="dxa"/>
            <w:vAlign w:val="center"/>
          </w:tcPr>
          <w:p>
            <w:pPr>
              <w:pStyle w:val="15"/>
            </w:pPr>
            <w:r>
              <w:t>204.71</w:t>
            </w:r>
          </w:p>
        </w:tc>
        <w:tc>
          <w:tcPr>
            <w:tcW w:w="2551" w:type="dxa"/>
            <w:vAlign w:val="center"/>
          </w:tcPr>
          <w:p>
            <w:pPr>
              <w:pStyle w:val="15"/>
            </w:pPr>
            <w:r>
              <w:t>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189.05</w:t>
            </w:r>
          </w:p>
        </w:tc>
        <w:tc>
          <w:tcPr>
            <w:tcW w:w="2551" w:type="dxa"/>
            <w:vAlign w:val="center"/>
          </w:tcPr>
          <w:p>
            <w:pPr>
              <w:pStyle w:val="13"/>
            </w:pPr>
            <w:r>
              <w:t>189.05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99.15</w:t>
            </w:r>
          </w:p>
        </w:tc>
        <w:tc>
          <w:tcPr>
            <w:tcW w:w="2551" w:type="dxa"/>
            <w:vAlign w:val="center"/>
          </w:tcPr>
          <w:p>
            <w:pPr>
              <w:pStyle w:val="13"/>
            </w:pPr>
            <w:r>
              <w:t>99.15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6.53</w:t>
            </w:r>
          </w:p>
        </w:tc>
        <w:tc>
          <w:tcPr>
            <w:tcW w:w="2551" w:type="dxa"/>
            <w:vAlign w:val="center"/>
          </w:tcPr>
          <w:p>
            <w:pPr>
              <w:pStyle w:val="13"/>
            </w:pPr>
            <w:r>
              <w:t>6.53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3.28</w:t>
            </w:r>
          </w:p>
        </w:tc>
        <w:tc>
          <w:tcPr>
            <w:tcW w:w="2551" w:type="dxa"/>
            <w:vAlign w:val="center"/>
          </w:tcPr>
          <w:p>
            <w:pPr>
              <w:pStyle w:val="13"/>
            </w:pPr>
            <w:r>
              <w:t>3.28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14.83</w:t>
            </w:r>
          </w:p>
        </w:tc>
        <w:tc>
          <w:tcPr>
            <w:tcW w:w="2551" w:type="dxa"/>
            <w:vAlign w:val="center"/>
          </w:tcPr>
          <w:p>
            <w:pPr>
              <w:pStyle w:val="13"/>
            </w:pPr>
            <w:r>
              <w:t>14.83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7.41</w:t>
            </w:r>
          </w:p>
        </w:tc>
        <w:tc>
          <w:tcPr>
            <w:tcW w:w="2551" w:type="dxa"/>
            <w:vAlign w:val="center"/>
          </w:tcPr>
          <w:p>
            <w:pPr>
              <w:pStyle w:val="13"/>
            </w:pPr>
            <w:r>
              <w:t>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7.54</w:t>
            </w:r>
          </w:p>
        </w:tc>
        <w:tc>
          <w:tcPr>
            <w:tcW w:w="2551" w:type="dxa"/>
            <w:vAlign w:val="center"/>
          </w:tcPr>
          <w:p>
            <w:pPr>
              <w:pStyle w:val="13"/>
            </w:pPr>
            <w:r>
              <w:t>7.54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46.98</w:t>
            </w:r>
          </w:p>
        </w:tc>
        <w:tc>
          <w:tcPr>
            <w:tcW w:w="2551" w:type="dxa"/>
            <w:vAlign w:val="center"/>
          </w:tcPr>
          <w:p>
            <w:pPr>
              <w:pStyle w:val="13"/>
            </w:pPr>
            <w:r>
              <w:t>46.98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17.36</w:t>
            </w:r>
          </w:p>
        </w:tc>
        <w:tc>
          <w:tcPr>
            <w:tcW w:w="2551" w:type="dxa"/>
            <w:vAlign w:val="center"/>
          </w:tcPr>
          <w:p>
            <w:pPr>
              <w:pStyle w:val="13"/>
            </w:pPr>
          </w:p>
        </w:tc>
        <w:tc>
          <w:tcPr>
            <w:tcW w:w="2551" w:type="dxa"/>
            <w:vAlign w:val="center"/>
          </w:tcPr>
          <w:p>
            <w:pPr>
              <w:pStyle w:val="13"/>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r>
              <w:t>3.06</w:t>
            </w:r>
          </w:p>
        </w:tc>
        <w:tc>
          <w:tcPr>
            <w:tcW w:w="2551" w:type="dxa"/>
            <w:vAlign w:val="center"/>
          </w:tcPr>
          <w:p>
            <w:pPr>
              <w:pStyle w:val="13"/>
            </w:pPr>
          </w:p>
        </w:tc>
        <w:tc>
          <w:tcPr>
            <w:tcW w:w="2551"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6.36</w:t>
            </w:r>
          </w:p>
        </w:tc>
        <w:tc>
          <w:tcPr>
            <w:tcW w:w="2551" w:type="dxa"/>
            <w:vAlign w:val="center"/>
          </w:tcPr>
          <w:p>
            <w:pPr>
              <w:pStyle w:val="13"/>
            </w:pPr>
          </w:p>
        </w:tc>
        <w:tc>
          <w:tcPr>
            <w:tcW w:w="2551" w:type="dxa"/>
            <w:vAlign w:val="center"/>
          </w:tcPr>
          <w:p>
            <w:pPr>
              <w:pStyle w:val="13"/>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15.67</w:t>
            </w:r>
          </w:p>
        </w:tc>
        <w:tc>
          <w:tcPr>
            <w:tcW w:w="2551" w:type="dxa"/>
            <w:vAlign w:val="center"/>
          </w:tcPr>
          <w:p>
            <w:pPr>
              <w:pStyle w:val="13"/>
            </w:pPr>
            <w:r>
              <w:t>15.67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15.67</w:t>
            </w:r>
          </w:p>
        </w:tc>
        <w:tc>
          <w:tcPr>
            <w:tcW w:w="2551" w:type="dxa"/>
            <w:vAlign w:val="center"/>
          </w:tcPr>
          <w:p>
            <w:pPr>
              <w:pStyle w:val="13"/>
            </w:pPr>
            <w:r>
              <w:t>15.67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357001魏县文化广电和旅游局本级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357001魏县文化广电和旅游局本级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357001魏县文化广电和旅游局本级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4"/>
            </w:pPr>
            <w:r>
              <w:t>合计</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2"/>
            </w:pPr>
            <w:r>
              <w:t>“三公”经费小计</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2"/>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2"/>
            </w:pPr>
            <w:r>
              <w:t xml:space="preserve">    其中：教学科研人员因公出国（境）</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2"/>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2"/>
            </w:pPr>
            <w:r>
              <w:t>二、公务用车购置及运维费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2"/>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2"/>
            </w:pPr>
            <w:r>
              <w:t xml:space="preserve">          公务用车运行维护费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2"/>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魏县文化广电和旅游局本级2023年单位预算信息公开情况说明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按照《预算法》、《地方预决算公开操作规程》和《关于进一步推进预算公开工作的实施意见》规定，现将魏县文化广电和旅游局本级2023年单位预算公开如下：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贯彻落实党中央和省委、市委、县委关于文化、创作、广播电视和旅游工作的方针政策和决策部署，坚持和加强党对文化、广播电视和旅游工作的集中统一领导。主要职责是：</w:t>
      </w:r>
    </w:p>
    <w:p>
      <w:pPr>
        <w:pStyle w:val="17"/>
      </w:pPr>
      <w:r>
        <w:t>（一）贯彻执行国家和省、市文化、广播电视、网络视听节目和旅游工作方针政策和决策部署。研究拟订全县文化、广播电视、网络视听节目和旅游政策措施。</w:t>
      </w:r>
    </w:p>
    <w:p>
      <w:pPr>
        <w:pStyle w:val="17"/>
      </w:pPr>
      <w:r>
        <w:t>（二）拟订全县文化事业、文化产业、广播电视领域和旅游业发展规划并组织实施，推进文化、广播电视和旅游融合发展，推进文化、广播电视和旅游体制机制改革。</w:t>
      </w:r>
    </w:p>
    <w:p>
      <w:pPr>
        <w:pStyle w:val="17"/>
      </w:pPr>
      <w:r>
        <w:t>（三）管理和组织全县性重大文化、广播电视和旅游活动，组织实施全县公共服务重大工程。指导全县重点文化、广播电视和旅游设施建设，组织魏县文化和旅游整体形象推广，促进对外合作和国际市场推广，制定全县旅游场开发营销战略并组织实施，指导、组织推进全域旅游。</w:t>
      </w:r>
    </w:p>
    <w:p>
      <w:pPr>
        <w:pStyle w:val="17"/>
      </w:pPr>
      <w:r>
        <w:t>（四）指导、管理全县文艺事业。指导艺术创作生产，扶持体现社会主义核心价值观、具有导向性代表性示范性的文艺作品，推动全县各门类艺术、各艺术品种发展。指导全县电视剧行业发展和电视剧创作生产。</w:t>
      </w:r>
    </w:p>
    <w:p>
      <w:pPr>
        <w:pStyle w:val="17"/>
      </w:pPr>
      <w:r>
        <w:t>（五）负责全县文化、广播电视和旅游事业发展。推动全县文化、广播电视和旅游公共服务体系建设，深入实施文化惠民工程，统筹推进全县文化、广播电视和旅游服务标准化、均等化。负责全县文化、广播电视和旅游统计工作。</w:t>
      </w:r>
    </w:p>
    <w:p>
      <w:pPr>
        <w:pStyle w:val="17"/>
      </w:pPr>
      <w:r>
        <w:t>（六）指导、推进全县文化、广播电视和旅游科技创新发展，推进文化、广播电视和旅游行业信息化、标准化建设。</w:t>
      </w:r>
    </w:p>
    <w:p>
      <w:pPr>
        <w:pStyle w:val="17"/>
      </w:pPr>
      <w:r>
        <w:t>（七）负责对全县各类广播电视机构进行业务指导和监管，会同有关部门对全县网络视听节目服务机构进行管理，推进广播电视与新媒体新技术新业态融合发展，推进广电网、电信网、互联网三网融合。负责对广播电视节目传输覆盖、监听、监看、监测的监管，指导、监管全县广播电视广告播放；推进全县应急广播体系建设，监管协调调度全县广播电视安全播出。</w:t>
      </w:r>
    </w:p>
    <w:p>
      <w:pPr>
        <w:pStyle w:val="17"/>
      </w:pPr>
      <w:r>
        <w:t>（八）负责全县非物质文化遗产保护，推动非物质文化遗产的保护、传承、普及、弘扬和振兴。</w:t>
      </w:r>
    </w:p>
    <w:p>
      <w:pPr>
        <w:pStyle w:val="17"/>
      </w:pPr>
      <w:r>
        <w:t>（九）统筹规划全县文化产业、广播电视产业和旅游产业。组织实施文化和旅游资源普查、挖掘、保护和开发利用工作，促进文化产业、广播电视产业和旅游产业发展。</w:t>
      </w:r>
    </w:p>
    <w:p>
      <w:pPr>
        <w:pStyle w:val="17"/>
      </w:pPr>
      <w:r>
        <w:t>（十）指导全县文化、广播电视和旅游市场发展。对文化、广播电视和旅游市场经营进行行业监管，推进全县文化、广播电视和旅游行业信用体系建设，依法规范文化、广播电视和旅游市场。</w:t>
      </w:r>
    </w:p>
    <w:p>
      <w:pPr>
        <w:pStyle w:val="17"/>
      </w:pPr>
      <w:r>
        <w:t>（十一）指导、监督全县文化、文物、出版、广播电视、电影、旅游等市场综合执法。督查督办全县性、跨区域性大案要案，维护市场秩序。</w:t>
      </w:r>
    </w:p>
    <w:p>
      <w:pPr>
        <w:pStyle w:val="17"/>
      </w:pPr>
      <w:r>
        <w:t>（十二）组织协调文化遗产的管理和保护，指导和管理文物、博物馆事业，组织指导文物的保护抢救、考古发掘和开发利用工作。</w:t>
      </w:r>
    </w:p>
    <w:p>
      <w:pPr>
        <w:pStyle w:val="17"/>
      </w:pPr>
      <w:r>
        <w:t>（十三）承担全县文化、广播电视和旅游行业安全综合协调和监督管理工作，协调全县文化、广播电视和旅游行业突发应急事件的处理工作。</w:t>
      </w:r>
    </w:p>
    <w:p>
      <w:pPr>
        <w:pStyle w:val="17"/>
      </w:pPr>
      <w:r>
        <w:t>（十四）指导、管理全县文化、广播电视和旅游对外及对港澳台交流、合作和宣传、推广工作。代表县政府签订对外文化、广播电视和旅游合作交流协定，组织大型文化、广播电视和旅游对外及对港澳台交流活动，推动中华文化和魏县特色文化走出去。负责全县广播电视节目的进口、收录和管理。</w:t>
      </w:r>
    </w:p>
    <w:p>
      <w:pPr>
        <w:pStyle w:val="17"/>
      </w:pPr>
      <w:r>
        <w:t>（十五）指导、协调广播电视全县性重大宣传活动及广播电视创新创优工作。</w:t>
      </w:r>
    </w:p>
    <w:p>
      <w:pPr>
        <w:pStyle w:val="17"/>
      </w:pPr>
      <w:r>
        <w:t>（十六）指导全县文化、广播电视、网络视听和旅游行业人才队伍建设。</w:t>
      </w:r>
    </w:p>
    <w:p>
      <w:pPr>
        <w:pStyle w:val="17"/>
      </w:pPr>
      <w:r>
        <w:t>（十七）完成县委、县政府交办的其他任务。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魏县文化广电和旅游局本级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1120" w:firstLineChars="350"/>
        <w:outlineLvl w:val="5"/>
      </w:pPr>
      <w:r>
        <w:rPr>
          <w:rFonts w:ascii="黑体" w:hAnsi="黑体" w:eastAsia="黑体" w:cs="黑体"/>
          <w:color w:val="000000"/>
          <w:sz w:val="32"/>
        </w:rPr>
        <w:t>二、单位预算安排的总体情况</w:t>
      </w:r>
    </w:p>
    <w:p>
      <w:pPr>
        <w:spacing w:line="500" w:lineRule="exact"/>
        <w:ind w:firstLine="1120" w:firstLineChars="400"/>
      </w:pPr>
      <w:r>
        <w:rPr>
          <w:rFonts w:eastAsia="方正仿宋_GBK" w:cs="Times New Roman"/>
          <w:color w:val="000000"/>
          <w:sz w:val="28"/>
        </w:rPr>
        <w:t>按照预算管理有关规定，目前我</w:t>
      </w:r>
      <w:r>
        <w:rPr>
          <w:rFonts w:hint="eastAsia" w:cs="Times New Roman" w:eastAsiaTheme="minorEastAsia"/>
          <w:color w:val="000000"/>
          <w:sz w:val="28"/>
          <w:lang w:eastAsia="zh-CN"/>
        </w:rPr>
        <w:t>县</w:t>
      </w:r>
      <w:r>
        <w:rPr>
          <w:rFonts w:eastAsia="方正仿宋_GBK" w:cs="Times New Roman"/>
          <w:color w:val="000000"/>
          <w:sz w:val="28"/>
        </w:rPr>
        <w:t>单位预算的编制实行综合预算管理，即全部收入和支出都反映在预算中。</w:t>
      </w:r>
    </w:p>
    <w:p>
      <w:pPr>
        <w:pStyle w:val="18"/>
      </w:pPr>
      <w:r>
        <w:t>魏县文化广电和旅游局机关及所属事业单位的收支包含在部门预算中。</w:t>
      </w:r>
    </w:p>
    <w:p>
      <w:pPr>
        <w:pStyle w:val="18"/>
      </w:pPr>
      <w:r>
        <w:t>收入说明：2023年收入预算共计1208.53万元，全部为财政拨款收入。</w:t>
      </w:r>
    </w:p>
    <w:p>
      <w:pPr>
        <w:pStyle w:val="18"/>
        <w:ind w:firstLineChars="200"/>
      </w:pPr>
      <w:r>
        <w:t>支出说明：2023年支出预算共计1208.53万元；</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 xml:space="preserve">    </w:t>
      </w:r>
      <w:r>
        <w:rPr>
          <w:rFonts w:eastAsia="方正仿宋_GBK" w:cs="Times New Roman"/>
          <w:color w:val="000000"/>
          <w:sz w:val="28"/>
        </w:rPr>
        <w:t>1、基本支出：</w:t>
      </w:r>
      <w:r>
        <w:rPr>
          <w:rFonts w:hint="eastAsia" w:eastAsia="方正仿宋_GBK" w:cs="Times New Roman"/>
          <w:color w:val="000000"/>
          <w:sz w:val="28"/>
          <w:lang w:eastAsia="zh-CN"/>
        </w:rPr>
        <w:t>224.07</w:t>
      </w:r>
      <w:r>
        <w:rPr>
          <w:rFonts w:eastAsia="方正仿宋_GBK" w:cs="Times New Roman"/>
          <w:color w:val="000000"/>
          <w:sz w:val="28"/>
        </w:rPr>
        <w:t>万元：人员支出</w:t>
      </w:r>
      <w:r>
        <w:rPr>
          <w:rFonts w:hint="eastAsia" w:eastAsia="方正仿宋_GBK" w:cs="Times New Roman"/>
          <w:color w:val="000000"/>
          <w:sz w:val="28"/>
          <w:lang w:eastAsia="zh-CN"/>
        </w:rPr>
        <w:t>204.71</w:t>
      </w:r>
      <w:r>
        <w:rPr>
          <w:rFonts w:eastAsia="方正仿宋_GBK" w:cs="Times New Roman"/>
          <w:color w:val="000000"/>
          <w:sz w:val="28"/>
        </w:rPr>
        <w:t>万元；公用支出：</w:t>
      </w:r>
      <w:r>
        <w:rPr>
          <w:rFonts w:hint="eastAsia" w:eastAsia="方正仿宋_GBK" w:cs="Times New Roman"/>
          <w:color w:val="000000"/>
          <w:sz w:val="28"/>
          <w:lang w:eastAsia="zh-CN"/>
        </w:rPr>
        <w:t>19.36</w:t>
      </w:r>
      <w:r>
        <w:rPr>
          <w:rFonts w:eastAsia="方正仿宋_GBK" w:cs="Times New Roman"/>
          <w:color w:val="000000"/>
          <w:sz w:val="28"/>
        </w:rPr>
        <w:t>万元。</w:t>
      </w:r>
    </w:p>
    <w:p>
      <w:pPr>
        <w:numPr>
          <w:ilvl w:val="0"/>
          <w:numId w:val="1"/>
        </w:numPr>
        <w:spacing w:line="500" w:lineRule="exact"/>
        <w:ind w:left="915" w:leftChars="348" w:hanging="184" w:hangingChars="66"/>
        <w:rPr>
          <w:rFonts w:eastAsia="方正仿宋_GBK" w:cs="Times New Roman"/>
          <w:color w:val="000000"/>
          <w:sz w:val="28"/>
        </w:rPr>
      </w:pPr>
      <w:r>
        <w:rPr>
          <w:rFonts w:eastAsia="方正仿宋_GBK" w:cs="Times New Roman"/>
          <w:color w:val="000000"/>
          <w:sz w:val="28"/>
        </w:rPr>
        <w:t>项目支出：</w:t>
      </w:r>
      <w:r>
        <w:rPr>
          <w:rFonts w:hint="eastAsia" w:eastAsia="方正仿宋_GBK" w:cs="Times New Roman"/>
          <w:color w:val="000000"/>
          <w:sz w:val="28"/>
          <w:lang w:eastAsia="zh-CN"/>
        </w:rPr>
        <w:t>984.46</w:t>
      </w:r>
      <w:r>
        <w:rPr>
          <w:rFonts w:eastAsia="方正仿宋_GBK" w:cs="Times New Roman"/>
          <w:color w:val="000000"/>
          <w:sz w:val="28"/>
        </w:rPr>
        <w:t>万元。</w:t>
      </w:r>
    </w:p>
    <w:p>
      <w:pPr>
        <w:spacing w:line="500" w:lineRule="exact"/>
        <w:ind w:firstLine="840" w:firstLineChars="300"/>
        <w:rPr>
          <w:rFonts w:eastAsia="方正仿宋_GBK" w:cs="Times New Roman"/>
          <w:color w:val="000000"/>
          <w:sz w:val="28"/>
        </w:rPr>
      </w:pPr>
      <w:r>
        <w:rPr>
          <w:rFonts w:eastAsia="方正仿宋_GBK" w:cs="Times New Roman"/>
          <w:color w:val="000000"/>
          <w:sz w:val="28"/>
        </w:rPr>
        <w:t>比上年增减情况</w:t>
      </w:r>
      <w:r>
        <w:rPr>
          <w:rFonts w:hint="eastAsia" w:eastAsia="方正仿宋_GBK" w:cs="Times New Roman"/>
          <w:color w:val="000000"/>
          <w:sz w:val="28"/>
          <w:lang w:eastAsia="zh-CN"/>
        </w:rPr>
        <w:t>：</w:t>
      </w:r>
      <w:r>
        <w:rPr>
          <w:rFonts w:eastAsia="方正仿宋_GBK" w:cs="Times New Roman"/>
          <w:color w:val="000000"/>
          <w:sz w:val="28"/>
        </w:rPr>
        <w:t>经过对比测算2023年财政拨款预算比2022年增加299.88万元，主要是项目资金增加</w:t>
      </w:r>
      <w:r>
        <w:rPr>
          <w:rFonts w:hint="eastAsia" w:eastAsia="方正仿宋_GBK" w:cs="Times New Roman"/>
          <w:color w:val="000000"/>
          <w:sz w:val="28"/>
          <w:lang w:eastAsia="zh-CN"/>
        </w:rPr>
        <w:t>245.09</w:t>
      </w:r>
      <w:r>
        <w:rPr>
          <w:rFonts w:eastAsia="方正仿宋_GBK" w:cs="Times New Roman"/>
          <w:color w:val="000000"/>
          <w:sz w:val="28"/>
        </w:rPr>
        <w:t>万元；人员经费增加</w:t>
      </w:r>
      <w:r>
        <w:rPr>
          <w:rFonts w:hint="eastAsia" w:eastAsia="方正仿宋_GBK" w:cs="Times New Roman"/>
          <w:color w:val="000000"/>
          <w:sz w:val="28"/>
          <w:lang w:val="en-US" w:eastAsia="zh-CN"/>
        </w:rPr>
        <w:t>56.45</w:t>
      </w:r>
      <w:r>
        <w:rPr>
          <w:rFonts w:eastAsia="方正仿宋_GBK" w:cs="Times New Roman"/>
          <w:color w:val="000000"/>
          <w:sz w:val="28"/>
        </w:rPr>
        <w:t>万元，主要原因是</w:t>
      </w:r>
      <w:r>
        <w:rPr>
          <w:rFonts w:hint="eastAsia" w:eastAsia="方正仿宋_GBK" w:cs="Times New Roman"/>
          <w:color w:val="000000"/>
          <w:sz w:val="28"/>
          <w:lang w:eastAsia="zh-CN"/>
        </w:rPr>
        <w:t>人员增加、</w:t>
      </w:r>
      <w:r>
        <w:rPr>
          <w:rFonts w:eastAsia="方正仿宋_GBK" w:cs="Times New Roman"/>
          <w:color w:val="000000"/>
          <w:sz w:val="28"/>
        </w:rPr>
        <w:t>工资</w:t>
      </w:r>
      <w:bookmarkStart w:id="1" w:name="_GoBack"/>
      <w:bookmarkEnd w:id="1"/>
      <w:r>
        <w:rPr>
          <w:rFonts w:eastAsia="方正仿宋_GBK" w:cs="Times New Roman"/>
          <w:color w:val="000000"/>
          <w:sz w:val="28"/>
        </w:rPr>
        <w:t>调整</w:t>
      </w:r>
      <w:r>
        <w:rPr>
          <w:rFonts w:hint="eastAsia" w:eastAsia="方正仿宋_GBK" w:cs="Times New Roman"/>
          <w:color w:val="000000"/>
          <w:sz w:val="28"/>
          <w:lang w:eastAsia="zh-CN"/>
        </w:rPr>
        <w:t>等</w:t>
      </w:r>
      <w:r>
        <w:rPr>
          <w:rFonts w:eastAsia="方正仿宋_GBK" w:cs="Times New Roman"/>
          <w:color w:val="000000"/>
          <w:sz w:val="28"/>
        </w:rPr>
        <w:t>；日常</w:t>
      </w:r>
      <w:r>
        <w:rPr>
          <w:rFonts w:hint="eastAsia" w:eastAsia="方正仿宋_GBK" w:cs="Times New Roman"/>
          <w:color w:val="000000"/>
          <w:sz w:val="28"/>
          <w:lang w:eastAsia="zh-CN"/>
        </w:rPr>
        <w:t>公用</w:t>
      </w:r>
      <w:r>
        <w:rPr>
          <w:rFonts w:eastAsia="方正仿宋_GBK" w:cs="Times New Roman"/>
          <w:color w:val="000000"/>
          <w:sz w:val="28"/>
        </w:rPr>
        <w:t>经费</w:t>
      </w:r>
      <w:r>
        <w:rPr>
          <w:rFonts w:hint="eastAsia" w:eastAsia="方正仿宋_GBK" w:cs="Times New Roman"/>
          <w:color w:val="000000"/>
          <w:sz w:val="28"/>
          <w:lang w:eastAsia="zh-CN"/>
        </w:rPr>
        <w:t>减少1.66</w:t>
      </w:r>
      <w:r>
        <w:rPr>
          <w:rFonts w:eastAsia="方正仿宋_GBK" w:cs="Times New Roman"/>
          <w:color w:val="000000"/>
          <w:sz w:val="28"/>
        </w:rPr>
        <w:t>万元，主要原因是</w:t>
      </w:r>
      <w:r>
        <w:rPr>
          <w:rFonts w:hint="eastAsia" w:eastAsia="方正仿宋_GBK" w:cs="Times New Roman"/>
          <w:color w:val="000000"/>
          <w:sz w:val="28"/>
          <w:lang w:eastAsia="zh-CN"/>
        </w:rPr>
        <w:t>打造节约型机关，减少公用支出</w:t>
      </w:r>
      <w:r>
        <w:rPr>
          <w:rFonts w:eastAsia="方正仿宋_GBK" w:cs="Times New Roman"/>
          <w:color w:val="000000"/>
          <w:sz w:val="28"/>
        </w:rPr>
        <w:t>。</w:t>
      </w:r>
    </w:p>
    <w:p>
      <w:pPr>
        <w:spacing w:before="10" w:after="10"/>
        <w:ind w:firstLine="640"/>
        <w:outlineLvl w:val="5"/>
      </w:pPr>
      <w:r>
        <w:rPr>
          <w:rFonts w:ascii="黑体" w:hAnsi="黑体" w:eastAsia="黑体" w:cs="黑体"/>
          <w:color w:val="000000"/>
          <w:sz w:val="32"/>
        </w:rPr>
        <w:t>三、机关运行经费安排情况</w:t>
      </w:r>
    </w:p>
    <w:p>
      <w:pPr>
        <w:pStyle w:val="19"/>
      </w:pPr>
      <w:r>
        <w:t>2023年机关运行经费共安排</w:t>
      </w:r>
      <w:r>
        <w:rPr>
          <w:rFonts w:hint="eastAsia" w:eastAsiaTheme="minorEastAsia"/>
          <w:lang w:eastAsia="zh-CN"/>
        </w:rPr>
        <w:t>19.36</w:t>
      </w:r>
      <w:r>
        <w:t>万元，主要用于保障正常办公的基本需要和维持单位日常业务运转包括：办公费、邮电费、差旅费、公务用车运行维护费。其他交通费和离退休干部经费等。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2023年财政拨款“三公”经费预算安排3万元，其中因公出国(境)费0万元；公务用车购置及运维费3万元(其中：公务用车购置费为0万元，公务用车运行费3万元)；公务接待费0万元。与2022年相比，公务用车运行费减少0.8万元。</w:t>
      </w:r>
    </w:p>
    <w:p>
      <w:pPr>
        <w:pStyle w:val="20"/>
      </w:pPr>
      <w:r>
        <w:t>主要原因：减少公务用车运行维护费。</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1、公共图书馆、文化馆（站）免费开放补助县级配套绩效目标表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1.图书馆、21个乡镇文化站对社会公众免费开放，提供基本文化服务，提升公共文化服务水平。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成本指标</w:t>
            </w:r>
          </w:p>
        </w:tc>
        <w:tc>
          <w:tcPr>
            <w:tcW w:w="2835" w:type="dxa"/>
            <w:vAlign w:val="center"/>
          </w:tcPr>
          <w:p>
            <w:pPr>
              <w:pStyle w:val="12"/>
            </w:pPr>
            <w:r>
              <w:t>两馆站免费开放资金</w:t>
            </w:r>
          </w:p>
        </w:tc>
        <w:tc>
          <w:tcPr>
            <w:tcW w:w="2835" w:type="dxa"/>
            <w:vAlign w:val="center"/>
          </w:tcPr>
          <w:p>
            <w:pPr>
              <w:pStyle w:val="12"/>
            </w:pPr>
            <w:r>
              <w:t>实际到位两馆站免费开放资金</w:t>
            </w:r>
          </w:p>
        </w:tc>
        <w:tc>
          <w:tcPr>
            <w:tcW w:w="2551" w:type="dxa"/>
            <w:vAlign w:val="center"/>
          </w:tcPr>
          <w:p>
            <w:pPr>
              <w:pStyle w:val="12"/>
            </w:pPr>
            <w:r>
              <w:t>37.5万元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两馆站免费开放数量</w:t>
            </w:r>
          </w:p>
        </w:tc>
        <w:tc>
          <w:tcPr>
            <w:tcW w:w="2835" w:type="dxa"/>
            <w:vAlign w:val="center"/>
          </w:tcPr>
          <w:p>
            <w:pPr>
              <w:pStyle w:val="12"/>
            </w:pPr>
            <w:r>
              <w:t>全县实际免费开放场馆的数量</w:t>
            </w:r>
          </w:p>
        </w:tc>
        <w:tc>
          <w:tcPr>
            <w:tcW w:w="2551" w:type="dxa"/>
            <w:vAlign w:val="center"/>
          </w:tcPr>
          <w:p>
            <w:pPr>
              <w:pStyle w:val="12"/>
            </w:pPr>
            <w:r>
              <w:t>22个</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群众参与活动的人次较上年增长率</w:t>
            </w:r>
          </w:p>
        </w:tc>
        <w:tc>
          <w:tcPr>
            <w:tcW w:w="2835" w:type="dxa"/>
            <w:vAlign w:val="center"/>
          </w:tcPr>
          <w:p>
            <w:pPr>
              <w:pStyle w:val="12"/>
            </w:pPr>
            <w:r>
              <w:t>群众参与活动的人次较上年增长的比例</w:t>
            </w:r>
          </w:p>
        </w:tc>
        <w:tc>
          <w:tcPr>
            <w:tcW w:w="2551" w:type="dxa"/>
            <w:vAlign w:val="center"/>
          </w:tcPr>
          <w:p>
            <w:pPr>
              <w:pStyle w:val="12"/>
            </w:pPr>
            <w:r>
              <w:t>≥5%</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工作完成时限</w:t>
            </w:r>
          </w:p>
        </w:tc>
        <w:tc>
          <w:tcPr>
            <w:tcW w:w="2551" w:type="dxa"/>
            <w:vAlign w:val="center"/>
          </w:tcPr>
          <w:p>
            <w:pPr>
              <w:pStyle w:val="12"/>
            </w:pPr>
            <w:r>
              <w:t>12月底</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免费开放正常运转</w:t>
            </w:r>
          </w:p>
        </w:tc>
        <w:tc>
          <w:tcPr>
            <w:tcW w:w="2835" w:type="dxa"/>
            <w:vAlign w:val="center"/>
          </w:tcPr>
          <w:p>
            <w:pPr>
              <w:pStyle w:val="12"/>
            </w:pPr>
            <w:r>
              <w:t>免费开放正常运转的比例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公关文化服务水平提升</w:t>
            </w:r>
          </w:p>
        </w:tc>
        <w:tc>
          <w:tcPr>
            <w:tcW w:w="2835" w:type="dxa"/>
            <w:vAlign w:val="center"/>
          </w:tcPr>
          <w:p>
            <w:pPr>
              <w:pStyle w:val="12"/>
            </w:pPr>
            <w:r>
              <w:t>公共文化服务水平提升</w:t>
            </w:r>
          </w:p>
        </w:tc>
        <w:tc>
          <w:tcPr>
            <w:tcW w:w="2551" w:type="dxa"/>
            <w:vAlign w:val="center"/>
          </w:tcPr>
          <w:p>
            <w:pPr>
              <w:pStyle w:val="12"/>
            </w:pPr>
            <w:r>
              <w:t>稳步提升</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受益群众满意度所占比例</w:t>
            </w:r>
          </w:p>
        </w:tc>
        <w:tc>
          <w:tcPr>
            <w:tcW w:w="2551" w:type="dxa"/>
            <w:vAlign w:val="center"/>
          </w:tcPr>
          <w:p>
            <w:pPr>
              <w:pStyle w:val="12"/>
            </w:pPr>
            <w:r>
              <w:t>≥90%</w:t>
            </w:r>
          </w:p>
        </w:tc>
        <w:tc>
          <w:tcPr>
            <w:tcW w:w="2268" w:type="dxa"/>
            <w:vAlign w:val="center"/>
          </w:tcPr>
          <w:p>
            <w:pPr>
              <w:pStyle w:val="12"/>
            </w:pPr>
            <w:r>
              <w:t>调查问卷、读者留言</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2、冀财教[2022]144号2023年中央补助地方公共图书馆文化馆（站）免费开放资金绩效目标表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1.公共图书馆、文化站等22个免费开放场馆（站）免费对社会工作开展基本公共文化服务，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成本指标</w:t>
            </w:r>
          </w:p>
        </w:tc>
        <w:tc>
          <w:tcPr>
            <w:tcW w:w="2835" w:type="dxa"/>
            <w:vAlign w:val="center"/>
          </w:tcPr>
          <w:p>
            <w:pPr>
              <w:pStyle w:val="12"/>
            </w:pPr>
            <w:r>
              <w:t>两馆站免费开放资金</w:t>
            </w:r>
          </w:p>
        </w:tc>
        <w:tc>
          <w:tcPr>
            <w:tcW w:w="2835" w:type="dxa"/>
            <w:vAlign w:val="center"/>
          </w:tcPr>
          <w:p>
            <w:pPr>
              <w:pStyle w:val="12"/>
            </w:pPr>
            <w:r>
              <w:t>实际到位两馆站免费开放资金</w:t>
            </w:r>
          </w:p>
        </w:tc>
        <w:tc>
          <w:tcPr>
            <w:tcW w:w="2551" w:type="dxa"/>
            <w:vAlign w:val="center"/>
          </w:tcPr>
          <w:p>
            <w:pPr>
              <w:pStyle w:val="12"/>
            </w:pPr>
            <w:r>
              <w:t>75万元</w:t>
            </w:r>
          </w:p>
        </w:tc>
        <w:tc>
          <w:tcPr>
            <w:tcW w:w="2268" w:type="dxa"/>
            <w:vAlign w:val="center"/>
          </w:tcPr>
          <w:p>
            <w:pPr>
              <w:pStyle w:val="12"/>
            </w:pPr>
            <w: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两馆站免费开放数量</w:t>
            </w:r>
          </w:p>
        </w:tc>
        <w:tc>
          <w:tcPr>
            <w:tcW w:w="2835" w:type="dxa"/>
            <w:vAlign w:val="center"/>
          </w:tcPr>
          <w:p>
            <w:pPr>
              <w:pStyle w:val="12"/>
            </w:pPr>
            <w:r>
              <w:t>全县实际免费开放的数量</w:t>
            </w:r>
          </w:p>
        </w:tc>
        <w:tc>
          <w:tcPr>
            <w:tcW w:w="2551" w:type="dxa"/>
            <w:vAlign w:val="center"/>
          </w:tcPr>
          <w:p>
            <w:pPr>
              <w:pStyle w:val="12"/>
            </w:pPr>
            <w:r>
              <w:t>22个</w:t>
            </w:r>
          </w:p>
        </w:tc>
        <w:tc>
          <w:tcPr>
            <w:tcW w:w="2268" w:type="dxa"/>
            <w:vAlign w:val="center"/>
          </w:tcPr>
          <w:p>
            <w:pPr>
              <w:pStyle w:val="12"/>
            </w:pPr>
            <w: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群众参与人次较上年增长率</w:t>
            </w:r>
          </w:p>
        </w:tc>
        <w:tc>
          <w:tcPr>
            <w:tcW w:w="2835" w:type="dxa"/>
            <w:vAlign w:val="center"/>
          </w:tcPr>
          <w:p>
            <w:pPr>
              <w:pStyle w:val="12"/>
            </w:pPr>
            <w:r>
              <w:t>群众参与人次较上年增长的比例</w:t>
            </w:r>
          </w:p>
        </w:tc>
        <w:tc>
          <w:tcPr>
            <w:tcW w:w="2551" w:type="dxa"/>
            <w:vAlign w:val="center"/>
          </w:tcPr>
          <w:p>
            <w:pPr>
              <w:pStyle w:val="12"/>
            </w:pPr>
            <w:r>
              <w:t>≥5%</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举办文化活动较上年增长率</w:t>
            </w:r>
          </w:p>
        </w:tc>
        <w:tc>
          <w:tcPr>
            <w:tcW w:w="2835" w:type="dxa"/>
            <w:vAlign w:val="center"/>
          </w:tcPr>
          <w:p>
            <w:pPr>
              <w:pStyle w:val="12"/>
            </w:pPr>
            <w:r>
              <w:t>举办文化活动较上年增长的比例</w:t>
            </w:r>
          </w:p>
        </w:tc>
        <w:tc>
          <w:tcPr>
            <w:tcW w:w="2551" w:type="dxa"/>
            <w:vAlign w:val="center"/>
          </w:tcPr>
          <w:p>
            <w:pPr>
              <w:pStyle w:val="12"/>
            </w:pPr>
            <w:r>
              <w:t>≥5%</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工作完成时限</w:t>
            </w:r>
          </w:p>
        </w:tc>
        <w:tc>
          <w:tcPr>
            <w:tcW w:w="2551" w:type="dxa"/>
            <w:vAlign w:val="center"/>
          </w:tcPr>
          <w:p>
            <w:pPr>
              <w:pStyle w:val="12"/>
            </w:pPr>
            <w:r>
              <w:t>12月底</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免费开放正常运转</w:t>
            </w:r>
          </w:p>
        </w:tc>
        <w:tc>
          <w:tcPr>
            <w:tcW w:w="2835" w:type="dxa"/>
            <w:vAlign w:val="center"/>
          </w:tcPr>
          <w:p>
            <w:pPr>
              <w:pStyle w:val="12"/>
            </w:pPr>
            <w:r>
              <w:t>免费开放正常运转的比例</w:t>
            </w:r>
          </w:p>
        </w:tc>
        <w:tc>
          <w:tcPr>
            <w:tcW w:w="2551" w:type="dxa"/>
            <w:vAlign w:val="center"/>
          </w:tcPr>
          <w:p>
            <w:pPr>
              <w:pStyle w:val="12"/>
            </w:pPr>
            <w:r>
              <w:t>≥90%</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公关文化服务水平提升</w:t>
            </w:r>
          </w:p>
        </w:tc>
        <w:tc>
          <w:tcPr>
            <w:tcW w:w="2835" w:type="dxa"/>
            <w:vAlign w:val="center"/>
          </w:tcPr>
          <w:p>
            <w:pPr>
              <w:pStyle w:val="12"/>
            </w:pPr>
            <w:r>
              <w:t>公共文化服务水平提升</w:t>
            </w:r>
          </w:p>
        </w:tc>
        <w:tc>
          <w:tcPr>
            <w:tcW w:w="2551" w:type="dxa"/>
            <w:vAlign w:val="center"/>
          </w:tcPr>
          <w:p>
            <w:pPr>
              <w:pStyle w:val="12"/>
            </w:pPr>
            <w:r>
              <w:t>长期</w:t>
            </w:r>
          </w:p>
        </w:tc>
        <w:tc>
          <w:tcPr>
            <w:tcW w:w="2268" w:type="dxa"/>
            <w:vAlign w:val="center"/>
          </w:tcPr>
          <w:p>
            <w:pPr>
              <w:pStyle w:val="12"/>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受益群众满意度所占比例</w:t>
            </w:r>
          </w:p>
        </w:tc>
        <w:tc>
          <w:tcPr>
            <w:tcW w:w="2551" w:type="dxa"/>
            <w:vAlign w:val="center"/>
          </w:tcPr>
          <w:p>
            <w:pPr>
              <w:pStyle w:val="12"/>
            </w:pPr>
            <w:r>
              <w:t>≥90%</w:t>
            </w:r>
          </w:p>
        </w:tc>
        <w:tc>
          <w:tcPr>
            <w:tcW w:w="2268" w:type="dxa"/>
            <w:vAlign w:val="center"/>
          </w:tcPr>
          <w:p>
            <w:pPr>
              <w:pStyle w:val="12"/>
            </w:pPr>
            <w:r>
              <w:t>调查问卷、读者留言</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3、冀财教[2022]147号2023年中央文化人才专项经费绩效目标表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1.选派12名优秀文化工作者到乡村进行文化帮扶，提升文化服务水平</w:t>
            </w: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选派文化工作者数量</w:t>
            </w:r>
          </w:p>
        </w:tc>
        <w:tc>
          <w:tcPr>
            <w:tcW w:w="2835" w:type="dxa"/>
            <w:vAlign w:val="center"/>
          </w:tcPr>
          <w:p>
            <w:pPr>
              <w:pStyle w:val="12"/>
            </w:pPr>
            <w:r>
              <w:t>选派到乡镇村工作和服务的文化工作者数量</w:t>
            </w:r>
          </w:p>
          <w:p>
            <w:pPr>
              <w:pStyle w:val="12"/>
            </w:pPr>
          </w:p>
        </w:tc>
        <w:tc>
          <w:tcPr>
            <w:tcW w:w="2551" w:type="dxa"/>
            <w:vAlign w:val="center"/>
          </w:tcPr>
          <w:p>
            <w:pPr>
              <w:pStyle w:val="12"/>
            </w:pPr>
            <w:r>
              <w:t>12名</w:t>
            </w:r>
          </w:p>
        </w:tc>
        <w:tc>
          <w:tcPr>
            <w:tcW w:w="2268" w:type="dxa"/>
            <w:vAlign w:val="center"/>
          </w:tcPr>
          <w:p>
            <w:pPr>
              <w:pStyle w:val="12"/>
            </w:pPr>
            <w:r>
              <w:t>冀财教（2022）147号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专项资金到位数额</w:t>
            </w:r>
          </w:p>
        </w:tc>
        <w:tc>
          <w:tcPr>
            <w:tcW w:w="2835" w:type="dxa"/>
            <w:vAlign w:val="center"/>
          </w:tcPr>
          <w:p>
            <w:pPr>
              <w:pStyle w:val="12"/>
            </w:pPr>
            <w:r>
              <w:t>专项资金实际到位金额</w:t>
            </w:r>
          </w:p>
        </w:tc>
        <w:tc>
          <w:tcPr>
            <w:tcW w:w="2551" w:type="dxa"/>
            <w:vAlign w:val="center"/>
          </w:tcPr>
          <w:p>
            <w:pPr>
              <w:pStyle w:val="12"/>
            </w:pPr>
            <w:r>
              <w:t>10.8万元</w:t>
            </w:r>
          </w:p>
        </w:tc>
        <w:tc>
          <w:tcPr>
            <w:tcW w:w="2268" w:type="dxa"/>
            <w:vAlign w:val="center"/>
          </w:tcPr>
          <w:p>
            <w:pPr>
              <w:pStyle w:val="12"/>
            </w:pPr>
            <w:r>
              <w:t>冀财教（2022）147号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帮扶工作时间</w:t>
            </w:r>
          </w:p>
        </w:tc>
        <w:tc>
          <w:tcPr>
            <w:tcW w:w="2835" w:type="dxa"/>
            <w:vAlign w:val="center"/>
          </w:tcPr>
          <w:p>
            <w:pPr>
              <w:pStyle w:val="12"/>
            </w:pPr>
            <w:r>
              <w:t>帮扶工作的时间</w:t>
            </w:r>
          </w:p>
        </w:tc>
        <w:tc>
          <w:tcPr>
            <w:tcW w:w="2551" w:type="dxa"/>
            <w:vAlign w:val="center"/>
          </w:tcPr>
          <w:p>
            <w:pPr>
              <w:pStyle w:val="12"/>
            </w:pPr>
            <w:r>
              <w:t>12月底前</w:t>
            </w:r>
          </w:p>
        </w:tc>
        <w:tc>
          <w:tcPr>
            <w:tcW w:w="2268" w:type="dxa"/>
            <w:vAlign w:val="center"/>
          </w:tcPr>
          <w:p>
            <w:pPr>
              <w:pStyle w:val="12"/>
            </w:pPr>
            <w:r>
              <w:t>冀财教（2022）147号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2835" w:type="dxa"/>
            <w:vAlign w:val="center"/>
          </w:tcPr>
          <w:p>
            <w:pPr>
              <w:pStyle w:val="12"/>
            </w:pPr>
            <w:r>
              <w:t>业务工作完成率（%）</w:t>
            </w:r>
          </w:p>
        </w:tc>
        <w:tc>
          <w:tcPr>
            <w:tcW w:w="2551" w:type="dxa"/>
            <w:vAlign w:val="center"/>
          </w:tcPr>
          <w:p>
            <w:pPr>
              <w:pStyle w:val="12"/>
            </w:pPr>
            <w:r>
              <w:t>≥90%</w:t>
            </w:r>
          </w:p>
        </w:tc>
        <w:tc>
          <w:tcPr>
            <w:tcW w:w="2268" w:type="dxa"/>
            <w:vAlign w:val="center"/>
          </w:tcPr>
          <w:p>
            <w:pPr>
              <w:pStyle w:val="12"/>
            </w:pPr>
            <w:r>
              <w:t>工作方案及总结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推动贫困地区文化发展，提升公共文化服务水平情况</w:t>
            </w:r>
          </w:p>
        </w:tc>
        <w:tc>
          <w:tcPr>
            <w:tcW w:w="2835" w:type="dxa"/>
            <w:vAlign w:val="center"/>
          </w:tcPr>
          <w:p>
            <w:pPr>
              <w:pStyle w:val="12"/>
            </w:pPr>
            <w:r>
              <w:t>推动贫困地区文化发展，提升公共文化服务水平情况</w:t>
            </w:r>
          </w:p>
        </w:tc>
        <w:tc>
          <w:tcPr>
            <w:tcW w:w="2551" w:type="dxa"/>
            <w:vAlign w:val="center"/>
          </w:tcPr>
          <w:p>
            <w:pPr>
              <w:pStyle w:val="12"/>
            </w:pPr>
            <w:r>
              <w:t>稳步提升</w:t>
            </w:r>
          </w:p>
        </w:tc>
        <w:tc>
          <w:tcPr>
            <w:tcW w:w="2268" w:type="dxa"/>
            <w:vAlign w:val="center"/>
          </w:tcPr>
          <w:p>
            <w:pPr>
              <w:pStyle w:val="12"/>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贫困地区文化人才队伍建设水平</w:t>
            </w:r>
          </w:p>
        </w:tc>
        <w:tc>
          <w:tcPr>
            <w:tcW w:w="2835" w:type="dxa"/>
            <w:vAlign w:val="center"/>
          </w:tcPr>
          <w:p>
            <w:pPr>
              <w:pStyle w:val="12"/>
            </w:pPr>
            <w:r>
              <w:t>贫困地区文化人才队伍建设水平</w:t>
            </w:r>
          </w:p>
        </w:tc>
        <w:tc>
          <w:tcPr>
            <w:tcW w:w="2551" w:type="dxa"/>
            <w:vAlign w:val="center"/>
          </w:tcPr>
          <w:p>
            <w:pPr>
              <w:pStyle w:val="12"/>
            </w:pPr>
            <w:r>
              <w:t>不断提升</w:t>
            </w:r>
          </w:p>
        </w:tc>
        <w:tc>
          <w:tcPr>
            <w:tcW w:w="2268" w:type="dxa"/>
            <w:vAlign w:val="center"/>
          </w:tcPr>
          <w:p>
            <w:pPr>
              <w:pStyle w:val="12"/>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受援地对文化人才支持专项工作的满意度</w:t>
            </w:r>
          </w:p>
        </w:tc>
        <w:tc>
          <w:tcPr>
            <w:tcW w:w="2835" w:type="dxa"/>
            <w:vAlign w:val="center"/>
          </w:tcPr>
          <w:p>
            <w:pPr>
              <w:pStyle w:val="12"/>
            </w:pPr>
            <w:r>
              <w:t>受援地对文化人才支持专项工作的整体满意度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4、冀财教[2022]151号2023年公共文化服务体系建设资金-图书馆公共文化服务提升资金绩效目标表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1.魏县图书馆公共服务提升，做好图书购置8000册、设备购置6台（套），建成图书馆网站，做好阅读推介，提升借阅服务能力。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图书购买数量</w:t>
            </w:r>
          </w:p>
        </w:tc>
        <w:tc>
          <w:tcPr>
            <w:tcW w:w="2835" w:type="dxa"/>
            <w:vAlign w:val="center"/>
          </w:tcPr>
          <w:p>
            <w:pPr>
              <w:pStyle w:val="12"/>
            </w:pPr>
            <w:r>
              <w:t>图书购买的数量</w:t>
            </w:r>
          </w:p>
        </w:tc>
        <w:tc>
          <w:tcPr>
            <w:tcW w:w="2551" w:type="dxa"/>
            <w:vAlign w:val="center"/>
          </w:tcPr>
          <w:p>
            <w:pPr>
              <w:pStyle w:val="12"/>
            </w:pPr>
            <w:r>
              <w:t>≥8000册</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设备购置数量</w:t>
            </w:r>
          </w:p>
        </w:tc>
        <w:tc>
          <w:tcPr>
            <w:tcW w:w="2835" w:type="dxa"/>
            <w:vAlign w:val="center"/>
          </w:tcPr>
          <w:p>
            <w:pPr>
              <w:pStyle w:val="12"/>
            </w:pPr>
            <w:r>
              <w:t>设备购置数量</w:t>
            </w:r>
          </w:p>
        </w:tc>
        <w:tc>
          <w:tcPr>
            <w:tcW w:w="2551" w:type="dxa"/>
            <w:vAlign w:val="center"/>
          </w:tcPr>
          <w:p>
            <w:pPr>
              <w:pStyle w:val="12"/>
            </w:pPr>
            <w:r>
              <w:t>6台（套）</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建成图书馆网站数量</w:t>
            </w:r>
          </w:p>
        </w:tc>
        <w:tc>
          <w:tcPr>
            <w:tcW w:w="2835" w:type="dxa"/>
            <w:vAlign w:val="center"/>
          </w:tcPr>
          <w:p>
            <w:pPr>
              <w:pStyle w:val="12"/>
            </w:pPr>
            <w:r>
              <w:t>建成图书馆网站数量</w:t>
            </w:r>
          </w:p>
        </w:tc>
        <w:tc>
          <w:tcPr>
            <w:tcW w:w="2551" w:type="dxa"/>
            <w:vAlign w:val="center"/>
          </w:tcPr>
          <w:p>
            <w:pPr>
              <w:pStyle w:val="12"/>
            </w:pPr>
            <w:r>
              <w:t>1个</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2835" w:type="dxa"/>
            <w:vAlign w:val="center"/>
          </w:tcPr>
          <w:p>
            <w:pPr>
              <w:pStyle w:val="12"/>
            </w:pPr>
            <w:r>
              <w:t>业务工作完成率（%）</w:t>
            </w:r>
          </w:p>
        </w:tc>
        <w:tc>
          <w:tcPr>
            <w:tcW w:w="2551" w:type="dxa"/>
            <w:vAlign w:val="center"/>
          </w:tcPr>
          <w:p>
            <w:pPr>
              <w:pStyle w:val="12"/>
            </w:pPr>
            <w:r>
              <w:t>≥90%</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工作完成的时限</w:t>
            </w:r>
          </w:p>
        </w:tc>
        <w:tc>
          <w:tcPr>
            <w:tcW w:w="2835" w:type="dxa"/>
            <w:vAlign w:val="center"/>
          </w:tcPr>
          <w:p>
            <w:pPr>
              <w:pStyle w:val="12"/>
            </w:pPr>
            <w:r>
              <w:t>工作完成的时限要求</w:t>
            </w:r>
          </w:p>
        </w:tc>
        <w:tc>
          <w:tcPr>
            <w:tcW w:w="2551" w:type="dxa"/>
            <w:vAlign w:val="center"/>
          </w:tcPr>
          <w:p>
            <w:pPr>
              <w:pStyle w:val="12"/>
            </w:pPr>
            <w:r>
              <w:t>12月底前</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w:t>
            </w:r>
          </w:p>
        </w:tc>
        <w:tc>
          <w:tcPr>
            <w:tcW w:w="2835" w:type="dxa"/>
            <w:vAlign w:val="center"/>
          </w:tcPr>
          <w:p>
            <w:pPr>
              <w:pStyle w:val="12"/>
            </w:pPr>
            <w:r>
              <w:t>项目预算成本</w:t>
            </w:r>
          </w:p>
        </w:tc>
        <w:tc>
          <w:tcPr>
            <w:tcW w:w="2551" w:type="dxa"/>
            <w:vAlign w:val="center"/>
          </w:tcPr>
          <w:p>
            <w:pPr>
              <w:pStyle w:val="12"/>
            </w:pPr>
            <w:r>
              <w:t>≤108万元</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公共文化场馆流通人次</w:t>
            </w:r>
          </w:p>
        </w:tc>
        <w:tc>
          <w:tcPr>
            <w:tcW w:w="2835" w:type="dxa"/>
            <w:vAlign w:val="center"/>
          </w:tcPr>
          <w:p>
            <w:pPr>
              <w:pStyle w:val="12"/>
            </w:pPr>
            <w:r>
              <w:t>公共文化场馆流通人次</w:t>
            </w:r>
          </w:p>
        </w:tc>
        <w:tc>
          <w:tcPr>
            <w:tcW w:w="2551" w:type="dxa"/>
            <w:vAlign w:val="center"/>
          </w:tcPr>
          <w:p>
            <w:pPr>
              <w:pStyle w:val="12"/>
            </w:pPr>
            <w:r>
              <w:t>≥20000人次</w:t>
            </w:r>
          </w:p>
        </w:tc>
        <w:tc>
          <w:tcPr>
            <w:tcW w:w="2268"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2835" w:type="dxa"/>
            <w:vAlign w:val="center"/>
          </w:tcPr>
          <w:p>
            <w:pPr>
              <w:pStyle w:val="12"/>
            </w:pPr>
            <w:r>
              <w:t>提升公共服务水平和质量</w:t>
            </w:r>
          </w:p>
        </w:tc>
        <w:tc>
          <w:tcPr>
            <w:tcW w:w="2551" w:type="dxa"/>
            <w:vAlign w:val="center"/>
          </w:tcPr>
          <w:p>
            <w:pPr>
              <w:pStyle w:val="12"/>
            </w:pPr>
            <w:r>
              <w:t>提升</w:t>
            </w:r>
          </w:p>
        </w:tc>
        <w:tc>
          <w:tcPr>
            <w:tcW w:w="2268"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5、冀财教[2022]151号2023年中央补助地方公共文化服务体系建设资金-戏曲进乡村绩效目标表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1.在21个乡镇开展戏曲进乡村文化活动，每个乡镇6场，共126场，活跃群众社会生活，提升公共文化服务水平。</w:t>
            </w: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质量指标</w:t>
            </w:r>
          </w:p>
        </w:tc>
        <w:tc>
          <w:tcPr>
            <w:tcW w:w="2835" w:type="dxa"/>
            <w:vAlign w:val="center"/>
          </w:tcPr>
          <w:p>
            <w:pPr>
              <w:pStyle w:val="12"/>
            </w:pPr>
            <w:r>
              <w:t>送戏下乡活动场次完成计划率</w:t>
            </w:r>
          </w:p>
        </w:tc>
        <w:tc>
          <w:tcPr>
            <w:tcW w:w="2835" w:type="dxa"/>
            <w:vAlign w:val="center"/>
          </w:tcPr>
          <w:p>
            <w:pPr>
              <w:pStyle w:val="12"/>
            </w:pPr>
            <w:r>
              <w:t>实际下乡活动场次占计划的比例</w:t>
            </w:r>
          </w:p>
        </w:tc>
        <w:tc>
          <w:tcPr>
            <w:tcW w:w="2551" w:type="dxa"/>
            <w:vAlign w:val="center"/>
          </w:tcPr>
          <w:p>
            <w:pPr>
              <w:pStyle w:val="12"/>
            </w:pPr>
            <w:r>
              <w:t>≥90%</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戏曲进乡村文艺演出补助标准</w:t>
            </w:r>
          </w:p>
        </w:tc>
        <w:tc>
          <w:tcPr>
            <w:tcW w:w="2835" w:type="dxa"/>
            <w:vAlign w:val="center"/>
          </w:tcPr>
          <w:p>
            <w:pPr>
              <w:pStyle w:val="12"/>
            </w:pPr>
            <w:r>
              <w:t>戏曲进乡村文艺演出补助标准</w:t>
            </w:r>
          </w:p>
        </w:tc>
        <w:tc>
          <w:tcPr>
            <w:tcW w:w="2551" w:type="dxa"/>
            <w:vAlign w:val="center"/>
          </w:tcPr>
          <w:p>
            <w:pPr>
              <w:pStyle w:val="12"/>
            </w:pPr>
            <w:r>
              <w:t>5000元/场</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戏曲进乡村完成时间</w:t>
            </w:r>
          </w:p>
        </w:tc>
        <w:tc>
          <w:tcPr>
            <w:tcW w:w="2835" w:type="dxa"/>
            <w:vAlign w:val="center"/>
          </w:tcPr>
          <w:p>
            <w:pPr>
              <w:pStyle w:val="12"/>
            </w:pPr>
            <w:r>
              <w:t>戏曲进乡村完成的时间</w:t>
            </w:r>
          </w:p>
        </w:tc>
        <w:tc>
          <w:tcPr>
            <w:tcW w:w="2551" w:type="dxa"/>
            <w:vAlign w:val="center"/>
          </w:tcPr>
          <w:p>
            <w:pPr>
              <w:pStyle w:val="12"/>
            </w:pPr>
            <w:r>
              <w:t>12月底前</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对乡镇送戏次数</w:t>
            </w:r>
          </w:p>
        </w:tc>
        <w:tc>
          <w:tcPr>
            <w:tcW w:w="2835" w:type="dxa"/>
            <w:vAlign w:val="center"/>
          </w:tcPr>
          <w:p>
            <w:pPr>
              <w:pStyle w:val="12"/>
            </w:pPr>
            <w:r>
              <w:t>全县21个乡镇戏曲进乡村活动数量</w:t>
            </w:r>
          </w:p>
        </w:tc>
        <w:tc>
          <w:tcPr>
            <w:tcW w:w="2551" w:type="dxa"/>
            <w:vAlign w:val="center"/>
          </w:tcPr>
          <w:p>
            <w:pPr>
              <w:pStyle w:val="12"/>
            </w:pPr>
            <w:r>
              <w:t>126场</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受益人数</w:t>
            </w:r>
          </w:p>
        </w:tc>
        <w:tc>
          <w:tcPr>
            <w:tcW w:w="2835" w:type="dxa"/>
            <w:vAlign w:val="center"/>
          </w:tcPr>
          <w:p>
            <w:pPr>
              <w:pStyle w:val="12"/>
            </w:pPr>
            <w:r>
              <w:t>观看的人次</w:t>
            </w:r>
          </w:p>
        </w:tc>
        <w:tc>
          <w:tcPr>
            <w:tcW w:w="2551" w:type="dxa"/>
            <w:vAlign w:val="center"/>
          </w:tcPr>
          <w:p>
            <w:pPr>
              <w:pStyle w:val="12"/>
            </w:pPr>
            <w:r>
              <w:t>≥20000人次</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基本公共文化服务水平</w:t>
            </w:r>
          </w:p>
        </w:tc>
        <w:tc>
          <w:tcPr>
            <w:tcW w:w="2835" w:type="dxa"/>
            <w:vAlign w:val="center"/>
          </w:tcPr>
          <w:p>
            <w:pPr>
              <w:pStyle w:val="12"/>
            </w:pPr>
            <w:r>
              <w:t>基本公共文化服务水平提升</w:t>
            </w:r>
          </w:p>
        </w:tc>
        <w:tc>
          <w:tcPr>
            <w:tcW w:w="2551" w:type="dxa"/>
            <w:vAlign w:val="center"/>
          </w:tcPr>
          <w:p>
            <w:pPr>
              <w:pStyle w:val="12"/>
            </w:pPr>
            <w:r>
              <w:t>稳步提升</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群众对国家基本公共文化服务满意度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6、冀财教[2022]151号2023年中央补助地方公共文化服务体系建设资金-一般项目及绩效奖励绩效目标表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1.文化广场建设2处，方便周边群众开展文化活动，活跃群众文化生活，提升群众满意度。</w:t>
            </w:r>
          </w:p>
          <w:p>
            <w:pPr>
              <w:pStyle w:val="12"/>
            </w:pPr>
            <w:r>
              <w:t>2.培育农村文化队伍100支，推进文化队伍建设，购置广场舞演出设备音响、服装。</w:t>
            </w:r>
          </w:p>
          <w:p>
            <w:pPr>
              <w:pStyle w:val="12"/>
            </w:pPr>
            <w:r>
              <w:t>3.文化活动及宣传推介10次以上，推进我县文化事业发展。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文化广场建设的数量</w:t>
            </w:r>
          </w:p>
        </w:tc>
        <w:tc>
          <w:tcPr>
            <w:tcW w:w="2835" w:type="dxa"/>
            <w:vAlign w:val="center"/>
          </w:tcPr>
          <w:p>
            <w:pPr>
              <w:pStyle w:val="12"/>
            </w:pPr>
            <w:r>
              <w:t>文化广场建设的数量</w:t>
            </w:r>
          </w:p>
        </w:tc>
        <w:tc>
          <w:tcPr>
            <w:tcW w:w="2551" w:type="dxa"/>
            <w:vAlign w:val="center"/>
          </w:tcPr>
          <w:p>
            <w:pPr>
              <w:pStyle w:val="12"/>
            </w:pPr>
            <w:r>
              <w:t>2处</w:t>
            </w:r>
          </w:p>
        </w:tc>
        <w:tc>
          <w:tcPr>
            <w:tcW w:w="2268" w:type="dxa"/>
            <w:vAlign w:val="center"/>
          </w:tcPr>
          <w:p>
            <w:pPr>
              <w:pStyle w:val="12"/>
            </w:pPr>
            <w:r>
              <w:t>冀财教（2022）151号及工作方案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培育文化队伍的数量</w:t>
            </w:r>
          </w:p>
        </w:tc>
        <w:tc>
          <w:tcPr>
            <w:tcW w:w="2835" w:type="dxa"/>
            <w:vAlign w:val="center"/>
          </w:tcPr>
          <w:p>
            <w:pPr>
              <w:pStyle w:val="12"/>
            </w:pPr>
            <w:r>
              <w:t>培育文化队伍的数量</w:t>
            </w:r>
          </w:p>
        </w:tc>
        <w:tc>
          <w:tcPr>
            <w:tcW w:w="2551" w:type="dxa"/>
            <w:vAlign w:val="center"/>
          </w:tcPr>
          <w:p>
            <w:pPr>
              <w:pStyle w:val="12"/>
            </w:pPr>
            <w:r>
              <w:t>100支</w:t>
            </w:r>
          </w:p>
        </w:tc>
        <w:tc>
          <w:tcPr>
            <w:tcW w:w="2268" w:type="dxa"/>
            <w:vAlign w:val="center"/>
          </w:tcPr>
          <w:p>
            <w:pPr>
              <w:pStyle w:val="12"/>
            </w:pPr>
            <w:r>
              <w:t>冀财教（2022）151号及工作方案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文化活动及宣传推介的数量</w:t>
            </w:r>
          </w:p>
        </w:tc>
        <w:tc>
          <w:tcPr>
            <w:tcW w:w="2835" w:type="dxa"/>
            <w:vAlign w:val="center"/>
          </w:tcPr>
          <w:p>
            <w:pPr>
              <w:pStyle w:val="12"/>
            </w:pPr>
            <w:r>
              <w:t>文化活动及宣传推介的数量</w:t>
            </w:r>
          </w:p>
        </w:tc>
        <w:tc>
          <w:tcPr>
            <w:tcW w:w="2551" w:type="dxa"/>
            <w:vAlign w:val="center"/>
          </w:tcPr>
          <w:p>
            <w:pPr>
              <w:pStyle w:val="12"/>
            </w:pPr>
            <w:r>
              <w:t>≥10次</w:t>
            </w:r>
          </w:p>
        </w:tc>
        <w:tc>
          <w:tcPr>
            <w:tcW w:w="2268" w:type="dxa"/>
            <w:vAlign w:val="center"/>
          </w:tcPr>
          <w:p>
            <w:pPr>
              <w:pStyle w:val="12"/>
            </w:pPr>
            <w:r>
              <w:t>冀财教（2022）151号及工作方案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2835" w:type="dxa"/>
            <w:vAlign w:val="center"/>
          </w:tcPr>
          <w:p>
            <w:pPr>
              <w:pStyle w:val="12"/>
            </w:pPr>
            <w:r>
              <w:t>业务工作完成率（%）</w:t>
            </w:r>
          </w:p>
        </w:tc>
        <w:tc>
          <w:tcPr>
            <w:tcW w:w="2551" w:type="dxa"/>
            <w:vAlign w:val="center"/>
          </w:tcPr>
          <w:p>
            <w:pPr>
              <w:pStyle w:val="12"/>
            </w:pPr>
            <w:r>
              <w:t>≥90%</w:t>
            </w:r>
          </w:p>
        </w:tc>
        <w:tc>
          <w:tcPr>
            <w:tcW w:w="2268" w:type="dxa"/>
            <w:vAlign w:val="center"/>
          </w:tcPr>
          <w:p>
            <w:pPr>
              <w:pStyle w:val="12"/>
            </w:pPr>
            <w:r>
              <w:t>冀财教（2022）151号及工作方案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完成时限要求</w:t>
            </w:r>
          </w:p>
        </w:tc>
        <w:tc>
          <w:tcPr>
            <w:tcW w:w="2551" w:type="dxa"/>
            <w:vAlign w:val="center"/>
          </w:tcPr>
          <w:p>
            <w:pPr>
              <w:pStyle w:val="12"/>
            </w:pPr>
            <w:r>
              <w:t>12月底</w:t>
            </w:r>
          </w:p>
        </w:tc>
        <w:tc>
          <w:tcPr>
            <w:tcW w:w="2268" w:type="dxa"/>
            <w:vAlign w:val="center"/>
          </w:tcPr>
          <w:p>
            <w:pPr>
              <w:pStyle w:val="12"/>
            </w:pPr>
            <w:r>
              <w:t>冀财教（2022）151号及工作方案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w:t>
            </w:r>
          </w:p>
        </w:tc>
        <w:tc>
          <w:tcPr>
            <w:tcW w:w="2835" w:type="dxa"/>
            <w:vAlign w:val="center"/>
          </w:tcPr>
          <w:p>
            <w:pPr>
              <w:pStyle w:val="12"/>
            </w:pPr>
            <w:r>
              <w:t>项目预算成本</w:t>
            </w:r>
          </w:p>
        </w:tc>
        <w:tc>
          <w:tcPr>
            <w:tcW w:w="2551" w:type="dxa"/>
            <w:vAlign w:val="center"/>
          </w:tcPr>
          <w:p>
            <w:pPr>
              <w:pStyle w:val="12"/>
            </w:pPr>
            <w:r>
              <w:t>≤130.8万元</w:t>
            </w:r>
          </w:p>
        </w:tc>
        <w:tc>
          <w:tcPr>
            <w:tcW w:w="2268" w:type="dxa"/>
            <w:vAlign w:val="center"/>
          </w:tcPr>
          <w:p>
            <w:pPr>
              <w:pStyle w:val="12"/>
            </w:pPr>
            <w:r>
              <w:t>冀财教（2022）151号及工作方案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各类文艺活动观看人数</w:t>
            </w:r>
          </w:p>
        </w:tc>
        <w:tc>
          <w:tcPr>
            <w:tcW w:w="2835" w:type="dxa"/>
            <w:vAlign w:val="center"/>
          </w:tcPr>
          <w:p>
            <w:pPr>
              <w:pStyle w:val="12"/>
            </w:pPr>
            <w:r>
              <w:t>各类文艺活动观看人数</w:t>
            </w:r>
          </w:p>
        </w:tc>
        <w:tc>
          <w:tcPr>
            <w:tcW w:w="2551" w:type="dxa"/>
            <w:vAlign w:val="center"/>
          </w:tcPr>
          <w:p>
            <w:pPr>
              <w:pStyle w:val="12"/>
            </w:pPr>
            <w:r>
              <w:t>≥20000人次</w:t>
            </w:r>
          </w:p>
        </w:tc>
        <w:tc>
          <w:tcPr>
            <w:tcW w:w="2268" w:type="dxa"/>
            <w:vAlign w:val="center"/>
          </w:tcPr>
          <w:p>
            <w:pPr>
              <w:pStyle w:val="12"/>
            </w:pPr>
            <w:r>
              <w:t>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2835" w:type="dxa"/>
            <w:vAlign w:val="center"/>
          </w:tcPr>
          <w:p>
            <w:pPr>
              <w:pStyle w:val="12"/>
            </w:pPr>
            <w:r>
              <w:t>提升公共服务水平和质量</w:t>
            </w:r>
          </w:p>
        </w:tc>
        <w:tc>
          <w:tcPr>
            <w:tcW w:w="2551" w:type="dxa"/>
            <w:vAlign w:val="center"/>
          </w:tcPr>
          <w:p>
            <w:pPr>
              <w:pStyle w:val="12"/>
            </w:pPr>
            <w:r>
              <w:t>长期</w:t>
            </w:r>
          </w:p>
        </w:tc>
        <w:tc>
          <w:tcPr>
            <w:tcW w:w="2268"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2835" w:type="dxa"/>
            <w:vAlign w:val="center"/>
          </w:tcPr>
          <w:p>
            <w:pPr>
              <w:pStyle w:val="12"/>
            </w:pPr>
            <w:r>
              <w:t>服务对象的满意度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7、冀财教[2022]174号2023年省级“三馆一站”免费开放补助资金绩效目标表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1.负责开展文化活动，提供基本文化服务，保障县图书馆、21个乡镇文化站全部免费开放。</w:t>
            </w:r>
            <w:r>
              <w:tab/>
            </w:r>
            <w:r>
              <w:tab/>
            </w:r>
            <w:r>
              <w:tab/>
            </w:r>
            <w:r>
              <w:tab/>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全县实际免费开放的数量</w:t>
            </w:r>
          </w:p>
        </w:tc>
        <w:tc>
          <w:tcPr>
            <w:tcW w:w="2835" w:type="dxa"/>
            <w:vAlign w:val="center"/>
          </w:tcPr>
          <w:p>
            <w:pPr>
              <w:pStyle w:val="12"/>
            </w:pPr>
            <w:r>
              <w:t>全县实际免费开放的数量</w:t>
            </w:r>
          </w:p>
        </w:tc>
        <w:tc>
          <w:tcPr>
            <w:tcW w:w="2551" w:type="dxa"/>
            <w:vAlign w:val="center"/>
          </w:tcPr>
          <w:p>
            <w:pPr>
              <w:pStyle w:val="12"/>
            </w:pPr>
            <w:r>
              <w:t>22个</w:t>
            </w:r>
          </w:p>
        </w:tc>
        <w:tc>
          <w:tcPr>
            <w:tcW w:w="2268" w:type="dxa"/>
            <w:vAlign w:val="center"/>
          </w:tcPr>
          <w:p>
            <w:pPr>
              <w:pStyle w:val="12"/>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举办文化活动较上年增长率</w:t>
            </w:r>
          </w:p>
        </w:tc>
        <w:tc>
          <w:tcPr>
            <w:tcW w:w="2835" w:type="dxa"/>
            <w:vAlign w:val="center"/>
          </w:tcPr>
          <w:p>
            <w:pPr>
              <w:pStyle w:val="12"/>
            </w:pPr>
            <w:r>
              <w:t>举办文化活动较上年增长的比例</w:t>
            </w:r>
          </w:p>
        </w:tc>
        <w:tc>
          <w:tcPr>
            <w:tcW w:w="2551" w:type="dxa"/>
            <w:vAlign w:val="center"/>
          </w:tcPr>
          <w:p>
            <w:pPr>
              <w:pStyle w:val="12"/>
            </w:pPr>
            <w:r>
              <w:t>≥5%</w:t>
            </w:r>
          </w:p>
        </w:tc>
        <w:tc>
          <w:tcPr>
            <w:tcW w:w="2268" w:type="dxa"/>
            <w:vAlign w:val="center"/>
          </w:tcPr>
          <w:p>
            <w:pPr>
              <w:pStyle w:val="12"/>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群众参与人次较上年增长率</w:t>
            </w:r>
          </w:p>
        </w:tc>
        <w:tc>
          <w:tcPr>
            <w:tcW w:w="2835" w:type="dxa"/>
            <w:vAlign w:val="center"/>
          </w:tcPr>
          <w:p>
            <w:pPr>
              <w:pStyle w:val="12"/>
            </w:pPr>
            <w:r>
              <w:t>群众参与人次较上年增长率</w:t>
            </w:r>
          </w:p>
        </w:tc>
        <w:tc>
          <w:tcPr>
            <w:tcW w:w="2551" w:type="dxa"/>
            <w:vAlign w:val="center"/>
          </w:tcPr>
          <w:p>
            <w:pPr>
              <w:pStyle w:val="12"/>
            </w:pPr>
            <w:r>
              <w:t>≥5%</w:t>
            </w:r>
          </w:p>
        </w:tc>
        <w:tc>
          <w:tcPr>
            <w:tcW w:w="2268" w:type="dxa"/>
            <w:vAlign w:val="center"/>
          </w:tcPr>
          <w:p>
            <w:pPr>
              <w:pStyle w:val="12"/>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年底前</w:t>
            </w:r>
          </w:p>
        </w:tc>
        <w:tc>
          <w:tcPr>
            <w:tcW w:w="2268" w:type="dxa"/>
            <w:vAlign w:val="center"/>
          </w:tcPr>
          <w:p>
            <w:pPr>
              <w:pStyle w:val="12"/>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实际到位两馆站免费开放资金</w:t>
            </w:r>
          </w:p>
        </w:tc>
        <w:tc>
          <w:tcPr>
            <w:tcW w:w="2835" w:type="dxa"/>
            <w:vAlign w:val="center"/>
          </w:tcPr>
          <w:p>
            <w:pPr>
              <w:pStyle w:val="12"/>
            </w:pPr>
            <w:r>
              <w:t>实际到位两馆站免费开放资金</w:t>
            </w:r>
          </w:p>
        </w:tc>
        <w:tc>
          <w:tcPr>
            <w:tcW w:w="2551" w:type="dxa"/>
            <w:vAlign w:val="center"/>
          </w:tcPr>
          <w:p>
            <w:pPr>
              <w:pStyle w:val="12"/>
            </w:pPr>
            <w:r>
              <w:t>12.5万元</w:t>
            </w:r>
          </w:p>
        </w:tc>
        <w:tc>
          <w:tcPr>
            <w:tcW w:w="2268" w:type="dxa"/>
            <w:vAlign w:val="center"/>
          </w:tcPr>
          <w:p>
            <w:pPr>
              <w:pStyle w:val="12"/>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2835" w:type="dxa"/>
            <w:vAlign w:val="center"/>
          </w:tcPr>
          <w:p>
            <w:pPr>
              <w:pStyle w:val="12"/>
            </w:pPr>
            <w:r>
              <w:t>免费开放服务水平稳步提升</w:t>
            </w:r>
          </w:p>
        </w:tc>
        <w:tc>
          <w:tcPr>
            <w:tcW w:w="2551" w:type="dxa"/>
            <w:vAlign w:val="center"/>
          </w:tcPr>
          <w:p>
            <w:pPr>
              <w:pStyle w:val="12"/>
            </w:pPr>
            <w:r>
              <w:t>长期</w:t>
            </w:r>
          </w:p>
        </w:tc>
        <w:tc>
          <w:tcPr>
            <w:tcW w:w="2268" w:type="dxa"/>
            <w:vAlign w:val="center"/>
          </w:tcPr>
          <w:p>
            <w:pPr>
              <w:pStyle w:val="12"/>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实际两馆站免费开放正常运转所占比例</w:t>
            </w:r>
          </w:p>
        </w:tc>
        <w:tc>
          <w:tcPr>
            <w:tcW w:w="2835" w:type="dxa"/>
            <w:vAlign w:val="center"/>
          </w:tcPr>
          <w:p>
            <w:pPr>
              <w:pStyle w:val="12"/>
            </w:pPr>
            <w:r>
              <w:t>实际两馆站免费开放正常运转所占比例</w:t>
            </w:r>
          </w:p>
        </w:tc>
        <w:tc>
          <w:tcPr>
            <w:tcW w:w="2551" w:type="dxa"/>
            <w:vAlign w:val="center"/>
          </w:tcPr>
          <w:p>
            <w:pPr>
              <w:pStyle w:val="12"/>
            </w:pPr>
            <w:r>
              <w:t>≥90%</w:t>
            </w:r>
          </w:p>
        </w:tc>
        <w:tc>
          <w:tcPr>
            <w:tcW w:w="2268" w:type="dxa"/>
            <w:vAlign w:val="center"/>
          </w:tcPr>
          <w:p>
            <w:pPr>
              <w:pStyle w:val="12"/>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调查问卷、读者留言</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8、冀财教[2022]189号2023年省级公共文化服务体系建设资金-三区文化人才专项资金绩效目标表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1.选派12名优秀文化工作者到乡村进行文化帮扶，提升文化服务水平</w:t>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选派文化工作者数量</w:t>
            </w:r>
          </w:p>
        </w:tc>
        <w:tc>
          <w:tcPr>
            <w:tcW w:w="2835" w:type="dxa"/>
            <w:vAlign w:val="center"/>
          </w:tcPr>
          <w:p>
            <w:pPr>
              <w:pStyle w:val="12"/>
            </w:pPr>
            <w:r>
              <w:t>选派到乡镇村工作和服务的文化工作者数量</w:t>
            </w:r>
          </w:p>
          <w:p>
            <w:pPr>
              <w:pStyle w:val="12"/>
            </w:pPr>
          </w:p>
        </w:tc>
        <w:tc>
          <w:tcPr>
            <w:tcW w:w="2551" w:type="dxa"/>
            <w:vAlign w:val="center"/>
          </w:tcPr>
          <w:p>
            <w:pPr>
              <w:pStyle w:val="12"/>
            </w:pPr>
            <w:r>
              <w:t>12名</w:t>
            </w:r>
          </w:p>
        </w:tc>
        <w:tc>
          <w:tcPr>
            <w:tcW w:w="2268"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专项资金到位数额</w:t>
            </w:r>
          </w:p>
        </w:tc>
        <w:tc>
          <w:tcPr>
            <w:tcW w:w="2835" w:type="dxa"/>
            <w:vAlign w:val="center"/>
          </w:tcPr>
          <w:p>
            <w:pPr>
              <w:pStyle w:val="12"/>
            </w:pPr>
            <w:r>
              <w:t>专项资金实际到位金额</w:t>
            </w:r>
          </w:p>
        </w:tc>
        <w:tc>
          <w:tcPr>
            <w:tcW w:w="2551" w:type="dxa"/>
            <w:vAlign w:val="center"/>
          </w:tcPr>
          <w:p>
            <w:pPr>
              <w:pStyle w:val="12"/>
            </w:pPr>
            <w:r>
              <w:t>12万元</w:t>
            </w:r>
          </w:p>
        </w:tc>
        <w:tc>
          <w:tcPr>
            <w:tcW w:w="2268"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帮扶工作时间</w:t>
            </w:r>
          </w:p>
        </w:tc>
        <w:tc>
          <w:tcPr>
            <w:tcW w:w="2835" w:type="dxa"/>
            <w:vAlign w:val="center"/>
          </w:tcPr>
          <w:p>
            <w:pPr>
              <w:pStyle w:val="12"/>
            </w:pPr>
            <w:r>
              <w:t>帮扶工作的时间</w:t>
            </w:r>
          </w:p>
        </w:tc>
        <w:tc>
          <w:tcPr>
            <w:tcW w:w="2551" w:type="dxa"/>
            <w:vAlign w:val="center"/>
          </w:tcPr>
          <w:p>
            <w:pPr>
              <w:pStyle w:val="12"/>
            </w:pPr>
            <w:r>
              <w:t>12月底前</w:t>
            </w:r>
          </w:p>
        </w:tc>
        <w:tc>
          <w:tcPr>
            <w:tcW w:w="2268"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2835" w:type="dxa"/>
            <w:vAlign w:val="center"/>
          </w:tcPr>
          <w:p>
            <w:pPr>
              <w:pStyle w:val="12"/>
            </w:pPr>
            <w:r>
              <w:t>业务工作完成率（%）</w:t>
            </w:r>
          </w:p>
        </w:tc>
        <w:tc>
          <w:tcPr>
            <w:tcW w:w="2551" w:type="dxa"/>
            <w:vAlign w:val="center"/>
          </w:tcPr>
          <w:p>
            <w:pPr>
              <w:pStyle w:val="12"/>
            </w:pPr>
            <w:r>
              <w:t>≥90%</w:t>
            </w:r>
          </w:p>
        </w:tc>
        <w:tc>
          <w:tcPr>
            <w:tcW w:w="2268" w:type="dxa"/>
            <w:vAlign w:val="center"/>
          </w:tcPr>
          <w:p>
            <w:pPr>
              <w:pStyle w:val="12"/>
            </w:pPr>
            <w:r>
              <w:t>工作方案和总结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推动贫困地区文化发展，提升公共文化服务水平情况</w:t>
            </w:r>
          </w:p>
        </w:tc>
        <w:tc>
          <w:tcPr>
            <w:tcW w:w="2835" w:type="dxa"/>
            <w:vAlign w:val="center"/>
          </w:tcPr>
          <w:p>
            <w:pPr>
              <w:pStyle w:val="12"/>
            </w:pPr>
            <w:r>
              <w:t>推动贫困地区文化发展，提升公共文化服务水平情况</w:t>
            </w:r>
          </w:p>
        </w:tc>
        <w:tc>
          <w:tcPr>
            <w:tcW w:w="2551" w:type="dxa"/>
            <w:vAlign w:val="center"/>
          </w:tcPr>
          <w:p>
            <w:pPr>
              <w:pStyle w:val="12"/>
            </w:pPr>
            <w:r>
              <w:t>稳步提升</w:t>
            </w:r>
          </w:p>
        </w:tc>
        <w:tc>
          <w:tcPr>
            <w:tcW w:w="2268" w:type="dxa"/>
            <w:vAlign w:val="center"/>
          </w:tcPr>
          <w:p>
            <w:pPr>
              <w:pStyle w:val="12"/>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贫困地区文化人才队伍建设水平</w:t>
            </w:r>
          </w:p>
        </w:tc>
        <w:tc>
          <w:tcPr>
            <w:tcW w:w="2835" w:type="dxa"/>
            <w:vAlign w:val="center"/>
          </w:tcPr>
          <w:p>
            <w:pPr>
              <w:pStyle w:val="12"/>
            </w:pPr>
            <w:r>
              <w:t>贫困地区文化人才队伍建设水平</w:t>
            </w:r>
          </w:p>
        </w:tc>
        <w:tc>
          <w:tcPr>
            <w:tcW w:w="2551" w:type="dxa"/>
            <w:vAlign w:val="center"/>
          </w:tcPr>
          <w:p>
            <w:pPr>
              <w:pStyle w:val="12"/>
            </w:pPr>
            <w:r>
              <w:t>不断提升</w:t>
            </w:r>
          </w:p>
        </w:tc>
        <w:tc>
          <w:tcPr>
            <w:tcW w:w="2268" w:type="dxa"/>
            <w:vAlign w:val="center"/>
          </w:tcPr>
          <w:p>
            <w:pPr>
              <w:pStyle w:val="12"/>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受援地对文化人才支持专项工作的满意度</w:t>
            </w:r>
          </w:p>
        </w:tc>
        <w:tc>
          <w:tcPr>
            <w:tcW w:w="2835" w:type="dxa"/>
            <w:vAlign w:val="center"/>
          </w:tcPr>
          <w:p>
            <w:pPr>
              <w:pStyle w:val="12"/>
            </w:pPr>
            <w:r>
              <w:t>受援地对文化人才支持专项工作的整体满意度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9、冀财教[2022]191号省级公共文化服务体系建设资金-优秀作品创作奖励项目绩效目标表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1.大力支持文化作品创作1首（或部），传播优秀文化。</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开展文化作品创作的数量</w:t>
            </w:r>
          </w:p>
        </w:tc>
        <w:tc>
          <w:tcPr>
            <w:tcW w:w="2835" w:type="dxa"/>
            <w:vAlign w:val="center"/>
          </w:tcPr>
          <w:p>
            <w:pPr>
              <w:pStyle w:val="12"/>
            </w:pPr>
            <w:r>
              <w:t>开展文化作品创作的数量</w:t>
            </w:r>
          </w:p>
        </w:tc>
        <w:tc>
          <w:tcPr>
            <w:tcW w:w="2551" w:type="dxa"/>
            <w:vAlign w:val="center"/>
          </w:tcPr>
          <w:p>
            <w:pPr>
              <w:pStyle w:val="12"/>
            </w:pPr>
            <w:r>
              <w:t>≥1部</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工作完成的比例</w:t>
            </w:r>
          </w:p>
        </w:tc>
        <w:tc>
          <w:tcPr>
            <w:tcW w:w="2551" w:type="dxa"/>
            <w:vAlign w:val="center"/>
          </w:tcPr>
          <w:p>
            <w:pPr>
              <w:pStyle w:val="12"/>
            </w:pPr>
            <w:r>
              <w:t>≥90%</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完成的时限要求</w:t>
            </w:r>
          </w:p>
        </w:tc>
        <w:tc>
          <w:tcPr>
            <w:tcW w:w="2551" w:type="dxa"/>
            <w:vAlign w:val="center"/>
          </w:tcPr>
          <w:p>
            <w:pPr>
              <w:pStyle w:val="12"/>
            </w:pPr>
            <w:r>
              <w:t>12月底前</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w:t>
            </w:r>
          </w:p>
        </w:tc>
        <w:tc>
          <w:tcPr>
            <w:tcW w:w="2835" w:type="dxa"/>
            <w:vAlign w:val="center"/>
          </w:tcPr>
          <w:p>
            <w:pPr>
              <w:pStyle w:val="12"/>
            </w:pPr>
            <w:r>
              <w:t>预算成本</w:t>
            </w:r>
          </w:p>
        </w:tc>
        <w:tc>
          <w:tcPr>
            <w:tcW w:w="2551" w:type="dxa"/>
            <w:vAlign w:val="center"/>
          </w:tcPr>
          <w:p>
            <w:pPr>
              <w:pStyle w:val="12"/>
            </w:pPr>
            <w:r>
              <w:t>≤27万元</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对中华传统优秀文化的认知率</w:t>
            </w:r>
          </w:p>
        </w:tc>
        <w:tc>
          <w:tcPr>
            <w:tcW w:w="2835" w:type="dxa"/>
            <w:vAlign w:val="center"/>
          </w:tcPr>
          <w:p>
            <w:pPr>
              <w:pStyle w:val="12"/>
            </w:pPr>
            <w:r>
              <w:t>对中华传统优秀文化的认知率</w:t>
            </w:r>
          </w:p>
        </w:tc>
        <w:tc>
          <w:tcPr>
            <w:tcW w:w="2551" w:type="dxa"/>
            <w:vAlign w:val="center"/>
          </w:tcPr>
          <w:p>
            <w:pPr>
              <w:pStyle w:val="12"/>
            </w:pPr>
            <w:r>
              <w:t>逐年提升</w:t>
            </w:r>
          </w:p>
        </w:tc>
        <w:tc>
          <w:tcPr>
            <w:tcW w:w="2268"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传承、弘扬中华民族优秀文化遗产</w:t>
            </w:r>
          </w:p>
        </w:tc>
        <w:tc>
          <w:tcPr>
            <w:tcW w:w="2835" w:type="dxa"/>
            <w:vAlign w:val="center"/>
          </w:tcPr>
          <w:p>
            <w:pPr>
              <w:pStyle w:val="12"/>
            </w:pPr>
            <w:r>
              <w:t>传承、弘扬中华民族优秀文化遗产</w:t>
            </w:r>
          </w:p>
        </w:tc>
        <w:tc>
          <w:tcPr>
            <w:tcW w:w="2551" w:type="dxa"/>
            <w:vAlign w:val="center"/>
          </w:tcPr>
          <w:p>
            <w:pPr>
              <w:pStyle w:val="12"/>
            </w:pPr>
            <w:r>
              <w:t>长期</w:t>
            </w:r>
          </w:p>
        </w:tc>
        <w:tc>
          <w:tcPr>
            <w:tcW w:w="2268"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10、梨文化生态旅游活动和采摘体验游活动经费绩效目标表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1.举办梨花盛开时期生态旅游活动，做好宣传推介1次。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成本指标</w:t>
            </w:r>
          </w:p>
        </w:tc>
        <w:tc>
          <w:tcPr>
            <w:tcW w:w="2835" w:type="dxa"/>
            <w:vAlign w:val="center"/>
          </w:tcPr>
          <w:p>
            <w:pPr>
              <w:pStyle w:val="12"/>
            </w:pPr>
            <w:r>
              <w:t>梨花节旅游宣传费用</w:t>
            </w:r>
          </w:p>
        </w:tc>
        <w:tc>
          <w:tcPr>
            <w:tcW w:w="2835" w:type="dxa"/>
            <w:vAlign w:val="center"/>
          </w:tcPr>
          <w:p>
            <w:pPr>
              <w:pStyle w:val="12"/>
            </w:pPr>
            <w:r>
              <w:t>实际开展梨花节旅游宣传推介活动和采摘体验游活动费用</w:t>
            </w:r>
          </w:p>
        </w:tc>
        <w:tc>
          <w:tcPr>
            <w:tcW w:w="2551" w:type="dxa"/>
            <w:vAlign w:val="center"/>
          </w:tcPr>
          <w:p>
            <w:pPr>
              <w:pStyle w:val="12"/>
            </w:pPr>
            <w:r>
              <w:t>≤10万元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举办宣传推介的次数</w:t>
            </w:r>
          </w:p>
        </w:tc>
        <w:tc>
          <w:tcPr>
            <w:tcW w:w="2835" w:type="dxa"/>
            <w:vAlign w:val="center"/>
          </w:tcPr>
          <w:p>
            <w:pPr>
              <w:pStyle w:val="12"/>
            </w:pPr>
            <w:r>
              <w:t>举办宣传推介的次数</w:t>
            </w:r>
          </w:p>
        </w:tc>
        <w:tc>
          <w:tcPr>
            <w:tcW w:w="2551" w:type="dxa"/>
            <w:vAlign w:val="center"/>
          </w:tcPr>
          <w:p>
            <w:pPr>
              <w:pStyle w:val="12"/>
            </w:pPr>
            <w:r>
              <w:t>≥1次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2835" w:type="dxa"/>
            <w:vAlign w:val="center"/>
          </w:tcPr>
          <w:p>
            <w:pPr>
              <w:pStyle w:val="12"/>
            </w:pPr>
            <w:r>
              <w:t>按照要求和计划完成任务的项目在所有项目中的比例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时限要求</w:t>
            </w:r>
          </w:p>
        </w:tc>
        <w:tc>
          <w:tcPr>
            <w:tcW w:w="2835" w:type="dxa"/>
            <w:vAlign w:val="center"/>
          </w:tcPr>
          <w:p>
            <w:pPr>
              <w:pStyle w:val="12"/>
            </w:pPr>
            <w:r>
              <w:t>4月15日前完成梨花节旅游宣传活动</w:t>
            </w:r>
          </w:p>
        </w:tc>
        <w:tc>
          <w:tcPr>
            <w:tcW w:w="2551" w:type="dxa"/>
            <w:vAlign w:val="center"/>
          </w:tcPr>
          <w:p>
            <w:pPr>
              <w:pStyle w:val="12"/>
            </w:pPr>
            <w:r>
              <w:t>4月底前</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提升旅游品牌</w:t>
            </w:r>
          </w:p>
        </w:tc>
        <w:tc>
          <w:tcPr>
            <w:tcW w:w="2835" w:type="dxa"/>
            <w:vAlign w:val="center"/>
          </w:tcPr>
          <w:p>
            <w:pPr>
              <w:pStyle w:val="12"/>
            </w:pPr>
            <w:r>
              <w:t>通过宣传推介活动，展示魏县形象，提高魏县知名度。</w:t>
            </w:r>
          </w:p>
        </w:tc>
        <w:tc>
          <w:tcPr>
            <w:tcW w:w="2551" w:type="dxa"/>
            <w:vAlign w:val="center"/>
          </w:tcPr>
          <w:p>
            <w:pPr>
              <w:pStyle w:val="12"/>
            </w:pPr>
            <w:r>
              <w:t>有效提升</w:t>
            </w:r>
          </w:p>
        </w:tc>
        <w:tc>
          <w:tcPr>
            <w:tcW w:w="2268" w:type="dxa"/>
            <w:vAlign w:val="center"/>
          </w:tcPr>
          <w:p>
            <w:pPr>
              <w:pStyle w:val="12"/>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基本公共旅游服务水平</w:t>
            </w:r>
          </w:p>
        </w:tc>
        <w:tc>
          <w:tcPr>
            <w:tcW w:w="2835" w:type="dxa"/>
            <w:vAlign w:val="center"/>
          </w:tcPr>
          <w:p>
            <w:pPr>
              <w:pStyle w:val="12"/>
            </w:pPr>
            <w:r>
              <w:t>提升基本公共旅游服务水平</w:t>
            </w:r>
          </w:p>
        </w:tc>
        <w:tc>
          <w:tcPr>
            <w:tcW w:w="2551" w:type="dxa"/>
            <w:vAlign w:val="center"/>
          </w:tcPr>
          <w:p>
            <w:pPr>
              <w:pStyle w:val="12"/>
            </w:pPr>
            <w:r>
              <w:t>有效提升</w:t>
            </w:r>
          </w:p>
        </w:tc>
        <w:tc>
          <w:tcPr>
            <w:tcW w:w="2268" w:type="dxa"/>
            <w:vAlign w:val="center"/>
          </w:tcPr>
          <w:p>
            <w:pPr>
              <w:pStyle w:val="12"/>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受益群众和游客满意度</w:t>
            </w:r>
          </w:p>
        </w:tc>
        <w:tc>
          <w:tcPr>
            <w:tcW w:w="2835" w:type="dxa"/>
            <w:vAlign w:val="center"/>
          </w:tcPr>
          <w:p>
            <w:pPr>
              <w:pStyle w:val="12"/>
            </w:pPr>
            <w:r>
              <w:t>调查人群中，满意和较满意人群占调查人群的比例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11、旅游厕所建设绩效目标表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1.旅游厕所建设1处，改善旅游基础设施，美好环境，方便游客，提升旅游服务质量。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成本指标</w:t>
            </w:r>
          </w:p>
        </w:tc>
        <w:tc>
          <w:tcPr>
            <w:tcW w:w="2835" w:type="dxa"/>
            <w:vAlign w:val="center"/>
          </w:tcPr>
          <w:p>
            <w:pPr>
              <w:pStyle w:val="12"/>
            </w:pPr>
            <w:r>
              <w:t>修建旅游厕所费用</w:t>
            </w:r>
          </w:p>
        </w:tc>
        <w:tc>
          <w:tcPr>
            <w:tcW w:w="2835" w:type="dxa"/>
            <w:vAlign w:val="center"/>
          </w:tcPr>
          <w:p>
            <w:pPr>
              <w:pStyle w:val="12"/>
            </w:pPr>
            <w:r>
              <w:t>实际修建旅游厕所费用</w:t>
            </w:r>
          </w:p>
        </w:tc>
        <w:tc>
          <w:tcPr>
            <w:tcW w:w="2551" w:type="dxa"/>
            <w:vAlign w:val="center"/>
          </w:tcPr>
          <w:p>
            <w:pPr>
              <w:pStyle w:val="12"/>
            </w:pPr>
            <w:r>
              <w:t>≤30万元</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修建旅游厕所的数量</w:t>
            </w:r>
          </w:p>
        </w:tc>
        <w:tc>
          <w:tcPr>
            <w:tcW w:w="2835" w:type="dxa"/>
            <w:vAlign w:val="center"/>
          </w:tcPr>
          <w:p>
            <w:pPr>
              <w:pStyle w:val="12"/>
            </w:pPr>
            <w:r>
              <w:t>实际修建旅游厕所的数量</w:t>
            </w:r>
          </w:p>
        </w:tc>
        <w:tc>
          <w:tcPr>
            <w:tcW w:w="2551" w:type="dxa"/>
            <w:vAlign w:val="center"/>
          </w:tcPr>
          <w:p>
            <w:pPr>
              <w:pStyle w:val="12"/>
            </w:pPr>
            <w:r>
              <w:t>1座</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旅游厕所等级</w:t>
            </w:r>
          </w:p>
        </w:tc>
        <w:tc>
          <w:tcPr>
            <w:tcW w:w="2835" w:type="dxa"/>
            <w:vAlign w:val="center"/>
          </w:tcPr>
          <w:p>
            <w:pPr>
              <w:pStyle w:val="12"/>
            </w:pPr>
            <w:r>
              <w:t>实际修建旅游厕所的等级</w:t>
            </w:r>
          </w:p>
        </w:tc>
        <w:tc>
          <w:tcPr>
            <w:tcW w:w="2551" w:type="dxa"/>
            <w:vAlign w:val="center"/>
          </w:tcPr>
          <w:p>
            <w:pPr>
              <w:pStyle w:val="12"/>
            </w:pPr>
            <w:r>
              <w:t>A级</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资金到位金额占总数的比例</w:t>
            </w:r>
          </w:p>
        </w:tc>
        <w:tc>
          <w:tcPr>
            <w:tcW w:w="2551" w:type="dxa"/>
            <w:vAlign w:val="center"/>
          </w:tcPr>
          <w:p>
            <w:pPr>
              <w:pStyle w:val="12"/>
            </w:pPr>
            <w:r>
              <w:t>≥90%</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旅游厕所建设完成时间</w:t>
            </w:r>
          </w:p>
        </w:tc>
        <w:tc>
          <w:tcPr>
            <w:tcW w:w="2835" w:type="dxa"/>
            <w:vAlign w:val="center"/>
          </w:tcPr>
          <w:p>
            <w:pPr>
              <w:pStyle w:val="12"/>
            </w:pPr>
            <w:r>
              <w:t>旅游厕所建设完成时间</w:t>
            </w:r>
          </w:p>
        </w:tc>
        <w:tc>
          <w:tcPr>
            <w:tcW w:w="2551" w:type="dxa"/>
            <w:vAlign w:val="center"/>
          </w:tcPr>
          <w:p>
            <w:pPr>
              <w:pStyle w:val="12"/>
            </w:pPr>
            <w:r>
              <w:t>12月底</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提升旅游公共服务</w:t>
            </w:r>
          </w:p>
        </w:tc>
        <w:tc>
          <w:tcPr>
            <w:tcW w:w="2835" w:type="dxa"/>
            <w:vAlign w:val="center"/>
          </w:tcPr>
          <w:p>
            <w:pPr>
              <w:pStyle w:val="12"/>
            </w:pPr>
            <w:r>
              <w:t>提升旅游公共服务水平</w:t>
            </w:r>
          </w:p>
        </w:tc>
        <w:tc>
          <w:tcPr>
            <w:tcW w:w="2551" w:type="dxa"/>
            <w:vAlign w:val="center"/>
          </w:tcPr>
          <w:p>
            <w:pPr>
              <w:pStyle w:val="12"/>
            </w:pPr>
            <w:r>
              <w:t>逐步提升</w:t>
            </w:r>
          </w:p>
        </w:tc>
        <w:tc>
          <w:tcPr>
            <w:tcW w:w="2268" w:type="dxa"/>
            <w:vAlign w:val="center"/>
          </w:tcPr>
          <w:p>
            <w:pPr>
              <w:pStyle w:val="12"/>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环境绿化美化程度</w:t>
            </w:r>
          </w:p>
        </w:tc>
        <w:tc>
          <w:tcPr>
            <w:tcW w:w="2835" w:type="dxa"/>
            <w:vAlign w:val="center"/>
          </w:tcPr>
          <w:p>
            <w:pPr>
              <w:pStyle w:val="12"/>
            </w:pPr>
            <w:r>
              <w:t>不断改善景点环境</w:t>
            </w:r>
          </w:p>
        </w:tc>
        <w:tc>
          <w:tcPr>
            <w:tcW w:w="2551" w:type="dxa"/>
            <w:vAlign w:val="center"/>
          </w:tcPr>
          <w:p>
            <w:pPr>
              <w:pStyle w:val="12"/>
            </w:pPr>
            <w:r>
              <w:t>改善</w:t>
            </w:r>
          </w:p>
        </w:tc>
        <w:tc>
          <w:tcPr>
            <w:tcW w:w="2268"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群众和游客满意度</w:t>
            </w:r>
          </w:p>
        </w:tc>
        <w:tc>
          <w:tcPr>
            <w:tcW w:w="2835" w:type="dxa"/>
            <w:vAlign w:val="center"/>
          </w:tcPr>
          <w:p>
            <w:pPr>
              <w:pStyle w:val="12"/>
            </w:pPr>
            <w:r>
              <w:t>群众和游客满意和较满意数量占总数的比例。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12、农村文化活动补助县级配套绩效目标表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1.引导和支持地方提供基本公共文化服务项目，开展文化活动120场，促进基本公共文化服务标准化、均等化</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文化活动完成数量</w:t>
            </w:r>
          </w:p>
        </w:tc>
        <w:tc>
          <w:tcPr>
            <w:tcW w:w="2835" w:type="dxa"/>
            <w:vAlign w:val="center"/>
          </w:tcPr>
          <w:p>
            <w:pPr>
              <w:pStyle w:val="12"/>
            </w:pPr>
            <w:r>
              <w:t>开展文化活动完成数量</w:t>
            </w:r>
          </w:p>
        </w:tc>
        <w:tc>
          <w:tcPr>
            <w:tcW w:w="2551" w:type="dxa"/>
            <w:vAlign w:val="center"/>
          </w:tcPr>
          <w:p>
            <w:pPr>
              <w:pStyle w:val="12"/>
            </w:pPr>
            <w:r>
              <w:t>120场</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2835" w:type="dxa"/>
            <w:vAlign w:val="center"/>
          </w:tcPr>
          <w:p>
            <w:pPr>
              <w:pStyle w:val="12"/>
            </w:pPr>
            <w:r>
              <w:t>项目验收合格比例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预算项目成本</w:t>
            </w:r>
          </w:p>
        </w:tc>
        <w:tc>
          <w:tcPr>
            <w:tcW w:w="2835" w:type="dxa"/>
            <w:vAlign w:val="center"/>
          </w:tcPr>
          <w:p>
            <w:pPr>
              <w:pStyle w:val="12"/>
            </w:pPr>
            <w:r>
              <w:t>预算项目成本</w:t>
            </w:r>
          </w:p>
        </w:tc>
        <w:tc>
          <w:tcPr>
            <w:tcW w:w="2551" w:type="dxa"/>
            <w:vAlign w:val="center"/>
          </w:tcPr>
          <w:p>
            <w:pPr>
              <w:pStyle w:val="12"/>
            </w:pPr>
            <w:r>
              <w:t>37万元</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完成工作的时限要求</w:t>
            </w:r>
          </w:p>
        </w:tc>
        <w:tc>
          <w:tcPr>
            <w:tcW w:w="2551" w:type="dxa"/>
            <w:vAlign w:val="center"/>
          </w:tcPr>
          <w:p>
            <w:pPr>
              <w:pStyle w:val="12"/>
            </w:pPr>
            <w:r>
              <w:t>12月底</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群众参与人次较上年增长率</w:t>
            </w:r>
          </w:p>
        </w:tc>
        <w:tc>
          <w:tcPr>
            <w:tcW w:w="2835" w:type="dxa"/>
            <w:vAlign w:val="center"/>
          </w:tcPr>
          <w:p>
            <w:pPr>
              <w:pStyle w:val="12"/>
            </w:pPr>
            <w:r>
              <w:t>群众参与人次与上年的比较</w:t>
            </w:r>
          </w:p>
        </w:tc>
        <w:tc>
          <w:tcPr>
            <w:tcW w:w="2551" w:type="dxa"/>
            <w:vAlign w:val="center"/>
          </w:tcPr>
          <w:p>
            <w:pPr>
              <w:pStyle w:val="12"/>
            </w:pPr>
            <w:r>
              <w:t>≥5%</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2835" w:type="dxa"/>
            <w:vAlign w:val="center"/>
          </w:tcPr>
          <w:p>
            <w:pPr>
              <w:pStyle w:val="12"/>
            </w:pPr>
            <w:r>
              <w:t>提升公共服务水平和质量</w:t>
            </w:r>
          </w:p>
        </w:tc>
        <w:tc>
          <w:tcPr>
            <w:tcW w:w="2551" w:type="dxa"/>
            <w:vAlign w:val="center"/>
          </w:tcPr>
          <w:p>
            <w:pPr>
              <w:pStyle w:val="12"/>
            </w:pPr>
            <w:r>
              <w:t>长期</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群众满意和较满意人群占调查人群的比例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13、全县文化日常监管经费绩效目标表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1.做好全县文化市场日常监管，开展集中行动4次以上，并做好法律法规宣传。</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成本指标</w:t>
            </w:r>
          </w:p>
        </w:tc>
        <w:tc>
          <w:tcPr>
            <w:tcW w:w="2835" w:type="dxa"/>
            <w:vAlign w:val="center"/>
          </w:tcPr>
          <w:p>
            <w:pPr>
              <w:pStyle w:val="12"/>
            </w:pPr>
            <w:r>
              <w:t>开展文化和旅游市场日常监管费</w:t>
            </w:r>
          </w:p>
        </w:tc>
        <w:tc>
          <w:tcPr>
            <w:tcW w:w="2835" w:type="dxa"/>
            <w:vAlign w:val="center"/>
          </w:tcPr>
          <w:p>
            <w:pPr>
              <w:pStyle w:val="12"/>
            </w:pPr>
            <w:r>
              <w:t>实际开展文化日常监管费</w:t>
            </w:r>
          </w:p>
        </w:tc>
        <w:tc>
          <w:tcPr>
            <w:tcW w:w="2551" w:type="dxa"/>
            <w:vAlign w:val="center"/>
          </w:tcPr>
          <w:p>
            <w:pPr>
              <w:pStyle w:val="12"/>
            </w:pPr>
            <w:r>
              <w:t>≤8万元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开展文化和旅游市场检查次数</w:t>
            </w:r>
          </w:p>
        </w:tc>
        <w:tc>
          <w:tcPr>
            <w:tcW w:w="2835" w:type="dxa"/>
            <w:vAlign w:val="center"/>
          </w:tcPr>
          <w:p>
            <w:pPr>
              <w:pStyle w:val="12"/>
            </w:pPr>
            <w:r>
              <w:t>实际完成市场检查的次数</w:t>
            </w:r>
          </w:p>
        </w:tc>
        <w:tc>
          <w:tcPr>
            <w:tcW w:w="2551" w:type="dxa"/>
            <w:vAlign w:val="center"/>
          </w:tcPr>
          <w:p>
            <w:pPr>
              <w:pStyle w:val="12"/>
            </w:pPr>
            <w:r>
              <w:t>≥4次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开展文化市场政策宣传的次数</w:t>
            </w:r>
          </w:p>
        </w:tc>
        <w:tc>
          <w:tcPr>
            <w:tcW w:w="2835" w:type="dxa"/>
            <w:vAlign w:val="center"/>
          </w:tcPr>
          <w:p>
            <w:pPr>
              <w:pStyle w:val="12"/>
            </w:pPr>
            <w:r>
              <w:t>实际完成政策宣传的次数</w:t>
            </w:r>
          </w:p>
        </w:tc>
        <w:tc>
          <w:tcPr>
            <w:tcW w:w="2551" w:type="dxa"/>
            <w:vAlign w:val="center"/>
          </w:tcPr>
          <w:p>
            <w:pPr>
              <w:pStyle w:val="12"/>
            </w:pPr>
            <w:r>
              <w:t>≥2次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时限要求</w:t>
            </w:r>
          </w:p>
        </w:tc>
        <w:tc>
          <w:tcPr>
            <w:tcW w:w="2835" w:type="dxa"/>
            <w:vAlign w:val="center"/>
          </w:tcPr>
          <w:p>
            <w:pPr>
              <w:pStyle w:val="12"/>
            </w:pPr>
            <w:r>
              <w:t>完成工作的时限要求</w:t>
            </w:r>
          </w:p>
        </w:tc>
        <w:tc>
          <w:tcPr>
            <w:tcW w:w="2551" w:type="dxa"/>
            <w:vAlign w:val="center"/>
          </w:tcPr>
          <w:p>
            <w:pPr>
              <w:pStyle w:val="12"/>
            </w:pPr>
            <w:r>
              <w:t>12月份</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工作完成的比例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基本公共文化服务水平</w:t>
            </w:r>
          </w:p>
        </w:tc>
        <w:tc>
          <w:tcPr>
            <w:tcW w:w="2835" w:type="dxa"/>
            <w:vAlign w:val="center"/>
          </w:tcPr>
          <w:p>
            <w:pPr>
              <w:pStyle w:val="12"/>
            </w:pPr>
            <w:r>
              <w:t>基本公共文化服务水平</w:t>
            </w:r>
          </w:p>
        </w:tc>
        <w:tc>
          <w:tcPr>
            <w:tcW w:w="2551" w:type="dxa"/>
            <w:vAlign w:val="center"/>
          </w:tcPr>
          <w:p>
            <w:pPr>
              <w:pStyle w:val="12"/>
            </w:pPr>
            <w:r>
              <w:t>有效提升</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文化市场健康发展</w:t>
            </w:r>
          </w:p>
        </w:tc>
        <w:tc>
          <w:tcPr>
            <w:tcW w:w="2835" w:type="dxa"/>
            <w:vAlign w:val="center"/>
          </w:tcPr>
          <w:p>
            <w:pPr>
              <w:pStyle w:val="12"/>
            </w:pPr>
            <w:r>
              <w:t>文化市场健康发展</w:t>
            </w:r>
          </w:p>
        </w:tc>
        <w:tc>
          <w:tcPr>
            <w:tcW w:w="2551" w:type="dxa"/>
            <w:vAlign w:val="center"/>
          </w:tcPr>
          <w:p>
            <w:pPr>
              <w:pStyle w:val="12"/>
            </w:pPr>
            <w:r>
              <w:t>长期</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调查中满意和较满意的人员数量占调查总人数的比率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14、魏县图书馆委托运营服务费用绩效目标表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1.魏县图书馆委托运营服务，按照国家一级馆标准运营，不断提升公共文化服务水平。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读者总人次</w:t>
            </w:r>
          </w:p>
        </w:tc>
        <w:tc>
          <w:tcPr>
            <w:tcW w:w="2835" w:type="dxa"/>
            <w:vAlign w:val="center"/>
          </w:tcPr>
          <w:p>
            <w:pPr>
              <w:pStyle w:val="12"/>
            </w:pPr>
            <w:r>
              <w:t>全年到馆读者总人次</w:t>
            </w:r>
          </w:p>
        </w:tc>
        <w:tc>
          <w:tcPr>
            <w:tcW w:w="2551" w:type="dxa"/>
            <w:vAlign w:val="center"/>
          </w:tcPr>
          <w:p>
            <w:pPr>
              <w:pStyle w:val="12"/>
            </w:pPr>
            <w:r>
              <w:t>≥15万人次</w:t>
            </w:r>
          </w:p>
        </w:tc>
        <w:tc>
          <w:tcPr>
            <w:tcW w:w="2268" w:type="dxa"/>
            <w:vAlign w:val="center"/>
          </w:tcPr>
          <w:p>
            <w:pPr>
              <w:pStyle w:val="12"/>
            </w:pPr>
            <w:r>
              <w:t>相关文件及合同约定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举办展览、培训、讲座、阅读推广活动的数量</w:t>
            </w:r>
          </w:p>
        </w:tc>
        <w:tc>
          <w:tcPr>
            <w:tcW w:w="2835" w:type="dxa"/>
            <w:vAlign w:val="center"/>
          </w:tcPr>
          <w:p>
            <w:pPr>
              <w:pStyle w:val="12"/>
            </w:pPr>
            <w:r>
              <w:t>举办展览、培训、讲座、阅读推广活动的数量</w:t>
            </w:r>
          </w:p>
        </w:tc>
        <w:tc>
          <w:tcPr>
            <w:tcW w:w="2551" w:type="dxa"/>
            <w:vAlign w:val="center"/>
          </w:tcPr>
          <w:p>
            <w:pPr>
              <w:pStyle w:val="12"/>
            </w:pPr>
            <w:r>
              <w:t>≥74次</w:t>
            </w:r>
          </w:p>
        </w:tc>
        <w:tc>
          <w:tcPr>
            <w:tcW w:w="2268" w:type="dxa"/>
            <w:vAlign w:val="center"/>
          </w:tcPr>
          <w:p>
            <w:pPr>
              <w:pStyle w:val="12"/>
            </w:pPr>
            <w:r>
              <w:t>相关文件及合同约定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创新读者品牌活动数量</w:t>
            </w:r>
          </w:p>
        </w:tc>
        <w:tc>
          <w:tcPr>
            <w:tcW w:w="2835" w:type="dxa"/>
            <w:vAlign w:val="center"/>
          </w:tcPr>
          <w:p>
            <w:pPr>
              <w:pStyle w:val="12"/>
            </w:pPr>
            <w:r>
              <w:t>创新读者品牌活动数量</w:t>
            </w:r>
          </w:p>
        </w:tc>
        <w:tc>
          <w:tcPr>
            <w:tcW w:w="2551" w:type="dxa"/>
            <w:vAlign w:val="center"/>
          </w:tcPr>
          <w:p>
            <w:pPr>
              <w:pStyle w:val="12"/>
            </w:pPr>
            <w:r>
              <w:t>≥1个</w:t>
            </w:r>
          </w:p>
        </w:tc>
        <w:tc>
          <w:tcPr>
            <w:tcW w:w="2268" w:type="dxa"/>
            <w:vAlign w:val="center"/>
          </w:tcPr>
          <w:p>
            <w:pPr>
              <w:pStyle w:val="12"/>
            </w:pPr>
            <w:r>
              <w:t>相关文件及合同约定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馆外流动服务次数</w:t>
            </w:r>
          </w:p>
        </w:tc>
        <w:tc>
          <w:tcPr>
            <w:tcW w:w="2835" w:type="dxa"/>
            <w:vAlign w:val="center"/>
          </w:tcPr>
          <w:p>
            <w:pPr>
              <w:pStyle w:val="12"/>
            </w:pPr>
            <w:r>
              <w:t>馆外流动服务次数</w:t>
            </w:r>
          </w:p>
        </w:tc>
        <w:tc>
          <w:tcPr>
            <w:tcW w:w="2551" w:type="dxa"/>
            <w:vAlign w:val="center"/>
          </w:tcPr>
          <w:p>
            <w:pPr>
              <w:pStyle w:val="12"/>
            </w:pPr>
            <w:r>
              <w:t>≥12次</w:t>
            </w:r>
          </w:p>
        </w:tc>
        <w:tc>
          <w:tcPr>
            <w:tcW w:w="2268" w:type="dxa"/>
            <w:vAlign w:val="center"/>
          </w:tcPr>
          <w:p>
            <w:pPr>
              <w:pStyle w:val="12"/>
            </w:pPr>
            <w:r>
              <w:t>相关文件及合同约定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服务项目完备率</w:t>
            </w:r>
          </w:p>
        </w:tc>
        <w:tc>
          <w:tcPr>
            <w:tcW w:w="2835" w:type="dxa"/>
            <w:vAlign w:val="center"/>
          </w:tcPr>
          <w:p>
            <w:pPr>
              <w:pStyle w:val="12"/>
            </w:pPr>
            <w:r>
              <w:t>服务项目完备率</w:t>
            </w:r>
          </w:p>
        </w:tc>
        <w:tc>
          <w:tcPr>
            <w:tcW w:w="2551" w:type="dxa"/>
            <w:vAlign w:val="center"/>
          </w:tcPr>
          <w:p>
            <w:pPr>
              <w:pStyle w:val="12"/>
            </w:pPr>
            <w:r>
              <w:t>≥90%</w:t>
            </w:r>
          </w:p>
        </w:tc>
        <w:tc>
          <w:tcPr>
            <w:tcW w:w="2268" w:type="dxa"/>
            <w:vAlign w:val="center"/>
          </w:tcPr>
          <w:p>
            <w:pPr>
              <w:pStyle w:val="12"/>
            </w:pPr>
            <w:r>
              <w:t>相关文件及合同约定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服务完成的时间</w:t>
            </w:r>
          </w:p>
        </w:tc>
        <w:tc>
          <w:tcPr>
            <w:tcW w:w="2835" w:type="dxa"/>
            <w:vAlign w:val="center"/>
          </w:tcPr>
          <w:p>
            <w:pPr>
              <w:pStyle w:val="12"/>
            </w:pPr>
            <w:r>
              <w:t>服务完成的时间要求</w:t>
            </w:r>
          </w:p>
        </w:tc>
        <w:tc>
          <w:tcPr>
            <w:tcW w:w="2551" w:type="dxa"/>
            <w:vAlign w:val="center"/>
          </w:tcPr>
          <w:p>
            <w:pPr>
              <w:pStyle w:val="12"/>
            </w:pPr>
            <w:r>
              <w:t>12个月</w:t>
            </w:r>
          </w:p>
        </w:tc>
        <w:tc>
          <w:tcPr>
            <w:tcW w:w="2268" w:type="dxa"/>
            <w:vAlign w:val="center"/>
          </w:tcPr>
          <w:p>
            <w:pPr>
              <w:pStyle w:val="12"/>
            </w:pPr>
            <w:r>
              <w:t>相关文件及合同约定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366万元</w:t>
            </w:r>
          </w:p>
        </w:tc>
        <w:tc>
          <w:tcPr>
            <w:tcW w:w="2268" w:type="dxa"/>
            <w:vAlign w:val="center"/>
          </w:tcPr>
          <w:p>
            <w:pPr>
              <w:pStyle w:val="12"/>
            </w:pPr>
            <w:r>
              <w:t>相关文件及合同约定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2835" w:type="dxa"/>
            <w:vAlign w:val="center"/>
          </w:tcPr>
          <w:p>
            <w:pPr>
              <w:pStyle w:val="12"/>
            </w:pPr>
            <w:r>
              <w:t>项目实施对公共服务水平提升情况</w:t>
            </w:r>
          </w:p>
        </w:tc>
        <w:tc>
          <w:tcPr>
            <w:tcW w:w="2551" w:type="dxa"/>
            <w:vAlign w:val="center"/>
          </w:tcPr>
          <w:p>
            <w:pPr>
              <w:pStyle w:val="12"/>
            </w:pPr>
            <w:r>
              <w:t>提升</w:t>
            </w:r>
          </w:p>
        </w:tc>
        <w:tc>
          <w:tcPr>
            <w:tcW w:w="2268" w:type="dxa"/>
            <w:vAlign w:val="center"/>
          </w:tcPr>
          <w:p>
            <w:pPr>
              <w:pStyle w:val="12"/>
            </w:pPr>
            <w:r>
              <w:t>调查、考核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不断推进</w:t>
            </w:r>
          </w:p>
        </w:tc>
        <w:tc>
          <w:tcPr>
            <w:tcW w:w="2268"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读者满意率</w:t>
            </w:r>
          </w:p>
        </w:tc>
        <w:tc>
          <w:tcPr>
            <w:tcW w:w="2835" w:type="dxa"/>
            <w:vAlign w:val="center"/>
          </w:tcPr>
          <w:p>
            <w:pPr>
              <w:pStyle w:val="12"/>
            </w:pPr>
            <w:r>
              <w:t>读者满意和比较满意的比例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15、文化和旅游惠民工程配套绩效目标表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1.开展文化和旅游惠民工程，惠及群众，全年发放文化和旅游惠民卡1067张、惠民券21343张。</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惠民卡</w:t>
            </w:r>
          </w:p>
        </w:tc>
        <w:tc>
          <w:tcPr>
            <w:tcW w:w="2835" w:type="dxa"/>
            <w:vAlign w:val="center"/>
          </w:tcPr>
          <w:p>
            <w:pPr>
              <w:pStyle w:val="12"/>
            </w:pPr>
            <w:r>
              <w:t>惠民卡发放数量</w:t>
            </w:r>
          </w:p>
        </w:tc>
        <w:tc>
          <w:tcPr>
            <w:tcW w:w="2551" w:type="dxa"/>
            <w:vAlign w:val="center"/>
          </w:tcPr>
          <w:p>
            <w:pPr>
              <w:pStyle w:val="12"/>
            </w:pPr>
            <w:r>
              <w:t>≥1067张</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惠民券</w:t>
            </w:r>
          </w:p>
        </w:tc>
        <w:tc>
          <w:tcPr>
            <w:tcW w:w="2835" w:type="dxa"/>
            <w:vAlign w:val="center"/>
          </w:tcPr>
          <w:p>
            <w:pPr>
              <w:pStyle w:val="12"/>
            </w:pPr>
            <w:r>
              <w:t>惠民券发放数量</w:t>
            </w:r>
          </w:p>
        </w:tc>
        <w:tc>
          <w:tcPr>
            <w:tcW w:w="2551" w:type="dxa"/>
            <w:vAlign w:val="center"/>
          </w:tcPr>
          <w:p>
            <w:pPr>
              <w:pStyle w:val="12"/>
            </w:pPr>
            <w:r>
              <w:t>≥21343张</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发放完成率</w:t>
            </w:r>
          </w:p>
        </w:tc>
        <w:tc>
          <w:tcPr>
            <w:tcW w:w="2835" w:type="dxa"/>
            <w:vAlign w:val="center"/>
          </w:tcPr>
          <w:p>
            <w:pPr>
              <w:pStyle w:val="12"/>
            </w:pPr>
            <w:r>
              <w:t>按照要求和计划完成任务的项目在所有项目中的比例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预算资金成本</w:t>
            </w:r>
          </w:p>
        </w:tc>
        <w:tc>
          <w:tcPr>
            <w:tcW w:w="2835" w:type="dxa"/>
            <w:vAlign w:val="center"/>
          </w:tcPr>
          <w:p>
            <w:pPr>
              <w:pStyle w:val="12"/>
            </w:pPr>
            <w:r>
              <w:t>预算资金成本</w:t>
            </w:r>
          </w:p>
        </w:tc>
        <w:tc>
          <w:tcPr>
            <w:tcW w:w="2551" w:type="dxa"/>
            <w:vAlign w:val="center"/>
          </w:tcPr>
          <w:p>
            <w:pPr>
              <w:pStyle w:val="12"/>
            </w:pPr>
            <w:r>
              <w:t>21.68万元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时限要求</w:t>
            </w:r>
          </w:p>
        </w:tc>
        <w:tc>
          <w:tcPr>
            <w:tcW w:w="2835" w:type="dxa"/>
            <w:vAlign w:val="center"/>
          </w:tcPr>
          <w:p>
            <w:pPr>
              <w:pStyle w:val="12"/>
            </w:pPr>
            <w:r>
              <w:t>8月底前全部完成</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提升文化旅游品牌</w:t>
            </w:r>
          </w:p>
        </w:tc>
        <w:tc>
          <w:tcPr>
            <w:tcW w:w="2835" w:type="dxa"/>
            <w:vAlign w:val="center"/>
          </w:tcPr>
          <w:p>
            <w:pPr>
              <w:pStyle w:val="12"/>
            </w:pPr>
            <w:r>
              <w:t>通过宣传推介活动，展示魏县形象，提高魏县知名度。</w:t>
            </w:r>
          </w:p>
        </w:tc>
        <w:tc>
          <w:tcPr>
            <w:tcW w:w="2551" w:type="dxa"/>
            <w:vAlign w:val="center"/>
          </w:tcPr>
          <w:p>
            <w:pPr>
              <w:pStyle w:val="12"/>
            </w:pPr>
            <w:r>
              <w:t>有效提升</w:t>
            </w:r>
          </w:p>
        </w:tc>
        <w:tc>
          <w:tcPr>
            <w:tcW w:w="2268" w:type="dxa"/>
            <w:vAlign w:val="center"/>
          </w:tcPr>
          <w:p>
            <w:pPr>
              <w:pStyle w:val="12"/>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基本公共旅游服务水平</w:t>
            </w:r>
          </w:p>
        </w:tc>
        <w:tc>
          <w:tcPr>
            <w:tcW w:w="2835" w:type="dxa"/>
            <w:vAlign w:val="center"/>
          </w:tcPr>
          <w:p>
            <w:pPr>
              <w:pStyle w:val="12"/>
            </w:pPr>
            <w:r>
              <w:t>提升基本公共旅游服务水平</w:t>
            </w:r>
          </w:p>
        </w:tc>
        <w:tc>
          <w:tcPr>
            <w:tcW w:w="2551" w:type="dxa"/>
            <w:vAlign w:val="center"/>
          </w:tcPr>
          <w:p>
            <w:pPr>
              <w:pStyle w:val="12"/>
            </w:pPr>
            <w:r>
              <w:t>有效提升</w:t>
            </w:r>
          </w:p>
        </w:tc>
        <w:tc>
          <w:tcPr>
            <w:tcW w:w="2268" w:type="dxa"/>
            <w:vAlign w:val="center"/>
          </w:tcPr>
          <w:p>
            <w:pPr>
              <w:pStyle w:val="12"/>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受益群众和游客满意度</w:t>
            </w:r>
          </w:p>
        </w:tc>
        <w:tc>
          <w:tcPr>
            <w:tcW w:w="2835" w:type="dxa"/>
            <w:vAlign w:val="center"/>
          </w:tcPr>
          <w:p>
            <w:pPr>
              <w:pStyle w:val="12"/>
            </w:pPr>
            <w:r>
              <w:t>调查人群中，满意和较满意人群占调查人群的比例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16、文化信息共享工程补助县级配套绩效目标表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1.为基层562个服务点缴纳宽带服务费，购置文化共享工程设备，改善基础公共文化设施条件</w:t>
            </w:r>
            <w:r>
              <w:tab/>
            </w:r>
            <w:r>
              <w:tab/>
            </w:r>
            <w:r>
              <w:tab/>
            </w:r>
            <w:r>
              <w:tab/>
            </w:r>
            <w:r>
              <w:tab/>
            </w:r>
            <w:r>
              <w:tab/>
            </w:r>
            <w:r>
              <w:tab/>
            </w:r>
          </w:p>
          <w:p>
            <w:pPr>
              <w:pStyle w:val="12"/>
            </w:pPr>
            <w:r>
              <w:tab/>
            </w:r>
            <w:r>
              <w:tab/>
            </w:r>
            <w:r>
              <w:tab/>
            </w:r>
            <w:r>
              <w:tab/>
            </w:r>
            <w:r>
              <w:tab/>
            </w:r>
          </w:p>
          <w:p>
            <w:pPr>
              <w:pStyle w:val="12"/>
            </w:pPr>
          </w:p>
          <w:p>
            <w:pPr>
              <w:pStyle w:val="12"/>
            </w:pPr>
            <w:r>
              <w:t>2.为推进文化信息资源共享工程建设，加快推进数字化进程，购置设备20台。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文化共享工程服务点连接数量</w:t>
            </w:r>
          </w:p>
        </w:tc>
        <w:tc>
          <w:tcPr>
            <w:tcW w:w="2835" w:type="dxa"/>
            <w:vAlign w:val="center"/>
          </w:tcPr>
          <w:p>
            <w:pPr>
              <w:pStyle w:val="12"/>
            </w:pPr>
            <w:r>
              <w:t>村文化活动室文化共享工程服务点宽带连接数量</w:t>
            </w:r>
          </w:p>
        </w:tc>
        <w:tc>
          <w:tcPr>
            <w:tcW w:w="2551" w:type="dxa"/>
            <w:vAlign w:val="center"/>
          </w:tcPr>
          <w:p>
            <w:pPr>
              <w:pStyle w:val="12"/>
            </w:pPr>
            <w:r>
              <w:t>562个</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购置设备的数量</w:t>
            </w:r>
          </w:p>
        </w:tc>
        <w:tc>
          <w:tcPr>
            <w:tcW w:w="2835" w:type="dxa"/>
            <w:vAlign w:val="center"/>
          </w:tcPr>
          <w:p>
            <w:pPr>
              <w:pStyle w:val="12"/>
            </w:pPr>
            <w:r>
              <w:t>购置设备的数量</w:t>
            </w:r>
          </w:p>
        </w:tc>
        <w:tc>
          <w:tcPr>
            <w:tcW w:w="2551" w:type="dxa"/>
            <w:vAlign w:val="center"/>
          </w:tcPr>
          <w:p>
            <w:pPr>
              <w:pStyle w:val="12"/>
            </w:pPr>
            <w:r>
              <w:t>≥20台</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村级服务点连接率</w:t>
            </w:r>
          </w:p>
        </w:tc>
        <w:tc>
          <w:tcPr>
            <w:tcW w:w="2835" w:type="dxa"/>
            <w:vAlign w:val="center"/>
          </w:tcPr>
          <w:p>
            <w:pPr>
              <w:pStyle w:val="12"/>
            </w:pPr>
            <w:r>
              <w:t>连接服务点比例</w:t>
            </w:r>
          </w:p>
        </w:tc>
        <w:tc>
          <w:tcPr>
            <w:tcW w:w="2551" w:type="dxa"/>
            <w:vAlign w:val="center"/>
          </w:tcPr>
          <w:p>
            <w:pPr>
              <w:pStyle w:val="12"/>
            </w:pPr>
            <w:r>
              <w:t>≥90%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w:t>
            </w:r>
          </w:p>
        </w:tc>
        <w:tc>
          <w:tcPr>
            <w:tcW w:w="2835" w:type="dxa"/>
            <w:vAlign w:val="center"/>
          </w:tcPr>
          <w:p>
            <w:pPr>
              <w:pStyle w:val="12"/>
            </w:pPr>
            <w:r>
              <w:t>项目预算成本</w:t>
            </w:r>
          </w:p>
        </w:tc>
        <w:tc>
          <w:tcPr>
            <w:tcW w:w="2551" w:type="dxa"/>
            <w:vAlign w:val="center"/>
          </w:tcPr>
          <w:p>
            <w:pPr>
              <w:pStyle w:val="12"/>
            </w:pPr>
            <w:r>
              <w:t>≤30万元</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12月底</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推进数字化建设</w:t>
            </w:r>
          </w:p>
        </w:tc>
        <w:tc>
          <w:tcPr>
            <w:tcW w:w="2835" w:type="dxa"/>
            <w:vAlign w:val="center"/>
          </w:tcPr>
          <w:p>
            <w:pPr>
              <w:pStyle w:val="12"/>
            </w:pPr>
            <w:r>
              <w:t>推进数字化建设</w:t>
            </w:r>
          </w:p>
        </w:tc>
        <w:tc>
          <w:tcPr>
            <w:tcW w:w="2551" w:type="dxa"/>
            <w:vAlign w:val="center"/>
          </w:tcPr>
          <w:p>
            <w:pPr>
              <w:pStyle w:val="12"/>
            </w:pPr>
            <w:r>
              <w:t>长期</w:t>
            </w:r>
          </w:p>
        </w:tc>
        <w:tc>
          <w:tcPr>
            <w:tcW w:w="2268" w:type="dxa"/>
            <w:vAlign w:val="center"/>
          </w:tcPr>
          <w:p>
            <w:pPr>
              <w:pStyle w:val="12"/>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公共文化设施建设</w:t>
            </w:r>
          </w:p>
        </w:tc>
        <w:tc>
          <w:tcPr>
            <w:tcW w:w="2835" w:type="dxa"/>
            <w:vAlign w:val="center"/>
          </w:tcPr>
          <w:p>
            <w:pPr>
              <w:pStyle w:val="12"/>
            </w:pPr>
            <w:r>
              <w:t>不断推动公共文化设施建设</w:t>
            </w:r>
          </w:p>
        </w:tc>
        <w:tc>
          <w:tcPr>
            <w:tcW w:w="2551" w:type="dxa"/>
            <w:vAlign w:val="center"/>
          </w:tcPr>
          <w:p>
            <w:pPr>
              <w:pStyle w:val="12"/>
            </w:pPr>
            <w:r>
              <w:t>长期</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通过调查受益群体中满意和较满意人群的比例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17、文物保护经费绩效目标表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1.做好全县文物保护工作，不出现文物丢失和盗窃。</w:t>
            </w:r>
          </w:p>
          <w:p>
            <w:pPr>
              <w:pStyle w:val="12"/>
            </w:pPr>
            <w:r>
              <w:t>2.做好北皋镇蒲谭营村观音寺文物看护工作，发放看护人员6人的看护费。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成本指标</w:t>
            </w:r>
          </w:p>
        </w:tc>
        <w:tc>
          <w:tcPr>
            <w:tcW w:w="2835" w:type="dxa"/>
            <w:vAlign w:val="center"/>
          </w:tcPr>
          <w:p>
            <w:pPr>
              <w:pStyle w:val="12"/>
            </w:pPr>
            <w:r>
              <w:t>文物保护预算成本</w:t>
            </w:r>
          </w:p>
        </w:tc>
        <w:tc>
          <w:tcPr>
            <w:tcW w:w="2835" w:type="dxa"/>
            <w:vAlign w:val="center"/>
          </w:tcPr>
          <w:p>
            <w:pPr>
              <w:pStyle w:val="12"/>
            </w:pPr>
            <w:r>
              <w:t>文物保护预算成本</w:t>
            </w:r>
          </w:p>
        </w:tc>
        <w:tc>
          <w:tcPr>
            <w:tcW w:w="2551" w:type="dxa"/>
            <w:vAlign w:val="center"/>
          </w:tcPr>
          <w:p>
            <w:pPr>
              <w:pStyle w:val="12"/>
            </w:pPr>
            <w:r>
              <w:t>5万元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看护人员数量</w:t>
            </w:r>
          </w:p>
        </w:tc>
        <w:tc>
          <w:tcPr>
            <w:tcW w:w="2835" w:type="dxa"/>
            <w:vAlign w:val="center"/>
          </w:tcPr>
          <w:p>
            <w:pPr>
              <w:pStyle w:val="12"/>
            </w:pPr>
            <w:r>
              <w:t>实际文物看护人员数量</w:t>
            </w:r>
          </w:p>
        </w:tc>
        <w:tc>
          <w:tcPr>
            <w:tcW w:w="2551" w:type="dxa"/>
            <w:vAlign w:val="center"/>
          </w:tcPr>
          <w:p>
            <w:pPr>
              <w:pStyle w:val="12"/>
            </w:pPr>
            <w:r>
              <w:t>6人</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做好文物保护工作</w:t>
            </w:r>
          </w:p>
        </w:tc>
        <w:tc>
          <w:tcPr>
            <w:tcW w:w="2835" w:type="dxa"/>
            <w:vAlign w:val="center"/>
          </w:tcPr>
          <w:p>
            <w:pPr>
              <w:pStyle w:val="12"/>
            </w:pPr>
            <w:r>
              <w:t>认真做好文物保护工作</w:t>
            </w:r>
          </w:p>
        </w:tc>
        <w:tc>
          <w:tcPr>
            <w:tcW w:w="2551" w:type="dxa"/>
            <w:vAlign w:val="center"/>
          </w:tcPr>
          <w:p>
            <w:pPr>
              <w:pStyle w:val="12"/>
            </w:pPr>
            <w:r>
              <w:t>不出现文物丢失和盗窃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文物保护时限要求</w:t>
            </w:r>
          </w:p>
        </w:tc>
        <w:tc>
          <w:tcPr>
            <w:tcW w:w="2551" w:type="dxa"/>
            <w:vAlign w:val="center"/>
          </w:tcPr>
          <w:p>
            <w:pPr>
              <w:pStyle w:val="12"/>
            </w:pPr>
            <w:r>
              <w:t>12月份</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满足人民群众精神文化需求，提高全民文物保护意识</w:t>
            </w:r>
          </w:p>
        </w:tc>
        <w:tc>
          <w:tcPr>
            <w:tcW w:w="2835" w:type="dxa"/>
            <w:vAlign w:val="center"/>
          </w:tcPr>
          <w:p>
            <w:pPr>
              <w:pStyle w:val="12"/>
            </w:pPr>
            <w:r>
              <w:t>满足人民群众精神文化需求，提高全民文物保护意识</w:t>
            </w:r>
          </w:p>
        </w:tc>
        <w:tc>
          <w:tcPr>
            <w:tcW w:w="2551" w:type="dxa"/>
            <w:vAlign w:val="center"/>
          </w:tcPr>
          <w:p>
            <w:pPr>
              <w:pStyle w:val="12"/>
            </w:pPr>
            <w:r>
              <w:t>提升</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保护好文物，对优秀的文物历史文化价值传承影响深远</w:t>
            </w:r>
          </w:p>
        </w:tc>
        <w:tc>
          <w:tcPr>
            <w:tcW w:w="2835" w:type="dxa"/>
            <w:vAlign w:val="center"/>
          </w:tcPr>
          <w:p>
            <w:pPr>
              <w:pStyle w:val="12"/>
            </w:pPr>
            <w:r>
              <w:t>保护好文物，对优秀的文物历史文化价值传承影响深远</w:t>
            </w:r>
          </w:p>
        </w:tc>
        <w:tc>
          <w:tcPr>
            <w:tcW w:w="2551" w:type="dxa"/>
            <w:vAlign w:val="center"/>
          </w:tcPr>
          <w:p>
            <w:pPr>
              <w:pStyle w:val="12"/>
            </w:pPr>
            <w:r>
              <w:t>长远影响</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2023年，魏县文化广电和旅游局本级安排政府采购预算62.27万元。具体内容见下表。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357001魏县文化广电和旅游局本级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62.27</w:t>
            </w:r>
          </w:p>
        </w:tc>
        <w:tc>
          <w:tcPr>
            <w:tcW w:w="964" w:type="dxa"/>
            <w:vAlign w:val="center"/>
          </w:tcPr>
          <w:p>
            <w:pPr>
              <w:pStyle w:val="15"/>
            </w:pPr>
            <w:r>
              <w:t>62.27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魏县文化广电和旅游局本级小计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62.27</w:t>
            </w:r>
          </w:p>
        </w:tc>
        <w:tc>
          <w:tcPr>
            <w:tcW w:w="964" w:type="dxa"/>
            <w:vAlign w:val="center"/>
          </w:tcPr>
          <w:p>
            <w:pPr>
              <w:pStyle w:val="15"/>
            </w:pPr>
            <w:r>
              <w:t>62.27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冀财教[2022]151号2023年中央补助地方公共文化服务体系建设资金-一般项目及绩效奖励</w:t>
            </w:r>
          </w:p>
        </w:tc>
        <w:tc>
          <w:tcPr>
            <w:tcW w:w="964" w:type="dxa"/>
            <w:vAlign w:val="center"/>
          </w:tcPr>
          <w:p>
            <w:pPr>
              <w:pStyle w:val="13"/>
            </w:pPr>
            <w:r>
              <w:t>130.98</w:t>
            </w:r>
          </w:p>
        </w:tc>
        <w:tc>
          <w:tcPr>
            <w:tcW w:w="1134" w:type="dxa"/>
            <w:vAlign w:val="center"/>
          </w:tcPr>
          <w:p>
            <w:pPr>
              <w:pStyle w:val="12"/>
            </w:pPr>
            <w:r>
              <w:t>其他文艺设备</w:t>
            </w:r>
          </w:p>
        </w:tc>
        <w:tc>
          <w:tcPr>
            <w:tcW w:w="1134" w:type="dxa"/>
            <w:vAlign w:val="center"/>
          </w:tcPr>
          <w:p>
            <w:pPr>
              <w:pStyle w:val="12"/>
            </w:pPr>
            <w:r>
              <w:t>A02459900</w:t>
            </w:r>
          </w:p>
        </w:tc>
        <w:tc>
          <w:tcPr>
            <w:tcW w:w="709" w:type="dxa"/>
            <w:vAlign w:val="center"/>
          </w:tcPr>
          <w:p>
            <w:pPr>
              <w:pStyle w:val="11"/>
            </w:pPr>
            <w:r>
              <w:t>套</w:t>
            </w:r>
          </w:p>
        </w:tc>
        <w:tc>
          <w:tcPr>
            <w:tcW w:w="850" w:type="dxa"/>
            <w:vAlign w:val="center"/>
          </w:tcPr>
          <w:p>
            <w:pPr>
              <w:pStyle w:val="13"/>
            </w:pPr>
            <w:r>
              <w:t>1</w:t>
            </w:r>
          </w:p>
        </w:tc>
        <w:tc>
          <w:tcPr>
            <w:tcW w:w="850" w:type="dxa"/>
            <w:vAlign w:val="center"/>
          </w:tcPr>
          <w:p>
            <w:pPr>
              <w:pStyle w:val="13"/>
            </w:pPr>
            <w:r>
              <w:t>52.50</w:t>
            </w:r>
          </w:p>
        </w:tc>
        <w:tc>
          <w:tcPr>
            <w:tcW w:w="964" w:type="dxa"/>
            <w:vAlign w:val="center"/>
          </w:tcPr>
          <w:p>
            <w:pPr>
              <w:pStyle w:val="13"/>
            </w:pPr>
            <w:r>
              <w:t>52.50</w:t>
            </w:r>
          </w:p>
        </w:tc>
        <w:tc>
          <w:tcPr>
            <w:tcW w:w="964" w:type="dxa"/>
            <w:vAlign w:val="center"/>
          </w:tcPr>
          <w:p>
            <w:pPr>
              <w:pStyle w:val="13"/>
            </w:pPr>
            <w:r>
              <w:t>52.50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文化信息共享工程补助县级配套</w:t>
            </w:r>
          </w:p>
        </w:tc>
        <w:tc>
          <w:tcPr>
            <w:tcW w:w="964" w:type="dxa"/>
            <w:vAlign w:val="center"/>
          </w:tcPr>
          <w:p>
            <w:pPr>
              <w:pStyle w:val="13"/>
            </w:pPr>
            <w:r>
              <w:t>30.00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1"/>
            </w:pPr>
            <w:r>
              <w:t>台</w:t>
            </w:r>
          </w:p>
        </w:tc>
        <w:tc>
          <w:tcPr>
            <w:tcW w:w="850" w:type="dxa"/>
            <w:vAlign w:val="center"/>
          </w:tcPr>
          <w:p>
            <w:pPr>
              <w:pStyle w:val="13"/>
            </w:pPr>
            <w:r>
              <w:t>20</w:t>
            </w:r>
          </w:p>
        </w:tc>
        <w:tc>
          <w:tcPr>
            <w:tcW w:w="850" w:type="dxa"/>
            <w:vAlign w:val="center"/>
          </w:tcPr>
          <w:p>
            <w:pPr>
              <w:pStyle w:val="13"/>
            </w:pPr>
            <w:r>
              <w:t>0.49</w:t>
            </w:r>
          </w:p>
        </w:tc>
        <w:tc>
          <w:tcPr>
            <w:tcW w:w="964" w:type="dxa"/>
            <w:vAlign w:val="center"/>
          </w:tcPr>
          <w:p>
            <w:pPr>
              <w:pStyle w:val="13"/>
            </w:pPr>
            <w:r>
              <w:t>9.77</w:t>
            </w:r>
          </w:p>
        </w:tc>
        <w:tc>
          <w:tcPr>
            <w:tcW w:w="964" w:type="dxa"/>
            <w:vAlign w:val="center"/>
          </w:tcPr>
          <w:p>
            <w:pPr>
              <w:pStyle w:val="13"/>
            </w:pPr>
            <w:r>
              <w:t>9.77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9.77</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魏县文化广电和旅游局本级上年末固定资产金额为251.24万元（详见下表）。本年度拟购置固定资产总额为142.37万元，已按要求列入政府采购预算，详见政府采购预算表。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357001魏县文化广电和旅游局本级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251.24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2</w:t>
            </w:r>
          </w:p>
        </w:tc>
        <w:tc>
          <w:tcPr>
            <w:tcW w:w="2835" w:type="dxa"/>
            <w:vAlign w:val="center"/>
          </w:tcPr>
          <w:p>
            <w:pPr>
              <w:pStyle w:val="13"/>
            </w:pPr>
            <w:r>
              <w:t>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r>
              <w:t>273</w:t>
            </w:r>
          </w:p>
        </w:tc>
        <w:tc>
          <w:tcPr>
            <w:tcW w:w="2835" w:type="dxa"/>
            <w:vAlign w:val="center"/>
          </w:tcPr>
          <w:p>
            <w:pPr>
              <w:pStyle w:val="13"/>
            </w:pPr>
            <w:r>
              <w:t>215.76</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2765E"/>
    <w:multiLevelType w:val="singleLevel"/>
    <w:tmpl w:val="2192765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MDdkNzQ5OWQ5Y2RlYjdjZDQwNzViNGM2MDY3MmMifQ=="/>
  </w:docVars>
  <w:rsids>
    <w:rsidRoot w:val="76887F15"/>
    <w:rsid w:val="0DDA7292"/>
    <w:rsid w:val="0DED6FC6"/>
    <w:rsid w:val="0FF6414F"/>
    <w:rsid w:val="1C716FAF"/>
    <w:rsid w:val="20B10327"/>
    <w:rsid w:val="2FEC1210"/>
    <w:rsid w:val="41D67795"/>
    <w:rsid w:val="49347560"/>
    <w:rsid w:val="5322283B"/>
    <w:rsid w:val="6CF50AAA"/>
    <w:rsid w:val="6E535B46"/>
    <w:rsid w:val="75D17367"/>
    <w:rsid w:val="76887F15"/>
    <w:rsid w:val="7D49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12623</Words>
  <Characters>14761</Characters>
  <Lines>0</Lines>
  <Paragraphs>0</Paragraphs>
  <TotalTime>10</TotalTime>
  <ScaleCrop>false</ScaleCrop>
  <LinksUpToDate>false</LinksUpToDate>
  <CharactersWithSpaces>15002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2023-04-20T01:02:00Z</dcterms:created>
  <dc:creator>Lenovo</dc:creator>
  <cp:lastModifiedBy>Lenovo</cp:lastModifiedBy>
  <dcterms:modified xsi:type="dcterms:W3CDTF">2023-08-01T08:29:09Z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3BDA42FD0F31476590BBBDED64BAD753_13</vt:lpwstr>
  </property>
</Properties>
</file>