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rPr>
          <w:rFonts w:ascii="Times New Roman" w:hAnsi="Times New Roman" w:eastAsia="仿宋" w:cs="Times New Roman"/>
          <w:b/>
          <w:sz w:val="20"/>
          <w:szCs w:val="22"/>
        </w:rPr>
      </w:pPr>
    </w:p>
    <w:p>
      <w:pPr>
        <w:pStyle w:val="2"/>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32</w:t>
      </w:r>
      <w:r>
        <w:rPr>
          <w:rFonts w:ascii="Times New Roman" w:hAnsi="Times New Roman" w:eastAsia="仿宋" w:cs="Times New Roman"/>
          <w:b/>
          <w:sz w:val="32"/>
          <w:szCs w:val="32"/>
        </w:rPr>
        <w:t>号</w:t>
      </w:r>
    </w:p>
    <w:p>
      <w:pPr>
        <w:pStyle w:val="2"/>
        <w:keepNext w:val="0"/>
        <w:keepLines w:val="0"/>
        <w:pageBreakBefore w:val="0"/>
        <w:widowControl w:val="0"/>
        <w:kinsoku/>
        <w:wordWrap/>
        <w:overflowPunct/>
        <w:topLinePunct w:val="0"/>
        <w:autoSpaceDE/>
        <w:autoSpaceDN/>
        <w:bidi w:val="0"/>
        <w:adjustRightInd/>
        <w:spacing w:line="580" w:lineRule="exact"/>
        <w:ind w:left="0" w:firstLine="0"/>
        <w:textAlignment w:val="auto"/>
      </w:pP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bidi w:val="0"/>
        <w:adjustRightInd w:val="0"/>
        <w:snapToGrid w:val="0"/>
        <w:spacing w:line="580" w:lineRule="exact"/>
        <w:jc w:val="center"/>
        <w:rPr>
          <w:rFonts w:hint="eastAsia" w:ascii="仿宋" w:hAnsi="仿宋" w:eastAsia="仿宋" w:cs="仿宋"/>
          <w:sz w:val="32"/>
          <w:szCs w:val="32"/>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w:t>
      </w:r>
      <w:r>
        <w:rPr>
          <w:rFonts w:hint="default" w:ascii="Times New Roman" w:hAnsi="Times New Roman" w:eastAsia="宋体" w:cs="Times New Roman"/>
          <w:b/>
          <w:sz w:val="44"/>
          <w:szCs w:val="44"/>
        </w:rPr>
        <w:t>河北运驰包装科技有限公司河北运驰包装科技有限公司多层复合铝塑（纸）包装膜/袋加工项目</w:t>
      </w:r>
      <w:r>
        <w:rPr>
          <w:rFonts w:hint="eastAsia" w:ascii="Times New Roman" w:hAnsi="Times New Roman" w:eastAsia="宋体" w:cs="Times New Roman"/>
          <w:b/>
          <w:sz w:val="44"/>
          <w:szCs w:val="44"/>
        </w:rPr>
        <w:t>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default" w:ascii="仿宋" w:hAnsi="仿宋" w:eastAsia="仿宋" w:cs="仿宋"/>
          <w:sz w:val="32"/>
          <w:szCs w:val="32"/>
        </w:rPr>
        <w:t>河北运驰包装科技有限公司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default" w:ascii="仿宋" w:hAnsi="仿宋" w:eastAsia="仿宋" w:cs="仿宋"/>
          <w:sz w:val="32"/>
          <w:szCs w:val="32"/>
        </w:rPr>
        <w:t>河北运驰包装科技有限公司河北运驰包装科技有限公司多层复合铝塑（纸）包装膜/袋加工项目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w:t>
      </w:r>
      <w:r>
        <w:rPr>
          <w:rFonts w:hint="default" w:ascii="仿宋" w:hAnsi="仿宋" w:eastAsia="仿宋" w:cs="仿宋"/>
          <w:sz w:val="32"/>
          <w:szCs w:val="32"/>
        </w:rPr>
        <w:t>河北省邯郸市魏县经济开发区创业大街南段路东</w:t>
      </w:r>
      <w:r>
        <w:rPr>
          <w:rFonts w:hint="eastAsia" w:ascii="仿宋" w:hAnsi="仿宋" w:eastAsia="仿宋" w:cs="仿宋"/>
          <w:sz w:val="32"/>
          <w:szCs w:val="32"/>
          <w:lang w:val="en-US" w:eastAsia="zh-CN"/>
        </w:rPr>
        <w:t>,</w:t>
      </w:r>
      <w:r>
        <w:rPr>
          <w:rFonts w:hint="eastAsia" w:ascii="仿宋" w:hAnsi="仿宋" w:eastAsia="仿宋" w:cs="仿宋"/>
          <w:sz w:val="32"/>
          <w:szCs w:val="32"/>
        </w:rPr>
        <w:t>厂址中心地理坐标为北纬</w:t>
      </w:r>
      <w:r>
        <w:rPr>
          <w:rFonts w:hint="default" w:ascii="仿宋" w:hAnsi="仿宋" w:eastAsia="仿宋" w:cs="仿宋"/>
          <w:sz w:val="32"/>
          <w:szCs w:val="32"/>
          <w:lang w:val="en-US" w:eastAsia="zh-CN"/>
        </w:rPr>
        <w:t>36°1</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54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122</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16</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584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建设内容及规模：</w:t>
      </w:r>
      <w:r>
        <w:rPr>
          <w:rFonts w:hint="default" w:ascii="仿宋" w:hAnsi="仿宋" w:eastAsia="仿宋" w:cs="仿宋"/>
          <w:sz w:val="32"/>
          <w:szCs w:val="32"/>
          <w:lang w:val="en-US" w:eastAsia="zh-CN"/>
        </w:rPr>
        <w:t>年产复合包装膜、袋200吨。租赁并整改车间5000</w:t>
      </w:r>
      <w:r>
        <w:rPr>
          <w:rFonts w:hint="eastAsia" w:ascii="宋体" w:hAnsi="宋体" w:eastAsia="宋体" w:cs="宋体"/>
          <w:sz w:val="32"/>
          <w:szCs w:val="32"/>
          <w:lang w:val="en-US" w:eastAsia="zh-CN"/>
        </w:rPr>
        <w:t>㎡</w:t>
      </w:r>
      <w:r>
        <w:rPr>
          <w:rFonts w:hint="default" w:ascii="仿宋" w:hAnsi="仿宋" w:eastAsia="仿宋" w:cs="仿宋"/>
          <w:sz w:val="32"/>
          <w:szCs w:val="32"/>
          <w:lang w:val="en-US" w:eastAsia="zh-CN"/>
        </w:rPr>
        <w:t>，购置安装机组式凹版印刷机、复合机、制袋机等生产设备</w:t>
      </w:r>
      <w:r>
        <w:rPr>
          <w:rFonts w:hint="eastAsia" w:ascii="仿宋" w:hAnsi="仿宋" w:eastAsia="仿宋" w:cs="仿宋"/>
          <w:sz w:val="32"/>
          <w:szCs w:val="32"/>
          <w:lang w:val="en-US" w:eastAsia="zh-CN"/>
        </w:rPr>
        <w:t>。</w:t>
      </w:r>
      <w:r>
        <w:rPr>
          <w:rFonts w:hint="default" w:ascii="仿宋" w:hAnsi="仿宋" w:eastAsia="仿宋" w:cs="仿宋"/>
          <w:sz w:val="32"/>
          <w:szCs w:val="32"/>
        </w:rPr>
        <w:t>总投资</w:t>
      </w:r>
      <w:r>
        <w:rPr>
          <w:rFonts w:hint="eastAsia" w:ascii="仿宋" w:hAnsi="仿宋" w:eastAsia="仿宋" w:cs="仿宋"/>
          <w:sz w:val="32"/>
          <w:szCs w:val="32"/>
          <w:lang w:val="en-US" w:eastAsia="zh-CN"/>
        </w:rPr>
        <w:t>823.64</w:t>
      </w:r>
      <w:r>
        <w:rPr>
          <w:rFonts w:hint="default" w:ascii="仿宋" w:hAnsi="仿宋" w:eastAsia="仿宋" w:cs="仿宋"/>
          <w:sz w:val="32"/>
          <w:szCs w:val="32"/>
        </w:rPr>
        <w:t>万元，其中环保投资</w:t>
      </w:r>
      <w:r>
        <w:rPr>
          <w:rFonts w:hint="eastAsia" w:ascii="仿宋" w:hAnsi="仿宋" w:eastAsia="仿宋" w:cs="仿宋"/>
          <w:sz w:val="32"/>
          <w:szCs w:val="32"/>
          <w:lang w:val="en-US" w:eastAsia="zh-CN"/>
        </w:rPr>
        <w:t>18</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2.19</w:t>
      </w:r>
      <w:r>
        <w:rPr>
          <w:rFonts w:hint="default"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val="en-US" w:eastAsia="zh-CN"/>
        </w:rPr>
        <w:t>河北铭理环保工程有限公司</w:t>
      </w:r>
      <w:r>
        <w:rPr>
          <w:rFonts w:hint="eastAsia" w:ascii="仿宋" w:hAnsi="仿宋" w:eastAsia="仿宋" w:cs="仿宋"/>
          <w:sz w:val="32"/>
          <w:szCs w:val="32"/>
        </w:rPr>
        <w:t>编制的《</w:t>
      </w:r>
      <w:r>
        <w:rPr>
          <w:rFonts w:hint="default" w:ascii="仿宋" w:hAnsi="仿宋" w:eastAsia="仿宋" w:cs="仿宋"/>
          <w:sz w:val="32"/>
          <w:szCs w:val="32"/>
        </w:rPr>
        <w:t>河北运驰包装科技有限公司河北运驰包装科技有限公司多层复合铝塑（纸）包装膜/袋加工项目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营运期：⑴废气：该项目废气主要</w:t>
      </w:r>
      <w:r>
        <w:rPr>
          <w:rFonts w:hint="default" w:ascii="仿宋" w:hAnsi="仿宋" w:eastAsia="仿宋" w:cs="仿宋"/>
          <w:sz w:val="32"/>
          <w:szCs w:val="32"/>
        </w:rPr>
        <w:t>为</w:t>
      </w:r>
      <w:r>
        <w:rPr>
          <w:rFonts w:hint="default" w:ascii="仿宋" w:hAnsi="仿宋" w:eastAsia="仿宋" w:cs="仿宋"/>
          <w:sz w:val="32"/>
          <w:szCs w:val="32"/>
          <w:lang w:val="en-US" w:eastAsia="zh-CN"/>
        </w:rPr>
        <w:t>印刷废气、复合废气、制袋废气</w:t>
      </w:r>
      <w:r>
        <w:rPr>
          <w:rFonts w:hint="default" w:ascii="仿宋" w:hAnsi="仿宋" w:eastAsia="仿宋" w:cs="仿宋"/>
          <w:sz w:val="32"/>
          <w:szCs w:val="32"/>
        </w:rPr>
        <w:t>。</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在</w:t>
      </w:r>
      <w:r>
        <w:rPr>
          <w:rFonts w:hint="default" w:ascii="仿宋" w:hAnsi="仿宋" w:eastAsia="仿宋" w:cs="仿宋"/>
          <w:sz w:val="32"/>
          <w:szCs w:val="32"/>
          <w:lang w:val="en-US" w:eastAsia="zh-CN"/>
        </w:rPr>
        <w:t>印刷机、复合机、制袋机设备上方加装集气罩，产生的废气通过集气罩收集至</w:t>
      </w:r>
      <w:r>
        <w:rPr>
          <w:rFonts w:hint="default" w:ascii="仿宋" w:hAnsi="仿宋" w:eastAsia="仿宋" w:cs="仿宋"/>
          <w:sz w:val="32"/>
          <w:szCs w:val="32"/>
          <w:lang w:eastAsia="zh-CN"/>
        </w:rPr>
        <w:t>活性炭吸附处理，</w:t>
      </w:r>
      <w:r>
        <w:rPr>
          <w:rFonts w:hint="default" w:ascii="仿宋" w:hAnsi="仿宋" w:eastAsia="仿宋" w:cs="仿宋"/>
          <w:sz w:val="32"/>
          <w:szCs w:val="32"/>
          <w:lang w:val="en-US" w:eastAsia="zh-CN"/>
        </w:rPr>
        <w:t>最终由</w:t>
      </w:r>
      <w:r>
        <w:rPr>
          <w:rFonts w:hint="default" w:ascii="仿宋" w:hAnsi="仿宋" w:eastAsia="仿宋" w:cs="仿宋"/>
          <w:sz w:val="32"/>
          <w:szCs w:val="32"/>
          <w:lang w:eastAsia="zh-CN"/>
        </w:rPr>
        <w:t>排气筒排放</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无组织废气主要为</w:t>
      </w:r>
      <w:r>
        <w:rPr>
          <w:rFonts w:hint="default" w:ascii="仿宋" w:hAnsi="仿宋" w:eastAsia="仿宋" w:cs="仿宋"/>
          <w:sz w:val="32"/>
          <w:szCs w:val="32"/>
          <w:lang w:eastAsia="zh-CN"/>
        </w:rPr>
        <w:t>固化废气</w:t>
      </w:r>
      <w:r>
        <w:rPr>
          <w:rFonts w:hint="eastAsia" w:ascii="仿宋" w:hAnsi="仿宋" w:eastAsia="仿宋" w:cs="仿宋"/>
          <w:sz w:val="32"/>
          <w:szCs w:val="32"/>
          <w:lang w:eastAsia="zh-CN"/>
        </w:rPr>
        <w:t>、</w:t>
      </w:r>
      <w:r>
        <w:rPr>
          <w:rFonts w:hint="default" w:ascii="仿宋" w:hAnsi="仿宋" w:eastAsia="仿宋" w:cs="仿宋"/>
          <w:sz w:val="32"/>
          <w:szCs w:val="32"/>
          <w:lang w:eastAsia="zh-CN"/>
        </w:rPr>
        <w:t>未被集气罩收集的废气</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项目采取厂房密闭、固化室密闭、加强收集效率的措施</w:t>
      </w:r>
      <w:r>
        <w:rPr>
          <w:rFonts w:hint="eastAsia" w:ascii="仿宋" w:hAnsi="仿宋" w:eastAsia="仿宋" w:cs="仿宋"/>
          <w:sz w:val="32"/>
          <w:szCs w:val="32"/>
          <w:lang w:val="en-US" w:eastAsia="zh-CN"/>
        </w:rPr>
        <w:t>后，满足</w:t>
      </w:r>
      <w:r>
        <w:rPr>
          <w:rFonts w:hint="default" w:ascii="仿宋" w:hAnsi="仿宋" w:eastAsia="仿宋" w:cs="仿宋"/>
          <w:sz w:val="32"/>
          <w:szCs w:val="32"/>
        </w:rPr>
        <w:t>《工业企业挥发性有机物排放控制标准》（DB13/2322-2016）中表</w:t>
      </w:r>
      <w:r>
        <w:rPr>
          <w:rFonts w:hint="default" w:ascii="仿宋" w:hAnsi="仿宋" w:eastAsia="仿宋" w:cs="仿宋"/>
          <w:sz w:val="32"/>
          <w:szCs w:val="32"/>
          <w:lang w:val="en-US" w:eastAsia="zh-CN"/>
        </w:rPr>
        <w:t>2标准</w:t>
      </w:r>
      <w:r>
        <w:rPr>
          <w:rFonts w:hint="eastAsia" w:ascii="仿宋" w:hAnsi="仿宋" w:eastAsia="仿宋" w:cs="仿宋"/>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default" w:ascii="仿宋" w:hAnsi="仿宋" w:eastAsia="仿宋" w:cs="仿宋"/>
          <w:sz w:val="32"/>
          <w:szCs w:val="32"/>
        </w:rPr>
        <w:t>项目</w:t>
      </w:r>
      <w:r>
        <w:rPr>
          <w:rFonts w:hint="eastAsia" w:ascii="仿宋" w:hAnsi="仿宋" w:eastAsia="仿宋" w:cs="仿宋"/>
          <w:sz w:val="32"/>
          <w:szCs w:val="32"/>
          <w:lang w:eastAsia="zh-CN"/>
        </w:rPr>
        <w:t>废水主要为</w:t>
      </w:r>
      <w:r>
        <w:rPr>
          <w:rFonts w:hint="default" w:ascii="仿宋" w:hAnsi="仿宋" w:eastAsia="仿宋" w:cs="仿宋"/>
          <w:sz w:val="32"/>
          <w:szCs w:val="32"/>
          <w:lang w:val="en-US" w:eastAsia="zh-CN"/>
        </w:rPr>
        <w:t>职工生活用水。</w:t>
      </w:r>
      <w:r>
        <w:rPr>
          <w:rFonts w:hint="eastAsia" w:ascii="仿宋" w:hAnsi="仿宋" w:eastAsia="仿宋" w:cs="仿宋"/>
          <w:sz w:val="32"/>
          <w:szCs w:val="32"/>
          <w:lang w:val="en-US" w:eastAsia="zh-CN"/>
        </w:rPr>
        <w:t>生活废水经厂区化粪池处理后进入污水管网排入魏县经济开发区污水处理厂处理。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w:t>
      </w:r>
      <w:r>
        <w:rPr>
          <w:rFonts w:hint="default" w:ascii="仿宋" w:hAnsi="仿宋" w:eastAsia="仿宋" w:cs="仿宋"/>
          <w:sz w:val="32"/>
          <w:szCs w:val="32"/>
        </w:rPr>
        <w:t>为</w:t>
      </w:r>
      <w:r>
        <w:rPr>
          <w:rFonts w:hint="default" w:ascii="仿宋" w:hAnsi="仿宋" w:eastAsia="仿宋" w:cs="仿宋"/>
          <w:sz w:val="32"/>
          <w:szCs w:val="32"/>
          <w:lang w:val="en-US" w:eastAsia="zh-CN"/>
        </w:rPr>
        <w:t>各生产工序设备运行时产生的噪声</w:t>
      </w:r>
      <w:r>
        <w:rPr>
          <w:rFonts w:hint="eastAsia" w:ascii="仿宋" w:hAnsi="仿宋" w:eastAsia="仿宋" w:cs="仿宋"/>
          <w:sz w:val="32"/>
          <w:szCs w:val="32"/>
          <w:lang w:val="en-US" w:eastAsia="zh-CN"/>
        </w:rPr>
        <w:t>。</w:t>
      </w:r>
      <w:r>
        <w:rPr>
          <w:rFonts w:hint="eastAsia" w:ascii="仿宋" w:hAnsi="仿宋" w:eastAsia="仿宋" w:cs="仿宋"/>
          <w:sz w:val="32"/>
          <w:szCs w:val="32"/>
        </w:rPr>
        <w:t>选用低噪设备、基础减振、厂房隔声、距离衰减等措施，</w:t>
      </w:r>
      <w:r>
        <w:rPr>
          <w:rFonts w:hint="eastAsia" w:ascii="仿宋" w:hAnsi="仿宋" w:eastAsia="仿宋" w:cs="仿宋"/>
          <w:sz w:val="32"/>
          <w:szCs w:val="32"/>
          <w:lang w:eastAsia="zh-CN"/>
        </w:rPr>
        <w:t>满足</w:t>
      </w:r>
      <w:r>
        <w:rPr>
          <w:rFonts w:hint="default" w:ascii="仿宋" w:hAnsi="仿宋" w:eastAsia="仿宋" w:cs="仿宋"/>
          <w:sz w:val="32"/>
          <w:szCs w:val="32"/>
          <w:lang w:val="zh-CN" w:eastAsia="zh-CN"/>
        </w:rPr>
        <w:t>《工业企业厂界环境噪声排放标准》（GB 12348-2008）中</w:t>
      </w:r>
      <w:r>
        <w:rPr>
          <w:rFonts w:hint="default" w:ascii="仿宋" w:hAnsi="仿宋" w:eastAsia="仿宋" w:cs="仿宋"/>
          <w:sz w:val="32"/>
          <w:szCs w:val="32"/>
          <w:lang w:val="en-US" w:eastAsia="zh-CN"/>
        </w:rPr>
        <w:t>3</w:t>
      </w:r>
      <w:r>
        <w:rPr>
          <w:rFonts w:hint="default" w:ascii="仿宋" w:hAnsi="仿宋" w:eastAsia="仿宋" w:cs="仿宋"/>
          <w:sz w:val="32"/>
          <w:szCs w:val="32"/>
          <w:lang w:val="zh-CN" w:eastAsia="zh-CN"/>
        </w:rPr>
        <w:t>类区标准限值的要求</w:t>
      </w:r>
      <w:r>
        <w:rPr>
          <w:rFonts w:hint="eastAsia" w:ascii="仿宋" w:hAnsi="仿宋" w:eastAsia="仿宋" w:cs="仿宋"/>
          <w:sz w:val="32"/>
          <w:szCs w:val="32"/>
          <w:lang w:val="zh-CN"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（4）固体废物：该项目固体废物主要</w:t>
      </w:r>
      <w:r>
        <w:rPr>
          <w:rFonts w:hint="default" w:ascii="仿宋" w:hAnsi="仿宋" w:eastAsia="仿宋" w:cs="仿宋"/>
          <w:sz w:val="32"/>
          <w:szCs w:val="32"/>
        </w:rPr>
        <w:t>为</w:t>
      </w:r>
      <w:r>
        <w:rPr>
          <w:rFonts w:hint="default" w:ascii="仿宋" w:hAnsi="仿宋" w:eastAsia="仿宋" w:cs="仿宋"/>
          <w:sz w:val="32"/>
          <w:szCs w:val="32"/>
          <w:lang w:val="en-US" w:eastAsia="zh-CN"/>
        </w:rPr>
        <w:t>为废油墨、边角料、不合格产品、废活性炭、废机油及职工生活垃圾</w:t>
      </w:r>
      <w:r>
        <w:rPr>
          <w:rFonts w:hint="default" w:ascii="仿宋" w:hAnsi="仿宋" w:eastAsia="仿宋" w:cs="仿宋"/>
          <w:sz w:val="32"/>
          <w:szCs w:val="32"/>
          <w:lang w:val="zh-CN" w:eastAsia="zh-CN"/>
        </w:rPr>
        <w:t>。</w:t>
      </w:r>
      <w:r>
        <w:rPr>
          <w:rFonts w:hint="default" w:ascii="仿宋" w:hAnsi="仿宋" w:eastAsia="仿宋" w:cs="仿宋"/>
          <w:sz w:val="32"/>
          <w:szCs w:val="32"/>
          <w:lang w:val="en-US" w:eastAsia="zh-CN"/>
        </w:rPr>
        <w:t>生活垃圾</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边角料、不合格产品集中收集后交由环卫部门清运</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废油墨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废活性炭、废机油暂存于危废间，定期由具有危险废物处理资质的单位回收处理。</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5"/>
        <w:keepNext w:val="0"/>
        <w:keepLines w:val="0"/>
        <w:pageBreakBefore w:val="0"/>
        <w:widowControl w:val="0"/>
        <w:kinsoku/>
        <w:wordWrap/>
        <w:overflowPunct/>
        <w:topLinePunct w:val="0"/>
        <w:bidi w:val="0"/>
        <w:spacing w:line="580" w:lineRule="exact"/>
        <w:rPr>
          <w:rFonts w:hint="eastAsia"/>
        </w:rPr>
      </w:pPr>
    </w:p>
    <w:p>
      <w:pPr>
        <w:pStyle w:val="5"/>
        <w:keepNext w:val="0"/>
        <w:keepLines w:val="0"/>
        <w:pageBreakBefore w:val="0"/>
        <w:widowControl w:val="0"/>
        <w:kinsoku/>
        <w:wordWrap/>
        <w:overflowPunct/>
        <w:topLinePunct w:val="0"/>
        <w:bidi w:val="0"/>
        <w:spacing w:line="580" w:lineRule="exact"/>
        <w:ind w:left="0" w:leftChars="0" w:firstLine="0" w:firstLineChars="0"/>
        <w:rPr>
          <w:rFonts w:hint="eastAsia"/>
        </w:rPr>
      </w:pPr>
    </w:p>
    <w:p>
      <w:pPr>
        <w:keepNext w:val="0"/>
        <w:keepLines w:val="0"/>
        <w:pageBreakBefore w:val="0"/>
        <w:widowControl w:val="0"/>
        <w:kinsoku/>
        <w:wordWrap/>
        <w:overflowPunct/>
        <w:topLinePunct w:val="0"/>
        <w:bidi w:val="0"/>
        <w:spacing w:line="580" w:lineRule="exact"/>
        <w:rPr>
          <w:rFonts w:hint="eastAsia"/>
        </w:rPr>
      </w:pPr>
    </w:p>
    <w:p>
      <w:pPr>
        <w:keepNext w:val="0"/>
        <w:keepLines w:val="0"/>
        <w:pageBreakBefore w:val="0"/>
        <w:widowControl w:val="0"/>
        <w:kinsoku/>
        <w:wordWrap/>
        <w:overflowPunct/>
        <w:topLinePunct w:val="0"/>
        <w:bidi w:val="0"/>
        <w:spacing w:line="580" w:lineRule="exact"/>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pStyle w:val="2"/>
        <w:rPr>
          <w:rFonts w:hint="eastAsia" w:ascii="仿宋" w:hAnsi="仿宋" w:eastAsia="仿宋" w:cs="仿宋"/>
          <w:sz w:val="32"/>
          <w:szCs w:val="32"/>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80" w:lineRule="exact"/>
        <w:ind w:firstLine="5760" w:firstLineChars="18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二〇二二年</w:t>
      </w:r>
      <w:r>
        <w:rPr>
          <w:rFonts w:hint="eastAsia" w:ascii="仿宋" w:hAnsi="仿宋" w:eastAsia="仿宋" w:cs="仿宋"/>
          <w:sz w:val="32"/>
          <w:szCs w:val="32"/>
          <w:lang w:eastAsia="zh-CN"/>
        </w:rPr>
        <w:t>十</w:t>
      </w:r>
      <w:r>
        <w:rPr>
          <w:rFonts w:hint="eastAsia" w:ascii="仿宋" w:hAnsi="仿宋" w:eastAsia="仿宋" w:cs="仿宋"/>
          <w:sz w:val="32"/>
          <w:szCs w:val="32"/>
        </w:rPr>
        <w:t>月</w:t>
      </w:r>
      <w:r>
        <w:rPr>
          <w:rFonts w:hint="eastAsia" w:ascii="仿宋" w:hAnsi="仿宋" w:eastAsia="仿宋" w:cs="仿宋"/>
          <w:sz w:val="32"/>
          <w:szCs w:val="32"/>
          <w:lang w:eastAsia="zh-CN"/>
        </w:rPr>
        <w:t>十八</w:t>
      </w:r>
      <w:r>
        <w:rPr>
          <w:rFonts w:hint="eastAsia" w:ascii="仿宋" w:hAnsi="仿宋" w:eastAsia="仿宋" w:cs="仿宋"/>
          <w:sz w:val="32"/>
          <w:szCs w:val="32"/>
        </w:rPr>
        <w:t>日</w:t>
      </w:r>
    </w:p>
    <w:p>
      <w:pPr>
        <w:pStyle w:val="5"/>
        <w:keepNext w:val="0"/>
        <w:keepLines w:val="0"/>
        <w:pageBreakBefore w:val="0"/>
        <w:widowControl w:val="0"/>
        <w:kinsoku/>
        <w:wordWrap/>
        <w:overflowPunct/>
        <w:topLinePunct w:val="0"/>
        <w:bidi w:val="0"/>
        <w:spacing w:line="580" w:lineRule="exact"/>
        <w:ind w:left="0" w:leftChars="0" w:firstLine="0" w:firstLineChars="0"/>
      </w:pPr>
    </w:p>
    <w:p>
      <w:pPr>
        <w:pStyle w:val="2"/>
        <w:ind w:left="0" w:leftChars="0" w:firstLine="0" w:firstLineChars="0"/>
      </w:pPr>
      <w:bookmarkStart w:id="0" w:name="_GoBack"/>
      <w:bookmarkEnd w:id="0"/>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18</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8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95447D6"/>
    <w:rsid w:val="0A9D106A"/>
    <w:rsid w:val="0AF51DF0"/>
    <w:rsid w:val="0BDF7179"/>
    <w:rsid w:val="0C68597E"/>
    <w:rsid w:val="0E764925"/>
    <w:rsid w:val="0F1C2311"/>
    <w:rsid w:val="0FDE09E6"/>
    <w:rsid w:val="106D2B6E"/>
    <w:rsid w:val="113B0990"/>
    <w:rsid w:val="11DF57C6"/>
    <w:rsid w:val="12172001"/>
    <w:rsid w:val="129917DB"/>
    <w:rsid w:val="12AB7149"/>
    <w:rsid w:val="14196AC8"/>
    <w:rsid w:val="14491426"/>
    <w:rsid w:val="157E222F"/>
    <w:rsid w:val="15DB2D04"/>
    <w:rsid w:val="15E745A2"/>
    <w:rsid w:val="16443E43"/>
    <w:rsid w:val="17510115"/>
    <w:rsid w:val="179A4B58"/>
    <w:rsid w:val="17E10A24"/>
    <w:rsid w:val="17FF28AC"/>
    <w:rsid w:val="18000697"/>
    <w:rsid w:val="185E720D"/>
    <w:rsid w:val="19415BB3"/>
    <w:rsid w:val="19895A0E"/>
    <w:rsid w:val="19FB4D34"/>
    <w:rsid w:val="1AA11B5D"/>
    <w:rsid w:val="1E5766F9"/>
    <w:rsid w:val="1E851D75"/>
    <w:rsid w:val="1EC27FFB"/>
    <w:rsid w:val="1ED878EA"/>
    <w:rsid w:val="1FD60677"/>
    <w:rsid w:val="204B0713"/>
    <w:rsid w:val="20E03FCA"/>
    <w:rsid w:val="20E44945"/>
    <w:rsid w:val="20F90A4D"/>
    <w:rsid w:val="21AF7885"/>
    <w:rsid w:val="23A91D85"/>
    <w:rsid w:val="240D3712"/>
    <w:rsid w:val="25283A6A"/>
    <w:rsid w:val="25645A32"/>
    <w:rsid w:val="26E74AA2"/>
    <w:rsid w:val="271D64A4"/>
    <w:rsid w:val="277E76AF"/>
    <w:rsid w:val="28D177B8"/>
    <w:rsid w:val="2A2274B9"/>
    <w:rsid w:val="2A93797A"/>
    <w:rsid w:val="2D1D3C71"/>
    <w:rsid w:val="2E2D6C30"/>
    <w:rsid w:val="2E434E08"/>
    <w:rsid w:val="2EF56638"/>
    <w:rsid w:val="2F0F2DE8"/>
    <w:rsid w:val="31280191"/>
    <w:rsid w:val="322F3A2D"/>
    <w:rsid w:val="329F3D86"/>
    <w:rsid w:val="33135CF7"/>
    <w:rsid w:val="344F7285"/>
    <w:rsid w:val="34605E94"/>
    <w:rsid w:val="34735BC7"/>
    <w:rsid w:val="34E267D6"/>
    <w:rsid w:val="35B62865"/>
    <w:rsid w:val="364C37C6"/>
    <w:rsid w:val="37E7787E"/>
    <w:rsid w:val="37FF6C2C"/>
    <w:rsid w:val="382316B2"/>
    <w:rsid w:val="38B24769"/>
    <w:rsid w:val="3AB71B70"/>
    <w:rsid w:val="3B6E30B9"/>
    <w:rsid w:val="3E7120FF"/>
    <w:rsid w:val="3E7423EA"/>
    <w:rsid w:val="3E973002"/>
    <w:rsid w:val="3F3B64BC"/>
    <w:rsid w:val="3F6E0BBC"/>
    <w:rsid w:val="3F852C53"/>
    <w:rsid w:val="40615CD2"/>
    <w:rsid w:val="407E7924"/>
    <w:rsid w:val="41127513"/>
    <w:rsid w:val="41785827"/>
    <w:rsid w:val="42206C63"/>
    <w:rsid w:val="4311484D"/>
    <w:rsid w:val="433E290F"/>
    <w:rsid w:val="438C0C21"/>
    <w:rsid w:val="43942C39"/>
    <w:rsid w:val="43BD6A5C"/>
    <w:rsid w:val="43C918A7"/>
    <w:rsid w:val="44287E6B"/>
    <w:rsid w:val="445567D9"/>
    <w:rsid w:val="451172E5"/>
    <w:rsid w:val="459F629A"/>
    <w:rsid w:val="46FD1932"/>
    <w:rsid w:val="470A2D16"/>
    <w:rsid w:val="47746782"/>
    <w:rsid w:val="47BF2A01"/>
    <w:rsid w:val="4AB132DC"/>
    <w:rsid w:val="4C473D74"/>
    <w:rsid w:val="4E610056"/>
    <w:rsid w:val="4E685C19"/>
    <w:rsid w:val="4EDD0DCF"/>
    <w:rsid w:val="4EF77B4F"/>
    <w:rsid w:val="4F18791D"/>
    <w:rsid w:val="4F690F91"/>
    <w:rsid w:val="501F09EA"/>
    <w:rsid w:val="5072038C"/>
    <w:rsid w:val="50BB2658"/>
    <w:rsid w:val="50CD2FBF"/>
    <w:rsid w:val="527A0EDB"/>
    <w:rsid w:val="527D4703"/>
    <w:rsid w:val="535B3AF8"/>
    <w:rsid w:val="53E73FF6"/>
    <w:rsid w:val="53E75832"/>
    <w:rsid w:val="53F72BDF"/>
    <w:rsid w:val="55ED402C"/>
    <w:rsid w:val="57636D42"/>
    <w:rsid w:val="57A52ED3"/>
    <w:rsid w:val="58102F39"/>
    <w:rsid w:val="584B2C7F"/>
    <w:rsid w:val="599C53B3"/>
    <w:rsid w:val="59E2253B"/>
    <w:rsid w:val="5AB31D56"/>
    <w:rsid w:val="5C5577B1"/>
    <w:rsid w:val="5D041EC4"/>
    <w:rsid w:val="5D180283"/>
    <w:rsid w:val="5DA35DEF"/>
    <w:rsid w:val="609F765D"/>
    <w:rsid w:val="60B701F1"/>
    <w:rsid w:val="611C590E"/>
    <w:rsid w:val="61F3755F"/>
    <w:rsid w:val="6324615B"/>
    <w:rsid w:val="63655EDA"/>
    <w:rsid w:val="63CA359B"/>
    <w:rsid w:val="65222343"/>
    <w:rsid w:val="658D21DE"/>
    <w:rsid w:val="6619032E"/>
    <w:rsid w:val="666630A7"/>
    <w:rsid w:val="66692B11"/>
    <w:rsid w:val="66A7176F"/>
    <w:rsid w:val="66E4190D"/>
    <w:rsid w:val="68971A30"/>
    <w:rsid w:val="68A8716B"/>
    <w:rsid w:val="6DB91902"/>
    <w:rsid w:val="6ED22ABA"/>
    <w:rsid w:val="70E5575F"/>
    <w:rsid w:val="718928E9"/>
    <w:rsid w:val="725842D4"/>
    <w:rsid w:val="73234838"/>
    <w:rsid w:val="73A66718"/>
    <w:rsid w:val="73F80525"/>
    <w:rsid w:val="740578E3"/>
    <w:rsid w:val="745E40F2"/>
    <w:rsid w:val="76264EEE"/>
    <w:rsid w:val="76E51E33"/>
    <w:rsid w:val="77387F1B"/>
    <w:rsid w:val="780528B7"/>
    <w:rsid w:val="78754ADB"/>
    <w:rsid w:val="79531210"/>
    <w:rsid w:val="79893713"/>
    <w:rsid w:val="7A295A6E"/>
    <w:rsid w:val="7A312FF7"/>
    <w:rsid w:val="7A715F66"/>
    <w:rsid w:val="7AE665D2"/>
    <w:rsid w:val="7B47340A"/>
    <w:rsid w:val="7C273A6C"/>
    <w:rsid w:val="7C7D60D1"/>
    <w:rsid w:val="7D722603"/>
    <w:rsid w:val="7E6959D0"/>
    <w:rsid w:val="7E9025AA"/>
    <w:rsid w:val="7EA07A4E"/>
    <w:rsid w:val="7EFB7EB4"/>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ind w:left="113" w:right="113" w:firstLine="595"/>
      <w:jc w:val="left"/>
    </w:pPr>
    <w:rPr>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Body Text Indent"/>
    <w:basedOn w:val="1"/>
    <w:next w:val="8"/>
    <w:qFormat/>
    <w:uiPriority w:val="0"/>
    <w:pPr>
      <w:spacing w:line="340" w:lineRule="exact"/>
      <w:ind w:firstLine="522"/>
    </w:pPr>
    <w:rPr>
      <w:color w:val="000000"/>
      <w:sz w:val="28"/>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样式5"/>
    <w:basedOn w:val="10"/>
    <w:qFormat/>
    <w:uiPriority w:val="0"/>
    <w:pPr>
      <w:keepNext/>
      <w:spacing w:line="240" w:lineRule="auto"/>
      <w:jc w:val="left"/>
      <w:outlineLvl w:val="0"/>
    </w:pPr>
    <w:rPr>
      <w:rFonts w:ascii="黑体" w:hAnsi="黑体"/>
      <w:spacing w:val="5"/>
      <w:sz w:val="25"/>
      <w:szCs w:val="25"/>
    </w:rPr>
  </w:style>
  <w:style w:type="paragraph" w:customStyle="1" w:styleId="10">
    <w:name w:val="正文1"/>
    <w:basedOn w:val="1"/>
    <w:qFormat/>
    <w:uiPriority w:val="0"/>
    <w:pPr>
      <w:adjustRightInd w:val="0"/>
      <w:snapToGrid w:val="0"/>
      <w:spacing w:line="480" w:lineRule="exact"/>
      <w:ind w:firstLine="200"/>
    </w:pPr>
    <w:rPr>
      <w:szCs w:val="20"/>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7"/>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1428</Words>
  <Characters>1495</Characters>
  <Lines>13</Lines>
  <Paragraphs>3</Paragraphs>
  <TotalTime>18</TotalTime>
  <ScaleCrop>false</ScaleCrop>
  <LinksUpToDate>false</LinksUpToDate>
  <CharactersWithSpaces>1500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2022-10-18T05:46:19Z</cp:lastPrinted>
  <dcterms:modified xsi:type="dcterms:W3CDTF">2022-10-18T05:47:13Z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5072C3C669A64323B35747BC100C39F6</vt:lpwstr>
  </property>
</Properties>
</file>