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仿宋" w:cs="Times New Roman"/>
          <w:b/>
          <w:sz w:val="32"/>
          <w:szCs w:val="32"/>
        </w:rPr>
      </w:pPr>
    </w:p>
    <w:p>
      <w:pPr>
        <w:pStyle w:val="9"/>
        <w:spacing w:line="540" w:lineRule="exact"/>
        <w:rPr>
          <w:rFonts w:ascii="Times New Roman" w:hAnsi="Times New Roman" w:eastAsia="仿宋" w:cs="Times New Roman"/>
          <w:b/>
          <w:sz w:val="32"/>
          <w:szCs w:val="32"/>
        </w:rPr>
      </w:pPr>
    </w:p>
    <w:p>
      <w:pPr>
        <w:pStyle w:val="9"/>
        <w:spacing w:line="540" w:lineRule="exact"/>
        <w:rPr>
          <w:rFonts w:ascii="Times New Roman" w:hAnsi="Times New Roman" w:eastAsia="仿宋" w:cs="Times New Roman"/>
          <w:b/>
          <w:sz w:val="32"/>
          <w:szCs w:val="32"/>
        </w:rPr>
      </w:pPr>
    </w:p>
    <w:p>
      <w:pPr>
        <w:pStyle w:val="9"/>
        <w:spacing w:line="540" w:lineRule="exact"/>
        <w:rPr>
          <w:rFonts w:ascii="Times New Roman" w:hAnsi="Times New Roman" w:eastAsia="仿宋" w:cs="Times New Roman"/>
          <w:b/>
          <w:sz w:val="32"/>
          <w:szCs w:val="32"/>
        </w:rPr>
      </w:pPr>
    </w:p>
    <w:p>
      <w:pPr>
        <w:pStyle w:val="9"/>
        <w:spacing w:line="540" w:lineRule="exact"/>
        <w:rPr>
          <w:rFonts w:ascii="Times New Roman" w:hAnsi="Times New Roman" w:eastAsia="仿宋" w:cs="Times New Roman"/>
          <w:b/>
          <w:sz w:val="32"/>
          <w:szCs w:val="32"/>
        </w:rPr>
      </w:pPr>
    </w:p>
    <w:p>
      <w:pPr>
        <w:pStyle w:val="9"/>
        <w:spacing w:line="540" w:lineRule="exact"/>
        <w:rPr>
          <w:rFonts w:ascii="Times New Roman" w:hAnsi="Times New Roman" w:eastAsia="仿宋" w:cs="Times New Roman"/>
          <w:b/>
          <w:sz w:val="32"/>
          <w:szCs w:val="32"/>
        </w:rPr>
      </w:pPr>
    </w:p>
    <w:p>
      <w:pPr>
        <w:spacing w:line="5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rPr>
        <w:t>14</w:t>
      </w:r>
      <w:r>
        <w:rPr>
          <w:rFonts w:ascii="Times New Roman" w:hAnsi="Times New Roman" w:eastAsia="仿宋" w:cs="Times New Roman"/>
          <w:b/>
          <w:sz w:val="32"/>
          <w:szCs w:val="32"/>
        </w:rPr>
        <w:t>号</w:t>
      </w:r>
    </w:p>
    <w:p>
      <w:pPr>
        <w:pStyle w:val="9"/>
        <w:spacing w:line="540" w:lineRule="exact"/>
        <w:ind w:left="0" w:firstLine="0"/>
      </w:pPr>
    </w:p>
    <w:p>
      <w:pPr>
        <w:pStyle w:val="9"/>
        <w:spacing w:line="540" w:lineRule="exact"/>
        <w:rPr>
          <w:rFonts w:ascii="Times New Roman" w:hAnsi="Times New Roman" w:cs="Times New Roman"/>
        </w:rPr>
      </w:pPr>
    </w:p>
    <w:p>
      <w:pPr>
        <w:spacing w:line="5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widowControl/>
        <w:spacing w:line="540" w:lineRule="exact"/>
        <w:ind w:left="2037" w:hanging="2029" w:hangingChars="500"/>
        <w:jc w:val="left"/>
        <w:rPr>
          <w:rFonts w:ascii="Times New Roman" w:hAnsi="Times New Roman" w:cs="Times New Roman"/>
          <w:b/>
          <w:w w:val="92"/>
          <w:sz w:val="44"/>
          <w:szCs w:val="44"/>
        </w:rPr>
      </w:pPr>
      <w:r>
        <w:rPr>
          <w:rFonts w:ascii="Times New Roman" w:hAnsi="Times New Roman" w:eastAsia="宋体" w:cs="Times New Roman"/>
          <w:b/>
          <w:w w:val="92"/>
          <w:sz w:val="44"/>
          <w:szCs w:val="44"/>
        </w:rPr>
        <w:t>关于魏县新亮建筑材料有限公司再生资源回收利用项目环境影响报告表的批复</w:t>
      </w:r>
    </w:p>
    <w:p>
      <w:pPr>
        <w:spacing w:line="540" w:lineRule="exact"/>
        <w:jc w:val="center"/>
        <w:rPr>
          <w:rFonts w:ascii="仿宋" w:hAnsi="仿宋" w:eastAsia="仿宋" w:cs="Times New Roman"/>
          <w:b/>
          <w:sz w:val="32"/>
          <w:szCs w:val="32"/>
        </w:rPr>
      </w:pPr>
    </w:p>
    <w:p>
      <w:pPr>
        <w:widowControl/>
        <w:spacing w:line="540" w:lineRule="exact"/>
        <w:jc w:val="left"/>
        <w:rPr>
          <w:rFonts w:ascii="仿宋" w:hAnsi="仿宋" w:eastAsia="仿宋"/>
          <w:sz w:val="32"/>
          <w:szCs w:val="32"/>
        </w:rPr>
      </w:pPr>
      <w:r>
        <w:rPr>
          <w:rFonts w:ascii="仿宋" w:hAnsi="仿宋" w:eastAsia="仿宋" w:cs="仿宋"/>
          <w:color w:val="000000"/>
          <w:kern w:val="0"/>
          <w:sz w:val="32"/>
          <w:szCs w:val="32"/>
        </w:rPr>
        <w:t>魏县新亮建筑材料有限公司</w:t>
      </w:r>
      <w:r>
        <w:rPr>
          <w:rFonts w:hint="eastAsia" w:ascii="仿宋" w:hAnsi="仿宋" w:eastAsia="仿宋"/>
          <w:sz w:val="32"/>
          <w:szCs w:val="32"/>
        </w:rPr>
        <w:t>：</w:t>
      </w: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你公司所报《</w:t>
      </w:r>
      <w:r>
        <w:rPr>
          <w:rFonts w:ascii="仿宋" w:hAnsi="仿宋" w:eastAsia="仿宋" w:cs="仿宋"/>
          <w:color w:val="000000"/>
          <w:kern w:val="0"/>
          <w:sz w:val="32"/>
          <w:szCs w:val="32"/>
        </w:rPr>
        <w:t>魏县新亮建筑材料有限公司再生资源回收利用项目</w:t>
      </w:r>
      <w:r>
        <w:rPr>
          <w:rFonts w:hint="eastAsia" w:ascii="仿宋" w:hAnsi="仿宋" w:eastAsia="仿宋" w:cs="仿宋"/>
          <w:sz w:val="32"/>
          <w:szCs w:val="32"/>
        </w:rPr>
        <w:t>环境影响报告表》收悉。经研究，批复如下：</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一、该项目位于河北省邯郸市魏县前大磨乡赵枣林村大渠北路西，厂址中心地理坐标为北纬</w:t>
      </w:r>
      <w:r>
        <w:rPr>
          <w:rFonts w:ascii="仿宋" w:hAnsi="仿宋" w:eastAsia="仿宋" w:cs="仿宋"/>
          <w:sz w:val="32"/>
          <w:szCs w:val="32"/>
        </w:rPr>
        <w:t>36°17′25.751″</w:t>
      </w:r>
      <w:r>
        <w:rPr>
          <w:rFonts w:hint="eastAsia" w:ascii="仿宋" w:hAnsi="仿宋" w:eastAsia="仿宋" w:cs="仿宋"/>
          <w:sz w:val="32"/>
          <w:szCs w:val="32"/>
        </w:rPr>
        <w:t>，东经</w:t>
      </w:r>
      <w:r>
        <w:rPr>
          <w:rFonts w:ascii="仿宋" w:hAnsi="仿宋" w:eastAsia="仿宋" w:cs="仿宋"/>
          <w:sz w:val="32"/>
          <w:szCs w:val="32"/>
        </w:rPr>
        <w:t>114°51′8.327″</w:t>
      </w:r>
      <w:r>
        <w:rPr>
          <w:rFonts w:hint="eastAsia" w:ascii="仿宋" w:hAnsi="仿宋" w:eastAsia="仿宋" w:cs="仿宋"/>
          <w:sz w:val="32"/>
          <w:szCs w:val="32"/>
        </w:rPr>
        <w:t>。建设内容及建设规模：该项目占地面积</w:t>
      </w:r>
      <w:r>
        <w:rPr>
          <w:rFonts w:ascii="仿宋" w:hAnsi="仿宋" w:eastAsia="仿宋" w:cs="仿宋"/>
          <w:sz w:val="32"/>
          <w:szCs w:val="32"/>
        </w:rPr>
        <w:t>20亩</w:t>
      </w:r>
      <w:r>
        <w:rPr>
          <w:rFonts w:hint="eastAsia" w:ascii="仿宋" w:hAnsi="仿宋" w:eastAsia="仿宋" w:cs="仿宋"/>
          <w:sz w:val="32"/>
          <w:szCs w:val="32"/>
        </w:rPr>
        <w:t>，总建筑面积约</w:t>
      </w:r>
      <w:r>
        <w:rPr>
          <w:rFonts w:ascii="仿宋" w:hAnsi="仿宋" w:eastAsia="仿宋" w:cs="仿宋"/>
          <w:sz w:val="32"/>
          <w:szCs w:val="32"/>
        </w:rPr>
        <w:t>7000</w:t>
      </w:r>
      <w:r>
        <w:rPr>
          <w:rFonts w:hint="eastAsia" w:ascii="仿宋" w:hAnsi="仿宋" w:eastAsia="仿宋" w:cs="仿宋"/>
          <w:sz w:val="32"/>
          <w:szCs w:val="32"/>
        </w:rPr>
        <w:t>m</w:t>
      </w:r>
      <w:r>
        <w:rPr>
          <w:rFonts w:hint="eastAsia" w:ascii="仿宋" w:hAnsi="仿宋" w:eastAsia="仿宋" w:cs="仿宋"/>
          <w:sz w:val="32"/>
          <w:szCs w:val="32"/>
          <w:vertAlign w:val="superscript"/>
        </w:rPr>
        <w:t>2</w:t>
      </w:r>
      <w:r>
        <w:rPr>
          <w:rFonts w:hint="eastAsia" w:ascii="仿宋" w:hAnsi="仿宋" w:eastAsia="仿宋" w:cs="仿宋"/>
          <w:sz w:val="32"/>
          <w:szCs w:val="32"/>
        </w:rPr>
        <w:t>。建设生产车间、养生室、辅助设施等。购置颚式破碎机、砖石分选机、砖料粉碎机、石料粉碎机、石料筛选机、水泥储罐、打包机和自动成型机等生产设备，项目建成后年产便道砖</w:t>
      </w:r>
      <w:r>
        <w:rPr>
          <w:rFonts w:ascii="仿宋" w:hAnsi="仿宋" w:eastAsia="仿宋" w:cs="仿宋"/>
          <w:sz w:val="32"/>
          <w:szCs w:val="32"/>
        </w:rPr>
        <w:t>5000</w:t>
      </w:r>
      <w:r>
        <w:rPr>
          <w:rFonts w:hint="eastAsia" w:ascii="仿宋" w:hAnsi="仿宋" w:eastAsia="仿宋" w:cs="仿宋"/>
          <w:sz w:val="32"/>
          <w:szCs w:val="32"/>
        </w:rPr>
        <w:t>万块。总投资</w:t>
      </w:r>
      <w:r>
        <w:rPr>
          <w:rFonts w:ascii="仿宋" w:hAnsi="仿宋" w:eastAsia="仿宋" w:cs="仿宋"/>
          <w:sz w:val="32"/>
          <w:szCs w:val="32"/>
        </w:rPr>
        <w:t>22000</w:t>
      </w:r>
      <w:r>
        <w:rPr>
          <w:rFonts w:hint="eastAsia" w:ascii="仿宋" w:hAnsi="仿宋" w:eastAsia="仿宋" w:cs="仿宋"/>
          <w:sz w:val="32"/>
          <w:szCs w:val="32"/>
        </w:rPr>
        <w:t>万元，其中环保投资</w:t>
      </w:r>
      <w:r>
        <w:rPr>
          <w:rFonts w:ascii="仿宋" w:hAnsi="仿宋" w:eastAsia="仿宋" w:cs="仿宋"/>
          <w:sz w:val="32"/>
          <w:szCs w:val="32"/>
        </w:rPr>
        <w:t>60</w:t>
      </w:r>
      <w:r>
        <w:rPr>
          <w:rFonts w:hint="eastAsia" w:ascii="仿宋" w:hAnsi="仿宋" w:eastAsia="仿宋" w:cs="仿宋"/>
          <w:sz w:val="32"/>
          <w:szCs w:val="32"/>
        </w:rPr>
        <w:t>万元，占总投资的</w:t>
      </w:r>
      <w:r>
        <w:rPr>
          <w:rFonts w:ascii="仿宋" w:hAnsi="仿宋" w:eastAsia="仿宋" w:cs="仿宋"/>
          <w:sz w:val="32"/>
          <w:szCs w:val="32"/>
        </w:rPr>
        <w:t>0.27%</w:t>
      </w:r>
      <w:r>
        <w:rPr>
          <w:rFonts w:hint="eastAsia" w:ascii="仿宋" w:hAnsi="仿宋" w:eastAsia="仿宋" w:cs="仿宋"/>
          <w:sz w:val="32"/>
          <w:szCs w:val="32"/>
        </w:rPr>
        <w:t>。</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根据你公司委托河北鑫世合环保咨询有限公司编制的《魏县新亮建筑材料有限公司再生资源回收利用项目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营运期：⑴废气：该项目废气主要为</w:t>
      </w:r>
      <w:r>
        <w:rPr>
          <w:rFonts w:ascii="仿宋" w:hAnsi="仿宋" w:eastAsia="仿宋" w:cs="仿宋"/>
          <w:sz w:val="32"/>
          <w:szCs w:val="32"/>
        </w:rPr>
        <w:t>有组织废气</w:t>
      </w:r>
      <w:r>
        <w:rPr>
          <w:rFonts w:hint="eastAsia" w:ascii="仿宋" w:hAnsi="仿宋" w:eastAsia="仿宋" w:cs="仿宋"/>
          <w:sz w:val="32"/>
          <w:szCs w:val="32"/>
        </w:rPr>
        <w:t>和无组织废气。</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有组织废气为破碎、筛分废气、上料、搅拌、水泥进出储罐废气。通过集气装置收集后由布袋除尘器处理，最终由</w:t>
      </w:r>
      <w:r>
        <w:rPr>
          <w:rFonts w:ascii="仿宋" w:hAnsi="仿宋" w:eastAsia="仿宋" w:cs="仿宋"/>
          <w:sz w:val="32"/>
          <w:szCs w:val="32"/>
        </w:rPr>
        <w:t>15m</w:t>
      </w:r>
      <w:r>
        <w:rPr>
          <w:rFonts w:hint="eastAsia" w:ascii="仿宋" w:hAnsi="仿宋" w:eastAsia="仿宋" w:cs="仿宋"/>
          <w:sz w:val="32"/>
          <w:szCs w:val="32"/>
        </w:rPr>
        <w:t>高排气筒排放，满足《水泥工业大气污染物超低排放标准》</w:t>
      </w:r>
      <w:r>
        <w:rPr>
          <w:rFonts w:ascii="仿宋" w:hAnsi="仿宋" w:eastAsia="仿宋" w:cs="仿宋"/>
          <w:sz w:val="32"/>
          <w:szCs w:val="32"/>
        </w:rPr>
        <w:t>(DB13/2167-2020)</w:t>
      </w:r>
      <w:r>
        <w:rPr>
          <w:rFonts w:hint="eastAsia" w:ascii="仿宋" w:hAnsi="仿宋" w:eastAsia="仿宋" w:cs="仿宋"/>
          <w:sz w:val="32"/>
          <w:szCs w:val="32"/>
        </w:rPr>
        <w:t>中表</w:t>
      </w:r>
      <w:r>
        <w:rPr>
          <w:rFonts w:ascii="仿宋" w:hAnsi="仿宋" w:eastAsia="仿宋" w:cs="仿宋"/>
          <w:sz w:val="32"/>
          <w:szCs w:val="32"/>
        </w:rPr>
        <w:t>1</w:t>
      </w:r>
      <w:r>
        <w:rPr>
          <w:rFonts w:hint="eastAsia" w:ascii="仿宋" w:hAnsi="仿宋" w:eastAsia="仿宋" w:cs="仿宋"/>
          <w:sz w:val="32"/>
          <w:szCs w:val="32"/>
        </w:rPr>
        <w:t>有组织排放标准。</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无组织废气为集气罩未收集的粉尘、原料棚物料储存、转运粉尘、车辆运输扬尘。未被收集的粉尘项目车间封闭，破碎和筛分进行二次封闭，上料工序设置三面围挡和顶部喷淋，且原料棚内设置喷淋抑尘装置，粉尘经车间自由沉降。原料棚物料储存、转运粉尘项目，建筑垃圾进厂后储存于封闭大棚内，原料棚顶部设置喷淋设施，厂界内无露天堆放物料，大棚四面封闭，通道口安装卷帘门、推拉门等封闭性良好且便于开关的硬质门，在无车辆出入时将门关闭，物料输送采用封闭式皮带输送，水泥采用密闭储罐储存，采用密闭管道螺旋输送或气力输送管。车辆运输扬尘项目厂区地面硬化，厂区内及通往厂区道路要定期洒水和清扫，在厂区周围设置喷淋装置，进口处设置车辆冲洗装置。满足《水泥工业大气污染物超低排放标准》</w:t>
      </w:r>
      <w:r>
        <w:rPr>
          <w:rFonts w:ascii="仿宋" w:hAnsi="仿宋" w:eastAsia="仿宋" w:cs="仿宋"/>
          <w:sz w:val="32"/>
          <w:szCs w:val="32"/>
        </w:rPr>
        <w:t>(DB13/2167-2020)</w:t>
      </w:r>
      <w:r>
        <w:rPr>
          <w:rFonts w:hint="eastAsia" w:ascii="仿宋" w:hAnsi="仿宋" w:eastAsia="仿宋" w:cs="仿宋"/>
          <w:sz w:val="32"/>
          <w:szCs w:val="32"/>
        </w:rPr>
        <w:t>中表</w:t>
      </w:r>
      <w:r>
        <w:rPr>
          <w:rFonts w:ascii="仿宋" w:hAnsi="仿宋" w:eastAsia="仿宋" w:cs="仿宋"/>
          <w:sz w:val="32"/>
          <w:szCs w:val="32"/>
        </w:rPr>
        <w:t>2</w:t>
      </w:r>
      <w:r>
        <w:rPr>
          <w:rFonts w:hint="eastAsia" w:ascii="仿宋" w:hAnsi="仿宋" w:eastAsia="仿宋" w:cs="仿宋"/>
          <w:sz w:val="32"/>
          <w:szCs w:val="32"/>
        </w:rPr>
        <w:t>无组织排放标准。</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（2）废水：该项目</w:t>
      </w:r>
      <w:r>
        <w:rPr>
          <w:rFonts w:ascii="仿宋" w:hAnsi="仿宋" w:eastAsia="仿宋" w:cs="仿宋"/>
          <w:sz w:val="32"/>
          <w:szCs w:val="32"/>
        </w:rPr>
        <w:t>废水主要为</w:t>
      </w:r>
      <w:r>
        <w:rPr>
          <w:rFonts w:hint="eastAsia" w:ascii="仿宋" w:hAnsi="仿宋" w:eastAsia="仿宋" w:cs="仿宋"/>
          <w:sz w:val="32"/>
          <w:szCs w:val="32"/>
        </w:rPr>
        <w:t>生活污水</w:t>
      </w:r>
      <w:r>
        <w:rPr>
          <w:rFonts w:ascii="仿宋" w:hAnsi="仿宋" w:eastAsia="仿宋" w:cs="仿宋"/>
          <w:sz w:val="32"/>
          <w:szCs w:val="32"/>
        </w:rPr>
        <w:t>，</w:t>
      </w:r>
      <w:r>
        <w:rPr>
          <w:rFonts w:hint="eastAsia" w:ascii="仿宋" w:hAnsi="仿宋" w:eastAsia="仿宋" w:cs="仿宋"/>
          <w:sz w:val="32"/>
          <w:szCs w:val="32"/>
        </w:rPr>
        <w:t>厂内不设置食宿和洗浴，员工生活盥洗污水直接用于厂区泼洒抑尘，厂区设置防渗旱厕，定期清掏做农肥，不外排。</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噪声：该项目噪声源主要为破碎机、振动筛、搅拌机等设备运行及产品转运碰撞噪声，选用低噪声设备，采取基础减振、厂房隔声、合理布局、风机加装消声器等措施,满足《工业企业厂界环境噪声排放标准》</w:t>
      </w:r>
      <w:r>
        <w:rPr>
          <w:rFonts w:ascii="仿宋" w:hAnsi="仿宋" w:eastAsia="仿宋" w:cs="仿宋"/>
          <w:sz w:val="32"/>
          <w:szCs w:val="32"/>
        </w:rPr>
        <w:t>(GB12348-2008)</w:t>
      </w:r>
      <w:r>
        <w:rPr>
          <w:rFonts w:hint="eastAsia" w:ascii="仿宋" w:hAnsi="仿宋" w:eastAsia="仿宋" w:cs="仿宋"/>
          <w:sz w:val="32"/>
          <w:szCs w:val="32"/>
        </w:rPr>
        <w:t xml:space="preserve">中的 </w:t>
      </w:r>
      <w:r>
        <w:rPr>
          <w:rFonts w:ascii="仿宋" w:hAnsi="仿宋" w:eastAsia="仿宋" w:cs="仿宋"/>
          <w:sz w:val="32"/>
          <w:szCs w:val="32"/>
        </w:rPr>
        <w:t xml:space="preserve">2 </w:t>
      </w:r>
      <w:r>
        <w:rPr>
          <w:rFonts w:hint="eastAsia" w:ascii="仿宋" w:hAnsi="仿宋" w:eastAsia="仿宋" w:cs="仿宋"/>
          <w:sz w:val="32"/>
          <w:szCs w:val="32"/>
        </w:rPr>
        <w:t>类标准要求。</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固体废物：该项目固体废物主要为废砖坯、除尘灰，定期更换产生的废滤袋，设备维护产生的废润滑油和废油桶，职工生活垃圾。废砖坯收集后返回破碎工序重新进行生产;除尘灰定期清理后回用于生产过程;废滤袋送环卫部门指定地点进行填埋处置;废润滑油收集后暂存于危废暂存间，定期委托资质单位处理;润滑油桶可由厂家定期回收用作其原始用途，厂家未及时回收周转时，应在厂内危废间暂存。生活垃圾定期由环卫部门清理送指</w:t>
      </w:r>
    </w:p>
    <w:p>
      <w:pPr>
        <w:snapToGrid w:val="0"/>
        <w:spacing w:line="540" w:lineRule="exact"/>
        <w:rPr>
          <w:rFonts w:ascii="仿宋" w:hAnsi="仿宋" w:eastAsia="仿宋" w:cs="仿宋"/>
          <w:sz w:val="32"/>
          <w:szCs w:val="32"/>
        </w:rPr>
      </w:pPr>
      <w:r>
        <w:rPr>
          <w:rFonts w:hint="eastAsia" w:ascii="仿宋" w:hAnsi="仿宋" w:eastAsia="仿宋" w:cs="仿宋"/>
          <w:sz w:val="32"/>
          <w:szCs w:val="32"/>
        </w:rPr>
        <w:t>定地点进行处置。</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540" w:lineRule="exact"/>
        <w:ind w:firstLine="640" w:firstLineChars="200"/>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540" w:lineRule="exact"/>
        <w:ind w:firstLine="640" w:firstLineChars="200"/>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snapToGrid w:val="0"/>
        <w:spacing w:line="540" w:lineRule="exact"/>
        <w:ind w:firstLine="5760" w:firstLineChars="1800"/>
        <w:rPr>
          <w:rFonts w:hint="eastAsia" w:ascii="仿宋" w:hAnsi="仿宋" w:eastAsia="仿宋" w:cs="仿宋"/>
          <w:sz w:val="32"/>
          <w:szCs w:val="32"/>
        </w:rPr>
      </w:pPr>
    </w:p>
    <w:p>
      <w:pPr>
        <w:snapToGrid w:val="0"/>
        <w:spacing w:line="540" w:lineRule="exact"/>
        <w:ind w:firstLine="5760" w:firstLineChars="1800"/>
        <w:rPr>
          <w:rFonts w:hint="eastAsia" w:ascii="仿宋" w:hAnsi="仿宋" w:eastAsia="仿宋" w:cs="仿宋"/>
          <w:sz w:val="32"/>
          <w:szCs w:val="32"/>
        </w:rPr>
      </w:pPr>
    </w:p>
    <w:p>
      <w:pPr>
        <w:pStyle w:val="2"/>
        <w:rPr>
          <w:rFonts w:hint="eastAsia"/>
        </w:rPr>
      </w:pPr>
    </w:p>
    <w:p>
      <w:pPr>
        <w:pStyle w:val="3"/>
        <w:numPr>
          <w:numId w:val="0"/>
        </w:numPr>
        <w:ind w:leftChars="0"/>
        <w:rPr>
          <w:rFonts w:hint="eastAsia"/>
        </w:rPr>
      </w:pPr>
      <w:bookmarkStart w:id="0" w:name="_GoBack"/>
      <w:bookmarkEnd w:id="0"/>
    </w:p>
    <w:p>
      <w:pPr>
        <w:snapToGrid w:val="0"/>
        <w:spacing w:line="54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540" w:lineRule="exact"/>
        <w:ind w:firstLine="5440" w:firstLineChars="1700"/>
        <w:rPr>
          <w:rFonts w:ascii="Times New Roman" w:hAnsi="Times New Roman" w:eastAsia="仿宋_GB2312" w:cs="Times New Roman"/>
          <w:sz w:val="28"/>
          <w:szCs w:val="28"/>
        </w:rPr>
      </w:pPr>
      <w:r>
        <w:rPr>
          <w:rFonts w:hint="eastAsia" w:ascii="仿宋" w:hAnsi="仿宋" w:eastAsia="仿宋" w:cs="仿宋"/>
          <w:sz w:val="32"/>
          <w:szCs w:val="32"/>
        </w:rPr>
        <w:t>二〇二二年五月</w:t>
      </w:r>
      <w:r>
        <w:rPr>
          <w:rFonts w:hint="eastAsia" w:ascii="仿宋" w:hAnsi="仿宋" w:eastAsia="仿宋" w:cs="仿宋"/>
          <w:sz w:val="32"/>
          <w:szCs w:val="32"/>
          <w:lang w:eastAsia="zh-CN"/>
        </w:rPr>
        <w:t>十一</w:t>
      </w:r>
      <w:r>
        <w:rPr>
          <w:rFonts w:hint="eastAsia" w:ascii="仿宋" w:hAnsi="仿宋" w:eastAsia="仿宋" w:cs="仿宋"/>
          <w:sz w:val="32"/>
          <w:szCs w:val="32"/>
        </w:rPr>
        <w:t>日</w:t>
      </w:r>
    </w:p>
    <w:p>
      <w:pPr>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日</w:t>
      </w:r>
    </w:p>
    <w:p>
      <w:pPr>
        <w:spacing w:line="54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984" w:right="1417" w:bottom="1984" w:left="1417" w:header="851" w:footer="96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72528"/>
    <w:rsid w:val="00004A67"/>
    <w:rsid w:val="00136824"/>
    <w:rsid w:val="001A743A"/>
    <w:rsid w:val="001B658C"/>
    <w:rsid w:val="001C4062"/>
    <w:rsid w:val="002030EC"/>
    <w:rsid w:val="00211894"/>
    <w:rsid w:val="00217C26"/>
    <w:rsid w:val="002620A0"/>
    <w:rsid w:val="00315DDD"/>
    <w:rsid w:val="00472528"/>
    <w:rsid w:val="0057703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7F0460"/>
    <w:rsid w:val="03A73B31"/>
    <w:rsid w:val="03C560A0"/>
    <w:rsid w:val="0506170D"/>
    <w:rsid w:val="07490707"/>
    <w:rsid w:val="082E31FF"/>
    <w:rsid w:val="0A9D106A"/>
    <w:rsid w:val="0AF51DF0"/>
    <w:rsid w:val="0C5152B2"/>
    <w:rsid w:val="0C68597E"/>
    <w:rsid w:val="0F1C2311"/>
    <w:rsid w:val="0F2C700A"/>
    <w:rsid w:val="12172001"/>
    <w:rsid w:val="126179AA"/>
    <w:rsid w:val="12AB7149"/>
    <w:rsid w:val="14491426"/>
    <w:rsid w:val="157E222F"/>
    <w:rsid w:val="17510115"/>
    <w:rsid w:val="180470A1"/>
    <w:rsid w:val="19415BB3"/>
    <w:rsid w:val="19895A0E"/>
    <w:rsid w:val="1AA11B5D"/>
    <w:rsid w:val="1D830FD9"/>
    <w:rsid w:val="1FD60677"/>
    <w:rsid w:val="20E03FCA"/>
    <w:rsid w:val="20F90A4D"/>
    <w:rsid w:val="21AF7885"/>
    <w:rsid w:val="25283A6A"/>
    <w:rsid w:val="25645A32"/>
    <w:rsid w:val="271D64A4"/>
    <w:rsid w:val="277E76AF"/>
    <w:rsid w:val="2D1D3C71"/>
    <w:rsid w:val="2E2D6C30"/>
    <w:rsid w:val="2E3762AF"/>
    <w:rsid w:val="2E434E08"/>
    <w:rsid w:val="2EF56638"/>
    <w:rsid w:val="2F0F2DE8"/>
    <w:rsid w:val="2F5843E6"/>
    <w:rsid w:val="33607441"/>
    <w:rsid w:val="35B62865"/>
    <w:rsid w:val="37FF6C2C"/>
    <w:rsid w:val="38B24769"/>
    <w:rsid w:val="3B6E30B9"/>
    <w:rsid w:val="3BD31641"/>
    <w:rsid w:val="3CE27BC1"/>
    <w:rsid w:val="3E7120FF"/>
    <w:rsid w:val="3E8409D1"/>
    <w:rsid w:val="3E973002"/>
    <w:rsid w:val="3F3B64BC"/>
    <w:rsid w:val="41127513"/>
    <w:rsid w:val="4311484D"/>
    <w:rsid w:val="43942C39"/>
    <w:rsid w:val="445A2900"/>
    <w:rsid w:val="470A2D16"/>
    <w:rsid w:val="47746782"/>
    <w:rsid w:val="47BF2A01"/>
    <w:rsid w:val="4A7A7858"/>
    <w:rsid w:val="4AB132DC"/>
    <w:rsid w:val="4C473D74"/>
    <w:rsid w:val="4D2B14F3"/>
    <w:rsid w:val="4E610056"/>
    <w:rsid w:val="4EE04ED0"/>
    <w:rsid w:val="4EF77B4F"/>
    <w:rsid w:val="4EFE55CB"/>
    <w:rsid w:val="4FCD042A"/>
    <w:rsid w:val="50F95AF4"/>
    <w:rsid w:val="51B00003"/>
    <w:rsid w:val="527A0EDB"/>
    <w:rsid w:val="53E73FF6"/>
    <w:rsid w:val="53F72BDF"/>
    <w:rsid w:val="55ED402C"/>
    <w:rsid w:val="57636D42"/>
    <w:rsid w:val="57A52ED3"/>
    <w:rsid w:val="58102F39"/>
    <w:rsid w:val="58255E90"/>
    <w:rsid w:val="59E2253B"/>
    <w:rsid w:val="5B6D0D13"/>
    <w:rsid w:val="5D041EC4"/>
    <w:rsid w:val="5E46735B"/>
    <w:rsid w:val="60B701F1"/>
    <w:rsid w:val="611C590E"/>
    <w:rsid w:val="612F2BAE"/>
    <w:rsid w:val="61FE0917"/>
    <w:rsid w:val="62EB608D"/>
    <w:rsid w:val="63655EDA"/>
    <w:rsid w:val="63CA359B"/>
    <w:rsid w:val="65222343"/>
    <w:rsid w:val="65785BCE"/>
    <w:rsid w:val="658D21DE"/>
    <w:rsid w:val="66692B11"/>
    <w:rsid w:val="66A7176F"/>
    <w:rsid w:val="66E4190D"/>
    <w:rsid w:val="68A8716B"/>
    <w:rsid w:val="6B807455"/>
    <w:rsid w:val="6DF077B1"/>
    <w:rsid w:val="6F415726"/>
    <w:rsid w:val="70E5575F"/>
    <w:rsid w:val="718928E9"/>
    <w:rsid w:val="73234838"/>
    <w:rsid w:val="77387F1B"/>
    <w:rsid w:val="79531210"/>
    <w:rsid w:val="7A295A6E"/>
    <w:rsid w:val="7A460C55"/>
    <w:rsid w:val="7A883B97"/>
    <w:rsid w:val="7AE665D2"/>
    <w:rsid w:val="7C273A6C"/>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next w:val="6"/>
    <w:qFormat/>
    <w:uiPriority w:val="0"/>
    <w:pPr>
      <w:spacing w:line="340" w:lineRule="exact"/>
      <w:ind w:firstLine="522"/>
    </w:pPr>
    <w:rPr>
      <w:color w:val="000000"/>
      <w:sz w:val="2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样式5"/>
    <w:basedOn w:val="8"/>
    <w:qFormat/>
    <w:uiPriority w:val="0"/>
    <w:pPr>
      <w:keepNext/>
      <w:spacing w:line="240" w:lineRule="auto"/>
      <w:jc w:val="left"/>
      <w:outlineLvl w:val="0"/>
    </w:pPr>
    <w:rPr>
      <w:rFonts w:ascii="黑体" w:hAnsi="黑体"/>
      <w:spacing w:val="5"/>
      <w:sz w:val="25"/>
      <w:szCs w:val="25"/>
    </w:rPr>
  </w:style>
  <w:style w:type="paragraph" w:customStyle="1" w:styleId="8">
    <w:name w:val="正文1"/>
    <w:basedOn w:val="1"/>
    <w:qFormat/>
    <w:uiPriority w:val="0"/>
    <w:pPr>
      <w:adjustRightInd w:val="0"/>
      <w:snapToGrid w:val="0"/>
      <w:spacing w:line="480" w:lineRule="exact"/>
      <w:ind w:firstLine="200"/>
    </w:pPr>
    <w:rPr>
      <w:szCs w:val="20"/>
    </w:rPr>
  </w:style>
  <w:style w:type="paragraph" w:styleId="9">
    <w:name w:val="Block Text"/>
    <w:basedOn w:val="1"/>
    <w:qFormat/>
    <w:uiPriority w:val="0"/>
    <w:pPr>
      <w:ind w:left="113" w:right="113" w:firstLine="595"/>
      <w:jc w:val="left"/>
    </w:pPr>
    <w:rPr>
      <w:sz w:val="28"/>
    </w:rPr>
  </w:style>
  <w:style w:type="paragraph" w:styleId="10">
    <w:name w:val="Plain Text"/>
    <w:basedOn w:val="1"/>
    <w:qFormat/>
    <w:uiPriority w:val="0"/>
    <w:rPr>
      <w:rFonts w:ascii="宋体" w:hAnsi="Courier New" w:eastAsia="宋体" w:cs="宋体"/>
      <w:sz w:val="24"/>
    </w:rPr>
  </w:style>
  <w:style w:type="paragraph" w:styleId="11">
    <w:name w:val="Body Text Indent 2"/>
    <w:basedOn w:val="1"/>
    <w:qFormat/>
    <w:uiPriority w:val="0"/>
    <w:pPr>
      <w:spacing w:line="480" w:lineRule="exact"/>
      <w:ind w:firstLine="570"/>
    </w:pPr>
    <w:rPr>
      <w:sz w:val="28"/>
    </w:rPr>
  </w:style>
  <w:style w:type="paragraph" w:styleId="12">
    <w:name w:val="Balloon Text"/>
    <w:basedOn w:val="1"/>
    <w:link w:val="2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2"/>
    <w:basedOn w:val="1"/>
    <w:next w:val="1"/>
    <w:qFormat/>
    <w:uiPriority w:val="0"/>
    <w:pPr>
      <w:ind w:left="420" w:leftChars="200"/>
    </w:pPr>
  </w:style>
  <w:style w:type="paragraph" w:styleId="15">
    <w:name w:val="Body Text First Indent 2"/>
    <w:basedOn w:val="5"/>
    <w:qFormat/>
    <w:uiPriority w:val="0"/>
    <w:pPr>
      <w:spacing w:line="240" w:lineRule="auto"/>
      <w:ind w:left="420" w:leftChars="200" w:firstLine="420" w:firstLineChars="200"/>
    </w:pPr>
    <w:rPr>
      <w:sz w:val="21"/>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样式 样式 样式 四号 左侧:  1.53 厘米 + 首行缩进:  2 字符 + 居中 左侧:  2 字符 首行缩进:  2..."/>
    <w:basedOn w:val="21"/>
    <w:qFormat/>
    <w:uiPriority w:val="0"/>
    <w:pPr>
      <w:jc w:val="center"/>
    </w:pPr>
  </w:style>
  <w:style w:type="paragraph" w:customStyle="1" w:styleId="21">
    <w:name w:val="样式 样式 四号 左侧:  1.53 厘米 + 首行缩进:  2 字符"/>
    <w:basedOn w:val="22"/>
    <w:qFormat/>
    <w:uiPriority w:val="0"/>
    <w:pPr>
      <w:ind w:left="200" w:leftChars="200"/>
    </w:pPr>
    <w:rPr>
      <w:szCs w:val="20"/>
    </w:rPr>
  </w:style>
  <w:style w:type="paragraph" w:customStyle="1" w:styleId="22">
    <w:name w:val="样式 四号 左侧:  1.53 厘米"/>
    <w:basedOn w:val="1"/>
    <w:qFormat/>
    <w:uiPriority w:val="0"/>
    <w:pPr>
      <w:adjustRightInd w:val="0"/>
    </w:pPr>
    <w:rPr>
      <w:w w:val="90"/>
      <w:sz w:val="28"/>
      <w:szCs w:val="28"/>
    </w:rPr>
  </w:style>
  <w:style w:type="character" w:customStyle="1" w:styleId="23">
    <w:name w:val="批注框文本 Char"/>
    <w:basedOn w:val="18"/>
    <w:link w:val="12"/>
    <w:qFormat/>
    <w:uiPriority w:val="0"/>
    <w:rPr>
      <w:rFonts w:asciiTheme="minorHAnsi" w:hAnsiTheme="minorHAnsi" w:eastAsiaTheme="minorEastAsia" w:cstheme="minorBidi"/>
      <w:kern w:val="2"/>
      <w:sz w:val="18"/>
      <w:szCs w:val="18"/>
    </w:rPr>
  </w:style>
  <w:style w:type="paragraph" w:customStyle="1" w:styleId="24">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5">
    <w:name w:val="List Paragraph"/>
    <w:basedOn w:val="1"/>
    <w:unhideWhenUsed/>
    <w:qFormat/>
    <w:uiPriority w:val="99"/>
    <w:pPr>
      <w:ind w:firstLine="420" w:firstLineChars="200"/>
    </w:pPr>
  </w:style>
  <w:style w:type="paragraph" w:customStyle="1" w:styleId="26">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7">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291</Words>
  <Characters>1662</Characters>
  <Lines>13</Lines>
  <Paragraphs>3</Paragraphs>
  <TotalTime>21</TotalTime>
  <ScaleCrop>false</ScaleCrop>
  <LinksUpToDate>false</LinksUpToDate>
  <CharactersWithSpaces>1950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2022-05-11T01:21:44Z</cp:lastPrinted>
  <dcterms:modified xsi:type="dcterms:W3CDTF">2022-05-11T01:23:00Z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