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rPr>
          <w:rFonts w:eastAsia="仿宋"/>
          <w:sz w:val="44"/>
          <w:szCs w:val="44"/>
        </w:rPr>
      </w:pPr>
    </w:p>
    <w:p/>
    <w:p>
      <w:pPr>
        <w:ind w:firstLine="1040"/>
        <w:rPr>
          <w:rFonts w:eastAsia="仿宋"/>
          <w:sz w:val="44"/>
          <w:szCs w:val="44"/>
        </w:rPr>
      </w:pPr>
    </w:p>
    <w:p>
      <w:pPr>
        <w:jc w:val="center"/>
        <w:rPr>
          <w:rFonts w:ascii="黑体" w:hAnsi="黑体" w:eastAsia="黑体" w:cs="黑体"/>
          <w:sz w:val="32"/>
          <w:szCs w:val="32"/>
          <w:u w:val="single"/>
        </w:rPr>
      </w:pPr>
      <w:bookmarkStart w:id="0" w:name="_Hlk57884087"/>
      <w:r>
        <w:rPr>
          <w:rFonts w:hint="eastAsia" w:ascii="黑体" w:hAnsi="黑体" w:eastAsia="黑体" w:cs="黑体"/>
          <w:sz w:val="32"/>
          <w:szCs w:val="32"/>
        </w:rPr>
        <w:t xml:space="preserve"> 项目名称：</w:t>
      </w:r>
      <w:r>
        <w:rPr>
          <w:rFonts w:hint="eastAsia" w:ascii="黑体" w:hAnsi="黑体" w:eastAsia="黑体" w:cs="黑体"/>
          <w:sz w:val="32"/>
          <w:szCs w:val="32"/>
          <w:u w:val="single"/>
        </w:rPr>
        <w:t xml:space="preserve"> </w:t>
      </w:r>
      <w:r>
        <w:rPr>
          <w:rFonts w:hint="eastAsia" w:ascii="黑体" w:hAnsi="黑体" w:eastAsia="黑体" w:cs="黑体"/>
          <w:color w:val="000000"/>
          <w:sz w:val="32"/>
          <w:szCs w:val="32"/>
          <w:u w:val="single"/>
        </w:rPr>
        <w:t>年加工50万立方米预拌砂浆（湿拌）项目</w:t>
      </w:r>
    </w:p>
    <w:p>
      <w:pPr>
        <w:jc w:val="center"/>
        <w:rPr>
          <w:rFonts w:ascii="黑体" w:hAnsi="黑体" w:eastAsia="黑体" w:cs="黑体"/>
          <w:sz w:val="32"/>
          <w:szCs w:val="32"/>
        </w:rPr>
      </w:pPr>
      <w:r>
        <w:rPr>
          <w:rFonts w:hint="eastAsia" w:ascii="黑体" w:hAnsi="黑体" w:eastAsia="黑体" w:cs="黑体"/>
          <w:sz w:val="32"/>
          <w:szCs w:val="32"/>
        </w:rPr>
        <w:t>建设单位（盖章）：</w:t>
      </w:r>
      <w:r>
        <w:rPr>
          <w:rFonts w:hint="eastAsia" w:ascii="黑体" w:hAnsi="黑体" w:eastAsia="黑体" w:cs="黑体"/>
          <w:sz w:val="32"/>
          <w:szCs w:val="32"/>
          <w:u w:val="single"/>
        </w:rPr>
        <w:t>河北琪发商砼有限公司</w:t>
      </w:r>
    </w:p>
    <w:p>
      <w:pPr>
        <w:adjustRightInd w:val="0"/>
        <w:snapToGrid w:val="0"/>
        <w:spacing w:line="288" w:lineRule="auto"/>
        <w:ind w:firstLine="2560" w:firstLineChars="800"/>
        <w:rPr>
          <w:rFonts w:ascii="仿宋_GB2312" w:eastAsia="仿宋_GB2312"/>
          <w:sz w:val="36"/>
          <w:szCs w:val="36"/>
          <w:u w:val="single"/>
        </w:rPr>
      </w:pPr>
      <w:r>
        <w:rPr>
          <w:rFonts w:hint="eastAsia" w:ascii="黑体" w:hAnsi="黑体" w:eastAsia="黑体" w:cs="黑体"/>
          <w:sz w:val="32"/>
          <w:szCs w:val="32"/>
        </w:rPr>
        <w:t>编制日期：</w:t>
      </w:r>
      <w:r>
        <w:rPr>
          <w:rFonts w:hint="eastAsia" w:ascii="黑体" w:hAnsi="黑体" w:eastAsia="黑体" w:cs="黑体"/>
          <w:sz w:val="32"/>
          <w:szCs w:val="32"/>
          <w:u w:val="single"/>
        </w:rPr>
        <w:t xml:space="preserve"> 2021年9月</w:t>
      </w: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5" w:type="default"/>
          <w:footerReference r:id="rId6" w:type="even"/>
          <w:pgSz w:w="11906" w:h="16838"/>
          <w:pgMar w:top="1701" w:right="1531" w:bottom="1701" w:left="1531" w:header="851" w:footer="1077" w:gutter="0"/>
          <w:pgNumType w:start="3"/>
          <w:cols w:space="720" w:num="1"/>
          <w:docGrid w:linePitch="312" w:charSpace="0"/>
        </w:sectPr>
      </w:pPr>
    </w:p>
    <w:p>
      <w:pPr>
        <w:pStyle w:val="2"/>
        <w:sectPr>
          <w:pgSz w:w="11906" w:h="16838"/>
          <w:pgMar w:top="1701" w:right="1531" w:bottom="1701" w:left="1531" w:header="851" w:footer="1077" w:gutter="0"/>
          <w:pgNumType w:start="3"/>
          <w:cols w:space="720" w:num="1"/>
          <w:docGrid w:linePitch="312" w:charSpace="0"/>
        </w:sectPr>
      </w:pPr>
    </w:p>
    <w:p>
      <w:pPr>
        <w:pStyle w:val="19"/>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5"/>
        <w:tblW w:w="853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67"/>
        <w:gridCol w:w="2450"/>
        <w:gridCol w:w="1578"/>
        <w:gridCol w:w="338"/>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建设项目名称</w:t>
            </w:r>
          </w:p>
        </w:tc>
        <w:tc>
          <w:tcPr>
            <w:tcW w:w="7072" w:type="dxa"/>
            <w:gridSpan w:val="4"/>
            <w:tcBorders>
              <w:tl2br w:val="nil"/>
              <w:tr2bl w:val="nil"/>
            </w:tcBorders>
            <w:vAlign w:val="center"/>
          </w:tcPr>
          <w:p>
            <w:pPr>
              <w:jc w:val="center"/>
              <w:rPr>
                <w:rFonts w:hint="eastAsia" w:ascii="宋体" w:hAnsi="宋体" w:cs="宋体"/>
                <w:color w:val="000000"/>
                <w:sz w:val="24"/>
              </w:rPr>
            </w:pPr>
            <w:r>
              <w:rPr>
                <w:rFonts w:hint="eastAsia"/>
                <w:color w:val="000000"/>
                <w:sz w:val="24"/>
              </w:rPr>
              <w:t>年加工50万立方米预拌砂浆（湿拌）项目</w:t>
            </w:r>
            <w:r>
              <w:rPr>
                <w:color w:val="00000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项目代码</w:t>
            </w:r>
          </w:p>
        </w:tc>
        <w:tc>
          <w:tcPr>
            <w:tcW w:w="7072" w:type="dxa"/>
            <w:gridSpan w:val="4"/>
            <w:tcBorders>
              <w:tl2br w:val="nil"/>
              <w:tr2bl w:val="nil"/>
            </w:tcBorders>
            <w:vAlign w:val="center"/>
          </w:tcPr>
          <w:p>
            <w:pPr>
              <w:jc w:val="center"/>
              <w:rPr>
                <w:rFonts w:ascii="宋体" w:hAnsi="宋体" w:cs="宋体"/>
                <w:color w:val="000000"/>
                <w:sz w:val="24"/>
              </w:rPr>
            </w:pPr>
            <w:r>
              <w:rPr>
                <w:rFonts w:hint="eastAsia"/>
                <w:color w:val="000000"/>
                <w:sz w:val="24"/>
              </w:rPr>
              <w:t>2107-130434-89-05-717370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建设单位联系人</w:t>
            </w:r>
          </w:p>
        </w:tc>
        <w:tc>
          <w:tcPr>
            <w:tcW w:w="2450" w:type="dxa"/>
            <w:tcBorders>
              <w:tl2br w:val="nil"/>
              <w:tr2bl w:val="nil"/>
            </w:tcBorders>
            <w:vAlign w:val="center"/>
          </w:tcPr>
          <w:p>
            <w:pPr>
              <w:jc w:val="center"/>
              <w:rPr>
                <w:rFonts w:ascii="宋体" w:hAnsi="宋体" w:cs="宋体"/>
                <w:sz w:val="24"/>
              </w:rPr>
            </w:pPr>
            <w:r>
              <w:rPr>
                <w:rFonts w:hint="eastAsia" w:ascii="宋体" w:hAnsi="宋体" w:cs="宋体"/>
                <w:sz w:val="24"/>
              </w:rPr>
              <w:t>郭兰仲</w:t>
            </w:r>
          </w:p>
        </w:tc>
        <w:tc>
          <w:tcPr>
            <w:tcW w:w="1916" w:type="dxa"/>
            <w:gridSpan w:val="2"/>
            <w:tcBorders>
              <w:tl2br w:val="nil"/>
              <w:tr2bl w:val="nil"/>
            </w:tcBorders>
            <w:vAlign w:val="center"/>
          </w:tcPr>
          <w:p>
            <w:pPr>
              <w:jc w:val="center"/>
              <w:rPr>
                <w:rFonts w:ascii="宋体" w:hAnsi="宋体" w:cs="宋体"/>
                <w:sz w:val="24"/>
              </w:rPr>
            </w:pPr>
            <w:r>
              <w:rPr>
                <w:rFonts w:hint="eastAsia" w:ascii="宋体" w:hAnsi="宋体" w:cs="宋体"/>
                <w:sz w:val="24"/>
              </w:rPr>
              <w:t>联系方式</w:t>
            </w:r>
          </w:p>
        </w:tc>
        <w:tc>
          <w:tcPr>
            <w:tcW w:w="2706" w:type="dxa"/>
            <w:tcBorders>
              <w:tl2br w:val="nil"/>
              <w:tr2bl w:val="nil"/>
            </w:tcBorders>
            <w:vAlign w:val="center"/>
          </w:tcPr>
          <w:p>
            <w:pPr>
              <w:jc w:val="center"/>
              <w:rPr>
                <w:rFonts w:ascii="宋体" w:hAnsi="宋体" w:cs="宋体"/>
                <w:sz w:val="24"/>
              </w:rPr>
            </w:pPr>
            <w:r>
              <w:rPr>
                <w:rFonts w:hint="eastAsia"/>
                <w:sz w:val="24"/>
              </w:rPr>
              <w:t>13831018999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建设地点</w:t>
            </w:r>
          </w:p>
        </w:tc>
        <w:tc>
          <w:tcPr>
            <w:tcW w:w="7072" w:type="dxa"/>
            <w:gridSpan w:val="4"/>
            <w:tcBorders>
              <w:tl2br w:val="nil"/>
              <w:tr2bl w:val="nil"/>
            </w:tcBorders>
            <w:vAlign w:val="center"/>
          </w:tcPr>
          <w:p>
            <w:pPr>
              <w:jc w:val="center"/>
              <w:rPr>
                <w:rFonts w:ascii="宋体" w:hAnsi="宋体" w:cs="宋体"/>
                <w:sz w:val="24"/>
              </w:rPr>
            </w:pPr>
            <w:r>
              <w:rPr>
                <w:rFonts w:hint="eastAsia"/>
                <w:sz w:val="24"/>
              </w:rPr>
              <w:t>河北省邯郸市魏县经济开发区平安大街北段西侧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1467" w:type="dxa"/>
            <w:tcBorders>
              <w:tl2br w:val="nil"/>
              <w:tr2bl w:val="nil"/>
            </w:tcBorders>
            <w:vAlign w:val="center"/>
          </w:tcPr>
          <w:p>
            <w:pPr>
              <w:jc w:val="center"/>
              <w:rPr>
                <w:rFonts w:ascii="宋体" w:hAnsi="宋体" w:cs="宋体"/>
                <w:sz w:val="24"/>
              </w:rPr>
            </w:pPr>
            <w:r>
              <w:rPr>
                <w:rFonts w:hint="eastAsia" w:ascii="宋体" w:hAnsi="宋体" w:cs="宋体"/>
                <w:sz w:val="24"/>
              </w:rPr>
              <w:t>地理坐标</w:t>
            </w:r>
          </w:p>
        </w:tc>
        <w:tc>
          <w:tcPr>
            <w:tcW w:w="7072" w:type="dxa"/>
            <w:gridSpan w:val="4"/>
            <w:tcBorders>
              <w:tl2br w:val="nil"/>
              <w:tr2bl w:val="nil"/>
            </w:tcBorders>
            <w:vAlign w:val="center"/>
          </w:tcPr>
          <w:p>
            <w:pPr>
              <w:jc w:val="center"/>
              <w:rPr>
                <w:rFonts w:ascii="宋体" w:hAnsi="宋体" w:cs="宋体"/>
                <w:sz w:val="24"/>
              </w:rPr>
            </w:pPr>
            <w:r>
              <w:rPr>
                <w:rFonts w:hint="eastAsia"/>
                <w:sz w:val="24"/>
              </w:rPr>
              <w:t>厂区坐标：</w:t>
            </w:r>
            <w:r>
              <w:rPr>
                <w:sz w:val="24"/>
              </w:rPr>
              <w:t>北纬36°2</w:t>
            </w:r>
            <w:r>
              <w:rPr>
                <w:rFonts w:hint="eastAsia"/>
                <w:sz w:val="24"/>
              </w:rPr>
              <w:t>0</w:t>
            </w:r>
            <w:r>
              <w:rPr>
                <w:sz w:val="24"/>
              </w:rPr>
              <w:t>'</w:t>
            </w:r>
            <w:r>
              <w:rPr>
                <w:rFonts w:hint="eastAsia"/>
                <w:sz w:val="24"/>
                <w:lang w:val="en-US" w:eastAsia="zh-CN"/>
              </w:rPr>
              <w:t>24.000</w:t>
            </w:r>
            <w:r>
              <w:rPr>
                <w:sz w:val="24"/>
              </w:rPr>
              <w:t>"，东经114°5</w:t>
            </w:r>
            <w:r>
              <w:rPr>
                <w:rFonts w:hint="eastAsia"/>
                <w:sz w:val="24"/>
              </w:rPr>
              <w:t>9</w:t>
            </w:r>
            <w:r>
              <w:rPr>
                <w:sz w:val="24"/>
              </w:rPr>
              <w:t>'</w:t>
            </w:r>
            <w:r>
              <w:rPr>
                <w:rFonts w:hint="eastAsia"/>
                <w:sz w:val="24"/>
                <w:lang w:val="en-US" w:eastAsia="zh-CN"/>
              </w:rPr>
              <w:t>26.520</w:t>
            </w:r>
            <w:r>
              <w:rPr>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国民经济行业类别</w:t>
            </w:r>
          </w:p>
        </w:tc>
        <w:tc>
          <w:tcPr>
            <w:tcW w:w="2450" w:type="dxa"/>
            <w:tcBorders>
              <w:tl2br w:val="nil"/>
              <w:tr2bl w:val="nil"/>
            </w:tcBorders>
            <w:vAlign w:val="center"/>
          </w:tcPr>
          <w:p>
            <w:pPr>
              <w:spacing w:line="240" w:lineRule="auto"/>
              <w:jc w:val="center"/>
              <w:rPr>
                <w:rFonts w:ascii="宋体" w:hAnsi="宋体" w:cs="宋体"/>
                <w:sz w:val="24"/>
              </w:rPr>
            </w:pPr>
            <w:r>
              <w:rPr>
                <w:sz w:val="24"/>
              </w:rPr>
              <w:t>C</w:t>
            </w:r>
            <w:r>
              <w:rPr>
                <w:rFonts w:hint="eastAsia"/>
                <w:sz w:val="24"/>
              </w:rPr>
              <w:t>3029 其他水泥类似制品制造</w:t>
            </w:r>
          </w:p>
        </w:tc>
        <w:tc>
          <w:tcPr>
            <w:tcW w:w="1578"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建设项目行业类别</w:t>
            </w:r>
          </w:p>
        </w:tc>
        <w:tc>
          <w:tcPr>
            <w:tcW w:w="3044" w:type="dxa"/>
            <w:gridSpan w:val="2"/>
            <w:tcBorders>
              <w:tl2br w:val="nil"/>
              <w:tr2bl w:val="nil"/>
            </w:tcBorders>
            <w:vAlign w:val="center"/>
          </w:tcPr>
          <w:p>
            <w:pPr>
              <w:spacing w:line="240" w:lineRule="auto"/>
              <w:jc w:val="center"/>
              <w:rPr>
                <w:rFonts w:ascii="宋体" w:hAnsi="宋体" w:cs="宋体"/>
                <w:sz w:val="24"/>
              </w:rPr>
            </w:pPr>
            <w:r>
              <w:rPr>
                <w:sz w:val="24"/>
              </w:rPr>
              <w:t>二十七、非金属矿物制品业 55 石膏、水泥制品及类似制品制造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6" w:hRule="atLeast"/>
        </w:trPr>
        <w:tc>
          <w:tcPr>
            <w:tcW w:w="1467" w:type="dxa"/>
            <w:tcBorders>
              <w:tl2br w:val="nil"/>
              <w:tr2bl w:val="nil"/>
            </w:tcBorders>
            <w:vAlign w:val="center"/>
          </w:tcPr>
          <w:p>
            <w:pPr>
              <w:jc w:val="center"/>
              <w:rPr>
                <w:rFonts w:ascii="宋体" w:hAnsi="宋体" w:cs="宋体"/>
                <w:sz w:val="24"/>
              </w:rPr>
            </w:pPr>
            <w:r>
              <w:rPr>
                <w:rFonts w:hint="eastAsia" w:ascii="宋体" w:hAnsi="宋体" w:cs="宋体"/>
                <w:sz w:val="24"/>
              </w:rPr>
              <w:t>建设性质</w:t>
            </w:r>
          </w:p>
        </w:tc>
        <w:tc>
          <w:tcPr>
            <w:tcW w:w="2450" w:type="dxa"/>
            <w:tcBorders>
              <w:tl2br w:val="nil"/>
              <w:tr2bl w:val="nil"/>
            </w:tcBorders>
            <w:vAlign w:val="center"/>
          </w:tcPr>
          <w:p>
            <w:pPr>
              <w:pStyle w:val="52"/>
              <w:spacing w:before="80" w:line="240" w:lineRule="auto"/>
              <w:ind w:left="9"/>
              <w:rPr>
                <w:sz w:val="24"/>
              </w:rPr>
            </w:pPr>
            <w:r>
              <w:rPr>
                <w:sz w:val="24"/>
              </w:rPr>
              <w:sym w:font="Wingdings 2" w:char="00A3"/>
            </w:r>
            <w:r>
              <w:rPr>
                <w:sz w:val="24"/>
              </w:rPr>
              <w:t xml:space="preserve">新建（迁建） </w:t>
            </w:r>
          </w:p>
          <w:p>
            <w:pPr>
              <w:pStyle w:val="52"/>
              <w:spacing w:before="4" w:line="240" w:lineRule="auto"/>
              <w:ind w:left="9"/>
              <w:rPr>
                <w:sz w:val="24"/>
              </w:rPr>
            </w:pPr>
            <w:r>
              <w:rPr>
                <w:spacing w:val="-1"/>
                <w:sz w:val="24"/>
              </w:rPr>
              <w:sym w:font="Wingdings 2" w:char="00A3"/>
            </w:r>
            <w:r>
              <w:rPr>
                <w:spacing w:val="-1"/>
                <w:sz w:val="24"/>
              </w:rPr>
              <w:t>改建</w:t>
            </w:r>
            <w:r>
              <w:rPr>
                <w:sz w:val="24"/>
              </w:rPr>
              <w:t xml:space="preserve"> </w:t>
            </w:r>
          </w:p>
          <w:p>
            <w:pPr>
              <w:pStyle w:val="52"/>
              <w:spacing w:before="3" w:line="240" w:lineRule="auto"/>
              <w:ind w:left="9"/>
              <w:rPr>
                <w:sz w:val="24"/>
              </w:rPr>
            </w:pPr>
            <w:r>
              <w:rPr>
                <w:spacing w:val="-1"/>
                <w:sz w:val="24"/>
              </w:rPr>
              <w:sym w:font="Wingdings 2" w:char="0052"/>
            </w:r>
            <w:r>
              <w:rPr>
                <w:rFonts w:hint="eastAsia"/>
                <w:spacing w:val="-1"/>
                <w:sz w:val="24"/>
                <w:lang w:eastAsia="zh-CN"/>
              </w:rPr>
              <w:t>技改</w:t>
            </w:r>
            <w:r>
              <w:rPr>
                <w:sz w:val="24"/>
              </w:rPr>
              <w:t xml:space="preserve"> </w:t>
            </w:r>
          </w:p>
          <w:p>
            <w:pPr>
              <w:spacing w:line="240" w:lineRule="auto"/>
              <w:rPr>
                <w:rFonts w:hint="eastAsia" w:ascii="宋体" w:hAnsi="宋体" w:cs="宋体"/>
                <w:sz w:val="24"/>
              </w:rPr>
            </w:pPr>
            <w:r>
              <w:rPr>
                <w:sz w:val="24"/>
              </w:rPr>
              <w:sym w:font="Wingdings 2" w:char="00A3"/>
            </w:r>
            <w:r>
              <w:rPr>
                <w:sz w:val="24"/>
              </w:rPr>
              <w:t xml:space="preserve">技术改造 </w:t>
            </w:r>
          </w:p>
        </w:tc>
        <w:tc>
          <w:tcPr>
            <w:tcW w:w="1578" w:type="dxa"/>
            <w:tcBorders>
              <w:tl2br w:val="nil"/>
              <w:tr2bl w:val="nil"/>
            </w:tcBorders>
            <w:vAlign w:val="center"/>
          </w:tcPr>
          <w:p>
            <w:pPr>
              <w:jc w:val="center"/>
              <w:rPr>
                <w:rFonts w:ascii="宋体" w:hAnsi="宋体" w:cs="宋体"/>
                <w:sz w:val="24"/>
              </w:rPr>
            </w:pPr>
            <w:r>
              <w:rPr>
                <w:rFonts w:hint="eastAsia" w:ascii="宋体" w:hAnsi="宋体" w:cs="宋体"/>
                <w:sz w:val="24"/>
              </w:rPr>
              <w:t>建设项目申报情形</w:t>
            </w:r>
          </w:p>
        </w:tc>
        <w:tc>
          <w:tcPr>
            <w:tcW w:w="3044" w:type="dxa"/>
            <w:gridSpan w:val="2"/>
            <w:tcBorders>
              <w:tl2br w:val="nil"/>
              <w:tr2bl w:val="nil"/>
            </w:tcBorders>
            <w:vAlign w:val="center"/>
          </w:tcPr>
          <w:p>
            <w:pPr>
              <w:pStyle w:val="52"/>
              <w:tabs>
                <w:tab w:val="left" w:pos="200"/>
              </w:tabs>
              <w:spacing w:before="80" w:line="240" w:lineRule="auto"/>
              <w:jc w:val="left"/>
              <w:rPr>
                <w:sz w:val="24"/>
              </w:rPr>
            </w:pPr>
            <w:r>
              <w:rPr>
                <w:spacing w:val="-3"/>
                <w:sz w:val="24"/>
              </w:rPr>
              <w:sym w:font="Wingdings 2" w:char="0052"/>
            </w:r>
            <w:r>
              <w:rPr>
                <w:spacing w:val="-3"/>
                <w:sz w:val="24"/>
              </w:rPr>
              <w:t xml:space="preserve">首次申报项目  </w:t>
            </w:r>
            <w:r>
              <w:rPr>
                <w:sz w:val="24"/>
              </w:rPr>
              <w:t xml:space="preserve">   </w:t>
            </w:r>
            <w:r>
              <w:rPr>
                <w:spacing w:val="-3"/>
                <w:sz w:val="24"/>
              </w:rPr>
              <w:t xml:space="preserve"> </w:t>
            </w:r>
            <w:r>
              <w:rPr>
                <w:sz w:val="24"/>
              </w:rPr>
              <w:t xml:space="preserve">  </w:t>
            </w:r>
            <w:r>
              <w:rPr>
                <w:spacing w:val="-3"/>
                <w:sz w:val="24"/>
              </w:rPr>
              <w:t xml:space="preserve"> </w:t>
            </w:r>
            <w:r>
              <w:rPr>
                <w:sz w:val="24"/>
              </w:rPr>
              <w:t xml:space="preserve">  </w:t>
            </w:r>
          </w:p>
          <w:p>
            <w:pPr>
              <w:pStyle w:val="52"/>
              <w:spacing w:before="4" w:line="240" w:lineRule="auto"/>
              <w:ind w:left="10" w:right="-29"/>
              <w:rPr>
                <w:sz w:val="24"/>
              </w:rPr>
            </w:pPr>
            <w:r>
              <w:rPr>
                <w:spacing w:val="-3"/>
                <w:sz w:val="24"/>
              </w:rPr>
              <w:sym w:font="Wingdings 2" w:char="00A3"/>
            </w:r>
            <w:r>
              <w:rPr>
                <w:spacing w:val="-3"/>
                <w:sz w:val="24"/>
              </w:rPr>
              <w:t xml:space="preserve">不予批准后再次申报项目 </w:t>
            </w:r>
          </w:p>
          <w:p>
            <w:pPr>
              <w:pStyle w:val="52"/>
              <w:tabs>
                <w:tab w:val="left" w:pos="200"/>
              </w:tabs>
              <w:spacing w:before="3" w:line="240" w:lineRule="auto"/>
              <w:jc w:val="left"/>
              <w:rPr>
                <w:sz w:val="24"/>
              </w:rPr>
            </w:pPr>
            <w:r>
              <w:rPr>
                <w:spacing w:val="-3"/>
                <w:sz w:val="24"/>
              </w:rPr>
              <w:sym w:font="Wingdings 2" w:char="00A3"/>
            </w:r>
            <w:r>
              <w:rPr>
                <w:spacing w:val="-3"/>
                <w:sz w:val="24"/>
              </w:rPr>
              <w:t>超五年重新审核项目</w:t>
            </w:r>
            <w:r>
              <w:rPr>
                <w:sz w:val="24"/>
              </w:rPr>
              <w:t xml:space="preserve">  </w:t>
            </w:r>
            <w:r>
              <w:rPr>
                <w:spacing w:val="-3"/>
                <w:sz w:val="24"/>
              </w:rPr>
              <w:t xml:space="preserve"> </w:t>
            </w:r>
            <w:r>
              <w:rPr>
                <w:sz w:val="24"/>
              </w:rPr>
              <w:t xml:space="preserve">  </w:t>
            </w:r>
          </w:p>
          <w:p>
            <w:pPr>
              <w:spacing w:line="240" w:lineRule="auto"/>
              <w:rPr>
                <w:rFonts w:hint="eastAsia" w:ascii="宋体" w:hAnsi="宋体" w:cs="宋体"/>
                <w:sz w:val="24"/>
              </w:rPr>
            </w:pPr>
            <w:r>
              <w:rPr>
                <w:spacing w:val="-3"/>
                <w:sz w:val="24"/>
              </w:rPr>
              <w:sym w:font="Wingdings 2" w:char="00A3"/>
            </w:r>
            <w:r>
              <w:rPr>
                <w:spacing w:val="-3"/>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5"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项目审批（核准/备案）部门</w:t>
            </w:r>
          </w:p>
        </w:tc>
        <w:tc>
          <w:tcPr>
            <w:tcW w:w="2450" w:type="dxa"/>
            <w:tcBorders>
              <w:tl2br w:val="nil"/>
              <w:tr2bl w:val="nil"/>
            </w:tcBorders>
            <w:vAlign w:val="center"/>
          </w:tcPr>
          <w:p>
            <w:pPr>
              <w:jc w:val="center"/>
              <w:rPr>
                <w:rFonts w:ascii="宋体" w:hAnsi="宋体" w:cs="宋体"/>
                <w:sz w:val="24"/>
              </w:rPr>
            </w:pPr>
            <w:r>
              <w:rPr>
                <w:rFonts w:hint="eastAsia" w:ascii="宋体" w:hAnsi="宋体" w:cs="宋体"/>
                <w:color w:val="000000"/>
                <w:sz w:val="24"/>
              </w:rPr>
              <w:t>魏县行政审批局</w:t>
            </w:r>
          </w:p>
        </w:tc>
        <w:tc>
          <w:tcPr>
            <w:tcW w:w="1578" w:type="dxa"/>
            <w:tcBorders>
              <w:tl2br w:val="nil"/>
              <w:tr2bl w:val="nil"/>
            </w:tcBorders>
            <w:vAlign w:val="center"/>
          </w:tcPr>
          <w:p>
            <w:pPr>
              <w:spacing w:line="240" w:lineRule="auto"/>
              <w:jc w:val="center"/>
              <w:rPr>
                <w:rFonts w:hint="eastAsia" w:ascii="宋体" w:hAnsi="宋体" w:cs="宋体"/>
                <w:sz w:val="24"/>
              </w:rPr>
            </w:pPr>
            <w:r>
              <w:rPr>
                <w:spacing w:val="-1"/>
                <w:sz w:val="24"/>
              </w:rPr>
              <w:t>项目审批</w:t>
            </w:r>
            <w:r>
              <w:rPr>
                <w:spacing w:val="-3"/>
                <w:sz w:val="24"/>
              </w:rPr>
              <w:t>（</w:t>
            </w:r>
            <w:r>
              <w:rPr>
                <w:spacing w:val="-2"/>
                <w:sz w:val="24"/>
              </w:rPr>
              <w:t>核准</w:t>
            </w:r>
            <w:r>
              <w:rPr>
                <w:spacing w:val="-3"/>
                <w:sz w:val="24"/>
              </w:rPr>
              <w:t xml:space="preserve">/ </w:t>
            </w:r>
            <w:r>
              <w:rPr>
                <w:sz w:val="24"/>
              </w:rPr>
              <w:t>备案</w:t>
            </w:r>
            <w:r>
              <w:rPr>
                <w:spacing w:val="-3"/>
                <w:sz w:val="24"/>
              </w:rPr>
              <w:t>）</w:t>
            </w:r>
            <w:r>
              <w:rPr>
                <w:spacing w:val="-2"/>
                <w:sz w:val="24"/>
              </w:rPr>
              <w:t>文号</w:t>
            </w:r>
          </w:p>
        </w:tc>
        <w:tc>
          <w:tcPr>
            <w:tcW w:w="3044" w:type="dxa"/>
            <w:gridSpan w:val="2"/>
            <w:tcBorders>
              <w:tl2br w:val="nil"/>
              <w:tr2bl w:val="nil"/>
            </w:tcBorders>
            <w:vAlign w:val="center"/>
          </w:tcPr>
          <w:p>
            <w:pPr>
              <w:jc w:val="center"/>
              <w:rPr>
                <w:rFonts w:ascii="宋体" w:hAnsi="宋体" w:cs="宋体"/>
                <w:sz w:val="24"/>
              </w:rPr>
            </w:pPr>
            <w:r>
              <w:rPr>
                <w:rFonts w:hint="eastAsia" w:ascii="宋体" w:hAnsi="宋体" w:cs="宋体"/>
                <w:color w:val="000000"/>
                <w:sz w:val="24"/>
              </w:rPr>
              <w:t>魏投资备案</w:t>
            </w:r>
            <w:r>
              <w:rPr>
                <w:color w:val="000000"/>
                <w:sz w:val="24"/>
              </w:rPr>
              <w:t>[2021]55</w:t>
            </w:r>
            <w:r>
              <w:rPr>
                <w:rFonts w:hint="eastAsia" w:ascii="宋体" w:hAnsi="宋体" w:cs="宋体"/>
                <w:color w:val="000000"/>
                <w:sz w:val="24"/>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总投资（万元）</w:t>
            </w:r>
          </w:p>
        </w:tc>
        <w:tc>
          <w:tcPr>
            <w:tcW w:w="2450" w:type="dxa"/>
            <w:tcBorders>
              <w:tl2br w:val="nil"/>
              <w:tr2bl w:val="nil"/>
            </w:tcBorders>
            <w:vAlign w:val="center"/>
          </w:tcPr>
          <w:p>
            <w:pPr>
              <w:jc w:val="center"/>
              <w:rPr>
                <w:rFonts w:ascii="宋体" w:hAnsi="宋体" w:cs="宋体"/>
                <w:sz w:val="24"/>
              </w:rPr>
            </w:pPr>
            <w:r>
              <w:rPr>
                <w:rFonts w:hint="eastAsia"/>
                <w:sz w:val="24"/>
              </w:rPr>
              <w:t>500</w:t>
            </w:r>
          </w:p>
        </w:tc>
        <w:tc>
          <w:tcPr>
            <w:tcW w:w="1578"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环保投资（万元）</w:t>
            </w:r>
          </w:p>
        </w:tc>
        <w:tc>
          <w:tcPr>
            <w:tcW w:w="3044" w:type="dxa"/>
            <w:gridSpan w:val="2"/>
            <w:tcBorders>
              <w:tl2br w:val="nil"/>
              <w:tr2bl w:val="nil"/>
            </w:tcBorders>
            <w:vAlign w:val="center"/>
          </w:tcPr>
          <w:p>
            <w:pPr>
              <w:jc w:val="center"/>
              <w:rPr>
                <w:rFonts w:ascii="宋体" w:hAnsi="宋体" w:cs="宋体"/>
                <w:sz w:val="24"/>
              </w:rPr>
            </w:pPr>
            <w:r>
              <w:rPr>
                <w:color w:val="000000"/>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环保投资占比（%）</w:t>
            </w:r>
          </w:p>
        </w:tc>
        <w:tc>
          <w:tcPr>
            <w:tcW w:w="2450" w:type="dxa"/>
            <w:tcBorders>
              <w:tl2br w:val="nil"/>
              <w:tr2bl w:val="nil"/>
            </w:tcBorders>
            <w:vAlign w:val="center"/>
          </w:tcPr>
          <w:p>
            <w:pPr>
              <w:jc w:val="center"/>
              <w:rPr>
                <w:rFonts w:ascii="宋体" w:hAnsi="宋体" w:cs="宋体"/>
                <w:sz w:val="24"/>
              </w:rPr>
            </w:pPr>
            <w:r>
              <w:rPr>
                <w:rFonts w:hint="eastAsia"/>
                <w:color w:val="000000"/>
                <w:sz w:val="24"/>
              </w:rPr>
              <w:t>10</w:t>
            </w:r>
          </w:p>
        </w:tc>
        <w:tc>
          <w:tcPr>
            <w:tcW w:w="1578" w:type="dxa"/>
            <w:tcBorders>
              <w:tl2br w:val="nil"/>
              <w:tr2bl w:val="nil"/>
            </w:tcBorders>
            <w:vAlign w:val="center"/>
          </w:tcPr>
          <w:p>
            <w:pPr>
              <w:jc w:val="center"/>
              <w:rPr>
                <w:rFonts w:ascii="宋体" w:hAnsi="宋体" w:cs="宋体"/>
                <w:sz w:val="24"/>
              </w:rPr>
            </w:pPr>
            <w:r>
              <w:rPr>
                <w:rFonts w:hint="eastAsia" w:ascii="宋体" w:hAnsi="宋体" w:cs="宋体"/>
                <w:sz w:val="24"/>
              </w:rPr>
              <w:t>施工工期</w:t>
            </w:r>
          </w:p>
        </w:tc>
        <w:tc>
          <w:tcPr>
            <w:tcW w:w="3044" w:type="dxa"/>
            <w:gridSpan w:val="2"/>
            <w:tcBorders>
              <w:tl2br w:val="nil"/>
              <w:tr2bl w:val="nil"/>
            </w:tcBorders>
            <w:vAlign w:val="center"/>
          </w:tcPr>
          <w:p>
            <w:pPr>
              <w:jc w:val="center"/>
              <w:rPr>
                <w:rFonts w:ascii="宋体" w:hAnsi="宋体" w:cs="宋体"/>
                <w:sz w:val="24"/>
              </w:rPr>
            </w:pPr>
            <w:r>
              <w:rPr>
                <w:rFonts w:hint="eastAsia"/>
                <w:sz w:val="24"/>
              </w:rPr>
              <w:t>6</w:t>
            </w:r>
            <w:r>
              <w:rPr>
                <w:sz w:val="24"/>
              </w:rPr>
              <w:t>个月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是否开工建设</w:t>
            </w:r>
          </w:p>
        </w:tc>
        <w:tc>
          <w:tcPr>
            <w:tcW w:w="2450" w:type="dxa"/>
            <w:tcBorders>
              <w:tl2br w:val="nil"/>
              <w:tr2bl w:val="nil"/>
            </w:tcBorders>
            <w:vAlign w:val="center"/>
          </w:tcPr>
          <w:p>
            <w:pPr>
              <w:spacing w:line="240" w:lineRule="auto"/>
              <w:rPr>
                <w:rFonts w:hint="eastAsia"/>
                <w:sz w:val="24"/>
              </w:rPr>
            </w:pPr>
            <w:r>
              <w:rPr>
                <w:sz w:val="24"/>
              </w:rPr>
              <w:sym w:font="Wingdings 2" w:char="0052"/>
            </w:r>
            <w:r>
              <w:rPr>
                <w:rFonts w:hint="eastAsia"/>
                <w:sz w:val="24"/>
              </w:rPr>
              <w:t>否</w:t>
            </w:r>
          </w:p>
          <w:p>
            <w:pPr>
              <w:spacing w:line="240" w:lineRule="auto"/>
              <w:rPr>
                <w:rFonts w:hint="eastAsia"/>
                <w:sz w:val="24"/>
              </w:rPr>
            </w:pPr>
            <w:r>
              <w:rPr>
                <w:sz w:val="24"/>
              </w:rPr>
              <w:sym w:font="Wingdings 2" w:char="00A3"/>
            </w:r>
            <w:r>
              <w:rPr>
                <w:rFonts w:hint="eastAsia"/>
                <w:sz w:val="24"/>
              </w:rPr>
              <w:t>是</w:t>
            </w:r>
          </w:p>
        </w:tc>
        <w:tc>
          <w:tcPr>
            <w:tcW w:w="1578"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用地（用海）面积（m</w:t>
            </w:r>
            <w:r>
              <w:rPr>
                <w:rFonts w:hint="eastAsia" w:ascii="宋体" w:hAnsi="宋体" w:cs="宋体"/>
                <w:sz w:val="24"/>
                <w:vertAlign w:val="superscript"/>
              </w:rPr>
              <w:t>2</w:t>
            </w:r>
            <w:r>
              <w:rPr>
                <w:rFonts w:hint="eastAsia" w:ascii="宋体" w:hAnsi="宋体" w:cs="宋体"/>
                <w:sz w:val="24"/>
              </w:rPr>
              <w:t>）</w:t>
            </w:r>
          </w:p>
        </w:tc>
        <w:tc>
          <w:tcPr>
            <w:tcW w:w="3044" w:type="dxa"/>
            <w:gridSpan w:val="2"/>
            <w:tcBorders>
              <w:tl2br w:val="nil"/>
              <w:tr2bl w:val="nil"/>
            </w:tcBorders>
            <w:vAlign w:val="center"/>
          </w:tcPr>
          <w:p>
            <w:pPr>
              <w:jc w:val="center"/>
              <w:rPr>
                <w:rFonts w:ascii="宋体" w:hAnsi="宋体" w:cs="宋体"/>
                <w:sz w:val="24"/>
              </w:rPr>
            </w:pPr>
            <w:r>
              <w:rPr>
                <w:rFonts w:hint="eastAsia"/>
                <w:sz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3"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专项评价设置情况</w:t>
            </w:r>
          </w:p>
        </w:tc>
        <w:tc>
          <w:tcPr>
            <w:tcW w:w="7072" w:type="dxa"/>
            <w:gridSpan w:val="4"/>
            <w:tcBorders>
              <w:tl2br w:val="nil"/>
              <w:tr2bl w:val="nil"/>
            </w:tcBorders>
            <w:vAlign w:val="center"/>
          </w:tcPr>
          <w:p>
            <w:pPr>
              <w:jc w:val="center"/>
              <w:rPr>
                <w:rFonts w:ascii="宋体" w:hAnsi="宋体" w:cs="宋体"/>
                <w:sz w:val="24"/>
              </w:rPr>
            </w:pPr>
            <w:r>
              <w:rPr>
                <w:rFonts w:hint="eastAsia" w:ascii="宋体" w:hAnsi="宋体" w:cs="宋体"/>
                <w:sz w:val="24"/>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8" w:hRule="atLeast"/>
        </w:trPr>
        <w:tc>
          <w:tcPr>
            <w:tcW w:w="1467" w:type="dxa"/>
            <w:tcBorders>
              <w:tl2br w:val="nil"/>
              <w:tr2bl w:val="nil"/>
            </w:tcBorders>
            <w:vAlign w:val="center"/>
          </w:tcPr>
          <w:p>
            <w:pPr>
              <w:jc w:val="center"/>
              <w:rPr>
                <w:rFonts w:ascii="宋体" w:hAnsi="宋体" w:cs="宋体"/>
                <w:sz w:val="24"/>
              </w:rPr>
            </w:pPr>
            <w:r>
              <w:rPr>
                <w:rFonts w:hint="eastAsia" w:ascii="宋体" w:hAnsi="宋体" w:cs="宋体"/>
                <w:sz w:val="24"/>
              </w:rPr>
              <w:t>规划情况</w:t>
            </w:r>
          </w:p>
        </w:tc>
        <w:tc>
          <w:tcPr>
            <w:tcW w:w="7072" w:type="dxa"/>
            <w:gridSpan w:val="4"/>
            <w:tcBorders>
              <w:tl2br w:val="nil"/>
              <w:tr2bl w:val="nil"/>
            </w:tcBorders>
            <w:vAlign w:val="center"/>
          </w:tcPr>
          <w:p>
            <w:pPr>
              <w:jc w:val="both"/>
              <w:rPr>
                <w:rFonts w:hint="default" w:eastAsia="宋体"/>
                <w:color w:val="FF0000"/>
                <w:sz w:val="24"/>
                <w:lang w:val="en-US" w:eastAsia="zh-CN"/>
              </w:rPr>
            </w:pPr>
            <w:r>
              <w:rPr>
                <w:rFonts w:hint="eastAsia"/>
                <w:b w:val="0"/>
                <w:bCs w:val="0"/>
                <w:kern w:val="0"/>
                <w:sz w:val="24"/>
                <w:lang w:val="en-US" w:eastAsia="zh-CN"/>
              </w:rPr>
              <w:t>《魏县经济开发区总体规划（2014-2030</w:t>
            </w:r>
            <w:bookmarkStart w:id="2" w:name="_GoBack"/>
            <w:bookmarkEnd w:id="2"/>
            <w:r>
              <w:rPr>
                <w:rFonts w:hint="eastAsia"/>
                <w:b w:val="0"/>
                <w:bCs w:val="0"/>
                <w:kern w:val="0"/>
                <w:sz w:val="24"/>
                <w:lang w:val="en-US" w:eastAsia="zh-CN"/>
              </w:rPr>
              <w:t>）》</w:t>
            </w:r>
            <w:r>
              <w:rPr>
                <w:rFonts w:hint="eastAsia"/>
                <w:b w:val="0"/>
                <w:bCs w:val="0"/>
                <w:color w:val="000000" w:themeColor="text1"/>
                <w:kern w:val="0"/>
                <w:sz w:val="24"/>
                <w:lang w:val="en-US" w:eastAsia="zh-CN"/>
                <w14:textFill>
                  <w14:solidFill>
                    <w14:schemeClr w14:val="tx1"/>
                  </w14:solidFill>
                </w14:textFill>
              </w:rPr>
              <w:t>于2016年4月29日通过魏县人民政府审批，审批文号为魏政字[2016]59号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5"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规划环境影响评价情况</w:t>
            </w:r>
          </w:p>
        </w:tc>
        <w:tc>
          <w:tcPr>
            <w:tcW w:w="7072" w:type="dxa"/>
            <w:gridSpan w:val="4"/>
            <w:tcBorders>
              <w:tl2br w:val="nil"/>
              <w:tr2bl w:val="nil"/>
            </w:tcBorders>
            <w:vAlign w:val="center"/>
          </w:tcPr>
          <w:p>
            <w:pPr>
              <w:jc w:val="both"/>
              <w:rPr>
                <w:rFonts w:hint="default" w:eastAsia="宋体"/>
                <w:color w:val="FF0000"/>
                <w:sz w:val="24"/>
                <w:lang w:val="en-US" w:eastAsia="zh-CN"/>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河北魏县经济开发区总体规划环境影响报告书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于2015年2月11日通过原河北省生态环境厅的审查（冀环评函[2015]187号），2021年因园区调整产业布局、用地布局和规划基础设施等，编制了《河北魏县经济开发区总体规划（2019-2030）环境影响报告书》，于2021年7月2日通过了河北省生态环境厅的审查（冀环环评函[2021]549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5" w:hRule="atLeast"/>
        </w:trPr>
        <w:tc>
          <w:tcPr>
            <w:tcW w:w="1467" w:type="dxa"/>
            <w:tcBorders>
              <w:tl2br w:val="nil"/>
              <w:tr2bl w:val="nil"/>
            </w:tcBorders>
            <w:vAlign w:val="center"/>
          </w:tcPr>
          <w:p>
            <w:pPr>
              <w:spacing w:line="240" w:lineRule="auto"/>
              <w:jc w:val="center"/>
              <w:rPr>
                <w:rFonts w:ascii="宋体" w:hAnsi="宋体" w:cs="宋体"/>
                <w:sz w:val="24"/>
              </w:rPr>
            </w:pPr>
            <w:r>
              <w:rPr>
                <w:rFonts w:hint="eastAsia" w:ascii="宋体" w:hAnsi="宋体" w:cs="宋体"/>
                <w:sz w:val="24"/>
              </w:rPr>
              <w:t>规划及规划环境影响评价符合性分析</w:t>
            </w:r>
          </w:p>
        </w:tc>
        <w:tc>
          <w:tcPr>
            <w:tcW w:w="7072" w:type="dxa"/>
            <w:gridSpan w:val="4"/>
            <w:tcBorders>
              <w:tl2br w:val="nil"/>
              <w:tr2bl w:val="nil"/>
            </w:tcBorders>
            <w:vAlign w:val="center"/>
          </w:tcPr>
          <w:p>
            <w:pPr>
              <w:numPr>
                <w:ilvl w:val="0"/>
                <w:numId w:val="0"/>
              </w:numPr>
              <w:ind w:firstLine="480" w:firstLineChars="200"/>
              <w:jc w:val="left"/>
              <w:rPr>
                <w:rFonts w:hint="default" w:eastAsia="宋体"/>
                <w:color w:val="000000"/>
                <w:sz w:val="24"/>
                <w:lang w:val="en-US" w:eastAsia="zh-CN"/>
              </w:rPr>
            </w:pPr>
            <w:r>
              <w:rPr>
                <w:rFonts w:hint="eastAsia"/>
                <w:color w:val="000000"/>
                <w:sz w:val="24"/>
                <w:lang w:val="en-US" w:eastAsia="zh-CN"/>
              </w:rPr>
              <w:t>1、与工业园区规划符合性分析</w:t>
            </w:r>
          </w:p>
          <w:p>
            <w:pPr>
              <w:ind w:firstLine="500" w:firstLineChars="200"/>
              <w:rPr>
                <w:color w:val="000000" w:themeColor="text1"/>
                <w:sz w:val="24"/>
                <w14:textFill>
                  <w14:solidFill>
                    <w14:schemeClr w14:val="tx1"/>
                  </w14:solidFill>
                </w14:textFill>
              </w:rPr>
            </w:pPr>
            <w:r>
              <w:rPr>
                <w:rFonts w:hint="eastAsia"/>
                <w:bCs/>
                <w:color w:val="000000" w:themeColor="text1"/>
                <w:spacing w:val="5"/>
                <w:sz w:val="24"/>
                <w:lang w:val="en-US" w:eastAsia="zh-CN"/>
                <w14:textFill>
                  <w14:solidFill>
                    <w14:schemeClr w14:val="tx1"/>
                  </w14:solidFill>
                </w14:textFill>
              </w:rPr>
              <w:t>规划内容：</w:t>
            </w:r>
            <w:r>
              <w:rPr>
                <w:bCs/>
                <w:color w:val="000000" w:themeColor="text1"/>
                <w:spacing w:val="5"/>
                <w:sz w:val="24"/>
                <w14:textFill>
                  <w14:solidFill>
                    <w14:schemeClr w14:val="tx1"/>
                  </w14:solidFill>
                </w14:textFill>
              </w:rPr>
              <w:t>河北魏县经济开发区总规划面积22.36平方公里</w:t>
            </w:r>
            <w:r>
              <w:rPr>
                <w:rFonts w:hint="eastAsia"/>
                <w:bCs/>
                <w:color w:val="000000" w:themeColor="text1"/>
                <w:spacing w:val="5"/>
                <w:sz w:val="24"/>
                <w:lang w:eastAsia="zh-CN"/>
                <w14:textFill>
                  <w14:solidFill>
                    <w14:schemeClr w14:val="tx1"/>
                  </w14:solidFill>
                </w14:textFill>
              </w:rPr>
              <w:t>；</w:t>
            </w:r>
            <w:r>
              <w:rPr>
                <w:rFonts w:hint="eastAsia"/>
                <w:bCs/>
                <w:color w:val="000000" w:themeColor="text1"/>
                <w:spacing w:val="5"/>
                <w:sz w:val="24"/>
                <w:lang w:val="en-US" w:eastAsia="zh-CN"/>
                <w14:textFill>
                  <w14:solidFill>
                    <w14:schemeClr w14:val="tx1"/>
                  </w14:solidFill>
                </w14:textFill>
              </w:rPr>
              <w:t>规划范围：西区西起梨乡大街，北至长安大道，东临兴源河，南到天安大道，规划用地面积约9.1平方公里；东区西起兴源河，东至马头村，北临大广高速连接线，南接益民河，规划用地面积约13.26平方公里；规划主导产业：商贸物流、装备制造业、再生资源产业、金属压延加工及金属制造产业；规划发展定位：根据规划总体思路，结合魏县经济开发区资源条件、交通区位、产业基础等因素，形成“1+2+3”的空间布局结构。即</w:t>
            </w:r>
            <w:r>
              <w:rPr>
                <w:color w:val="000000" w:themeColor="text1"/>
                <w:sz w:val="24"/>
                <w14:textFill>
                  <w14:solidFill>
                    <w14:schemeClr w14:val="tx1"/>
                  </w14:solidFill>
                </w14:textFill>
              </w:rPr>
              <w:t>“一心、两带、三片区”的布局结构。“一心”指以服务整个工业园区为主要职能的综合配套中心。主要包括用地类型：居住、行政、研发、商业、绿地等。“两带”指一条是兴源河两侧绿化为主的景观带；一条是邯大路两侧贯穿开发区东西方向的绿化景观带。“三片区”是指</w:t>
            </w:r>
            <w:r>
              <w:rPr>
                <w:rFonts w:hint="eastAsia"/>
                <w:color w:val="000000" w:themeColor="text1"/>
                <w:sz w:val="24"/>
                <w:lang w:val="en-US" w:eastAsia="zh-CN"/>
                <w14:textFill>
                  <w14:solidFill>
                    <w14:schemeClr w14:val="tx1"/>
                  </w14:solidFill>
                </w14:textFill>
              </w:rPr>
              <w:t>A区位于开发区中西部的生活居住片区，占地约930公顷；B区位于开发区中北部、西北部、西南部的物流仓储片区，占地约80公顷；C区位于开发区东部的工业园区，占地约1045公顷。</w:t>
            </w:r>
          </w:p>
          <w:p>
            <w:pPr>
              <w:numPr>
                <w:ilvl w:val="0"/>
                <w:numId w:val="0"/>
              </w:numPr>
              <w:ind w:firstLine="480" w:firstLineChars="200"/>
              <w:rPr>
                <w:rFonts w:hint="default" w:eastAsia="宋体"/>
                <w:sz w:val="24"/>
                <w:lang w:val="en-US" w:eastAsia="zh-CN"/>
              </w:rPr>
            </w:pPr>
            <w:r>
              <w:rPr>
                <w:rFonts w:hint="eastAsia"/>
                <w:sz w:val="24"/>
                <w:lang w:val="en-US" w:eastAsia="zh-CN"/>
              </w:rPr>
              <w:t>符合性分析：本项目位于</w:t>
            </w:r>
            <w:r>
              <w:rPr>
                <w:rFonts w:hint="eastAsia"/>
                <w:sz w:val="24"/>
              </w:rPr>
              <w:t>魏县经济开发区平安大街北段西侧</w:t>
            </w:r>
            <w:r>
              <w:rPr>
                <w:rFonts w:hint="eastAsia"/>
                <w:sz w:val="24"/>
                <w:lang w:eastAsia="zh-CN"/>
              </w:rPr>
              <w:t>，</w:t>
            </w:r>
            <w:r>
              <w:rPr>
                <w:rFonts w:hint="eastAsia"/>
                <w:sz w:val="24"/>
                <w:lang w:val="en-US" w:eastAsia="zh-CN"/>
              </w:rPr>
              <w:t>位于河北魏县经济开发区规划范围捏，本项目属于其他水泥类似制品制造，主要产品为建筑装备的配套组成部分（预拌砂浆），与河北魏县经济开发区管理委员会签订入区协议，符合园区规划产业及定位。</w:t>
            </w:r>
          </w:p>
          <w:p>
            <w:pPr>
              <w:numPr>
                <w:ilvl w:val="0"/>
                <w:numId w:val="0"/>
              </w:numPr>
              <w:ind w:firstLine="480" w:firstLineChars="200"/>
              <w:rPr>
                <w:rFonts w:hint="default"/>
                <w:sz w:val="24"/>
                <w:lang w:val="en-US" w:eastAsia="zh-CN"/>
              </w:rPr>
            </w:pPr>
            <w:r>
              <w:rPr>
                <w:rFonts w:hint="eastAsia"/>
                <w:sz w:val="24"/>
                <w:lang w:val="en-US" w:eastAsia="zh-CN"/>
              </w:rPr>
              <w:t>2、与规划环评符合性分析</w:t>
            </w:r>
          </w:p>
          <w:p>
            <w:pPr>
              <w:numPr>
                <w:ilvl w:val="0"/>
                <w:numId w:val="0"/>
              </w:numPr>
              <w:ind w:firstLine="480" w:firstLineChars="200"/>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准入项目及建议禁止入区控制要求</w:t>
            </w:r>
            <w:r>
              <w:rPr>
                <w:sz w:val="24"/>
              </w:rPr>
              <w:t xml:space="preserve"> </w:t>
            </w:r>
          </w:p>
          <w:p>
            <w:pPr>
              <w:jc w:val="center"/>
              <w:rPr>
                <w:rFonts w:hint="eastAsia"/>
                <w:b/>
                <w:bCs/>
                <w:sz w:val="24"/>
                <w:lang w:val="en-US" w:eastAsia="zh-CN"/>
              </w:rPr>
            </w:pPr>
            <w:r>
              <w:rPr>
                <w:rFonts w:hint="default" w:ascii="Times New Roman" w:hAnsi="Times New Roman" w:cs="Times New Roman"/>
                <w:b/>
                <w:bCs/>
                <w:sz w:val="21"/>
                <w:szCs w:val="21"/>
                <w:lang w:val="en-US" w:eastAsia="zh-CN"/>
              </w:rPr>
              <w:t>表1  规划产业禁止及限制准入环境负面清单</w:t>
            </w:r>
            <w:r>
              <w:rPr>
                <w:rFonts w:hint="eastAsia"/>
                <w:b/>
                <w:bCs/>
                <w:sz w:val="21"/>
                <w:szCs w:val="21"/>
                <w:lang w:val="en-US" w:eastAsia="zh-CN"/>
              </w:rPr>
              <w:t xml:space="preserve"> </w:t>
            </w:r>
            <w:r>
              <w:rPr>
                <w:rFonts w:hint="eastAsia"/>
                <w:b/>
                <w:bCs/>
                <w:sz w:val="24"/>
                <w:lang w:val="en-US"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6846" w:type="dxa"/>
                  <w:gridSpan w:val="2"/>
                  <w:vAlign w:val="center"/>
                </w:tcPr>
                <w:p>
                  <w:pPr>
                    <w:bidi w:val="0"/>
                    <w:spacing w:line="240" w:lineRule="auto"/>
                    <w:jc w:val="center"/>
                    <w:rPr>
                      <w:rFonts w:hint="default" w:eastAsia="宋体"/>
                      <w:lang w:val="en-US" w:eastAsia="zh-CN"/>
                    </w:rPr>
                  </w:pPr>
                  <w:r>
                    <w:rPr>
                      <w:rFonts w:hint="eastAsia"/>
                      <w:lang w:val="en-US" w:eastAsia="zh-CN"/>
                    </w:rPr>
                    <w:t>共性要求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Align w:val="center"/>
                </w:tcPr>
                <w:p>
                  <w:pPr>
                    <w:bidi w:val="0"/>
                    <w:spacing w:line="240" w:lineRule="auto"/>
                    <w:jc w:val="center"/>
                    <w:rPr>
                      <w:rFonts w:hint="eastAsia" w:eastAsia="宋体"/>
                      <w:lang w:val="en-US" w:eastAsia="zh-CN"/>
                    </w:rPr>
                  </w:pPr>
                  <w:r>
                    <w:rPr>
                      <w:rFonts w:hint="eastAsia"/>
                      <w:lang w:val="en-US" w:eastAsia="zh-CN"/>
                    </w:rPr>
                    <w:t>单元</w:t>
                  </w:r>
                </w:p>
              </w:tc>
              <w:tc>
                <w:tcPr>
                  <w:tcW w:w="6067" w:type="dxa"/>
                  <w:vAlign w:val="center"/>
                </w:tcPr>
                <w:p>
                  <w:pPr>
                    <w:bidi w:val="0"/>
                    <w:spacing w:line="240" w:lineRule="auto"/>
                    <w:jc w:val="center"/>
                    <w:rPr>
                      <w:rFonts w:hint="default" w:eastAsia="宋体"/>
                      <w:lang w:val="en-US" w:eastAsia="zh-CN"/>
                    </w:rPr>
                  </w:pPr>
                  <w:r>
                    <w:rPr>
                      <w:rFonts w:hint="eastAsia"/>
                      <w:lang w:val="en-US" w:eastAsia="zh-CN"/>
                    </w:rPr>
                    <w:t>禁止项目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Merge w:val="restart"/>
                  <w:vAlign w:val="center"/>
                </w:tcPr>
                <w:p>
                  <w:pPr>
                    <w:bidi w:val="0"/>
                    <w:spacing w:line="240" w:lineRule="auto"/>
                    <w:jc w:val="center"/>
                    <w:rPr>
                      <w:rFonts w:hint="default" w:eastAsia="宋体"/>
                      <w:lang w:val="en-US" w:eastAsia="zh-CN"/>
                    </w:rPr>
                  </w:pPr>
                  <w:r>
                    <w:rPr>
                      <w:rFonts w:hint="eastAsia"/>
                      <w:lang w:val="en-US" w:eastAsia="zh-CN"/>
                    </w:rPr>
                    <w:t>允许建设单元（Y）、限制建设单元（X）</w:t>
                  </w:r>
                </w:p>
              </w:tc>
              <w:tc>
                <w:tcPr>
                  <w:tcW w:w="6067" w:type="dxa"/>
                  <w:vAlign w:val="center"/>
                </w:tcPr>
                <w:p>
                  <w:pPr>
                    <w:bidi w:val="0"/>
                    <w:spacing w:line="240" w:lineRule="auto"/>
                    <w:jc w:val="center"/>
                  </w:pPr>
                  <w:r>
                    <w:rPr>
                      <w:rFonts w:hint="default" w:ascii="Times New Roman" w:hAnsi="Times New Roman" w:eastAsia="宋体" w:cs="Times New Roman"/>
                    </w:rPr>
                    <w:t>《产业结构调整指导目录（2019年本）》中禁止、限制类产业；《市场准入负面清单（2019 年版）》中禁止的产业；国务院《打赢蓝天保卫战三年行动计划》、《水污染防治行动计划》 《土壤污染防治行动计划》 明确禁止建设的项目； 《禁止用地项目目录（2012年本）》 《限制用地项目目录（2012年本）》、《产业发展与转移指导目录（2018年本）》、《关于进一步加强塑料污染治理的意见》 、《关于生产和使用消耗臭氧层物质建设项目管理有关工作的通知》 、《河北省新增限制和淘汰类产业目录（2015年版）》、《高耗水工艺、技术和装备淘汰目录（第一批）》中禁止的项目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Merge w:val="continue"/>
                  <w:vAlign w:val="center"/>
                </w:tcPr>
                <w:p>
                  <w:pPr>
                    <w:bidi w:val="0"/>
                    <w:spacing w:line="240" w:lineRule="auto"/>
                    <w:jc w:val="center"/>
                  </w:pPr>
                </w:p>
              </w:tc>
              <w:tc>
                <w:tcPr>
                  <w:tcW w:w="6067" w:type="dxa"/>
                  <w:vAlign w:val="center"/>
                </w:tcPr>
                <w:p>
                  <w:pPr>
                    <w:bidi w:val="0"/>
                    <w:spacing w:line="240" w:lineRule="auto"/>
                    <w:jc w:val="center"/>
                  </w:pPr>
                  <w:r>
                    <w:rPr>
                      <w:rFonts w:hint="default" w:ascii="Times New Roman" w:hAnsi="Times New Roman" w:eastAsia="宋体" w:cs="Times New Roman"/>
                    </w:rPr>
                    <w:t>《河北省禁止投资的产业目录》《河北省新增限制和淘汰类产业目录（2015年版）》 《河北省大气污染防治行动计划实施方案》 、《河北省打赢蓝天保卫战三年行动方案的通知》 、《河北省水污染防治工作方案》 、《河北省碧水保卫战三年行动计划（2018-2020）》、《关于印发河北省“净土行动”土壤污染防治工作方案的通知》、《河北省环境保护厅关于进一步加强建设项目环保管理的通知》 、《河北省新增限制和淘汰类产业项目》、《邯郸市人民政府关于实行项目投资负面清单管理的通告》 （邯政告〔2014〕12号）明确禁止建设的项目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Merge w:val="continue"/>
                  <w:vAlign w:val="center"/>
                </w:tcPr>
                <w:p>
                  <w:pPr>
                    <w:bidi w:val="0"/>
                    <w:spacing w:line="240" w:lineRule="auto"/>
                    <w:jc w:val="center"/>
                  </w:pPr>
                </w:p>
              </w:tc>
              <w:tc>
                <w:tcPr>
                  <w:tcW w:w="6067" w:type="dxa"/>
                  <w:vAlign w:val="center"/>
                </w:tcPr>
                <w:p>
                  <w:pPr>
                    <w:bidi w:val="0"/>
                    <w:spacing w:line="240" w:lineRule="auto"/>
                    <w:jc w:val="center"/>
                  </w:pPr>
                  <w:r>
                    <w:rPr>
                      <w:rFonts w:hint="default" w:ascii="Times New Roman" w:hAnsi="Times New Roman" w:eastAsia="宋体" w:cs="Times New Roman"/>
                    </w:rPr>
                    <w:t>《邯郸市打赢蓝天保卫战三年行动方案》 、《邯郸市水污染防治实施细则》 、《邯郸市土壤污染防治工作实施方案》 、《邯郸市生态环境保护“十三五”规划》 、明确禁止建设的项目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Merge w:val="continue"/>
                  <w:vAlign w:val="center"/>
                </w:tcPr>
                <w:p>
                  <w:pPr>
                    <w:bidi w:val="0"/>
                    <w:spacing w:line="240" w:lineRule="auto"/>
                    <w:jc w:val="center"/>
                  </w:pPr>
                </w:p>
              </w:tc>
              <w:tc>
                <w:tcPr>
                  <w:tcW w:w="6067" w:type="dxa"/>
                  <w:vAlign w:val="center"/>
                </w:tcPr>
                <w:p>
                  <w:pPr>
                    <w:spacing w:before="55" w:line="240" w:lineRule="auto"/>
                    <w:jc w:val="center"/>
                  </w:pPr>
                  <w:r>
                    <w:rPr>
                      <w:rFonts w:ascii="宋体" w:hAnsi="宋体" w:eastAsia="宋体" w:cs="宋体"/>
                      <w:spacing w:val="-1"/>
                      <w:sz w:val="21"/>
                      <w:szCs w:val="21"/>
                    </w:rPr>
                    <w:t>禁止入驻开采地下水的建设项目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Merge w:val="continue"/>
                  <w:vAlign w:val="center"/>
                </w:tcPr>
                <w:p>
                  <w:pPr>
                    <w:bidi w:val="0"/>
                    <w:spacing w:line="240" w:lineRule="auto"/>
                    <w:jc w:val="center"/>
                  </w:pPr>
                </w:p>
              </w:tc>
              <w:tc>
                <w:tcPr>
                  <w:tcW w:w="6067" w:type="dxa"/>
                  <w:vAlign w:val="center"/>
                </w:tcPr>
                <w:p>
                  <w:pPr>
                    <w:spacing w:before="58" w:line="240" w:lineRule="auto"/>
                    <w:jc w:val="center"/>
                  </w:pPr>
                  <w:r>
                    <w:rPr>
                      <w:rFonts w:ascii="宋体" w:hAnsi="宋体" w:eastAsia="宋体" w:cs="宋体"/>
                      <w:spacing w:val="-2"/>
                      <w:sz w:val="21"/>
                      <w:szCs w:val="21"/>
                    </w:rPr>
                    <w:t>禁止入驻高耗水项目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Merge w:val="continue"/>
                  <w:vAlign w:val="center"/>
                </w:tcPr>
                <w:p>
                  <w:pPr>
                    <w:bidi w:val="0"/>
                    <w:spacing w:line="240" w:lineRule="auto"/>
                    <w:jc w:val="center"/>
                  </w:pPr>
                </w:p>
              </w:tc>
              <w:tc>
                <w:tcPr>
                  <w:tcW w:w="6067" w:type="dxa"/>
                  <w:vAlign w:val="center"/>
                </w:tcPr>
                <w:p>
                  <w:pPr>
                    <w:bidi w:val="0"/>
                    <w:spacing w:line="240" w:lineRule="auto"/>
                    <w:jc w:val="center"/>
                  </w:pPr>
                  <w:r>
                    <w:rPr>
                      <w:rFonts w:ascii="宋体" w:hAnsi="宋体" w:eastAsia="宋体" w:cs="宋体"/>
                      <w:spacing w:val="-3"/>
                      <w:sz w:val="21"/>
                      <w:szCs w:val="21"/>
                    </w:rPr>
                    <w:t>不能满足落实颗粒物、氮氧化物、</w:t>
                  </w:r>
                  <w:r>
                    <w:rPr>
                      <w:rFonts w:ascii="Times New Roman" w:hAnsi="Times New Roman" w:eastAsia="Times New Roman" w:cs="Times New Roman"/>
                      <w:spacing w:val="-3"/>
                      <w:sz w:val="21"/>
                      <w:szCs w:val="21"/>
                    </w:rPr>
                    <w:t>SO</w:t>
                  </w:r>
                  <w:r>
                    <w:rPr>
                      <w:rFonts w:ascii="Times New Roman" w:hAnsi="Times New Roman" w:eastAsia="Times New Roman" w:cs="Times New Roman"/>
                      <w:spacing w:val="-3"/>
                      <w:position w:val="-1"/>
                      <w:sz w:val="14"/>
                      <w:szCs w:val="14"/>
                    </w:rPr>
                    <w:t>2</w:t>
                  </w:r>
                  <w:r>
                    <w:rPr>
                      <w:rFonts w:ascii="Times New Roman" w:hAnsi="Times New Roman" w:eastAsia="Times New Roman" w:cs="Times New Roman"/>
                      <w:w w:val="101"/>
                      <w:position w:val="-1"/>
                      <w:sz w:val="14"/>
                      <w:szCs w:val="14"/>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VOCs</w:t>
                  </w:r>
                  <w:r>
                    <w:rPr>
                      <w:rFonts w:ascii="Times New Roman" w:hAnsi="Times New Roman" w:eastAsia="Times New Roman" w:cs="Times New Roman"/>
                      <w:spacing w:val="-27"/>
                      <w:sz w:val="21"/>
                      <w:szCs w:val="21"/>
                    </w:rPr>
                    <w:t xml:space="preserve"> </w:t>
                  </w:r>
                  <w:r>
                    <w:rPr>
                      <w:rFonts w:ascii="宋体" w:hAnsi="宋体" w:eastAsia="宋体" w:cs="宋体"/>
                      <w:spacing w:val="-3"/>
                      <w:sz w:val="21"/>
                      <w:szCs w:val="21"/>
                    </w:rPr>
                    <w:t>、氨氮、</w:t>
                  </w:r>
                  <w:r>
                    <w:rPr>
                      <w:rFonts w:ascii="Times New Roman" w:hAnsi="Times New Roman" w:eastAsia="Times New Roman" w:cs="Times New Roman"/>
                      <w:spacing w:val="-3"/>
                      <w:sz w:val="21"/>
                      <w:szCs w:val="21"/>
                    </w:rPr>
                    <w:t>COD</w:t>
                  </w:r>
                  <w:r>
                    <w:rPr>
                      <w:rFonts w:ascii="Times New Roman" w:hAnsi="Times New Roman" w:eastAsia="Times New Roman" w:cs="Times New Roman"/>
                      <w:spacing w:val="-27"/>
                      <w:sz w:val="21"/>
                      <w:szCs w:val="21"/>
                    </w:rPr>
                    <w:t xml:space="preserve"> </w:t>
                  </w:r>
                  <w:r>
                    <w:rPr>
                      <w:rFonts w:ascii="宋体" w:hAnsi="宋体" w:eastAsia="宋体" w:cs="宋体"/>
                      <w:spacing w:val="-3"/>
                      <w:sz w:val="21"/>
                      <w:szCs w:val="21"/>
                    </w:rPr>
                    <w:t>、重金属</w:t>
                  </w:r>
                  <w:r>
                    <w:rPr>
                      <w:rFonts w:ascii="宋体" w:hAnsi="宋体" w:eastAsia="宋体" w:cs="宋体"/>
                      <w:spacing w:val="-46"/>
                      <w:sz w:val="21"/>
                      <w:szCs w:val="21"/>
                    </w:rPr>
                    <w:t xml:space="preserve"> </w:t>
                  </w:r>
                  <w:r>
                    <w:rPr>
                      <w:rFonts w:ascii="Times New Roman" w:hAnsi="Times New Roman" w:eastAsia="Times New Roman" w:cs="Times New Roman"/>
                      <w:spacing w:val="-3"/>
                      <w:sz w:val="21"/>
                      <w:szCs w:val="21"/>
                    </w:rPr>
                    <w:t>2</w:t>
                  </w:r>
                  <w:r>
                    <w:rPr>
                      <w:rFonts w:ascii="宋体" w:hAnsi="宋体" w:eastAsia="宋体" w:cs="宋体"/>
                      <w:spacing w:val="-3"/>
                      <w:sz w:val="21"/>
                      <w:szCs w:val="21"/>
                    </w:rPr>
                    <w:t>倍总量替</w:t>
                  </w:r>
                  <w:r>
                    <w:rPr>
                      <w:rFonts w:ascii="宋体" w:hAnsi="宋体" w:eastAsia="宋体" w:cs="宋体"/>
                      <w:spacing w:val="-2"/>
                      <w:sz w:val="21"/>
                      <w:szCs w:val="21"/>
                    </w:rPr>
                    <w:t>代削减的建设项目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Align w:val="center"/>
                </w:tcPr>
                <w:p>
                  <w:pPr>
                    <w:bidi w:val="0"/>
                    <w:jc w:val="center"/>
                    <w:rPr>
                      <w:rFonts w:hint="default" w:eastAsia="宋体"/>
                      <w:lang w:val="en-US" w:eastAsia="zh-CN"/>
                    </w:rPr>
                  </w:pPr>
                  <w:r>
                    <w:rPr>
                      <w:rFonts w:hint="eastAsia"/>
                      <w:lang w:val="en-US" w:eastAsia="zh-CN"/>
                    </w:rPr>
                    <w:t>装备制造行业</w:t>
                  </w:r>
                </w:p>
              </w:tc>
              <w:tc>
                <w:tcPr>
                  <w:tcW w:w="6067" w:type="dxa"/>
                  <w:vAlign w:val="center"/>
                </w:tcPr>
                <w:p>
                  <w:pPr>
                    <w:bidi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低速汽车（三轮汽车、低速货车）（自2015年起执行与轻型卡车同等的节能与排放标准） ；配套单缸柴油机的皮带传动小四轮拖拉机，配套单缸柴油机的手扶拖拉机，滑动齿轮换档、排放达不到要求的50马力以下轮式拖拉机；非数控金属切削 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 工项目；生产软边结构自行车胎项目；生产普通松弛级别的钢丝、钢绞线项目；含氰电镀项目（电镀金、银、铜基合金及予镀铜打底工艺，暂缓淘汰） ；化工、钢铁、食品等容易形成交叉污染的项目；电镀小区以外的含电镀工艺的项目。</w:t>
                  </w:r>
                </w:p>
                <w:p>
                  <w:pPr>
                    <w:bidi w:val="0"/>
                    <w:spacing w:line="240" w:lineRule="auto"/>
                    <w:jc w:val="center"/>
                  </w:pPr>
                  <w:r>
                    <w:rPr>
                      <w:rFonts w:hint="default" w:ascii="Times New Roman" w:hAnsi="Times New Roman" w:eastAsia="宋体" w:cs="Times New Roman"/>
                    </w:rPr>
                    <w:t>一类工业用地禁止含电镀、铸造、熔炼、酸洗、磷化工艺。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Align w:val="center"/>
                </w:tcPr>
                <w:p>
                  <w:pPr>
                    <w:bidi w:val="0"/>
                    <w:spacing w:line="240" w:lineRule="auto"/>
                    <w:jc w:val="center"/>
                    <w:rPr>
                      <w:rFonts w:hint="default" w:eastAsia="宋体"/>
                      <w:lang w:val="en-US" w:eastAsia="zh-CN"/>
                    </w:rPr>
                  </w:pPr>
                  <w:r>
                    <w:rPr>
                      <w:rFonts w:hint="eastAsia"/>
                      <w:lang w:val="en-US" w:eastAsia="zh-CN"/>
                    </w:rPr>
                    <w:t>再生资源深加工行业</w:t>
                  </w:r>
                </w:p>
              </w:tc>
              <w:tc>
                <w:tcPr>
                  <w:tcW w:w="6067" w:type="dxa"/>
                  <w:vAlign w:val="center"/>
                </w:tcPr>
                <w:p>
                  <w:pPr>
                    <w:spacing w:before="69" w:line="312" w:lineRule="exact"/>
                    <w:jc w:val="center"/>
                    <w:rPr>
                      <w:rFonts w:ascii="宋体" w:hAnsi="宋体" w:eastAsia="宋体" w:cs="宋体"/>
                      <w:sz w:val="21"/>
                      <w:szCs w:val="21"/>
                    </w:rPr>
                  </w:pPr>
                  <w:r>
                    <w:rPr>
                      <w:rFonts w:ascii="宋体" w:hAnsi="宋体" w:eastAsia="宋体" w:cs="宋体"/>
                      <w:spacing w:val="-1"/>
                      <w:position w:val="6"/>
                      <w:sz w:val="21"/>
                      <w:szCs w:val="21"/>
                    </w:rPr>
                    <w:t>禁止建设废铅酸蓄电池回收、处置项目</w:t>
                  </w:r>
                </w:p>
                <w:p>
                  <w:pPr>
                    <w:bidi w:val="0"/>
                    <w:jc w:val="center"/>
                  </w:pPr>
                  <w:r>
                    <w:rPr>
                      <w:rFonts w:ascii="宋体" w:hAnsi="宋体" w:eastAsia="宋体" w:cs="宋体"/>
                      <w:spacing w:val="-1"/>
                      <w:sz w:val="21"/>
                      <w:szCs w:val="21"/>
                    </w:rPr>
                    <w:t>禁止企业以任何方式进口固体废物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Align w:val="center"/>
                </w:tcPr>
                <w:p>
                  <w:pPr>
                    <w:bidi w:val="0"/>
                    <w:spacing w:line="240" w:lineRule="auto"/>
                    <w:jc w:val="center"/>
                    <w:rPr>
                      <w:rFonts w:hint="default" w:eastAsia="宋体"/>
                      <w:lang w:val="en-US" w:eastAsia="zh-CN"/>
                    </w:rPr>
                  </w:pPr>
                  <w:r>
                    <w:rPr>
                      <w:rFonts w:hint="eastAsia"/>
                      <w:lang w:val="en-US" w:eastAsia="zh-CN"/>
                    </w:rPr>
                    <w:t>金属压延加工及金属制造行业</w:t>
                  </w:r>
                </w:p>
              </w:tc>
              <w:tc>
                <w:tcPr>
                  <w:tcW w:w="6067" w:type="dxa"/>
                  <w:vAlign w:val="center"/>
                </w:tcPr>
                <w:p>
                  <w:pPr>
                    <w:bidi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禁止新建含电镀工艺的项目；实时跟进国家产业政策要求，取缔不符合要求的电镀项目；</w:t>
                  </w:r>
                </w:p>
                <w:p>
                  <w:pPr>
                    <w:bidi w:val="0"/>
                    <w:spacing w:line="240" w:lineRule="auto"/>
                    <w:jc w:val="center"/>
                    <w:rPr>
                      <w:rFonts w:hint="default" w:ascii="Times New Roman" w:hAnsi="Times New Roman" w:eastAsia="宋体" w:cs="Times New Roman"/>
                    </w:rPr>
                  </w:pPr>
                  <w:r>
                    <w:rPr>
                      <w:rFonts w:hint="default" w:ascii="Times New Roman" w:hAnsi="Times New Roman" w:eastAsia="宋体" w:cs="Times New Roman"/>
                    </w:rPr>
                    <w:t>涉重金属重点行业新建、改（扩）建项目实行新增重金属污染物排放等量或倍量替代，如区域重金属排放量继续上升，禁止审批新增重金属污染物排放的建设项目。</w:t>
                  </w:r>
                </w:p>
                <w:p>
                  <w:pPr>
                    <w:bidi w:val="0"/>
                    <w:spacing w:line="240" w:lineRule="auto"/>
                    <w:jc w:val="center"/>
                  </w:pPr>
                  <w:r>
                    <w:rPr>
                      <w:rFonts w:hint="default" w:ascii="Times New Roman" w:hAnsi="Times New Roman" w:eastAsia="宋体" w:cs="Times New Roman"/>
                    </w:rPr>
                    <w:t>落实重金属相关行业规范条件，禁止新建落后产能项目，严禁产能严重过剩行业新增产能建设项目。禁止向涉重金属相关行业落后产能和产能过剩行业供应土地。钢压延加工产业（C314）限制新建和</w:t>
                  </w:r>
                  <w:r>
                    <w:rPr>
                      <w:rFonts w:hint="eastAsia" w:cs="Times New Roman"/>
                      <w:lang w:eastAsia="zh-CN"/>
                    </w:rPr>
                    <w:t>技改</w:t>
                  </w:r>
                  <w:r>
                    <w:rPr>
                      <w:rFonts w:hint="default" w:ascii="Times New Roman" w:hAnsi="Times New Roman" w:eastAsia="宋体" w:cs="Times New Roman"/>
                    </w:rPr>
                    <w:t>（冷加工、增加品种及等量置换除外）。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779" w:type="dxa"/>
                  <w:vAlign w:val="center"/>
                </w:tcPr>
                <w:p>
                  <w:pPr>
                    <w:bidi w:val="0"/>
                    <w:spacing w:line="240" w:lineRule="auto"/>
                    <w:jc w:val="center"/>
                    <w:rPr>
                      <w:rFonts w:hint="eastAsia" w:eastAsia="宋体"/>
                      <w:lang w:val="en-US" w:eastAsia="zh-CN"/>
                    </w:rPr>
                  </w:pPr>
                  <w:r>
                    <w:rPr>
                      <w:rFonts w:hint="eastAsia"/>
                      <w:lang w:val="en-US" w:eastAsia="zh-CN"/>
                    </w:rPr>
                    <w:t>商贸物流区</w:t>
                  </w:r>
                </w:p>
              </w:tc>
              <w:tc>
                <w:tcPr>
                  <w:tcW w:w="6067" w:type="dxa"/>
                  <w:vAlign w:val="center"/>
                </w:tcPr>
                <w:p>
                  <w:pPr>
                    <w:bidi w:val="0"/>
                    <w:spacing w:line="240" w:lineRule="auto"/>
                    <w:jc w:val="center"/>
                  </w:pPr>
                  <w:r>
                    <w:rPr>
                      <w:rFonts w:hint="default" w:ascii="Times New Roman" w:hAnsi="Times New Roman" w:cs="Times New Roman"/>
                    </w:rPr>
                    <w:t>工业用地变更用地类型需委托相关单位开展土壤环境调查评估，根据土壤受污染状 况进行进一步土壤保护措施</w:t>
                  </w:r>
                </w:p>
              </w:tc>
            </w:tr>
          </w:tbl>
          <w:p>
            <w:pPr>
              <w:autoSpaceDE w:val="0"/>
              <w:autoSpaceDN w:val="0"/>
              <w:adjustRightInd w:val="0"/>
              <w:snapToGrid w:val="0"/>
              <w:spacing w:line="360" w:lineRule="auto"/>
              <w:ind w:firstLine="480" w:firstLineChars="200"/>
              <w:rPr>
                <w:rFonts w:hint="default" w:eastAsia="宋体"/>
                <w:sz w:val="24"/>
                <w:lang w:val="en-US" w:eastAsia="zh-CN"/>
              </w:rPr>
            </w:pPr>
            <w:r>
              <w:rPr>
                <w:rFonts w:hint="eastAsia"/>
                <w:sz w:val="24"/>
                <w:lang w:val="en-US" w:eastAsia="zh-CN"/>
              </w:rPr>
              <w:t>符合性分析：本项目为其他水泥类似制品制造，属于建筑装备制造行业的延伸产业链，符合园区的功能及产业定位。并且符合国家产业政策，不属于严重污染项目，不在准入负面清单内。</w:t>
            </w:r>
          </w:p>
          <w:p>
            <w:pPr>
              <w:autoSpaceDE w:val="0"/>
              <w:autoSpaceDN w:val="0"/>
              <w:adjustRightInd w:val="0"/>
              <w:snapToGrid w:val="0"/>
              <w:rPr>
                <w:rFonts w:hint="default" w:eastAsia="宋体"/>
                <w:sz w:val="24"/>
                <w:lang w:val="en-US" w:eastAsia="zh-CN"/>
              </w:rPr>
            </w:pPr>
            <w:r>
              <w:rPr>
                <w:rFonts w:hint="eastAsia"/>
                <w:sz w:val="24"/>
                <w:lang w:val="en-US" w:eastAsia="zh-CN"/>
              </w:rPr>
              <w:t xml:space="preserve">  （2）园区基础设施情况</w:t>
            </w:r>
          </w:p>
          <w:p>
            <w:pPr>
              <w:autoSpaceDE w:val="0"/>
              <w:autoSpaceDN w:val="0"/>
              <w:adjustRightInd w:val="0"/>
              <w:snapToGrid w:val="0"/>
              <w:ind w:firstLine="480" w:firstLineChars="200"/>
              <w:rPr>
                <w:rFonts w:hint="default"/>
                <w:sz w:val="24"/>
                <w:lang w:val="en-US" w:eastAsia="zh-CN"/>
              </w:rPr>
            </w:pPr>
            <w:r>
              <w:rPr>
                <w:rFonts w:hint="eastAsia"/>
                <w:sz w:val="24"/>
                <w:lang w:val="en-US" w:eastAsia="zh-CN"/>
              </w:rPr>
              <w:t>A 给排水</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①给水</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水源以地下水和南水北调的引用水相结合，魏县属于南水北调工程受水范围，分配水量为2100万立方米。供水水源包括魏县第一、第二自来水厂以及中水回用工程。</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符合性分析：本项目用水来自园区供水管网，符合规划环评相关要求。</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②排水</w:t>
            </w:r>
          </w:p>
          <w:p>
            <w:pPr>
              <w:autoSpaceDE w:val="0"/>
              <w:autoSpaceDN w:val="0"/>
              <w:adjustRightInd w:val="0"/>
              <w:snapToGrid w:val="0"/>
              <w:ind w:firstLine="480" w:firstLineChars="200"/>
              <w:rPr>
                <w:sz w:val="24"/>
              </w:rPr>
            </w:pPr>
            <w:r>
              <w:rPr>
                <w:rFonts w:hint="eastAsia"/>
                <w:sz w:val="24"/>
                <w:lang w:val="en-US" w:eastAsia="zh-CN"/>
              </w:rPr>
              <w:t>开发区内魏县污水处理厂正常运行，设计处理能力3.0万m</w:t>
            </w:r>
            <w:r>
              <w:rPr>
                <w:rFonts w:hint="eastAsia"/>
                <w:sz w:val="24"/>
                <w:vertAlign w:val="superscript"/>
                <w:lang w:val="en-US" w:eastAsia="zh-CN"/>
              </w:rPr>
              <w:t>3</w:t>
            </w:r>
            <w:r>
              <w:rPr>
                <w:rFonts w:hint="eastAsia"/>
                <w:sz w:val="24"/>
                <w:lang w:val="en-US" w:eastAsia="zh-CN"/>
              </w:rPr>
              <w:t>/d，实际处理规模为2.39万m</w:t>
            </w:r>
            <w:r>
              <w:rPr>
                <w:rFonts w:hint="eastAsia"/>
                <w:sz w:val="24"/>
                <w:vertAlign w:val="superscript"/>
                <w:lang w:val="en-US" w:eastAsia="zh-CN"/>
              </w:rPr>
              <w:t>3</w:t>
            </w:r>
            <w:r>
              <w:rPr>
                <w:rFonts w:hint="eastAsia"/>
                <w:sz w:val="24"/>
                <w:lang w:val="en-US" w:eastAsia="zh-CN"/>
              </w:rPr>
              <w:t>/d；魏县经济开发区污水处理厂已建成投产，设计处理规模1.5万m</w:t>
            </w:r>
            <w:r>
              <w:rPr>
                <w:rFonts w:hint="eastAsia"/>
                <w:sz w:val="24"/>
                <w:vertAlign w:val="superscript"/>
                <w:lang w:val="en-US" w:eastAsia="zh-CN"/>
              </w:rPr>
              <w:t>3</w:t>
            </w:r>
            <w:r>
              <w:rPr>
                <w:rFonts w:hint="eastAsia"/>
                <w:sz w:val="24"/>
                <w:lang w:val="en-US" w:eastAsia="zh-CN"/>
              </w:rPr>
              <w:t>/d，实际处理规模1.3万m</w:t>
            </w:r>
            <w:r>
              <w:rPr>
                <w:rFonts w:hint="eastAsia"/>
                <w:sz w:val="24"/>
                <w:vertAlign w:val="superscript"/>
                <w:lang w:val="en-US" w:eastAsia="zh-CN"/>
              </w:rPr>
              <w:t>3</w:t>
            </w:r>
            <w:r>
              <w:rPr>
                <w:rFonts w:hint="eastAsia"/>
                <w:sz w:val="24"/>
                <w:lang w:val="en-US" w:eastAsia="zh-CN"/>
              </w:rPr>
              <w:t>/d，可容纳区域内排水。聚银厂区内电镀污水处理站已同时投产运行，污水处理站设计处理规模为3200m</w:t>
            </w:r>
            <w:r>
              <w:rPr>
                <w:rFonts w:hint="eastAsia"/>
                <w:sz w:val="24"/>
                <w:vertAlign w:val="superscript"/>
                <w:lang w:val="en-US" w:eastAsia="zh-CN"/>
              </w:rPr>
              <w:t>3</w:t>
            </w:r>
            <w:r>
              <w:rPr>
                <w:rFonts w:hint="eastAsia"/>
                <w:sz w:val="24"/>
                <w:lang w:val="en-US" w:eastAsia="zh-CN"/>
              </w:rPr>
              <w:t>/d。</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符合性分析：本项目废水排入魏县经济开发区污水处理厂，符合规划环评相关要求。</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B 供热</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园区燃气集中供热未建设，开发区生活用热已接入城区集中供热管网提供，个别使用空调供热，工业需热企业仅有河北聚银企业管理服务有限公司1家，由厂内自建3台2t/h燃气锅炉提供。</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符合性分析：本项目生产不需用热，冬季办公采暖使用空调，符合规划环评相关要求。</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C 燃气</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园区现状用气由河北中福煤层气开发有限公司魏县分公司（河北中福魏县天然气门站）提供，供气能力每年1亿立方米，其中为园区预留供气能力为5000万立方米/年，气源由中石化提供。并已在兴业大街北端路东建设有2500水立方LNG储气项目，可作为园区应急气源。另正在兴业大街与天泽路交叉口建设一座天然气调压站，连接京邯输气管线成安末站，日均供气量为105万立方米/日，预计2021年10月竣工验收。</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符合性分析：本项目不涉及天然气使用。</w:t>
            </w:r>
          </w:p>
          <w:p>
            <w:pPr>
              <w:autoSpaceDE w:val="0"/>
              <w:autoSpaceDN w:val="0"/>
              <w:adjustRightInd w:val="0"/>
              <w:snapToGrid w:val="0"/>
              <w:ind w:firstLine="480" w:firstLineChars="200"/>
              <w:rPr>
                <w:rFonts w:hint="default" w:eastAsia="宋体"/>
                <w:sz w:val="24"/>
                <w:lang w:val="en-US" w:eastAsia="zh-CN"/>
              </w:rPr>
            </w:pPr>
            <w:r>
              <w:rPr>
                <w:rFonts w:hint="eastAsia"/>
                <w:sz w:val="24"/>
                <w:lang w:val="en-US" w:eastAsia="zh-CN"/>
              </w:rPr>
              <w:t>综上所述，本项目符合河北魏县经济开发区规划、规划环评要求。</w:t>
            </w:r>
          </w:p>
          <w:p>
            <w:pPr>
              <w:jc w:val="center"/>
              <w:rPr>
                <w:rFonts w:hint="default" w:eastAsia="宋体"/>
                <w:sz w:val="24"/>
                <w:lang w:val="en-US" w:eastAsia="zh-CN"/>
              </w:rPr>
            </w:pPr>
            <w:r>
              <w:rPr>
                <w:rFonts w:hint="eastAsia"/>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20" w:hRule="atLeast"/>
        </w:trPr>
        <w:tc>
          <w:tcPr>
            <w:tcW w:w="1467" w:type="dxa"/>
            <w:tcBorders>
              <w:tl2br w:val="nil"/>
              <w:tr2bl w:val="nil"/>
            </w:tcBorders>
            <w:vAlign w:val="center"/>
          </w:tcPr>
          <w:p>
            <w:pPr>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其他符合性分析</w:t>
            </w:r>
          </w:p>
        </w:tc>
        <w:tc>
          <w:tcPr>
            <w:tcW w:w="7072" w:type="dxa"/>
            <w:gridSpan w:val="4"/>
            <w:tcBorders>
              <w:tl2br w:val="nil"/>
              <w:tr2bl w:val="nil"/>
            </w:tcBorders>
            <w:vAlign w:val="center"/>
          </w:tcPr>
          <w:p>
            <w:pPr>
              <w:autoSpaceDE w:val="0"/>
              <w:autoSpaceDN w:val="0"/>
              <w:adjustRightInd w:val="0"/>
              <w:snapToGrid w:val="0"/>
              <w:ind w:firstLine="480" w:firstLineChars="200"/>
              <w:rPr>
                <w:sz w:val="24"/>
              </w:rPr>
            </w:pPr>
            <w:r>
              <w:rPr>
                <w:sz w:val="24"/>
              </w:rPr>
              <w:t>1、</w:t>
            </w:r>
            <w:r>
              <w:rPr>
                <w:rFonts w:hint="eastAsia" w:ascii="宋体" w:hAnsi="宋体" w:cs="宋体"/>
                <w:color w:val="000000"/>
                <w:sz w:val="24"/>
              </w:rPr>
              <w:t>“三线一单”</w:t>
            </w:r>
            <w:r>
              <w:rPr>
                <w:sz w:val="24"/>
              </w:rPr>
              <w:t>符合性分析</w:t>
            </w:r>
          </w:p>
          <w:p>
            <w:pPr>
              <w:spacing w:line="440" w:lineRule="exact"/>
              <w:ind w:firstLine="480" w:firstLineChars="200"/>
              <w:rPr>
                <w:rFonts w:hint="default" w:eastAsia="宋体"/>
                <w:color w:val="000000"/>
                <w:sz w:val="24"/>
                <w:lang w:val="en-US" w:eastAsia="zh-CN"/>
              </w:rPr>
            </w:pPr>
            <w:r>
              <w:rPr>
                <w:rFonts w:hint="eastAsia"/>
                <w:color w:val="000000"/>
                <w:sz w:val="24"/>
                <w:lang w:val="en-US" w:eastAsia="zh-CN"/>
              </w:rPr>
              <w:t>根据《关于以改善环境质量为核心加强环境影响评价管理的通知》（环环评[2016]150号）对“三线一单”的要求，进行项目“三线一单”符合性分析，分析内容如下表所示：</w:t>
            </w:r>
          </w:p>
          <w:p>
            <w:pPr>
              <w:spacing w:line="440" w:lineRule="exact"/>
              <w:jc w:val="center"/>
              <w:rPr>
                <w:rFonts w:hint="default" w:eastAsia="宋体"/>
                <w:color w:val="000000"/>
                <w:sz w:val="24"/>
                <w:lang w:val="en-US" w:eastAsia="zh-CN"/>
              </w:rPr>
            </w:pPr>
            <w:r>
              <w:rPr>
                <w:rFonts w:hint="eastAsia"/>
                <w:b/>
                <w:bCs/>
                <w:color w:val="000000"/>
                <w:sz w:val="21"/>
                <w:szCs w:val="21"/>
                <w:lang w:val="en-US" w:eastAsia="zh-CN"/>
              </w:rPr>
              <w:t>表2 项目与“三线一单”符合性分析表</w:t>
            </w:r>
          </w:p>
          <w:tbl>
            <w:tblPr>
              <w:tblStyle w:val="25"/>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85"/>
              <w:gridCol w:w="1920"/>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9" w:type="dxa"/>
                  <w:vAlign w:val="center"/>
                </w:tcPr>
                <w:p>
                  <w:pPr>
                    <w:bidi w:val="0"/>
                    <w:spacing w:line="240" w:lineRule="auto"/>
                    <w:jc w:val="center"/>
                    <w:rPr>
                      <w:rFonts w:hint="eastAsia" w:eastAsia="宋体"/>
                      <w:lang w:val="en-US" w:eastAsia="zh-CN"/>
                    </w:rPr>
                  </w:pPr>
                  <w:r>
                    <w:rPr>
                      <w:rFonts w:hint="eastAsia"/>
                      <w:lang w:val="en-US" w:eastAsia="zh-CN"/>
                    </w:rPr>
                    <w:t>序号</w:t>
                  </w:r>
                </w:p>
              </w:tc>
              <w:tc>
                <w:tcPr>
                  <w:tcW w:w="3585" w:type="dxa"/>
                  <w:vAlign w:val="center"/>
                </w:tcPr>
                <w:p>
                  <w:pPr>
                    <w:bidi w:val="0"/>
                    <w:spacing w:line="240" w:lineRule="auto"/>
                    <w:jc w:val="center"/>
                    <w:rPr>
                      <w:rFonts w:hint="default" w:eastAsia="宋体"/>
                      <w:lang w:val="en-US" w:eastAsia="zh-CN"/>
                    </w:rPr>
                  </w:pPr>
                  <w:r>
                    <w:rPr>
                      <w:rFonts w:hint="eastAsia"/>
                      <w:lang w:val="en-US" w:eastAsia="zh-CN"/>
                    </w:rPr>
                    <w:t>分析内容</w:t>
                  </w:r>
                </w:p>
              </w:tc>
              <w:tc>
                <w:tcPr>
                  <w:tcW w:w="1920" w:type="dxa"/>
                  <w:vAlign w:val="center"/>
                </w:tcPr>
                <w:p>
                  <w:pPr>
                    <w:bidi w:val="0"/>
                    <w:spacing w:line="240" w:lineRule="auto"/>
                    <w:jc w:val="center"/>
                    <w:rPr>
                      <w:rFonts w:hint="default" w:eastAsia="宋体"/>
                      <w:lang w:val="en-US" w:eastAsia="zh-CN"/>
                    </w:rPr>
                  </w:pPr>
                  <w:r>
                    <w:rPr>
                      <w:rFonts w:hint="eastAsia"/>
                      <w:lang w:val="en-US" w:eastAsia="zh-CN"/>
                    </w:rPr>
                    <w:t>企业情况</w:t>
                  </w:r>
                </w:p>
              </w:tc>
              <w:tc>
                <w:tcPr>
                  <w:tcW w:w="632" w:type="dxa"/>
                  <w:vAlign w:val="center"/>
                </w:tcPr>
                <w:p>
                  <w:pPr>
                    <w:bidi w:val="0"/>
                    <w:spacing w:line="240" w:lineRule="auto"/>
                    <w:jc w:val="center"/>
                    <w:rPr>
                      <w:rFonts w:hint="eastAsia" w:eastAsia="宋体"/>
                      <w:lang w:val="en-US" w:eastAsia="zh-CN"/>
                    </w:rPr>
                  </w:pPr>
                  <w:r>
                    <w:rPr>
                      <w:rFonts w:hint="eastAsia"/>
                      <w:lang w:val="en-US" w:eastAsia="zh-CN"/>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9" w:type="dxa"/>
                  <w:vAlign w:val="center"/>
                </w:tcPr>
                <w:p>
                  <w:pPr>
                    <w:bidi w:val="0"/>
                    <w:spacing w:line="240" w:lineRule="auto"/>
                    <w:jc w:val="center"/>
                    <w:rPr>
                      <w:rFonts w:hint="default" w:eastAsia="宋体"/>
                      <w:lang w:val="en-US" w:eastAsia="zh-CN"/>
                    </w:rPr>
                  </w:pPr>
                  <w:r>
                    <w:rPr>
                      <w:rFonts w:hint="eastAsia"/>
                      <w:lang w:val="en-US" w:eastAsia="zh-CN"/>
                    </w:rPr>
                    <w:t>生态保护红线</w:t>
                  </w:r>
                </w:p>
              </w:tc>
              <w:tc>
                <w:tcPr>
                  <w:tcW w:w="3585" w:type="dxa"/>
                  <w:vAlign w:val="center"/>
                </w:tcPr>
                <w:p>
                  <w:pPr>
                    <w:bidi w:val="0"/>
                    <w:spacing w:line="240" w:lineRule="auto"/>
                    <w:jc w:val="center"/>
                  </w:pPr>
                  <w:r>
                    <w:rPr>
                      <w:rFonts w:hint="eastAsia"/>
                    </w:rPr>
                    <w:t>生态保护红线是生态空间范围内具有特殊重要生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技改工业项目和矿产开发项目的环评文件。</w:t>
                  </w:r>
                </w:p>
              </w:tc>
              <w:tc>
                <w:tcPr>
                  <w:tcW w:w="1920" w:type="dxa"/>
                  <w:vAlign w:val="center"/>
                </w:tcPr>
                <w:p>
                  <w:pPr>
                    <w:bidi w:val="0"/>
                    <w:spacing w:line="240" w:lineRule="auto"/>
                    <w:jc w:val="center"/>
                    <w:rPr>
                      <w:rFonts w:hint="default" w:eastAsia="宋体"/>
                      <w:lang w:val="en-US" w:eastAsia="zh-CN"/>
                    </w:rPr>
                  </w:pPr>
                  <w:r>
                    <w:rPr>
                      <w:rFonts w:hint="eastAsia"/>
                      <w:lang w:val="en-US" w:eastAsia="zh-CN"/>
                    </w:rPr>
                    <w:t>本项目位于河北省邯郸市</w:t>
                  </w:r>
                  <w:r>
                    <w:rPr>
                      <w:rFonts w:hint="eastAsia"/>
                      <w:sz w:val="21"/>
                      <w:szCs w:val="21"/>
                    </w:rPr>
                    <w:t>魏县经济开发区平安大街北段西侧</w:t>
                  </w:r>
                  <w:r>
                    <w:rPr>
                      <w:rFonts w:hint="eastAsia"/>
                      <w:sz w:val="21"/>
                      <w:szCs w:val="21"/>
                      <w:lang w:eastAsia="zh-CN"/>
                    </w:rPr>
                    <w:t>，</w:t>
                  </w:r>
                  <w:r>
                    <w:rPr>
                      <w:rFonts w:hint="eastAsia"/>
                      <w:sz w:val="21"/>
                      <w:szCs w:val="21"/>
                      <w:lang w:val="en-US" w:eastAsia="zh-CN"/>
                    </w:rPr>
                    <w:t>不在生态保护红线范围内，符合生态保护红线要求。</w:t>
                  </w:r>
                </w:p>
              </w:tc>
              <w:tc>
                <w:tcPr>
                  <w:tcW w:w="632" w:type="dxa"/>
                  <w:vAlign w:val="center"/>
                </w:tcPr>
                <w:p>
                  <w:pPr>
                    <w:bidi w:val="0"/>
                    <w:spacing w:line="240" w:lineRule="auto"/>
                    <w:jc w:val="cente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9" w:type="dxa"/>
                  <w:vAlign w:val="center"/>
                </w:tcPr>
                <w:p>
                  <w:pPr>
                    <w:bidi w:val="0"/>
                    <w:spacing w:line="240" w:lineRule="auto"/>
                    <w:jc w:val="center"/>
                    <w:rPr>
                      <w:rFonts w:hint="default" w:eastAsia="宋体"/>
                      <w:lang w:val="en-US" w:eastAsia="zh-CN"/>
                    </w:rPr>
                  </w:pPr>
                  <w:r>
                    <w:rPr>
                      <w:rFonts w:hint="eastAsia"/>
                      <w:lang w:val="en-US" w:eastAsia="zh-CN"/>
                    </w:rPr>
                    <w:t>环境质量底线</w:t>
                  </w:r>
                </w:p>
              </w:tc>
              <w:tc>
                <w:tcPr>
                  <w:tcW w:w="3585" w:type="dxa"/>
                  <w:vAlign w:val="center"/>
                </w:tcPr>
                <w:p>
                  <w:pPr>
                    <w:bidi w:val="0"/>
                    <w:spacing w:line="240" w:lineRule="auto"/>
                    <w:jc w:val="center"/>
                  </w:pPr>
                  <w:r>
                    <w:rPr>
                      <w:rFonts w:hint="eastAsia"/>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0" w:type="dxa"/>
                  <w:vAlign w:val="center"/>
                </w:tcPr>
                <w:p>
                  <w:pPr>
                    <w:bidi w:val="0"/>
                    <w:spacing w:line="240" w:lineRule="auto"/>
                    <w:jc w:val="center"/>
                    <w:rPr>
                      <w:rFonts w:hint="default" w:eastAsia="宋体"/>
                      <w:lang w:val="en-US" w:eastAsia="zh-CN"/>
                    </w:rPr>
                  </w:pPr>
                  <w:r>
                    <w:rPr>
                      <w:rFonts w:hint="eastAsia"/>
                      <w:lang w:val="en-US" w:eastAsia="zh-CN"/>
                    </w:rPr>
                    <w:t>本项目废气采取措施后，污染物能够达标排放；本项目废水为生活污水排入市政管网；噪声采取治理措施后能够达到相关排放标准要求，项目产生的固体废物均能得到合理处置，对周围环境影响较小。</w:t>
                  </w:r>
                </w:p>
              </w:tc>
              <w:tc>
                <w:tcPr>
                  <w:tcW w:w="632" w:type="dxa"/>
                  <w:vAlign w:val="center"/>
                </w:tcPr>
                <w:p>
                  <w:pPr>
                    <w:bidi w:val="0"/>
                    <w:spacing w:line="240" w:lineRule="auto"/>
                    <w:jc w:val="cente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719" w:type="dxa"/>
                  <w:vAlign w:val="center"/>
                </w:tcPr>
                <w:p>
                  <w:pPr>
                    <w:bidi w:val="0"/>
                    <w:spacing w:line="240" w:lineRule="auto"/>
                    <w:jc w:val="center"/>
                    <w:rPr>
                      <w:rFonts w:hint="default" w:eastAsia="宋体"/>
                      <w:lang w:val="en-US" w:eastAsia="zh-CN"/>
                    </w:rPr>
                  </w:pPr>
                  <w:r>
                    <w:rPr>
                      <w:rFonts w:hint="eastAsia"/>
                      <w:lang w:val="en-US" w:eastAsia="zh-CN"/>
                    </w:rPr>
                    <w:t>资源利用上线</w:t>
                  </w:r>
                </w:p>
              </w:tc>
              <w:tc>
                <w:tcPr>
                  <w:tcW w:w="3585" w:type="dxa"/>
                  <w:vAlign w:val="center"/>
                </w:tcPr>
                <w:p>
                  <w:pPr>
                    <w:bidi w:val="0"/>
                    <w:spacing w:line="240" w:lineRule="auto"/>
                    <w:jc w:val="center"/>
                  </w:pPr>
                  <w:r>
                    <w:rPr>
                      <w:rFonts w:hint="eastAsia"/>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防护措施等方面提出建议，为规划编制和审批决策提供重要依据。</w:t>
                  </w:r>
                </w:p>
              </w:tc>
              <w:tc>
                <w:tcPr>
                  <w:tcW w:w="1920" w:type="dxa"/>
                  <w:vAlign w:val="center"/>
                </w:tcPr>
                <w:p>
                  <w:pPr>
                    <w:bidi w:val="0"/>
                    <w:spacing w:line="240" w:lineRule="auto"/>
                    <w:jc w:val="center"/>
                    <w:rPr>
                      <w:rFonts w:hint="default" w:eastAsia="宋体"/>
                      <w:lang w:val="en-US" w:eastAsia="zh-CN"/>
                    </w:rPr>
                  </w:pPr>
                  <w:r>
                    <w:rPr>
                      <w:rFonts w:hint="eastAsia"/>
                      <w:lang w:val="en-US" w:eastAsia="zh-CN"/>
                    </w:rPr>
                    <w:t>本项目生产过程中消耗一定量的水和电，分别由魏县经济开发区供水管网和供电管网提供，本项目占用部分空地及资源消耗量相对区域资源总量较少。因此，项目符合资源利用上线要求。</w:t>
                  </w:r>
                </w:p>
              </w:tc>
              <w:tc>
                <w:tcPr>
                  <w:tcW w:w="632" w:type="dxa"/>
                  <w:vAlign w:val="center"/>
                </w:tcPr>
                <w:p>
                  <w:pPr>
                    <w:bidi w:val="0"/>
                    <w:spacing w:line="240" w:lineRule="auto"/>
                    <w:jc w:val="cente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9" w:type="dxa"/>
                  <w:vAlign w:val="center"/>
                </w:tcPr>
                <w:p>
                  <w:pPr>
                    <w:bidi w:val="0"/>
                    <w:spacing w:line="240" w:lineRule="auto"/>
                    <w:jc w:val="center"/>
                    <w:rPr>
                      <w:rFonts w:hint="eastAsia" w:eastAsia="宋体"/>
                      <w:lang w:val="en-US" w:eastAsia="zh-CN"/>
                    </w:rPr>
                  </w:pPr>
                  <w:r>
                    <w:rPr>
                      <w:rFonts w:hint="eastAsia"/>
                      <w:lang w:val="en-US" w:eastAsia="zh-CN"/>
                    </w:rPr>
                    <w:t>负面清单</w:t>
                  </w:r>
                </w:p>
              </w:tc>
              <w:tc>
                <w:tcPr>
                  <w:tcW w:w="3585" w:type="dxa"/>
                  <w:vAlign w:val="center"/>
                </w:tcPr>
                <w:p>
                  <w:pPr>
                    <w:bidi w:val="0"/>
                    <w:spacing w:line="240" w:lineRule="auto"/>
                    <w:jc w:val="center"/>
                  </w:pPr>
                  <w:r>
                    <w:rPr>
                      <w:rFonts w:hint="eastAsia"/>
                    </w:rPr>
                    <w:t>环境准入负面清单是基于生态保护红线、环境质量底线和资源利用上线，以清单方式列出的禁止、限制等差别化环境准入条件和要求。</w:t>
                  </w:r>
                </w:p>
              </w:tc>
              <w:tc>
                <w:tcPr>
                  <w:tcW w:w="1920" w:type="dxa"/>
                  <w:vAlign w:val="center"/>
                </w:tcPr>
                <w:p>
                  <w:pPr>
                    <w:bidi w:val="0"/>
                    <w:spacing w:line="240" w:lineRule="auto"/>
                    <w:jc w:val="center"/>
                    <w:rPr>
                      <w:rFonts w:hint="default" w:eastAsia="宋体"/>
                      <w:lang w:val="en-US" w:eastAsia="zh-CN"/>
                    </w:rPr>
                  </w:pPr>
                  <w:r>
                    <w:rPr>
                      <w:rFonts w:hint="eastAsia" w:cs="Times New Roman"/>
                      <w:color w:val="000000"/>
                      <w:sz w:val="21"/>
                      <w:szCs w:val="21"/>
                      <w:lang w:val="en-US" w:eastAsia="zh-CN"/>
                    </w:rPr>
                    <w:t>本项目</w:t>
                  </w:r>
                  <w:r>
                    <w:rPr>
                      <w:rFonts w:hint="default" w:ascii="Times New Roman" w:hAnsi="Times New Roman" w:eastAsia="宋体" w:cs="Times New Roman"/>
                      <w:sz w:val="21"/>
                      <w:szCs w:val="21"/>
                    </w:rPr>
                    <w:t>不属于《产业结构调整指导目录（2019年本）》中鼓励类、限制类、淘汰类项目，属于允许类项目</w:t>
                  </w:r>
                  <w:r>
                    <w:rPr>
                      <w:rFonts w:hint="eastAsia" w:cs="Times New Roman"/>
                      <w:sz w:val="21"/>
                      <w:szCs w:val="21"/>
                      <w:lang w:eastAsia="zh-CN"/>
                    </w:rPr>
                    <w:t>，</w:t>
                  </w:r>
                  <w:r>
                    <w:rPr>
                      <w:rFonts w:hint="eastAsia" w:cs="Times New Roman"/>
                      <w:sz w:val="21"/>
                      <w:szCs w:val="21"/>
                      <w:lang w:val="en-US" w:eastAsia="zh-CN"/>
                    </w:rPr>
                    <w:t>符合国家产业政策。同时，不属于园区规划产业禁止及限制准入环境负面清单</w:t>
                  </w:r>
                </w:p>
              </w:tc>
              <w:tc>
                <w:tcPr>
                  <w:tcW w:w="632" w:type="dxa"/>
                  <w:vAlign w:val="center"/>
                </w:tcPr>
                <w:p>
                  <w:pPr>
                    <w:bidi w:val="0"/>
                    <w:spacing w:line="240" w:lineRule="auto"/>
                    <w:jc w:val="center"/>
                  </w:pPr>
                  <w:r>
                    <w:rPr>
                      <w:rFonts w:hint="eastAsia"/>
                      <w:lang w:val="en-US" w:eastAsia="zh-CN"/>
                    </w:rPr>
                    <w:t>符合</w:t>
                  </w:r>
                </w:p>
              </w:tc>
            </w:tr>
          </w:tbl>
          <w:p>
            <w:pPr>
              <w:numPr>
                <w:ilvl w:val="0"/>
                <w:numId w:val="2"/>
              </w:numPr>
              <w:spacing w:line="440" w:lineRule="exact"/>
              <w:ind w:firstLine="480" w:firstLineChars="200"/>
              <w:rPr>
                <w:rFonts w:hint="eastAsia"/>
                <w:color w:val="000000"/>
                <w:sz w:val="24"/>
                <w:lang w:val="en-US" w:eastAsia="zh-CN"/>
              </w:rPr>
            </w:pPr>
            <w:r>
              <w:rPr>
                <w:rFonts w:hint="eastAsia"/>
                <w:color w:val="000000"/>
                <w:sz w:val="24"/>
                <w:lang w:val="en-US" w:eastAsia="zh-CN"/>
              </w:rPr>
              <w:t>与《邯郸市人民政府关于推进“三线一单”生态环境分区管控的实施意见》（邯政字[2021]9号）符合性分析</w:t>
            </w:r>
          </w:p>
          <w:p>
            <w:pPr>
              <w:numPr>
                <w:ilvl w:val="0"/>
                <w:numId w:val="0"/>
              </w:numPr>
              <w:spacing w:line="440" w:lineRule="exact"/>
              <w:ind w:firstLine="480" w:firstLineChars="200"/>
              <w:rPr>
                <w:color w:val="000000"/>
                <w:sz w:val="24"/>
              </w:rPr>
            </w:pPr>
            <w:r>
              <w:rPr>
                <w:color w:val="000000"/>
                <w:sz w:val="24"/>
              </w:rPr>
              <w:t>根据邯郸市人民政府关于发布《</w:t>
            </w:r>
            <w:r>
              <w:rPr>
                <w:sz w:val="24"/>
              </w:rPr>
              <w:t>邯郸市人民政府关于推进“三线一单”生态环境分区管控的实施意见》（邯政字[2021]9号）</w:t>
            </w:r>
            <w:r>
              <w:rPr>
                <w:rFonts w:hint="eastAsia"/>
                <w:sz w:val="24"/>
              </w:rPr>
              <w:t>符合性分析，结合经济社会发展特征，从空间布局、污染物排放管控、环境风险防控和资源利用效率等方面，划定了172个环境管控单元，分为优先保护、重点管控和一般管控单元，实施生态环境分区管控。本项目位于河北省魏县经济开发区平安大街北段西侧，根据文件要求属于重点管控单元。</w:t>
            </w:r>
          </w:p>
          <w:p>
            <w:pPr>
              <w:spacing w:line="440" w:lineRule="exact"/>
              <w:ind w:firstLine="480" w:firstLineChars="200"/>
              <w:rPr>
                <w:color w:val="000000"/>
                <w:sz w:val="24"/>
              </w:rPr>
            </w:pPr>
            <w:r>
              <w:rPr>
                <w:rFonts w:hint="eastAsia"/>
                <w:color w:val="000000"/>
                <w:sz w:val="24"/>
              </w:rPr>
              <w:t>详细对照邯郸市“三线一单”生态环境分区管控准入清单如下：</w:t>
            </w:r>
          </w:p>
          <w:p>
            <w:pPr>
              <w:spacing w:line="440" w:lineRule="exact"/>
              <w:jc w:val="center"/>
              <w:rPr>
                <w:rFonts w:hint="default" w:eastAsia="宋体"/>
                <w:b/>
                <w:bCs/>
                <w:sz w:val="21"/>
                <w:szCs w:val="21"/>
                <w:lang w:val="en-US" w:eastAsia="zh-CN"/>
              </w:rPr>
            </w:pPr>
            <w:r>
              <w:rPr>
                <w:rFonts w:hint="eastAsia"/>
                <w:b/>
                <w:bCs/>
                <w:sz w:val="21"/>
                <w:szCs w:val="21"/>
                <w:lang w:val="en-US" w:eastAsia="zh-CN"/>
              </w:rPr>
              <w:t>表3 项目与魏县德政镇生态环境准入清单符合性分析表</w:t>
            </w:r>
          </w:p>
          <w:tbl>
            <w:tblPr>
              <w:tblStyle w:val="25"/>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739"/>
              <w:gridCol w:w="276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9"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纬度</w:t>
                  </w:r>
                </w:p>
              </w:tc>
              <w:tc>
                <w:tcPr>
                  <w:tcW w:w="2739"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分析内容</w:t>
                  </w:r>
                </w:p>
              </w:tc>
              <w:tc>
                <w:tcPr>
                  <w:tcW w:w="2766"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企业情况</w:t>
                  </w:r>
                </w:p>
              </w:tc>
              <w:tc>
                <w:tcPr>
                  <w:tcW w:w="662" w:type="dxa"/>
                  <w:vAlign w:val="center"/>
                </w:tcPr>
                <w:p>
                  <w:pPr>
                    <w:bidi w:val="0"/>
                    <w:spacing w:line="240" w:lineRule="auto"/>
                    <w:jc w:val="center"/>
                    <w:rPr>
                      <w:rFonts w:hint="default" w:eastAsia="宋体"/>
                      <w:sz w:val="21"/>
                      <w:szCs w:val="21"/>
                      <w:lang w:val="en-US" w:eastAsia="zh-CN"/>
                    </w:rPr>
                  </w:pPr>
                  <w:r>
                    <w:rPr>
                      <w:rFonts w:hint="eastAsia"/>
                      <w:sz w:val="21"/>
                      <w:szCs w:val="21"/>
                      <w:lang w:val="en-US" w:eastAsia="zh-CN"/>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9"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空间布局</w:t>
                  </w:r>
                </w:p>
              </w:tc>
              <w:tc>
                <w:tcPr>
                  <w:tcW w:w="2739" w:type="dxa"/>
                  <w:vAlign w:val="center"/>
                </w:tcPr>
                <w:p>
                  <w:pPr>
                    <w:bidi w:val="0"/>
                    <w:spacing w:line="240" w:lineRule="auto"/>
                    <w:jc w:val="center"/>
                    <w:rPr>
                      <w:rFonts w:hint="eastAsia"/>
                      <w:sz w:val="21"/>
                      <w:szCs w:val="21"/>
                    </w:rPr>
                  </w:pPr>
                  <w:r>
                    <w:rPr>
                      <w:rFonts w:hint="eastAsia"/>
                      <w:sz w:val="21"/>
                      <w:szCs w:val="21"/>
                    </w:rPr>
                    <w:t>①不符合经济开发区产业定位、污染物排放较大的行业；高水耗、高物耗、高能耗的项目；废水含难降解的有机污染物、“三致”污染物、及盐分含量较高的项目；废水经预处理打不达污水处理厂接管标准的项目；污染严重的项目；高耗水项目；工艺废气中含有难处理的、有毒有害物质的项目；采用落后的生产工艺或设备，不符合国家相关产业政策的项目禁止入区。②满足《河北省大运河文化保护传承利用实施规划-生态环境保护修复专项规划》《河北省大运河文化保护传承利用生态环境保护修复专项规划实施方案》中相应要求</w:t>
                  </w:r>
                </w:p>
              </w:tc>
              <w:tc>
                <w:tcPr>
                  <w:tcW w:w="2766" w:type="dxa"/>
                  <w:vAlign w:val="center"/>
                </w:tcPr>
                <w:p>
                  <w:pPr>
                    <w:bidi w:val="0"/>
                    <w:spacing w:line="240" w:lineRule="auto"/>
                    <w:jc w:val="center"/>
                    <w:rPr>
                      <w:rFonts w:hint="eastAsia"/>
                      <w:sz w:val="21"/>
                      <w:szCs w:val="21"/>
                    </w:rPr>
                  </w:pPr>
                  <w:r>
                    <w:rPr>
                      <w:rFonts w:hint="eastAsia"/>
                      <w:color w:val="000000"/>
                      <w:sz w:val="21"/>
                      <w:szCs w:val="21"/>
                      <w:lang w:val="en-US" w:eastAsia="zh-CN"/>
                    </w:rPr>
                    <w:t>本项目属于</w:t>
                  </w:r>
                  <w:r>
                    <w:rPr>
                      <w:rFonts w:hint="eastAsia"/>
                      <w:color w:val="000000"/>
                      <w:sz w:val="21"/>
                      <w:szCs w:val="21"/>
                    </w:rPr>
                    <w:t>其他水泥类似制品制造业</w:t>
                  </w:r>
                  <w:r>
                    <w:rPr>
                      <w:rFonts w:hint="eastAsia"/>
                      <w:sz w:val="21"/>
                      <w:szCs w:val="21"/>
                    </w:rPr>
                    <w:t>，采用原材料为水泥、砂子、粉煤灰、矿粉通过配料、搅拌、出料形成成品预拌砂浆，用水为新鲜水，全部进去产品，不外排，废气主要为配料、搅拌产生的颗粒物，不属于污染物排放较大、高耗能的项目，采用的生产设备均为自动化设备，已取得魏县经济开发区管委会入区证明（见附件4）</w:t>
                  </w:r>
                </w:p>
              </w:tc>
              <w:tc>
                <w:tcPr>
                  <w:tcW w:w="662"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9" w:type="dxa"/>
                  <w:vAlign w:val="center"/>
                </w:tcPr>
                <w:p>
                  <w:pPr>
                    <w:bidi w:val="0"/>
                    <w:spacing w:line="240" w:lineRule="auto"/>
                    <w:jc w:val="center"/>
                    <w:rPr>
                      <w:rFonts w:hint="default" w:eastAsia="宋体"/>
                      <w:sz w:val="21"/>
                      <w:szCs w:val="21"/>
                      <w:lang w:val="en-US" w:eastAsia="zh-CN"/>
                    </w:rPr>
                  </w:pPr>
                  <w:r>
                    <w:rPr>
                      <w:rFonts w:hint="eastAsia"/>
                      <w:sz w:val="21"/>
                      <w:szCs w:val="21"/>
                      <w:lang w:val="en-US" w:eastAsia="zh-CN"/>
                    </w:rPr>
                    <w:t>污染物排放管控</w:t>
                  </w:r>
                </w:p>
              </w:tc>
              <w:tc>
                <w:tcPr>
                  <w:tcW w:w="2739" w:type="dxa"/>
                  <w:vAlign w:val="center"/>
                </w:tcPr>
                <w:p>
                  <w:pPr>
                    <w:bidi w:val="0"/>
                    <w:spacing w:line="240" w:lineRule="auto"/>
                    <w:jc w:val="center"/>
                    <w:rPr>
                      <w:rFonts w:hint="eastAsia"/>
                      <w:sz w:val="21"/>
                      <w:szCs w:val="21"/>
                    </w:rPr>
                  </w:pPr>
                  <w:r>
                    <w:rPr>
                      <w:rFonts w:hint="eastAsia"/>
                      <w:sz w:val="21"/>
                      <w:szCs w:val="21"/>
                    </w:rPr>
                    <w:t>①入园企业污染物排放满足各污染物排放标准特别排放限值要求。②开发区内锅炉污染物排放满足《锅炉大气污染物排放标准》（DB13/5161-2020）相应排放限值要求。③涉VOCs排放工业企业污染物排放满足《工业企业挥发性有机物排放控制标准》（DB13/2322-2016）及《挥发性有机物无组织排放控制标准》（GB37822-2019）相应排放限值要求。④电镀废水经电镀小区污水处理站集中处理深度处理后，全部回用</w:t>
                  </w:r>
                </w:p>
              </w:tc>
              <w:tc>
                <w:tcPr>
                  <w:tcW w:w="2766" w:type="dxa"/>
                  <w:vAlign w:val="center"/>
                </w:tcPr>
                <w:p>
                  <w:pPr>
                    <w:bidi w:val="0"/>
                    <w:spacing w:line="240" w:lineRule="auto"/>
                    <w:jc w:val="center"/>
                    <w:rPr>
                      <w:rFonts w:hint="eastAsia"/>
                      <w:sz w:val="21"/>
                      <w:szCs w:val="21"/>
                    </w:rPr>
                  </w:pPr>
                  <w:r>
                    <w:rPr>
                      <w:rFonts w:hint="eastAsia"/>
                      <w:sz w:val="21"/>
                      <w:szCs w:val="21"/>
                    </w:rPr>
                    <w:t>本项目产生的废气颗粒物经采取措施后满足《水泥工业大气污染物超低排放标准》（DB13/2167-2020）表1中散装水泥中转站及水泥制品生产颗粒物排放浓度限值，即颗粒物</w:t>
                  </w:r>
                  <w:r>
                    <w:rPr>
                      <w:rFonts w:ascii="Arial" w:hAnsi="Arial" w:cs="Arial"/>
                      <w:sz w:val="21"/>
                      <w:szCs w:val="21"/>
                    </w:rPr>
                    <w:t>≤</w:t>
                  </w:r>
                  <w:r>
                    <w:rPr>
                      <w:rFonts w:hint="eastAsia"/>
                      <w:sz w:val="21"/>
                      <w:szCs w:val="21"/>
                    </w:rPr>
                    <w:t>10mg/m</w:t>
                  </w:r>
                  <w:r>
                    <w:rPr>
                      <w:rFonts w:hint="eastAsia"/>
                      <w:sz w:val="21"/>
                      <w:szCs w:val="21"/>
                      <w:vertAlign w:val="superscript"/>
                    </w:rPr>
                    <w:t>3</w:t>
                  </w:r>
                  <w:r>
                    <w:rPr>
                      <w:rFonts w:hint="eastAsia"/>
                      <w:sz w:val="21"/>
                      <w:szCs w:val="21"/>
                    </w:rPr>
                    <w:t>；无组织颗粒物满足《水泥工业大气污染物超低排放标准》（DB13/2167-2020）表2大气污染物无组织排放监控点与参照点总悬浮颗粒物（TSP）1h浓度值的差值，即颗粒物</w:t>
                  </w:r>
                  <w:r>
                    <w:rPr>
                      <w:rFonts w:ascii="Arial" w:hAnsi="Arial" w:cs="Arial"/>
                      <w:sz w:val="21"/>
                      <w:szCs w:val="21"/>
                    </w:rPr>
                    <w:t>≤</w:t>
                  </w:r>
                  <w:r>
                    <w:rPr>
                      <w:rFonts w:hint="eastAsia"/>
                      <w:sz w:val="21"/>
                      <w:szCs w:val="21"/>
                    </w:rPr>
                    <w:t>0.5mg/m</w:t>
                  </w:r>
                  <w:r>
                    <w:rPr>
                      <w:rFonts w:hint="eastAsia"/>
                      <w:sz w:val="21"/>
                      <w:szCs w:val="21"/>
                      <w:vertAlign w:val="superscript"/>
                    </w:rPr>
                    <w:t>3</w:t>
                  </w:r>
                  <w:r>
                    <w:rPr>
                      <w:rFonts w:hint="eastAsia"/>
                      <w:sz w:val="21"/>
                      <w:szCs w:val="21"/>
                    </w:rPr>
                    <w:t>；企业不涉及锅炉，不涉及VOCs排放，不涉及电镀工艺</w:t>
                  </w:r>
                </w:p>
              </w:tc>
              <w:tc>
                <w:tcPr>
                  <w:tcW w:w="662"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9" w:type="dxa"/>
                  <w:vAlign w:val="center"/>
                </w:tcPr>
                <w:p>
                  <w:pPr>
                    <w:bidi w:val="0"/>
                    <w:spacing w:line="240" w:lineRule="auto"/>
                    <w:jc w:val="center"/>
                    <w:rPr>
                      <w:rFonts w:hint="default" w:eastAsia="宋体"/>
                      <w:sz w:val="21"/>
                      <w:szCs w:val="21"/>
                      <w:lang w:val="en-US" w:eastAsia="zh-CN"/>
                    </w:rPr>
                  </w:pPr>
                  <w:r>
                    <w:rPr>
                      <w:rFonts w:hint="eastAsia"/>
                      <w:sz w:val="21"/>
                      <w:szCs w:val="21"/>
                      <w:lang w:val="en-US" w:eastAsia="zh-CN"/>
                    </w:rPr>
                    <w:t>环境风险防控</w:t>
                  </w:r>
                </w:p>
              </w:tc>
              <w:tc>
                <w:tcPr>
                  <w:tcW w:w="2739" w:type="dxa"/>
                  <w:vAlign w:val="center"/>
                </w:tcPr>
                <w:p>
                  <w:pPr>
                    <w:bidi w:val="0"/>
                    <w:spacing w:line="240" w:lineRule="auto"/>
                    <w:jc w:val="center"/>
                    <w:rPr>
                      <w:rFonts w:hint="eastAsia"/>
                      <w:sz w:val="21"/>
                      <w:szCs w:val="21"/>
                    </w:rPr>
                  </w:pPr>
                  <w:r>
                    <w:rPr>
                      <w:rFonts w:hint="eastAsia"/>
                      <w:sz w:val="21"/>
                      <w:szCs w:val="21"/>
                    </w:rPr>
                    <w:t>开发区应加强管理，严格落实规划环评及企业环评提出的风险防范措施，结合开发区突发环境事件应急预案，进一步知道开发区风险污染防控</w:t>
                  </w:r>
                </w:p>
              </w:tc>
              <w:tc>
                <w:tcPr>
                  <w:tcW w:w="2766" w:type="dxa"/>
                  <w:vAlign w:val="center"/>
                </w:tcPr>
                <w:p>
                  <w:pPr>
                    <w:bidi w:val="0"/>
                    <w:spacing w:line="240" w:lineRule="auto"/>
                    <w:jc w:val="center"/>
                    <w:rPr>
                      <w:rFonts w:hint="eastAsia"/>
                      <w:sz w:val="21"/>
                      <w:szCs w:val="21"/>
                    </w:rPr>
                  </w:pPr>
                  <w:r>
                    <w:rPr>
                      <w:rFonts w:hint="eastAsia"/>
                      <w:sz w:val="21"/>
                      <w:szCs w:val="21"/>
                    </w:rPr>
                    <w:t>本项目从原辅材料、生产工艺、中间产品、副产品、产品及“三废”污染物中不涉及环境风险物质</w:t>
                  </w:r>
                </w:p>
              </w:tc>
              <w:tc>
                <w:tcPr>
                  <w:tcW w:w="662"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9" w:type="dxa"/>
                  <w:vAlign w:val="center"/>
                </w:tcPr>
                <w:p>
                  <w:pPr>
                    <w:bidi w:val="0"/>
                    <w:spacing w:line="240" w:lineRule="auto"/>
                    <w:jc w:val="center"/>
                    <w:rPr>
                      <w:rFonts w:hint="default" w:eastAsia="宋体"/>
                      <w:sz w:val="21"/>
                      <w:szCs w:val="21"/>
                      <w:lang w:val="en-US" w:eastAsia="zh-CN"/>
                    </w:rPr>
                  </w:pPr>
                  <w:r>
                    <w:rPr>
                      <w:rFonts w:hint="eastAsia"/>
                      <w:sz w:val="21"/>
                      <w:szCs w:val="21"/>
                      <w:lang w:val="en-US" w:eastAsia="zh-CN"/>
                    </w:rPr>
                    <w:t>资源利用效率</w:t>
                  </w:r>
                </w:p>
              </w:tc>
              <w:tc>
                <w:tcPr>
                  <w:tcW w:w="2739" w:type="dxa"/>
                  <w:vAlign w:val="center"/>
                </w:tcPr>
                <w:p>
                  <w:pPr>
                    <w:bidi w:val="0"/>
                    <w:spacing w:line="240" w:lineRule="auto"/>
                    <w:jc w:val="center"/>
                    <w:rPr>
                      <w:rFonts w:hint="eastAsia"/>
                      <w:sz w:val="21"/>
                      <w:szCs w:val="21"/>
                    </w:rPr>
                  </w:pPr>
                  <w:r>
                    <w:rPr>
                      <w:rFonts w:hint="eastAsia"/>
                      <w:sz w:val="21"/>
                      <w:szCs w:val="21"/>
                    </w:rPr>
                    <w:t>禁燃区内严格按照相应的高污染燃料禁燃区的通告要求执行</w:t>
                  </w:r>
                </w:p>
              </w:tc>
              <w:tc>
                <w:tcPr>
                  <w:tcW w:w="2766" w:type="dxa"/>
                  <w:vAlign w:val="center"/>
                </w:tcPr>
                <w:p>
                  <w:pPr>
                    <w:bidi w:val="0"/>
                    <w:spacing w:line="240" w:lineRule="auto"/>
                    <w:jc w:val="center"/>
                    <w:rPr>
                      <w:rFonts w:hint="eastAsia"/>
                      <w:sz w:val="21"/>
                      <w:szCs w:val="21"/>
                    </w:rPr>
                  </w:pPr>
                  <w:r>
                    <w:rPr>
                      <w:rFonts w:hint="eastAsia"/>
                      <w:sz w:val="21"/>
                      <w:szCs w:val="21"/>
                    </w:rPr>
                    <w:t>本项目不涉及燃料及锅炉的使用</w:t>
                  </w:r>
                </w:p>
              </w:tc>
              <w:tc>
                <w:tcPr>
                  <w:tcW w:w="662" w:type="dxa"/>
                  <w:vAlign w:val="center"/>
                </w:tcPr>
                <w:p>
                  <w:pPr>
                    <w:bidi w:val="0"/>
                    <w:spacing w:line="240" w:lineRule="auto"/>
                    <w:jc w:val="center"/>
                    <w:rPr>
                      <w:rFonts w:hint="eastAsia" w:eastAsia="宋体"/>
                      <w:sz w:val="21"/>
                      <w:szCs w:val="21"/>
                      <w:lang w:val="en-US" w:eastAsia="zh-CN"/>
                    </w:rPr>
                  </w:pPr>
                  <w:r>
                    <w:rPr>
                      <w:rFonts w:hint="eastAsia"/>
                      <w:sz w:val="21"/>
                      <w:szCs w:val="21"/>
                      <w:lang w:val="en-US" w:eastAsia="zh-CN"/>
                    </w:rPr>
                    <w:t>符合</w:t>
                  </w:r>
                </w:p>
              </w:tc>
            </w:tr>
          </w:tbl>
          <w:p>
            <w:pPr>
              <w:spacing w:line="360" w:lineRule="auto"/>
              <w:ind w:firstLine="480" w:firstLineChars="200"/>
              <w:rPr>
                <w:bCs/>
                <w:sz w:val="24"/>
              </w:rPr>
            </w:pPr>
            <w:r>
              <w:rPr>
                <w:rFonts w:hint="eastAsia"/>
                <w:bCs/>
                <w:sz w:val="24"/>
                <w:lang w:val="en-US" w:eastAsia="zh-CN"/>
              </w:rPr>
              <w:t>3</w:t>
            </w:r>
            <w:r>
              <w:rPr>
                <w:bCs/>
                <w:sz w:val="24"/>
              </w:rPr>
              <w:t>、选址可行性分析</w:t>
            </w:r>
          </w:p>
          <w:p>
            <w:pPr>
              <w:ind w:firstLine="480" w:firstLineChars="200"/>
              <w:rPr>
                <w:kern w:val="0"/>
                <w:sz w:val="24"/>
              </w:rPr>
            </w:pPr>
            <w:r>
              <w:rPr>
                <w:sz w:val="24"/>
              </w:rPr>
              <w:t>本项目位于</w:t>
            </w:r>
            <w:r>
              <w:rPr>
                <w:rFonts w:hint="eastAsia"/>
                <w:sz w:val="24"/>
              </w:rPr>
              <w:t>河北省魏县经济开发区平安大街北段西侧，项目</w:t>
            </w:r>
            <w:r>
              <w:rPr>
                <w:sz w:val="24"/>
              </w:rPr>
              <w:t>厂址中心地理坐标为北纬36°2</w:t>
            </w:r>
            <w:r>
              <w:rPr>
                <w:rFonts w:hint="eastAsia"/>
                <w:sz w:val="24"/>
              </w:rPr>
              <w:t>0</w:t>
            </w:r>
            <w:r>
              <w:rPr>
                <w:sz w:val="24"/>
              </w:rPr>
              <w:t>'</w:t>
            </w:r>
            <w:r>
              <w:rPr>
                <w:rFonts w:hint="eastAsia"/>
                <w:sz w:val="24"/>
                <w:lang w:val="en-US" w:eastAsia="zh-CN"/>
              </w:rPr>
              <w:t>24.000</w:t>
            </w:r>
            <w:r>
              <w:rPr>
                <w:sz w:val="24"/>
              </w:rPr>
              <w:t>"，东经114°5</w:t>
            </w:r>
            <w:r>
              <w:rPr>
                <w:rFonts w:hint="eastAsia"/>
                <w:sz w:val="24"/>
              </w:rPr>
              <w:t>9</w:t>
            </w:r>
            <w:r>
              <w:rPr>
                <w:sz w:val="24"/>
              </w:rPr>
              <w:t>'</w:t>
            </w:r>
            <w:r>
              <w:rPr>
                <w:rFonts w:hint="eastAsia"/>
                <w:sz w:val="24"/>
                <w:lang w:val="en-US" w:eastAsia="zh-CN"/>
              </w:rPr>
              <w:t>26.520</w:t>
            </w:r>
            <w:r>
              <w:rPr>
                <w:sz w:val="24"/>
              </w:rPr>
              <w:t>"</w:t>
            </w:r>
            <w:r>
              <w:rPr>
                <w:rFonts w:hint="eastAsia"/>
                <w:sz w:val="24"/>
              </w:rPr>
              <w:t>，项目北侧为魏县金隅混凝土有限公司，南邻和赢电压器厂，西邻河北慕湖有限公司，东侧为道路。</w:t>
            </w:r>
            <w:r>
              <w:rPr>
                <w:sz w:val="24"/>
              </w:rPr>
              <w:t>本项目最近的敏感点为</w:t>
            </w:r>
            <w:r>
              <w:rPr>
                <w:rFonts w:hint="eastAsia"/>
                <w:sz w:val="24"/>
              </w:rPr>
              <w:t>距离厂区西侧580m的安上村</w:t>
            </w:r>
            <w:r>
              <w:rPr>
                <w:sz w:val="24"/>
              </w:rPr>
              <w:t>。项目</w:t>
            </w:r>
            <w:r>
              <w:rPr>
                <w:kern w:val="0"/>
                <w:sz w:val="24"/>
              </w:rPr>
              <w:t>厂址附近无自然保护区、文物景观等环境保护目标，也不在水源地、生态敏感与脆弱区等环境敏感区内。</w:t>
            </w:r>
            <w:r>
              <w:rPr>
                <w:rFonts w:hint="eastAsia"/>
                <w:kern w:val="0"/>
                <w:sz w:val="24"/>
              </w:rPr>
              <w:t>项目用地为园区建设用地。</w:t>
            </w:r>
          </w:p>
          <w:p>
            <w:pPr>
              <w:ind w:firstLine="480" w:firstLineChars="200"/>
              <w:rPr>
                <w:sz w:val="24"/>
              </w:rPr>
            </w:pPr>
            <w:r>
              <w:rPr>
                <w:sz w:val="24"/>
              </w:rPr>
              <w:t>因此，项目选址</w:t>
            </w:r>
            <w:r>
              <w:rPr>
                <w:rFonts w:hint="eastAsia"/>
                <w:sz w:val="24"/>
              </w:rPr>
              <w:t>可行</w:t>
            </w:r>
            <w:r>
              <w:rPr>
                <w:sz w:val="24"/>
              </w:rPr>
              <w:t>。</w:t>
            </w:r>
          </w:p>
          <w:p>
            <w:pPr>
              <w:ind w:firstLine="480" w:firstLineChars="200"/>
              <w:rPr>
                <w:sz w:val="24"/>
              </w:rPr>
            </w:pPr>
            <w:r>
              <w:rPr>
                <w:rFonts w:hint="eastAsia"/>
                <w:sz w:val="24"/>
                <w:lang w:val="en-US" w:eastAsia="zh-CN"/>
              </w:rPr>
              <w:t>4</w:t>
            </w:r>
            <w:r>
              <w:rPr>
                <w:sz w:val="24"/>
              </w:rPr>
              <w:t>、产业政策符合性分析</w:t>
            </w:r>
          </w:p>
          <w:p>
            <w:pPr>
              <w:ind w:firstLine="480" w:firstLineChars="200"/>
              <w:rPr>
                <w:sz w:val="24"/>
              </w:rPr>
            </w:pPr>
            <w:r>
              <w:rPr>
                <w:sz w:val="24"/>
              </w:rPr>
              <w:t>本项目为</w:t>
            </w:r>
            <w:r>
              <w:rPr>
                <w:rFonts w:hint="eastAsia"/>
                <w:color w:val="000000"/>
                <w:sz w:val="24"/>
              </w:rPr>
              <w:t>其他水泥类似制品制造业</w:t>
            </w:r>
            <w:r>
              <w:rPr>
                <w:sz w:val="24"/>
              </w:rPr>
              <w:t>，</w:t>
            </w:r>
            <w:r>
              <w:rPr>
                <w:rFonts w:hint="eastAsia"/>
                <w:sz w:val="24"/>
              </w:rPr>
              <w:t>不属于</w:t>
            </w:r>
            <w:r>
              <w:rPr>
                <w:sz w:val="24"/>
              </w:rPr>
              <w:t>《产业结构调整指导目录（2019年本）》中</w:t>
            </w:r>
            <w:r>
              <w:rPr>
                <w:rFonts w:hint="eastAsia"/>
                <w:sz w:val="24"/>
              </w:rPr>
              <w:t>鼓励类、限制类、淘汰类项目，属于允许类项目</w:t>
            </w:r>
            <w:r>
              <w:rPr>
                <w:sz w:val="24"/>
              </w:rPr>
              <w:t>。根据《河北省新增限制和淘汰类产业目录（2015年版)》（冀政办发〔2015〕7号），本项目不属于其中的限制和淘汰类产业，符合相关政策。根据《市场准入负面清单（2020年版）》（发改体改规[2020]1880号），本项目不属于禁止准入类和许可准入类。本项目于2021年</w:t>
            </w:r>
            <w:r>
              <w:rPr>
                <w:rFonts w:hint="eastAsia"/>
                <w:sz w:val="24"/>
              </w:rPr>
              <w:t>7</w:t>
            </w:r>
            <w:r>
              <w:rPr>
                <w:sz w:val="24"/>
              </w:rPr>
              <w:t>月</w:t>
            </w:r>
            <w:r>
              <w:rPr>
                <w:rFonts w:hint="eastAsia"/>
                <w:sz w:val="24"/>
              </w:rPr>
              <w:t>2</w:t>
            </w:r>
            <w:r>
              <w:rPr>
                <w:sz w:val="24"/>
              </w:rPr>
              <w:t>日通过</w:t>
            </w:r>
            <w:r>
              <w:rPr>
                <w:rFonts w:hint="eastAsia"/>
                <w:sz w:val="24"/>
              </w:rPr>
              <w:t>魏县行政审批局</w:t>
            </w:r>
            <w:r>
              <w:rPr>
                <w:sz w:val="24"/>
              </w:rPr>
              <w:t>备案，备案文号为</w:t>
            </w:r>
            <w:r>
              <w:rPr>
                <w:rFonts w:hint="eastAsia"/>
                <w:sz w:val="24"/>
              </w:rPr>
              <w:t>魏投资备案</w:t>
            </w:r>
            <w:r>
              <w:rPr>
                <w:sz w:val="24"/>
              </w:rPr>
              <w:t>[2021]</w:t>
            </w:r>
            <w:r>
              <w:rPr>
                <w:rFonts w:hint="eastAsia"/>
                <w:sz w:val="24"/>
              </w:rPr>
              <w:t>55</w:t>
            </w:r>
            <w:r>
              <w:rPr>
                <w:sz w:val="24"/>
              </w:rPr>
              <w:t>号，本项目不在该功能区的负面清单内。</w:t>
            </w:r>
          </w:p>
          <w:p>
            <w:pPr>
              <w:ind w:firstLine="480" w:firstLineChars="200"/>
              <w:rPr>
                <w:sz w:val="24"/>
              </w:rPr>
            </w:pPr>
            <w:r>
              <w:rPr>
                <w:sz w:val="24"/>
              </w:rPr>
              <w:t>因此，项目符合国家产业政策</w:t>
            </w:r>
            <w:r>
              <w:rPr>
                <w:sz w:val="24"/>
                <w:lang w:val="zh-CN"/>
              </w:rPr>
              <w:t>及规划要求。</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sz w:val="24"/>
              </w:rPr>
            </w:pPr>
          </w:p>
        </w:tc>
      </w:tr>
    </w:tbl>
    <w:p>
      <w:pPr>
        <w:outlineLvl w:val="0"/>
        <w:rPr>
          <w:rFonts w:eastAsia="黑体"/>
          <w:sz w:val="30"/>
        </w:rPr>
        <w:sectPr>
          <w:footerReference r:id="rId7" w:type="default"/>
          <w:pgSz w:w="11906" w:h="16838"/>
          <w:pgMar w:top="1701" w:right="1531" w:bottom="1701" w:left="1531" w:header="851" w:footer="1077" w:gutter="0"/>
          <w:pgNumType w:start="1"/>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35" w:type="dxa"/>
            <w:vAlign w:val="center"/>
          </w:tcPr>
          <w:p>
            <w:pPr>
              <w:pStyle w:val="19"/>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625" w:type="dxa"/>
          </w:tcPr>
          <w:p>
            <w:pPr>
              <w:numPr>
                <w:ilvl w:val="0"/>
                <w:numId w:val="3"/>
              </w:numPr>
              <w:ind w:firstLine="480" w:firstLineChars="200"/>
              <w:rPr>
                <w:sz w:val="24"/>
                <w:szCs w:val="32"/>
              </w:rPr>
            </w:pPr>
            <w:r>
              <w:rPr>
                <w:sz w:val="24"/>
                <w:szCs w:val="32"/>
              </w:rPr>
              <w:t>项目名称：</w:t>
            </w:r>
            <w:r>
              <w:rPr>
                <w:rFonts w:hint="eastAsia"/>
                <w:sz w:val="24"/>
                <w:szCs w:val="32"/>
              </w:rPr>
              <w:t>年加工50万立方米预拌砂浆（湿拌）项目</w:t>
            </w:r>
          </w:p>
          <w:p>
            <w:pPr>
              <w:ind w:firstLine="480" w:firstLineChars="200"/>
              <w:rPr>
                <w:sz w:val="24"/>
                <w:szCs w:val="32"/>
              </w:rPr>
            </w:pPr>
            <w:r>
              <w:rPr>
                <w:sz w:val="24"/>
                <w:szCs w:val="32"/>
              </w:rPr>
              <w:t>2、建设单位：</w:t>
            </w:r>
            <w:r>
              <w:rPr>
                <w:rFonts w:hint="eastAsia"/>
                <w:sz w:val="24"/>
                <w:szCs w:val="32"/>
              </w:rPr>
              <w:t>河北琪发商砼有限公司</w:t>
            </w:r>
          </w:p>
          <w:p>
            <w:pPr>
              <w:ind w:firstLine="480" w:firstLineChars="200"/>
              <w:rPr>
                <w:rFonts w:hint="eastAsia" w:eastAsia="宋体"/>
                <w:sz w:val="24"/>
                <w:szCs w:val="32"/>
                <w:lang w:eastAsia="zh-CN"/>
              </w:rPr>
            </w:pPr>
            <w:r>
              <w:rPr>
                <w:sz w:val="24"/>
                <w:szCs w:val="32"/>
              </w:rPr>
              <w:t>3、建设性质：</w:t>
            </w:r>
            <w:r>
              <w:rPr>
                <w:rFonts w:hint="eastAsia"/>
                <w:sz w:val="24"/>
                <w:szCs w:val="32"/>
                <w:lang w:val="en-US" w:eastAsia="zh-CN"/>
              </w:rPr>
              <w:t>技改</w:t>
            </w:r>
          </w:p>
          <w:p>
            <w:pPr>
              <w:ind w:firstLine="480" w:firstLineChars="200"/>
              <w:rPr>
                <w:sz w:val="24"/>
                <w:szCs w:val="32"/>
              </w:rPr>
            </w:pPr>
            <w:r>
              <w:rPr>
                <w:sz w:val="24"/>
                <w:szCs w:val="32"/>
              </w:rPr>
              <w:t>4、项目投资：总投资</w:t>
            </w:r>
            <w:r>
              <w:rPr>
                <w:rFonts w:hint="eastAsia"/>
                <w:sz w:val="24"/>
                <w:szCs w:val="32"/>
              </w:rPr>
              <w:t>500</w:t>
            </w:r>
            <w:r>
              <w:rPr>
                <w:sz w:val="24"/>
                <w:szCs w:val="32"/>
              </w:rPr>
              <w:t>万元，其中环保投资</w:t>
            </w:r>
            <w:r>
              <w:rPr>
                <w:rFonts w:hint="eastAsia"/>
                <w:color w:val="000000"/>
                <w:sz w:val="24"/>
                <w:szCs w:val="32"/>
              </w:rPr>
              <w:t>50</w:t>
            </w:r>
            <w:r>
              <w:rPr>
                <w:sz w:val="24"/>
                <w:szCs w:val="32"/>
              </w:rPr>
              <w:t>万元，占总投资的</w:t>
            </w:r>
            <w:r>
              <w:rPr>
                <w:rFonts w:hint="eastAsia"/>
                <w:color w:val="000000"/>
                <w:sz w:val="24"/>
                <w:szCs w:val="32"/>
              </w:rPr>
              <w:t>10</w:t>
            </w:r>
            <w:r>
              <w:rPr>
                <w:sz w:val="24"/>
                <w:szCs w:val="32"/>
              </w:rPr>
              <w:t>%。</w:t>
            </w:r>
          </w:p>
          <w:p>
            <w:pPr>
              <w:ind w:firstLine="480" w:firstLineChars="200"/>
              <w:rPr>
                <w:sz w:val="24"/>
              </w:rPr>
            </w:pPr>
            <w:r>
              <w:rPr>
                <w:sz w:val="24"/>
              </w:rPr>
              <w:t>5、建设地点：</w:t>
            </w:r>
            <w:r>
              <w:rPr>
                <w:rFonts w:hint="eastAsia"/>
                <w:sz w:val="24"/>
              </w:rPr>
              <w:t>企业</w:t>
            </w:r>
            <w:r>
              <w:rPr>
                <w:sz w:val="24"/>
              </w:rPr>
              <w:t>位于</w:t>
            </w:r>
            <w:r>
              <w:rPr>
                <w:rFonts w:hint="eastAsia"/>
                <w:sz w:val="24"/>
              </w:rPr>
              <w:t>魏县经济开发区平安大街北段西侧，</w:t>
            </w:r>
            <w:r>
              <w:rPr>
                <w:sz w:val="24"/>
              </w:rPr>
              <w:t>厂址中心地理坐标为北纬36°2</w:t>
            </w:r>
            <w:r>
              <w:rPr>
                <w:rFonts w:hint="eastAsia"/>
                <w:sz w:val="24"/>
              </w:rPr>
              <w:t>0</w:t>
            </w:r>
            <w:r>
              <w:rPr>
                <w:sz w:val="24"/>
              </w:rPr>
              <w:t>'</w:t>
            </w:r>
            <w:r>
              <w:rPr>
                <w:rFonts w:hint="eastAsia"/>
                <w:sz w:val="24"/>
                <w:lang w:val="en-US" w:eastAsia="zh-CN"/>
              </w:rPr>
              <w:t>24.000</w:t>
            </w:r>
            <w:r>
              <w:rPr>
                <w:sz w:val="24"/>
              </w:rPr>
              <w:t>"，东经114°5</w:t>
            </w:r>
            <w:r>
              <w:rPr>
                <w:rFonts w:hint="eastAsia"/>
                <w:sz w:val="24"/>
              </w:rPr>
              <w:t>9</w:t>
            </w:r>
            <w:r>
              <w:rPr>
                <w:sz w:val="24"/>
              </w:rPr>
              <w:t>'</w:t>
            </w:r>
            <w:r>
              <w:rPr>
                <w:rFonts w:hint="eastAsia"/>
                <w:sz w:val="24"/>
                <w:lang w:val="en-US" w:eastAsia="zh-CN"/>
              </w:rPr>
              <w:t>26.520</w:t>
            </w:r>
            <w:r>
              <w:rPr>
                <w:sz w:val="24"/>
              </w:rPr>
              <w:t>"</w:t>
            </w:r>
            <w:r>
              <w:rPr>
                <w:rFonts w:hint="eastAsia"/>
                <w:sz w:val="24"/>
              </w:rPr>
              <w:t>，本项目在</w:t>
            </w:r>
            <w:r>
              <w:rPr>
                <w:rFonts w:hint="eastAsia"/>
                <w:sz w:val="24"/>
                <w:szCs w:val="32"/>
              </w:rPr>
              <w:t>河北琪发商砼有限公司</w:t>
            </w:r>
            <w:r>
              <w:rPr>
                <w:rFonts w:hint="eastAsia"/>
                <w:sz w:val="24"/>
              </w:rPr>
              <w:t>现有厂区内建设</w:t>
            </w:r>
            <w:r>
              <w:rPr>
                <w:sz w:val="24"/>
              </w:rPr>
              <w:t>，</w:t>
            </w:r>
            <w:r>
              <w:rPr>
                <w:rFonts w:hint="eastAsia"/>
                <w:sz w:val="24"/>
              </w:rPr>
              <w:t>不新增占地面积。</w:t>
            </w:r>
            <w:r>
              <w:rPr>
                <w:rFonts w:hint="eastAsia"/>
                <w:sz w:val="24"/>
                <w:szCs w:val="32"/>
              </w:rPr>
              <w:t>河北琪发商砼有限公司总占地面积37333.52m</w:t>
            </w:r>
            <w:r>
              <w:rPr>
                <w:rFonts w:hint="eastAsia"/>
                <w:sz w:val="24"/>
                <w:szCs w:val="32"/>
                <w:vertAlign w:val="superscript"/>
              </w:rPr>
              <w:t>2</w:t>
            </w:r>
            <w:r>
              <w:rPr>
                <w:rFonts w:hint="eastAsia"/>
                <w:sz w:val="24"/>
                <w:szCs w:val="32"/>
              </w:rPr>
              <w:t>，总建筑面积21030m</w:t>
            </w:r>
            <w:r>
              <w:rPr>
                <w:rFonts w:hint="eastAsia"/>
                <w:sz w:val="24"/>
                <w:szCs w:val="32"/>
                <w:vertAlign w:val="superscript"/>
              </w:rPr>
              <w:t>2</w:t>
            </w:r>
            <w:r>
              <w:rPr>
                <w:rFonts w:hint="eastAsia"/>
                <w:sz w:val="24"/>
              </w:rPr>
              <w:t>。</w:t>
            </w:r>
          </w:p>
          <w:p>
            <w:pPr>
              <w:ind w:firstLine="480" w:firstLineChars="200"/>
              <w:rPr>
                <w:sz w:val="24"/>
              </w:rPr>
            </w:pPr>
            <w:r>
              <w:rPr>
                <w:sz w:val="24"/>
              </w:rPr>
              <w:t>6、劳动定员及工作制度：本项目不新增劳动定员，</w:t>
            </w:r>
            <w:r>
              <w:rPr>
                <w:rFonts w:hint="eastAsia"/>
                <w:sz w:val="24"/>
              </w:rPr>
              <w:t>现有项目劳动定员</w:t>
            </w:r>
            <w:r>
              <w:rPr>
                <w:rFonts w:hint="eastAsia"/>
                <w:color w:val="000000"/>
                <w:sz w:val="24"/>
              </w:rPr>
              <w:t>38</w:t>
            </w:r>
            <w:r>
              <w:rPr>
                <w:rFonts w:hint="eastAsia"/>
                <w:sz w:val="24"/>
              </w:rPr>
              <w:t>人，</w:t>
            </w:r>
            <w:r>
              <w:rPr>
                <w:sz w:val="24"/>
              </w:rPr>
              <w:t>工作日为300天，每天</w:t>
            </w:r>
            <w:r>
              <w:rPr>
                <w:rFonts w:hint="eastAsia"/>
                <w:sz w:val="24"/>
              </w:rPr>
              <w:t>一</w:t>
            </w:r>
            <w:r>
              <w:rPr>
                <w:sz w:val="24"/>
              </w:rPr>
              <w:t>班制，每班8小时。</w:t>
            </w:r>
          </w:p>
          <w:p>
            <w:pPr>
              <w:ind w:firstLine="480" w:firstLineChars="200"/>
              <w:rPr>
                <w:sz w:val="24"/>
              </w:rPr>
            </w:pPr>
            <w:r>
              <w:rPr>
                <w:sz w:val="24"/>
              </w:rPr>
              <w:t>7、</w:t>
            </w:r>
            <w:r>
              <w:rPr>
                <w:color w:val="000000"/>
                <w:sz w:val="24"/>
              </w:rPr>
              <w:t>建设内容</w:t>
            </w:r>
            <w:r>
              <w:rPr>
                <w:rFonts w:hint="eastAsia"/>
                <w:color w:val="000000"/>
                <w:sz w:val="24"/>
              </w:rPr>
              <w:t>及规模</w:t>
            </w:r>
            <w:r>
              <w:rPr>
                <w:color w:val="000000"/>
                <w:sz w:val="24"/>
              </w:rPr>
              <w:t>：本项目202</w:t>
            </w:r>
            <w:r>
              <w:rPr>
                <w:rFonts w:hint="eastAsia"/>
                <w:color w:val="000000"/>
                <w:sz w:val="24"/>
              </w:rPr>
              <w:t>1</w:t>
            </w:r>
            <w:r>
              <w:rPr>
                <w:color w:val="000000"/>
                <w:sz w:val="24"/>
              </w:rPr>
              <w:t>年</w:t>
            </w:r>
            <w:r>
              <w:rPr>
                <w:rFonts w:hint="eastAsia"/>
                <w:color w:val="000000"/>
                <w:sz w:val="24"/>
              </w:rPr>
              <w:t>7</w:t>
            </w:r>
            <w:r>
              <w:rPr>
                <w:color w:val="000000"/>
                <w:sz w:val="24"/>
              </w:rPr>
              <w:t>月</w:t>
            </w:r>
            <w:r>
              <w:rPr>
                <w:rFonts w:hint="eastAsia"/>
                <w:color w:val="000000"/>
                <w:sz w:val="24"/>
              </w:rPr>
              <w:t>2</w:t>
            </w:r>
            <w:r>
              <w:rPr>
                <w:color w:val="000000"/>
                <w:sz w:val="24"/>
              </w:rPr>
              <w:t>日于</w:t>
            </w:r>
            <w:r>
              <w:rPr>
                <w:rFonts w:hint="eastAsia"/>
                <w:color w:val="000000"/>
                <w:sz w:val="24"/>
              </w:rPr>
              <w:t>魏县行政审批局</w:t>
            </w:r>
            <w:r>
              <w:rPr>
                <w:color w:val="000000"/>
                <w:sz w:val="24"/>
              </w:rPr>
              <w:t>备案（备案编号：</w:t>
            </w:r>
            <w:r>
              <w:rPr>
                <w:rFonts w:hint="eastAsia"/>
                <w:color w:val="000000"/>
                <w:sz w:val="24"/>
              </w:rPr>
              <w:t>魏投资备案[</w:t>
            </w:r>
            <w:r>
              <w:rPr>
                <w:color w:val="000000"/>
                <w:sz w:val="24"/>
              </w:rPr>
              <w:t>2021</w:t>
            </w:r>
            <w:r>
              <w:rPr>
                <w:rFonts w:hint="eastAsia"/>
                <w:color w:val="000000"/>
                <w:sz w:val="24"/>
              </w:rPr>
              <w:t>]55</w:t>
            </w:r>
            <w:r>
              <w:rPr>
                <w:color w:val="000000"/>
                <w:sz w:val="24"/>
              </w:rPr>
              <w:t>号），</w:t>
            </w:r>
            <w:r>
              <w:rPr>
                <w:rFonts w:hint="eastAsia"/>
                <w:sz w:val="24"/>
                <w:lang w:val="en-US" w:eastAsia="zh-CN"/>
              </w:rPr>
              <w:t>现有项目已按环评及批复要求建成混凝土生产线2条，本次技改后淘汰其中1条混凝土生产线，建设本项目预拌砂浆（湿拌）生产线，生产设备依托现有项目，</w:t>
            </w:r>
            <w:r>
              <w:rPr>
                <w:rFonts w:hint="eastAsia"/>
                <w:color w:val="000000"/>
                <w:sz w:val="24"/>
              </w:rPr>
              <w:t>通过原料入厂、配料、搅拌、出料</w:t>
            </w:r>
            <w:r>
              <w:rPr>
                <w:rFonts w:hint="eastAsia"/>
                <w:color w:val="000000"/>
                <w:sz w:val="24"/>
                <w:lang w:val="en-US" w:eastAsia="zh-CN"/>
              </w:rPr>
              <w:t>等工艺建设，技改项目完成后，建设年产建筑装备（混凝土、预制构件）100万m</w:t>
            </w:r>
            <w:r>
              <w:rPr>
                <w:rFonts w:hint="eastAsia"/>
                <w:color w:val="000000"/>
                <w:sz w:val="24"/>
                <w:vertAlign w:val="superscript"/>
                <w:lang w:val="en-US" w:eastAsia="zh-CN"/>
              </w:rPr>
              <w:t>3</w:t>
            </w:r>
            <w:r>
              <w:rPr>
                <w:rFonts w:hint="eastAsia"/>
                <w:color w:val="000000"/>
                <w:sz w:val="24"/>
                <w:lang w:eastAsia="zh-CN"/>
              </w:rPr>
              <w:t>、</w:t>
            </w:r>
            <w:r>
              <w:rPr>
                <w:rFonts w:hint="eastAsia"/>
                <w:color w:val="000000"/>
                <w:sz w:val="24"/>
              </w:rPr>
              <w:t>年产预拌砂浆（湿拌）50万</w:t>
            </w:r>
            <w:r>
              <w:rPr>
                <w:rFonts w:hint="eastAsia"/>
                <w:color w:val="000000"/>
                <w:sz w:val="24"/>
                <w:lang w:val="en-US" w:eastAsia="zh-CN"/>
              </w:rPr>
              <w:t>m</w:t>
            </w:r>
            <w:r>
              <w:rPr>
                <w:rFonts w:hint="eastAsia"/>
                <w:color w:val="000000"/>
                <w:sz w:val="24"/>
                <w:vertAlign w:val="superscript"/>
                <w:lang w:val="en-US" w:eastAsia="zh-CN"/>
              </w:rPr>
              <w:t>3</w:t>
            </w:r>
            <w:r>
              <w:rPr>
                <w:rFonts w:hint="eastAsia"/>
                <w:color w:val="000000"/>
                <w:sz w:val="24"/>
                <w:vertAlign w:val="baseline"/>
                <w:lang w:val="en-US" w:eastAsia="zh-CN"/>
              </w:rPr>
              <w:t>，技改项目完成后全厂产品产能不发生变化</w:t>
            </w:r>
            <w:r>
              <w:rPr>
                <w:color w:val="000000"/>
                <w:sz w:val="24"/>
              </w:rPr>
              <w:t>。</w:t>
            </w:r>
          </w:p>
          <w:p>
            <w:pPr>
              <w:widowControl/>
              <w:jc w:val="center"/>
              <w:rPr>
                <w:color w:val="000000" w:themeColor="text1"/>
                <w:kern w:val="0"/>
                <w:sz w:val="24"/>
                <w14:textFill>
                  <w14:solidFill>
                    <w14:schemeClr w14:val="tx1"/>
                  </w14:solidFill>
                </w14:textFill>
              </w:rPr>
            </w:pPr>
            <w:r>
              <w:rPr>
                <w:b/>
                <w:bCs/>
                <w:color w:val="000000" w:themeColor="text1"/>
                <w:kern w:val="0"/>
                <w:sz w:val="21"/>
                <w:szCs w:val="21"/>
                <w14:textFill>
                  <w14:solidFill>
                    <w14:schemeClr w14:val="tx1"/>
                  </w14:solidFill>
                </w14:textFill>
              </w:rPr>
              <w:t>表</w:t>
            </w:r>
            <w:r>
              <w:rPr>
                <w:rFonts w:hint="eastAsia"/>
                <w:b/>
                <w:bCs/>
                <w:color w:val="000000" w:themeColor="text1"/>
                <w:kern w:val="0"/>
                <w:sz w:val="21"/>
                <w:szCs w:val="21"/>
                <w:lang w:val="en-US" w:eastAsia="zh-CN"/>
                <w14:textFill>
                  <w14:solidFill>
                    <w14:schemeClr w14:val="tx1"/>
                  </w14:solidFill>
                </w14:textFill>
              </w:rPr>
              <w:t>4</w:t>
            </w:r>
            <w:r>
              <w:rPr>
                <w:rFonts w:hint="eastAsia"/>
                <w:b/>
                <w:bCs/>
                <w:color w:val="000000" w:themeColor="text1"/>
                <w:kern w:val="0"/>
                <w:sz w:val="21"/>
                <w:szCs w:val="21"/>
                <w14:textFill>
                  <w14:solidFill>
                    <w14:schemeClr w14:val="tx1"/>
                  </w14:solidFill>
                </w14:textFill>
              </w:rPr>
              <w:t xml:space="preserve"> 全厂</w:t>
            </w:r>
            <w:r>
              <w:rPr>
                <w:b/>
                <w:bCs/>
                <w:color w:val="000000" w:themeColor="text1"/>
                <w:kern w:val="0"/>
                <w:sz w:val="21"/>
                <w:szCs w:val="21"/>
                <w14:textFill>
                  <w14:solidFill>
                    <w14:schemeClr w14:val="tx1"/>
                  </w14:solidFill>
                </w14:textFill>
              </w:rPr>
              <w:t>建设内容一览表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20"/>
              <w:gridCol w:w="560"/>
              <w:gridCol w:w="2865"/>
              <w:gridCol w:w="307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Align w:val="center"/>
                </w:tcPr>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项目</w:t>
                  </w:r>
                </w:p>
              </w:tc>
              <w:tc>
                <w:tcPr>
                  <w:tcW w:w="980" w:type="dxa"/>
                  <w:gridSpan w:val="2"/>
                  <w:vAlign w:val="center"/>
                </w:tcPr>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2865" w:type="dxa"/>
                  <w:vAlign w:val="center"/>
                </w:tcPr>
                <w:p>
                  <w:pPr>
                    <w:spacing w:line="24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技改前</w:t>
                  </w:r>
                  <w:r>
                    <w:rPr>
                      <w:color w:val="000000" w:themeColor="text1"/>
                      <w14:textFill>
                        <w14:solidFill>
                          <w14:schemeClr w14:val="tx1"/>
                        </w14:solidFill>
                      </w14:textFill>
                    </w:rPr>
                    <w:t>建设内容</w:t>
                  </w:r>
                </w:p>
              </w:tc>
              <w:tc>
                <w:tcPr>
                  <w:tcW w:w="3075" w:type="dxa"/>
                  <w:vAlign w:val="center"/>
                </w:tcPr>
                <w:p>
                  <w:pPr>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技改后全厂建设内容</w:t>
                  </w:r>
                </w:p>
              </w:tc>
              <w:tc>
                <w:tcPr>
                  <w:tcW w:w="753" w:type="dxa"/>
                  <w:vAlign w:val="center"/>
                </w:tcPr>
                <w:p>
                  <w:pPr>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依托情况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6" w:type="dxa"/>
                  <w:vMerge w:val="restart"/>
                  <w:vAlign w:val="center"/>
                </w:tcPr>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主体</w:t>
                  </w:r>
                </w:p>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工程</w:t>
                  </w:r>
                </w:p>
              </w:tc>
              <w:tc>
                <w:tcPr>
                  <w:tcW w:w="980" w:type="dxa"/>
                  <w:gridSpan w:val="2"/>
                  <w:vAlign w:val="center"/>
                </w:tcPr>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生产车间</w:t>
                  </w:r>
                </w:p>
              </w:tc>
              <w:tc>
                <w:tcPr>
                  <w:tcW w:w="2865" w:type="dxa"/>
                </w:tcPr>
                <w:p>
                  <w:pPr>
                    <w:spacing w:line="24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轻钢结构，建筑面积7000</w:t>
                  </w:r>
                  <w:r>
                    <w:rPr>
                      <w:color w:val="000000" w:themeColor="text1"/>
                      <w:kern w:val="16"/>
                      <w:szCs w:val="28"/>
                      <w14:textFill>
                        <w14:solidFill>
                          <w14:schemeClr w14:val="tx1"/>
                        </w14:solidFill>
                      </w14:textFill>
                    </w:rPr>
                    <w:t>m</w:t>
                  </w:r>
                  <w:r>
                    <w:rPr>
                      <w:color w:val="000000" w:themeColor="text1"/>
                      <w:kern w:val="16"/>
                      <w:szCs w:val="28"/>
                      <w:vertAlign w:val="superscript"/>
                      <w14:textFill>
                        <w14:solidFill>
                          <w14:schemeClr w14:val="tx1"/>
                        </w14:solidFill>
                      </w14:textFill>
                    </w:rPr>
                    <w:t>2</w:t>
                  </w:r>
                  <w:r>
                    <w:rPr>
                      <w:color w:val="000000" w:themeColor="text1"/>
                      <w:szCs w:val="21"/>
                      <w14:textFill>
                        <w14:solidFill>
                          <w14:schemeClr w14:val="tx1"/>
                        </w14:solidFill>
                      </w14:textFill>
                    </w:rPr>
                    <w:t>，用于原辅材料的加工</w:t>
                  </w:r>
                </w:p>
              </w:tc>
              <w:tc>
                <w:tcPr>
                  <w:tcW w:w="3075" w:type="dxa"/>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轻钢结构，建筑面积7000</w:t>
                  </w:r>
                  <w:r>
                    <w:rPr>
                      <w:color w:val="000000" w:themeColor="text1"/>
                      <w:kern w:val="16"/>
                      <w:szCs w:val="28"/>
                      <w14:textFill>
                        <w14:solidFill>
                          <w14:schemeClr w14:val="tx1"/>
                        </w14:solidFill>
                      </w14:textFill>
                    </w:rPr>
                    <w:t>m</w:t>
                  </w:r>
                  <w:r>
                    <w:rPr>
                      <w:color w:val="000000" w:themeColor="text1"/>
                      <w:kern w:val="16"/>
                      <w:szCs w:val="28"/>
                      <w:vertAlign w:val="superscript"/>
                      <w14:textFill>
                        <w14:solidFill>
                          <w14:schemeClr w14:val="tx1"/>
                        </w14:solidFill>
                      </w14:textFill>
                    </w:rPr>
                    <w:t>2</w:t>
                  </w:r>
                  <w:r>
                    <w:rPr>
                      <w:color w:val="000000" w:themeColor="text1"/>
                      <w:szCs w:val="21"/>
                      <w14:textFill>
                        <w14:solidFill>
                          <w14:schemeClr w14:val="tx1"/>
                        </w14:solidFill>
                      </w14:textFill>
                    </w:rPr>
                    <w:t>，用于原辅材料的加工</w:t>
                  </w:r>
                </w:p>
              </w:tc>
              <w:tc>
                <w:tcPr>
                  <w:tcW w:w="753" w:type="dxa"/>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86" w:type="dxa"/>
                  <w:vMerge w:val="continue"/>
                  <w:vAlign w:val="center"/>
                </w:tcPr>
                <w:p>
                  <w:pPr>
                    <w:spacing w:line="240" w:lineRule="auto"/>
                    <w:jc w:val="center"/>
                    <w:rPr>
                      <w:color w:val="000000" w:themeColor="text1"/>
                      <w14:textFill>
                        <w14:solidFill>
                          <w14:schemeClr w14:val="tx1"/>
                        </w14:solidFill>
                      </w14:textFill>
                    </w:rPr>
                  </w:pPr>
                </w:p>
              </w:tc>
              <w:tc>
                <w:tcPr>
                  <w:tcW w:w="980" w:type="dxa"/>
                  <w:gridSpan w:val="2"/>
                  <w:vAlign w:val="center"/>
                </w:tcPr>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料棚</w:t>
                  </w:r>
                </w:p>
              </w:tc>
              <w:tc>
                <w:tcPr>
                  <w:tcW w:w="2865" w:type="dxa"/>
                </w:tcPr>
                <w:p>
                  <w:pPr>
                    <w:spacing w:line="24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混合结构，建筑面积9750</w:t>
                  </w:r>
                  <w:r>
                    <w:rPr>
                      <w:color w:val="000000" w:themeColor="text1"/>
                      <w:kern w:val="16"/>
                      <w:szCs w:val="28"/>
                      <w14:textFill>
                        <w14:solidFill>
                          <w14:schemeClr w14:val="tx1"/>
                        </w14:solidFill>
                      </w14:textFill>
                    </w:rPr>
                    <w:t>m</w:t>
                  </w:r>
                  <w:r>
                    <w:rPr>
                      <w:color w:val="000000" w:themeColor="text1"/>
                      <w:kern w:val="16"/>
                      <w:szCs w:val="28"/>
                      <w:vertAlign w:val="superscript"/>
                      <w14:textFill>
                        <w14:solidFill>
                          <w14:schemeClr w14:val="tx1"/>
                        </w14:solidFill>
                      </w14:textFill>
                    </w:rPr>
                    <w:t>2</w:t>
                  </w:r>
                  <w:r>
                    <w:rPr>
                      <w:color w:val="000000" w:themeColor="text1"/>
                      <w:szCs w:val="21"/>
                      <w14:textFill>
                        <w14:solidFill>
                          <w14:schemeClr w14:val="tx1"/>
                        </w14:solidFill>
                      </w14:textFill>
                    </w:rPr>
                    <w:t>，进行物料的储存</w:t>
                  </w:r>
                </w:p>
              </w:tc>
              <w:tc>
                <w:tcPr>
                  <w:tcW w:w="3075" w:type="dxa"/>
                  <w:vAlign w:val="center"/>
                </w:tcPr>
                <w:p>
                  <w:pPr>
                    <w:spacing w:line="24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混合结构，建筑面积9750</w:t>
                  </w:r>
                  <w:r>
                    <w:rPr>
                      <w:color w:val="000000" w:themeColor="text1"/>
                      <w:kern w:val="16"/>
                      <w:szCs w:val="28"/>
                      <w14:textFill>
                        <w14:solidFill>
                          <w14:schemeClr w14:val="tx1"/>
                        </w14:solidFill>
                      </w14:textFill>
                    </w:rPr>
                    <w:t>m</w:t>
                  </w:r>
                  <w:r>
                    <w:rPr>
                      <w:color w:val="000000" w:themeColor="text1"/>
                      <w:kern w:val="16"/>
                      <w:szCs w:val="28"/>
                      <w:vertAlign w:val="superscript"/>
                      <w14:textFill>
                        <w14:solidFill>
                          <w14:schemeClr w14:val="tx1"/>
                        </w14:solidFill>
                      </w14:textFill>
                    </w:rPr>
                    <w:t>2</w:t>
                  </w:r>
                  <w:r>
                    <w:rPr>
                      <w:color w:val="000000" w:themeColor="text1"/>
                      <w:szCs w:val="21"/>
                      <w14:textFill>
                        <w14:solidFill>
                          <w14:schemeClr w14:val="tx1"/>
                        </w14:solidFill>
                      </w14:textFill>
                    </w:rPr>
                    <w:t>，进行物料的储存</w:t>
                  </w:r>
                </w:p>
              </w:tc>
              <w:tc>
                <w:tcPr>
                  <w:tcW w:w="753" w:type="dxa"/>
                  <w:vAlign w:val="center"/>
                </w:tcPr>
                <w:p>
                  <w:pPr>
                    <w:spacing w:line="240" w:lineRule="auto"/>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spacing w:line="240" w:lineRule="auto"/>
                    <w:jc w:val="center"/>
                    <w:rPr>
                      <w:color w:val="000000" w:themeColor="text1"/>
                      <w14:textFill>
                        <w14:solidFill>
                          <w14:schemeClr w14:val="tx1"/>
                        </w14:solidFill>
                      </w14:textFill>
                    </w:rPr>
                  </w:pPr>
                </w:p>
              </w:tc>
              <w:tc>
                <w:tcPr>
                  <w:tcW w:w="980" w:type="dxa"/>
                  <w:gridSpan w:val="2"/>
                  <w:vAlign w:val="center"/>
                </w:tcPr>
                <w:p>
                  <w:pPr>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搅拌工作区</w:t>
                  </w:r>
                </w:p>
              </w:tc>
              <w:tc>
                <w:tcPr>
                  <w:tcW w:w="2865" w:type="dxa"/>
                  <w:vAlign w:val="center"/>
                </w:tcPr>
                <w:p>
                  <w:pPr>
                    <w:spacing w:line="24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轻钢结构，建筑面积2000</w:t>
                  </w:r>
                  <w:r>
                    <w:rPr>
                      <w:color w:val="000000" w:themeColor="text1"/>
                      <w:kern w:val="16"/>
                      <w:szCs w:val="28"/>
                      <w14:textFill>
                        <w14:solidFill>
                          <w14:schemeClr w14:val="tx1"/>
                        </w14:solidFill>
                      </w14:textFill>
                    </w:rPr>
                    <w:t>m</w:t>
                  </w:r>
                  <w:r>
                    <w:rPr>
                      <w:color w:val="000000" w:themeColor="text1"/>
                      <w:kern w:val="16"/>
                      <w:szCs w:val="28"/>
                      <w:vertAlign w:val="superscript"/>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建设2座搅拌楼（1#搅拌楼、2#搅拌楼），</w:t>
                  </w:r>
                  <w:r>
                    <w:rPr>
                      <w:color w:val="000000" w:themeColor="text1"/>
                      <w:szCs w:val="21"/>
                      <w14:textFill>
                        <w14:solidFill>
                          <w14:schemeClr w14:val="tx1"/>
                        </w14:solidFill>
                      </w14:textFill>
                    </w:rPr>
                    <w:t>用于</w:t>
                  </w:r>
                  <w:r>
                    <w:rPr>
                      <w:rFonts w:hint="eastAsia"/>
                      <w:color w:val="000000" w:themeColor="text1"/>
                      <w:szCs w:val="21"/>
                      <w:lang w:val="en-US" w:eastAsia="zh-CN"/>
                      <w14:textFill>
                        <w14:solidFill>
                          <w14:schemeClr w14:val="tx1"/>
                        </w14:solidFill>
                      </w14:textFill>
                    </w:rPr>
                    <w:t>物料的</w:t>
                  </w:r>
                  <w:r>
                    <w:rPr>
                      <w:color w:val="000000" w:themeColor="text1"/>
                      <w:szCs w:val="21"/>
                      <w14:textFill>
                        <w14:solidFill>
                          <w14:schemeClr w14:val="tx1"/>
                        </w14:solidFill>
                      </w14:textFill>
                    </w:rPr>
                    <w:t>混合搅拌</w:t>
                  </w:r>
                </w:p>
              </w:tc>
              <w:tc>
                <w:tcPr>
                  <w:tcW w:w="3075" w:type="dxa"/>
                  <w:vAlign w:val="center"/>
                </w:tcPr>
                <w:p>
                  <w:pPr>
                    <w:spacing w:line="240" w:lineRule="auto"/>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轻钢结构，建筑面积</w:t>
                  </w:r>
                  <w:r>
                    <w:rPr>
                      <w:color w:val="000000" w:themeColor="text1"/>
                      <w:szCs w:val="21"/>
                      <w14:textFill>
                        <w14:solidFill>
                          <w14:schemeClr w14:val="tx1"/>
                        </w14:solidFill>
                      </w14:textFill>
                    </w:rPr>
                    <w:t>2000</w:t>
                  </w:r>
                  <w:r>
                    <w:rPr>
                      <w:color w:val="000000" w:themeColor="text1"/>
                      <w:kern w:val="16"/>
                      <w:szCs w:val="28"/>
                      <w14:textFill>
                        <w14:solidFill>
                          <w14:schemeClr w14:val="tx1"/>
                        </w14:solidFill>
                      </w14:textFill>
                    </w:rPr>
                    <w:t>m</w:t>
                  </w:r>
                  <w:r>
                    <w:rPr>
                      <w:color w:val="000000" w:themeColor="text1"/>
                      <w:kern w:val="16"/>
                      <w:szCs w:val="28"/>
                      <w:vertAlign w:val="superscript"/>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1#搅拌楼作为现有项目商品混凝土的物料混合搅拌，2#搅拌楼作为本次技改项目预拌砂浆生产线的物料混合搅拌</w:t>
                  </w:r>
                </w:p>
              </w:tc>
              <w:tc>
                <w:tcPr>
                  <w:tcW w:w="753" w:type="dxa"/>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依托现有项目中1条生产线改建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Merge w:val="restart"/>
                  <w:vAlign w:val="center"/>
                </w:tcPr>
                <w:p>
                  <w:pPr>
                    <w:spacing w:line="240" w:lineRule="auto"/>
                    <w:jc w:val="center"/>
                    <w:rPr>
                      <w:color w:val="000000"/>
                    </w:rPr>
                  </w:pPr>
                </w:p>
                <w:p>
                  <w:pPr>
                    <w:spacing w:line="240" w:lineRule="auto"/>
                    <w:jc w:val="center"/>
                    <w:rPr>
                      <w:color w:val="000000"/>
                    </w:rPr>
                  </w:pPr>
                </w:p>
                <w:p>
                  <w:pPr>
                    <w:spacing w:line="240" w:lineRule="auto"/>
                    <w:jc w:val="center"/>
                    <w:rPr>
                      <w:color w:val="000000"/>
                    </w:rPr>
                  </w:pPr>
                  <w:r>
                    <w:rPr>
                      <w:color w:val="000000"/>
                    </w:rPr>
                    <w:t>辅助</w:t>
                  </w:r>
                </w:p>
                <w:p>
                  <w:pPr>
                    <w:spacing w:line="240" w:lineRule="auto"/>
                    <w:jc w:val="center"/>
                    <w:rPr>
                      <w:color w:val="000000"/>
                    </w:rPr>
                  </w:pPr>
                  <w:r>
                    <w:rPr>
                      <w:color w:val="000000"/>
                    </w:rPr>
                    <w:t>工程</w:t>
                  </w:r>
                </w:p>
              </w:tc>
              <w:tc>
                <w:tcPr>
                  <w:tcW w:w="980" w:type="dxa"/>
                  <w:gridSpan w:val="2"/>
                  <w:vAlign w:val="center"/>
                </w:tcPr>
                <w:p>
                  <w:pPr>
                    <w:spacing w:line="240" w:lineRule="auto"/>
                    <w:jc w:val="center"/>
                    <w:rPr>
                      <w:rFonts w:hint="eastAsia" w:eastAsia="宋体"/>
                      <w:color w:val="000000"/>
                      <w:lang w:eastAsia="zh-CN"/>
                    </w:rPr>
                  </w:pPr>
                  <w:r>
                    <w:rPr>
                      <w:color w:val="000000"/>
                    </w:rPr>
                    <w:t>职工</w:t>
                  </w:r>
                  <w:r>
                    <w:rPr>
                      <w:rFonts w:hint="eastAsia"/>
                      <w:color w:val="000000"/>
                      <w:lang w:val="en-US" w:eastAsia="zh-CN"/>
                    </w:rPr>
                    <w:t>临休室</w:t>
                  </w:r>
                </w:p>
              </w:tc>
              <w:tc>
                <w:tcPr>
                  <w:tcW w:w="2865" w:type="dxa"/>
                </w:tcPr>
                <w:p>
                  <w:pPr>
                    <w:spacing w:line="240" w:lineRule="auto"/>
                    <w:rPr>
                      <w:color w:val="000000"/>
                    </w:rPr>
                  </w:pPr>
                  <w:r>
                    <w:rPr>
                      <w:color w:val="000000"/>
                      <w:szCs w:val="21"/>
                    </w:rPr>
                    <w:t>砖混结构，建筑面积400m</w:t>
                  </w:r>
                  <w:r>
                    <w:rPr>
                      <w:color w:val="000000"/>
                      <w:szCs w:val="21"/>
                      <w:vertAlign w:val="superscript"/>
                    </w:rPr>
                    <w:t>2</w:t>
                  </w:r>
                  <w:r>
                    <w:rPr>
                      <w:color w:val="000000"/>
                      <w:szCs w:val="21"/>
                    </w:rPr>
                    <w:t>，一层，用于职工休息</w:t>
                  </w:r>
                </w:p>
              </w:tc>
              <w:tc>
                <w:tcPr>
                  <w:tcW w:w="3075" w:type="dxa"/>
                  <w:vAlign w:val="top"/>
                </w:tcPr>
                <w:p>
                  <w:pPr>
                    <w:spacing w:line="240" w:lineRule="auto"/>
                    <w:rPr>
                      <w:color w:val="000000"/>
                      <w:szCs w:val="21"/>
                    </w:rPr>
                  </w:pPr>
                  <w:r>
                    <w:rPr>
                      <w:color w:val="000000"/>
                      <w:szCs w:val="21"/>
                    </w:rPr>
                    <w:t>砖混结构，建筑面积400m</w:t>
                  </w:r>
                  <w:r>
                    <w:rPr>
                      <w:color w:val="000000"/>
                      <w:szCs w:val="21"/>
                      <w:vertAlign w:val="superscript"/>
                    </w:rPr>
                    <w:t>2</w:t>
                  </w:r>
                  <w:r>
                    <w:rPr>
                      <w:color w:val="000000"/>
                      <w:szCs w:val="21"/>
                    </w:rPr>
                    <w:t>，一层，用于职工休息</w:t>
                  </w:r>
                </w:p>
              </w:tc>
              <w:tc>
                <w:tcPr>
                  <w:tcW w:w="753" w:type="dxa"/>
                  <w:vAlign w:val="center"/>
                </w:tcPr>
                <w:p>
                  <w:pPr>
                    <w:spacing w:line="240" w:lineRule="auto"/>
                    <w:jc w:val="center"/>
                    <w:rPr>
                      <w:rFonts w:hint="eastAsia"/>
                      <w:color w:val="000000"/>
                      <w:szCs w:val="21"/>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Merge w:val="continue"/>
                </w:tcPr>
                <w:p>
                  <w:pPr>
                    <w:spacing w:line="240" w:lineRule="auto"/>
                    <w:jc w:val="center"/>
                    <w:rPr>
                      <w:color w:val="000000"/>
                    </w:rPr>
                  </w:pPr>
                </w:p>
              </w:tc>
              <w:tc>
                <w:tcPr>
                  <w:tcW w:w="980" w:type="dxa"/>
                  <w:gridSpan w:val="2"/>
                  <w:vAlign w:val="center"/>
                </w:tcPr>
                <w:p>
                  <w:pPr>
                    <w:spacing w:line="240" w:lineRule="auto"/>
                    <w:jc w:val="center"/>
                    <w:rPr>
                      <w:color w:val="000000"/>
                    </w:rPr>
                  </w:pPr>
                  <w:r>
                    <w:rPr>
                      <w:color w:val="000000"/>
                    </w:rPr>
                    <w:t>综合办公楼</w:t>
                  </w:r>
                </w:p>
              </w:tc>
              <w:tc>
                <w:tcPr>
                  <w:tcW w:w="2865" w:type="dxa"/>
                </w:tcPr>
                <w:p>
                  <w:pPr>
                    <w:spacing w:line="240" w:lineRule="auto"/>
                    <w:rPr>
                      <w:color w:val="000000"/>
                    </w:rPr>
                  </w:pPr>
                  <w:r>
                    <w:rPr>
                      <w:color w:val="000000"/>
                      <w:szCs w:val="21"/>
                    </w:rPr>
                    <w:t>砖混结构，建筑面积1080</w:t>
                  </w:r>
                  <w:r>
                    <w:rPr>
                      <w:color w:val="000000"/>
                      <w:kern w:val="16"/>
                      <w:szCs w:val="28"/>
                    </w:rPr>
                    <w:t>m</w:t>
                  </w:r>
                  <w:r>
                    <w:rPr>
                      <w:color w:val="000000"/>
                      <w:kern w:val="16"/>
                      <w:szCs w:val="28"/>
                      <w:vertAlign w:val="superscript"/>
                    </w:rPr>
                    <w:t>2</w:t>
                  </w:r>
                  <w:r>
                    <w:rPr>
                      <w:color w:val="000000"/>
                      <w:szCs w:val="21"/>
                    </w:rPr>
                    <w:t>，三层，用于职工办公</w:t>
                  </w:r>
                </w:p>
              </w:tc>
              <w:tc>
                <w:tcPr>
                  <w:tcW w:w="3075" w:type="dxa"/>
                  <w:vAlign w:val="top"/>
                </w:tcPr>
                <w:p>
                  <w:pPr>
                    <w:spacing w:line="240" w:lineRule="auto"/>
                    <w:rPr>
                      <w:color w:val="000000"/>
                      <w:szCs w:val="21"/>
                    </w:rPr>
                  </w:pPr>
                  <w:r>
                    <w:rPr>
                      <w:color w:val="000000"/>
                      <w:szCs w:val="21"/>
                    </w:rPr>
                    <w:t>砖混结构，建筑面积1080</w:t>
                  </w:r>
                  <w:r>
                    <w:rPr>
                      <w:color w:val="000000"/>
                      <w:kern w:val="16"/>
                      <w:szCs w:val="28"/>
                    </w:rPr>
                    <w:t>m</w:t>
                  </w:r>
                  <w:r>
                    <w:rPr>
                      <w:color w:val="000000"/>
                      <w:kern w:val="16"/>
                      <w:szCs w:val="28"/>
                      <w:vertAlign w:val="superscript"/>
                    </w:rPr>
                    <w:t>2</w:t>
                  </w:r>
                  <w:r>
                    <w:rPr>
                      <w:color w:val="000000"/>
                      <w:szCs w:val="21"/>
                    </w:rPr>
                    <w:t>，三层，用于职工办公</w:t>
                  </w:r>
                </w:p>
              </w:tc>
              <w:tc>
                <w:tcPr>
                  <w:tcW w:w="753" w:type="dxa"/>
                  <w:vAlign w:val="center"/>
                </w:tcPr>
                <w:p>
                  <w:pPr>
                    <w:spacing w:line="240" w:lineRule="auto"/>
                    <w:jc w:val="center"/>
                    <w:rPr>
                      <w:rFonts w:hint="eastAsia"/>
                      <w:color w:val="000000"/>
                      <w:szCs w:val="21"/>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Merge w:val="continue"/>
                </w:tcPr>
                <w:p>
                  <w:pPr>
                    <w:spacing w:line="240" w:lineRule="auto"/>
                    <w:jc w:val="center"/>
                    <w:rPr>
                      <w:color w:val="000000"/>
                    </w:rPr>
                  </w:pPr>
                </w:p>
              </w:tc>
              <w:tc>
                <w:tcPr>
                  <w:tcW w:w="980" w:type="dxa"/>
                  <w:gridSpan w:val="2"/>
                  <w:vAlign w:val="center"/>
                </w:tcPr>
                <w:p>
                  <w:pPr>
                    <w:spacing w:line="240" w:lineRule="auto"/>
                    <w:jc w:val="center"/>
                    <w:rPr>
                      <w:color w:val="000000"/>
                    </w:rPr>
                  </w:pPr>
                  <w:r>
                    <w:rPr>
                      <w:color w:val="000000"/>
                    </w:rPr>
                    <w:t>职工餐厅</w:t>
                  </w:r>
                </w:p>
              </w:tc>
              <w:tc>
                <w:tcPr>
                  <w:tcW w:w="2865" w:type="dxa"/>
                </w:tcPr>
                <w:p>
                  <w:pPr>
                    <w:spacing w:line="240" w:lineRule="auto"/>
                    <w:rPr>
                      <w:color w:val="000000"/>
                    </w:rPr>
                  </w:pPr>
                  <w:r>
                    <w:rPr>
                      <w:color w:val="000000"/>
                      <w:szCs w:val="21"/>
                    </w:rPr>
                    <w:t>砖混结构，建筑面积200</w:t>
                  </w:r>
                  <w:r>
                    <w:rPr>
                      <w:color w:val="000000"/>
                      <w:kern w:val="16"/>
                      <w:szCs w:val="28"/>
                    </w:rPr>
                    <w:t>m</w:t>
                  </w:r>
                  <w:r>
                    <w:rPr>
                      <w:color w:val="000000"/>
                      <w:kern w:val="16"/>
                      <w:szCs w:val="28"/>
                      <w:vertAlign w:val="superscript"/>
                    </w:rPr>
                    <w:t>2</w:t>
                  </w:r>
                  <w:r>
                    <w:rPr>
                      <w:color w:val="000000"/>
                      <w:szCs w:val="21"/>
                    </w:rPr>
                    <w:t>，一层，用于职工就餐</w:t>
                  </w:r>
                </w:p>
              </w:tc>
              <w:tc>
                <w:tcPr>
                  <w:tcW w:w="3075" w:type="dxa"/>
                  <w:vAlign w:val="top"/>
                </w:tcPr>
                <w:p>
                  <w:pPr>
                    <w:spacing w:line="240" w:lineRule="auto"/>
                    <w:rPr>
                      <w:color w:val="000000"/>
                      <w:szCs w:val="21"/>
                    </w:rPr>
                  </w:pPr>
                  <w:r>
                    <w:rPr>
                      <w:color w:val="000000"/>
                      <w:szCs w:val="21"/>
                    </w:rPr>
                    <w:t>砖混结构，建筑面积200</w:t>
                  </w:r>
                  <w:r>
                    <w:rPr>
                      <w:color w:val="000000"/>
                      <w:kern w:val="16"/>
                      <w:szCs w:val="28"/>
                    </w:rPr>
                    <w:t>m</w:t>
                  </w:r>
                  <w:r>
                    <w:rPr>
                      <w:color w:val="000000"/>
                      <w:kern w:val="16"/>
                      <w:szCs w:val="28"/>
                      <w:vertAlign w:val="superscript"/>
                    </w:rPr>
                    <w:t>2</w:t>
                  </w:r>
                  <w:r>
                    <w:rPr>
                      <w:color w:val="000000"/>
                      <w:szCs w:val="21"/>
                    </w:rPr>
                    <w:t>，一层，用于职工就餐</w:t>
                  </w:r>
                </w:p>
              </w:tc>
              <w:tc>
                <w:tcPr>
                  <w:tcW w:w="753" w:type="dxa"/>
                  <w:vAlign w:val="center"/>
                </w:tcPr>
                <w:p>
                  <w:pPr>
                    <w:spacing w:line="240" w:lineRule="auto"/>
                    <w:jc w:val="center"/>
                    <w:rPr>
                      <w:rFonts w:hint="eastAsia"/>
                      <w:color w:val="000000"/>
                      <w:szCs w:val="21"/>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86" w:type="dxa"/>
                  <w:vMerge w:val="continue"/>
                </w:tcPr>
                <w:p>
                  <w:pPr>
                    <w:spacing w:line="240" w:lineRule="auto"/>
                    <w:jc w:val="center"/>
                  </w:pPr>
                </w:p>
              </w:tc>
              <w:tc>
                <w:tcPr>
                  <w:tcW w:w="980" w:type="dxa"/>
                  <w:gridSpan w:val="2"/>
                  <w:vAlign w:val="center"/>
                </w:tcPr>
                <w:p>
                  <w:pPr>
                    <w:spacing w:line="240" w:lineRule="auto"/>
                    <w:jc w:val="center"/>
                  </w:pPr>
                  <w:r>
                    <w:t>门卫及其他</w:t>
                  </w:r>
                </w:p>
                <w:p>
                  <w:pPr>
                    <w:spacing w:line="240" w:lineRule="auto"/>
                    <w:jc w:val="center"/>
                  </w:pPr>
                  <w:r>
                    <w:t>附属用房</w:t>
                  </w:r>
                </w:p>
              </w:tc>
              <w:tc>
                <w:tcPr>
                  <w:tcW w:w="2865" w:type="dxa"/>
                  <w:vAlign w:val="center"/>
                </w:tcPr>
                <w:p>
                  <w:pPr>
                    <w:spacing w:line="240" w:lineRule="auto"/>
                    <w:jc w:val="center"/>
                  </w:pPr>
                  <w:r>
                    <w:rPr>
                      <w:color w:val="000000"/>
                      <w:szCs w:val="21"/>
                    </w:rPr>
                    <w:t>砖混结构，建筑面积600</w:t>
                  </w:r>
                  <w:r>
                    <w:rPr>
                      <w:kern w:val="16"/>
                      <w:szCs w:val="28"/>
                    </w:rPr>
                    <w:t>m</w:t>
                  </w:r>
                  <w:r>
                    <w:rPr>
                      <w:kern w:val="16"/>
                      <w:szCs w:val="28"/>
                      <w:vertAlign w:val="superscript"/>
                    </w:rPr>
                    <w:t>2</w:t>
                  </w:r>
                  <w:r>
                    <w:rPr>
                      <w:color w:val="000000"/>
                      <w:szCs w:val="21"/>
                    </w:rPr>
                    <w:t>，一层，包括门卫、设备房等</w:t>
                  </w:r>
                </w:p>
              </w:tc>
              <w:tc>
                <w:tcPr>
                  <w:tcW w:w="3075" w:type="dxa"/>
                  <w:vAlign w:val="center"/>
                </w:tcPr>
                <w:p>
                  <w:pPr>
                    <w:spacing w:line="240" w:lineRule="auto"/>
                    <w:jc w:val="center"/>
                    <w:rPr>
                      <w:color w:val="000000"/>
                      <w:szCs w:val="21"/>
                    </w:rPr>
                  </w:pPr>
                  <w:r>
                    <w:rPr>
                      <w:color w:val="000000"/>
                      <w:szCs w:val="21"/>
                    </w:rPr>
                    <w:t>砖混结构，建筑面积600</w:t>
                  </w:r>
                  <w:r>
                    <w:rPr>
                      <w:kern w:val="16"/>
                      <w:szCs w:val="28"/>
                    </w:rPr>
                    <w:t>m</w:t>
                  </w:r>
                  <w:r>
                    <w:rPr>
                      <w:kern w:val="16"/>
                      <w:szCs w:val="28"/>
                      <w:vertAlign w:val="superscript"/>
                    </w:rPr>
                    <w:t>2</w:t>
                  </w:r>
                  <w:r>
                    <w:rPr>
                      <w:color w:val="000000"/>
                      <w:szCs w:val="21"/>
                    </w:rPr>
                    <w:t>，一层，包括门卫、设备房等</w:t>
                  </w:r>
                </w:p>
              </w:tc>
              <w:tc>
                <w:tcPr>
                  <w:tcW w:w="753" w:type="dxa"/>
                  <w:vAlign w:val="center"/>
                </w:tcPr>
                <w:p>
                  <w:pPr>
                    <w:spacing w:line="240" w:lineRule="auto"/>
                    <w:jc w:val="center"/>
                    <w:rPr>
                      <w:rFonts w:hint="eastAsia"/>
                      <w:color w:val="000000"/>
                      <w:szCs w:val="21"/>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Merge w:val="restart"/>
                  <w:vAlign w:val="center"/>
                </w:tcPr>
                <w:p>
                  <w:pPr>
                    <w:spacing w:line="240" w:lineRule="auto"/>
                    <w:jc w:val="center"/>
                  </w:pPr>
                </w:p>
                <w:p>
                  <w:pPr>
                    <w:spacing w:line="240" w:lineRule="auto"/>
                    <w:jc w:val="center"/>
                  </w:pPr>
                  <w:r>
                    <w:t>公用</w:t>
                  </w:r>
                </w:p>
                <w:p>
                  <w:pPr>
                    <w:spacing w:line="240" w:lineRule="auto"/>
                    <w:jc w:val="center"/>
                  </w:pPr>
                  <w:r>
                    <w:t>工程</w:t>
                  </w:r>
                </w:p>
              </w:tc>
              <w:tc>
                <w:tcPr>
                  <w:tcW w:w="980" w:type="dxa"/>
                  <w:gridSpan w:val="2"/>
                  <w:vAlign w:val="center"/>
                </w:tcPr>
                <w:p>
                  <w:pPr>
                    <w:spacing w:line="240" w:lineRule="auto"/>
                    <w:jc w:val="center"/>
                  </w:pPr>
                  <w:r>
                    <w:t>供热及制冷</w:t>
                  </w:r>
                </w:p>
              </w:tc>
              <w:tc>
                <w:tcPr>
                  <w:tcW w:w="2865" w:type="dxa"/>
                </w:tcPr>
                <w:p>
                  <w:pPr>
                    <w:spacing w:line="240" w:lineRule="auto"/>
                  </w:pPr>
                  <w:r>
                    <w:rPr>
                      <w:color w:val="000000"/>
                      <w:szCs w:val="21"/>
                    </w:rPr>
                    <w:t>项目办公室及宿舍冬季供暖、夏季制冷</w:t>
                  </w:r>
                  <w:r>
                    <w:rPr>
                      <w:rFonts w:hint="eastAsia"/>
                      <w:color w:val="000000"/>
                      <w:szCs w:val="21"/>
                    </w:rPr>
                    <w:t>用</w:t>
                  </w:r>
                  <w:r>
                    <w:rPr>
                      <w:color w:val="000000"/>
                      <w:szCs w:val="21"/>
                    </w:rPr>
                    <w:t>采用分体空调</w:t>
                  </w:r>
                </w:p>
              </w:tc>
              <w:tc>
                <w:tcPr>
                  <w:tcW w:w="3075" w:type="dxa"/>
                  <w:vAlign w:val="center"/>
                </w:tcPr>
                <w:p>
                  <w:pPr>
                    <w:spacing w:line="240" w:lineRule="auto"/>
                    <w:jc w:val="center"/>
                    <w:rPr>
                      <w:color w:val="000000"/>
                      <w:szCs w:val="21"/>
                    </w:rPr>
                  </w:pPr>
                  <w:r>
                    <w:rPr>
                      <w:color w:val="000000"/>
                      <w:szCs w:val="21"/>
                    </w:rPr>
                    <w:t>项目办公室及宿舍冬季供暖、夏季制冷</w:t>
                  </w:r>
                  <w:r>
                    <w:rPr>
                      <w:rFonts w:hint="eastAsia"/>
                      <w:color w:val="000000"/>
                      <w:szCs w:val="21"/>
                    </w:rPr>
                    <w:t>用</w:t>
                  </w:r>
                  <w:r>
                    <w:rPr>
                      <w:color w:val="000000"/>
                      <w:szCs w:val="21"/>
                    </w:rPr>
                    <w:t>采用分体空调</w:t>
                  </w:r>
                </w:p>
              </w:tc>
              <w:tc>
                <w:tcPr>
                  <w:tcW w:w="753" w:type="dxa"/>
                  <w:vAlign w:val="center"/>
                </w:tcPr>
                <w:p>
                  <w:pPr>
                    <w:spacing w:line="240" w:lineRule="auto"/>
                    <w:jc w:val="center"/>
                    <w:rPr>
                      <w:rFonts w:hint="eastAsia"/>
                      <w:color w:val="000000"/>
                      <w:szCs w:val="21"/>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6" w:type="dxa"/>
                  <w:vMerge w:val="continue"/>
                  <w:vAlign w:val="center"/>
                </w:tcPr>
                <w:p>
                  <w:pPr>
                    <w:spacing w:line="240" w:lineRule="auto"/>
                    <w:jc w:val="center"/>
                  </w:pPr>
                </w:p>
              </w:tc>
              <w:tc>
                <w:tcPr>
                  <w:tcW w:w="980" w:type="dxa"/>
                  <w:gridSpan w:val="2"/>
                  <w:vAlign w:val="center"/>
                </w:tcPr>
                <w:p>
                  <w:pPr>
                    <w:spacing w:line="240" w:lineRule="auto"/>
                    <w:jc w:val="center"/>
                  </w:pPr>
                  <w:r>
                    <w:t>供电</w:t>
                  </w:r>
                </w:p>
              </w:tc>
              <w:tc>
                <w:tcPr>
                  <w:tcW w:w="2865" w:type="dxa"/>
                </w:tcPr>
                <w:p>
                  <w:pPr>
                    <w:spacing w:line="240" w:lineRule="auto"/>
                    <w:rPr>
                      <w:color w:val="FF0000"/>
                    </w:rPr>
                  </w:pPr>
                  <w:r>
                    <w:rPr>
                      <w:bCs/>
                      <w:color w:val="000000"/>
                      <w:szCs w:val="21"/>
                      <w:lang w:val="en-GB"/>
                    </w:rPr>
                    <w:t>项目</w:t>
                  </w:r>
                  <w:r>
                    <w:rPr>
                      <w:bCs/>
                      <w:color w:val="000000"/>
                      <w:szCs w:val="21"/>
                    </w:rPr>
                    <w:t>用电由</w:t>
                  </w:r>
                  <w:r>
                    <w:rPr>
                      <w:rFonts w:hint="eastAsia"/>
                      <w:bCs/>
                      <w:color w:val="000000"/>
                      <w:szCs w:val="21"/>
                      <w:lang w:val="en-US" w:eastAsia="zh-CN"/>
                    </w:rPr>
                    <w:t>河北</w:t>
                  </w:r>
                  <w:r>
                    <w:rPr>
                      <w:bCs/>
                      <w:color w:val="000000"/>
                      <w:szCs w:val="21"/>
                    </w:rPr>
                    <w:t>魏县</w:t>
                  </w:r>
                  <w:r>
                    <w:rPr>
                      <w:rFonts w:hint="eastAsia"/>
                      <w:bCs/>
                      <w:color w:val="000000"/>
                      <w:szCs w:val="21"/>
                      <w:lang w:val="en-US" w:eastAsia="zh-CN"/>
                    </w:rPr>
                    <w:t>经济开发区</w:t>
                  </w:r>
                  <w:r>
                    <w:rPr>
                      <w:bCs/>
                      <w:color w:val="000000"/>
                      <w:szCs w:val="21"/>
                    </w:rPr>
                    <w:t>变电站</w:t>
                  </w:r>
                  <w:r>
                    <w:rPr>
                      <w:bCs/>
                      <w:color w:val="000000"/>
                      <w:szCs w:val="21"/>
                      <w:lang w:val="en-GB"/>
                    </w:rPr>
                    <w:t>提供，</w:t>
                  </w:r>
                  <w:r>
                    <w:rPr>
                      <w:color w:val="000000"/>
                      <w:szCs w:val="21"/>
                    </w:rPr>
                    <w:t>年用电量为</w:t>
                  </w:r>
                  <w:r>
                    <w:rPr>
                      <w:rFonts w:hint="eastAsia"/>
                      <w:color w:val="000000" w:themeColor="text1"/>
                      <w:szCs w:val="21"/>
                      <w:lang w:val="en-US" w:eastAsia="zh-CN"/>
                      <w14:textFill>
                        <w14:solidFill>
                          <w14:schemeClr w14:val="tx1"/>
                        </w14:solidFill>
                      </w14:textFill>
                    </w:rPr>
                    <w:t>89.84</w:t>
                  </w:r>
                  <w:r>
                    <w:rPr>
                      <w:color w:val="000000" w:themeColor="text1"/>
                      <w:szCs w:val="21"/>
                      <w14:textFill>
                        <w14:solidFill>
                          <w14:schemeClr w14:val="tx1"/>
                        </w14:solidFill>
                      </w14:textFill>
                    </w:rPr>
                    <w:t>万kW</w:t>
                  </w:r>
                  <w:r>
                    <w:rPr>
                      <w:rFonts w:eastAsia="微软雅黑"/>
                      <w:color w:val="000000" w:themeColor="text1"/>
                      <w:szCs w:val="21"/>
                      <w14:textFill>
                        <w14:solidFill>
                          <w14:schemeClr w14:val="tx1"/>
                        </w14:solidFill>
                      </w14:textFill>
                    </w:rPr>
                    <w:t>∙h</w:t>
                  </w:r>
                </w:p>
              </w:tc>
              <w:tc>
                <w:tcPr>
                  <w:tcW w:w="3075" w:type="dxa"/>
                  <w:vAlign w:val="center"/>
                </w:tcPr>
                <w:p>
                  <w:pPr>
                    <w:spacing w:line="240" w:lineRule="auto"/>
                    <w:jc w:val="center"/>
                    <w:rPr>
                      <w:bCs/>
                      <w:szCs w:val="21"/>
                    </w:rPr>
                  </w:pPr>
                  <w:r>
                    <w:rPr>
                      <w:bCs/>
                      <w:color w:val="000000"/>
                      <w:szCs w:val="21"/>
                      <w:lang w:val="en-GB"/>
                    </w:rPr>
                    <w:t>项目</w:t>
                  </w:r>
                  <w:r>
                    <w:rPr>
                      <w:bCs/>
                      <w:color w:val="000000"/>
                      <w:szCs w:val="21"/>
                    </w:rPr>
                    <w:t>用电由</w:t>
                  </w:r>
                  <w:r>
                    <w:rPr>
                      <w:rFonts w:hint="eastAsia"/>
                      <w:bCs/>
                      <w:color w:val="000000"/>
                      <w:szCs w:val="21"/>
                      <w:lang w:val="en-US" w:eastAsia="zh-CN"/>
                    </w:rPr>
                    <w:t>河北</w:t>
                  </w:r>
                  <w:r>
                    <w:rPr>
                      <w:bCs/>
                      <w:color w:val="000000"/>
                      <w:szCs w:val="21"/>
                    </w:rPr>
                    <w:t>魏县</w:t>
                  </w:r>
                  <w:r>
                    <w:rPr>
                      <w:rFonts w:hint="eastAsia"/>
                      <w:bCs/>
                      <w:color w:val="000000"/>
                      <w:szCs w:val="21"/>
                      <w:lang w:val="en-US" w:eastAsia="zh-CN"/>
                    </w:rPr>
                    <w:t>经济开发区</w:t>
                  </w:r>
                  <w:r>
                    <w:rPr>
                      <w:bCs/>
                      <w:color w:val="000000"/>
                      <w:szCs w:val="21"/>
                    </w:rPr>
                    <w:t>变电站</w:t>
                  </w:r>
                  <w:r>
                    <w:rPr>
                      <w:bCs/>
                      <w:color w:val="000000"/>
                      <w:szCs w:val="21"/>
                      <w:lang w:val="en-GB"/>
                    </w:rPr>
                    <w:t>提供，</w:t>
                  </w:r>
                  <w:r>
                    <w:rPr>
                      <w:color w:val="000000"/>
                      <w:szCs w:val="21"/>
                    </w:rPr>
                    <w:t>年用电量为</w:t>
                  </w:r>
                  <w:r>
                    <w:rPr>
                      <w:rFonts w:hint="eastAsia"/>
                      <w:color w:val="000000" w:themeColor="text1"/>
                      <w:szCs w:val="21"/>
                      <w:lang w:val="en-US" w:eastAsia="zh-CN"/>
                      <w14:textFill>
                        <w14:solidFill>
                          <w14:schemeClr w14:val="tx1"/>
                        </w14:solidFill>
                      </w14:textFill>
                    </w:rPr>
                    <w:t>92.47</w:t>
                  </w:r>
                  <w:r>
                    <w:rPr>
                      <w:color w:val="000000" w:themeColor="text1"/>
                      <w:szCs w:val="21"/>
                      <w14:textFill>
                        <w14:solidFill>
                          <w14:schemeClr w14:val="tx1"/>
                        </w14:solidFill>
                      </w14:textFill>
                    </w:rPr>
                    <w:t>万kW</w:t>
                  </w:r>
                  <w:r>
                    <w:rPr>
                      <w:rFonts w:eastAsia="微软雅黑"/>
                      <w:color w:val="000000" w:themeColor="text1"/>
                      <w:szCs w:val="21"/>
                      <w14:textFill>
                        <w14:solidFill>
                          <w14:schemeClr w14:val="tx1"/>
                        </w14:solidFill>
                      </w14:textFill>
                    </w:rPr>
                    <w:t>∙h</w:t>
                  </w:r>
                </w:p>
              </w:tc>
              <w:tc>
                <w:tcPr>
                  <w:tcW w:w="753" w:type="dxa"/>
                  <w:vAlign w:val="center"/>
                </w:tcPr>
                <w:p>
                  <w:pPr>
                    <w:spacing w:line="240" w:lineRule="auto"/>
                    <w:jc w:val="center"/>
                    <w:rPr>
                      <w:rFonts w:hint="eastAsia" w:eastAsia="宋体"/>
                      <w:color w:val="000000"/>
                      <w:szCs w:val="21"/>
                      <w:lang w:val="en-US" w:eastAsia="zh-CN"/>
                    </w:rPr>
                  </w:pPr>
                  <w:r>
                    <w:rPr>
                      <w:rFonts w:hint="eastAsia"/>
                      <w:color w:val="000000" w:themeColor="text1"/>
                      <w:szCs w:val="21"/>
                      <w:lang w:val="en-US" w:eastAsia="zh-CN"/>
                      <w14:textFill>
                        <w14:solidFill>
                          <w14:schemeClr w14:val="tx1"/>
                        </w14:solidFill>
                      </w14:textFill>
                    </w:rPr>
                    <w:t>依托现有，</w:t>
                  </w:r>
                  <w:r>
                    <w:rPr>
                      <w:rFonts w:hint="eastAsia"/>
                      <w:color w:val="000000"/>
                      <w:szCs w:val="21"/>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6" w:type="dxa"/>
                  <w:vMerge w:val="continue"/>
                  <w:vAlign w:val="center"/>
                </w:tcPr>
                <w:p>
                  <w:pPr>
                    <w:spacing w:line="240" w:lineRule="auto"/>
                    <w:jc w:val="center"/>
                  </w:pPr>
                </w:p>
              </w:tc>
              <w:tc>
                <w:tcPr>
                  <w:tcW w:w="980" w:type="dxa"/>
                  <w:gridSpan w:val="2"/>
                  <w:vAlign w:val="center"/>
                </w:tcPr>
                <w:p>
                  <w:pPr>
                    <w:spacing w:line="240" w:lineRule="auto"/>
                    <w:jc w:val="center"/>
                  </w:pPr>
                  <w:r>
                    <w:t>供水</w:t>
                  </w:r>
                </w:p>
              </w:tc>
              <w:tc>
                <w:tcPr>
                  <w:tcW w:w="2865" w:type="dxa"/>
                </w:tcPr>
                <w:p>
                  <w:pPr>
                    <w:spacing w:line="240" w:lineRule="auto"/>
                    <w:rPr>
                      <w:color w:val="FF0000"/>
                    </w:rPr>
                  </w:pPr>
                  <w:r>
                    <w:rPr>
                      <w:color w:val="000000"/>
                      <w:szCs w:val="21"/>
                    </w:rPr>
                    <w:t>项目用水由</w:t>
                  </w:r>
                  <w:r>
                    <w:rPr>
                      <w:rFonts w:hint="eastAsia"/>
                      <w:bCs/>
                      <w:color w:val="000000"/>
                      <w:szCs w:val="21"/>
                      <w:lang w:val="en-US" w:eastAsia="zh-CN"/>
                    </w:rPr>
                    <w:t>河北</w:t>
                  </w:r>
                  <w:r>
                    <w:rPr>
                      <w:bCs/>
                      <w:color w:val="000000"/>
                      <w:szCs w:val="21"/>
                    </w:rPr>
                    <w:t>魏县</w:t>
                  </w:r>
                  <w:r>
                    <w:rPr>
                      <w:rFonts w:hint="eastAsia"/>
                      <w:bCs/>
                      <w:color w:val="000000"/>
                      <w:szCs w:val="21"/>
                      <w:lang w:val="en-US" w:eastAsia="zh-CN"/>
                    </w:rPr>
                    <w:t>经济开发区</w:t>
                  </w:r>
                  <w:r>
                    <w:rPr>
                      <w:color w:val="000000"/>
                      <w:szCs w:val="21"/>
                    </w:rPr>
                    <w:t>自来水管网提供，年新鲜用水量</w:t>
                  </w:r>
                  <w:r>
                    <w:rPr>
                      <w:rFonts w:hint="eastAsia"/>
                      <w:color w:val="000000" w:themeColor="text1"/>
                      <w:szCs w:val="21"/>
                      <w:lang w:val="en-US" w:eastAsia="zh-CN"/>
                      <w14:textFill>
                        <w14:solidFill>
                          <w14:schemeClr w14:val="tx1"/>
                        </w14:solidFill>
                      </w14:textFill>
                    </w:rPr>
                    <w:t>12.41万</w:t>
                  </w:r>
                  <w:r>
                    <w:rPr>
                      <w:color w:val="000000" w:themeColor="text1"/>
                      <w:szCs w:val="21"/>
                      <w14:textFill>
                        <w14:solidFill>
                          <w14:schemeClr w14:val="tx1"/>
                        </w14:solidFill>
                      </w14:textFill>
                    </w:rPr>
                    <w:t>m³</w:t>
                  </w:r>
                </w:p>
              </w:tc>
              <w:tc>
                <w:tcPr>
                  <w:tcW w:w="3075" w:type="dxa"/>
                  <w:vAlign w:val="center"/>
                </w:tcPr>
                <w:p>
                  <w:pPr>
                    <w:spacing w:line="240" w:lineRule="auto"/>
                    <w:jc w:val="center"/>
                    <w:rPr>
                      <w:color w:val="000000"/>
                      <w:szCs w:val="21"/>
                    </w:rPr>
                  </w:pPr>
                  <w:r>
                    <w:rPr>
                      <w:color w:val="000000"/>
                      <w:szCs w:val="21"/>
                    </w:rPr>
                    <w:t>项目用水由</w:t>
                  </w:r>
                  <w:r>
                    <w:rPr>
                      <w:rFonts w:hint="eastAsia"/>
                      <w:bCs/>
                      <w:color w:val="000000"/>
                      <w:szCs w:val="21"/>
                      <w:lang w:val="en-US" w:eastAsia="zh-CN"/>
                    </w:rPr>
                    <w:t>河北</w:t>
                  </w:r>
                  <w:r>
                    <w:rPr>
                      <w:bCs/>
                      <w:color w:val="000000"/>
                      <w:szCs w:val="21"/>
                    </w:rPr>
                    <w:t>魏县</w:t>
                  </w:r>
                  <w:r>
                    <w:rPr>
                      <w:rFonts w:hint="eastAsia"/>
                      <w:bCs/>
                      <w:color w:val="000000"/>
                      <w:szCs w:val="21"/>
                      <w:lang w:val="en-US" w:eastAsia="zh-CN"/>
                    </w:rPr>
                    <w:t>经济开发区</w:t>
                  </w:r>
                  <w:r>
                    <w:rPr>
                      <w:color w:val="000000"/>
                      <w:szCs w:val="21"/>
                    </w:rPr>
                    <w:t>自来水管网提供，年新鲜用水量</w:t>
                  </w:r>
                  <w:r>
                    <w:rPr>
                      <w:rFonts w:hint="eastAsia"/>
                      <w:color w:val="000000" w:themeColor="text1"/>
                      <w:szCs w:val="21"/>
                      <w:lang w:val="en-US" w:eastAsia="zh-CN"/>
                      <w14:textFill>
                        <w14:solidFill>
                          <w14:schemeClr w14:val="tx1"/>
                        </w14:solidFill>
                      </w14:textFill>
                    </w:rPr>
                    <w:t>17.83万</w:t>
                  </w:r>
                  <w:r>
                    <w:rPr>
                      <w:color w:val="000000" w:themeColor="text1"/>
                      <w:szCs w:val="21"/>
                      <w14:textFill>
                        <w14:solidFill>
                          <w14:schemeClr w14:val="tx1"/>
                        </w14:solidFill>
                      </w14:textFill>
                    </w:rPr>
                    <w:t>m³</w:t>
                  </w:r>
                </w:p>
              </w:tc>
              <w:tc>
                <w:tcPr>
                  <w:tcW w:w="753" w:type="dxa"/>
                  <w:vAlign w:val="center"/>
                </w:tcPr>
                <w:p>
                  <w:pPr>
                    <w:spacing w:line="240" w:lineRule="auto"/>
                    <w:jc w:val="center"/>
                    <w:rPr>
                      <w:rFonts w:hint="eastAsia"/>
                      <w:color w:val="000000"/>
                      <w:szCs w:val="21"/>
                    </w:rPr>
                  </w:pPr>
                  <w:r>
                    <w:rPr>
                      <w:rFonts w:hint="eastAsia"/>
                      <w:color w:val="000000" w:themeColor="text1"/>
                      <w:szCs w:val="21"/>
                      <w:lang w:val="en-US" w:eastAsia="zh-CN"/>
                      <w14:textFill>
                        <w14:solidFill>
                          <w14:schemeClr w14:val="tx1"/>
                        </w14:solidFill>
                      </w14:textFill>
                    </w:rPr>
                    <w:t>依托现有，</w:t>
                  </w:r>
                  <w:r>
                    <w:rPr>
                      <w:rFonts w:hint="eastAsia"/>
                      <w:color w:val="000000"/>
                      <w:szCs w:val="21"/>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86" w:type="dxa"/>
                  <w:vMerge w:val="restart"/>
                  <w:vAlign w:val="center"/>
                </w:tcPr>
                <w:p>
                  <w:pPr>
                    <w:spacing w:line="240" w:lineRule="auto"/>
                    <w:jc w:val="center"/>
                  </w:pPr>
                </w:p>
                <w:p>
                  <w:pPr>
                    <w:spacing w:line="240" w:lineRule="auto"/>
                    <w:jc w:val="center"/>
                  </w:pPr>
                </w:p>
                <w:p>
                  <w:pPr>
                    <w:spacing w:line="240" w:lineRule="auto"/>
                    <w:jc w:val="center"/>
                  </w:pPr>
                </w:p>
                <w:p>
                  <w:pPr>
                    <w:spacing w:line="240" w:lineRule="auto"/>
                    <w:jc w:val="center"/>
                  </w:pPr>
                </w:p>
                <w:p>
                  <w:pPr>
                    <w:spacing w:line="240" w:lineRule="auto"/>
                    <w:jc w:val="center"/>
                  </w:pPr>
                  <w:r>
                    <w:t>环保工程</w:t>
                  </w:r>
                </w:p>
              </w:tc>
              <w:tc>
                <w:tcPr>
                  <w:tcW w:w="420" w:type="dxa"/>
                  <w:vMerge w:val="restart"/>
                  <w:vAlign w:val="center"/>
                </w:tcPr>
                <w:p>
                  <w:pPr>
                    <w:spacing w:line="240" w:lineRule="auto"/>
                    <w:jc w:val="center"/>
                  </w:pPr>
                  <w:r>
                    <w:t>废气</w:t>
                  </w:r>
                </w:p>
              </w:tc>
              <w:tc>
                <w:tcPr>
                  <w:tcW w:w="560" w:type="dxa"/>
                </w:tcPr>
                <w:p>
                  <w:pPr>
                    <w:spacing w:line="240" w:lineRule="auto"/>
                    <w:jc w:val="center"/>
                  </w:pPr>
                  <w:r>
                    <w:rPr>
                      <w:rFonts w:hint="eastAsia"/>
                    </w:rPr>
                    <w:t>破碎、筛分废气</w:t>
                  </w:r>
                </w:p>
              </w:tc>
              <w:tc>
                <w:tcPr>
                  <w:tcW w:w="2865" w:type="dxa"/>
                  <w:vAlign w:val="center"/>
                </w:tcPr>
                <w:p>
                  <w:pPr>
                    <w:spacing w:line="240" w:lineRule="auto"/>
                    <w:jc w:val="center"/>
                  </w:pPr>
                  <w:r>
                    <w:rPr>
                      <w:rFonts w:hint="eastAsia"/>
                    </w:rPr>
                    <w:t>骨料破碎、筛分过程中产生的废气颗粒物经集气罩收集后由1套脉冲除尘器处理后经1根15m高排气筒P1有组织排放</w:t>
                  </w:r>
                </w:p>
              </w:tc>
              <w:tc>
                <w:tcPr>
                  <w:tcW w:w="3075" w:type="dxa"/>
                  <w:vAlign w:val="center"/>
                </w:tcPr>
                <w:p>
                  <w:pPr>
                    <w:spacing w:line="240" w:lineRule="auto"/>
                    <w:jc w:val="center"/>
                    <w:rPr>
                      <w:rFonts w:hint="default" w:eastAsia="宋体"/>
                      <w:szCs w:val="21"/>
                      <w:lang w:val="en-US" w:eastAsia="zh-CN"/>
                    </w:rPr>
                  </w:pPr>
                  <w:r>
                    <w:rPr>
                      <w:rFonts w:hint="eastAsia"/>
                    </w:rPr>
                    <w:t>骨料破碎、筛分过程中产生的废气颗粒物经集气罩收集后由1套脉冲除尘器处理后经1根15m高排气筒P1有组织排放</w:t>
                  </w:r>
                </w:p>
              </w:tc>
              <w:tc>
                <w:tcPr>
                  <w:tcW w:w="753" w:type="dxa"/>
                  <w:vAlign w:val="center"/>
                </w:tcPr>
                <w:p>
                  <w:pPr>
                    <w:spacing w:line="240" w:lineRule="auto"/>
                    <w:jc w:val="center"/>
                    <w:rPr>
                      <w:rFonts w:hint="eastAsia"/>
                      <w:szCs w:val="21"/>
                      <w:lang w:val="en-US" w:eastAsia="zh-CN"/>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86" w:type="dxa"/>
                  <w:vMerge w:val="continue"/>
                </w:tcPr>
                <w:p>
                  <w:pPr>
                    <w:spacing w:line="240" w:lineRule="auto"/>
                    <w:jc w:val="center"/>
                  </w:pPr>
                </w:p>
              </w:tc>
              <w:tc>
                <w:tcPr>
                  <w:tcW w:w="420" w:type="dxa"/>
                  <w:vMerge w:val="continue"/>
                </w:tcPr>
                <w:p>
                  <w:pPr>
                    <w:spacing w:line="240" w:lineRule="auto"/>
                    <w:jc w:val="center"/>
                  </w:pPr>
                </w:p>
              </w:tc>
              <w:tc>
                <w:tcPr>
                  <w:tcW w:w="560" w:type="dxa"/>
                  <w:vAlign w:val="center"/>
                </w:tcPr>
                <w:p>
                  <w:pPr>
                    <w:spacing w:line="240" w:lineRule="auto"/>
                    <w:jc w:val="center"/>
                  </w:pPr>
                  <w:r>
                    <w:rPr>
                      <w:rFonts w:hint="eastAsia"/>
                    </w:rPr>
                    <w:t>粉料仓废气</w:t>
                  </w:r>
                </w:p>
              </w:tc>
              <w:tc>
                <w:tcPr>
                  <w:tcW w:w="2865" w:type="dxa"/>
                </w:tcPr>
                <w:p>
                  <w:pPr>
                    <w:spacing w:line="240" w:lineRule="auto"/>
                    <w:jc w:val="center"/>
                    <w:rPr>
                      <w:rFonts w:hint="default" w:eastAsia="宋体"/>
                      <w:lang w:val="en-US" w:eastAsia="zh-CN"/>
                    </w:rPr>
                  </w:pPr>
                  <w:r>
                    <w:rPr>
                      <w:rFonts w:hint="eastAsia"/>
                    </w:rPr>
                    <w:t>水泥、粉煤灰封闭式进仓，项目设8个粉料仓，每2个料仓顶部配1套脉冲袋式除尘器处理</w:t>
                  </w:r>
                  <w:r>
                    <w:rPr>
                      <w:rFonts w:hint="eastAsia"/>
                      <w:lang w:eastAsia="zh-CN"/>
                    </w:rPr>
                    <w:t>，</w:t>
                  </w:r>
                  <w:r>
                    <w:rPr>
                      <w:rFonts w:hint="eastAsia"/>
                      <w:lang w:val="en-US" w:eastAsia="zh-CN"/>
                    </w:rPr>
                    <w:t>处理</w:t>
                  </w:r>
                  <w:r>
                    <w:rPr>
                      <w:rFonts w:hint="eastAsia"/>
                    </w:rPr>
                    <w:t>后</w:t>
                  </w:r>
                  <w:r>
                    <w:rPr>
                      <w:rFonts w:hint="eastAsia"/>
                      <w:lang w:val="en-US" w:eastAsia="zh-CN"/>
                    </w:rPr>
                    <w:t>的废气分别</w:t>
                  </w:r>
                  <w:r>
                    <w:rPr>
                      <w:rFonts w:hint="eastAsia"/>
                    </w:rPr>
                    <w:t>通过</w:t>
                  </w:r>
                  <w:r>
                    <w:rPr>
                      <w:rFonts w:hint="eastAsia"/>
                      <w:lang w:val="en-US" w:eastAsia="zh-CN"/>
                    </w:rPr>
                    <w:t>4根</w:t>
                  </w:r>
                  <w:r>
                    <w:rPr>
                      <w:rFonts w:hint="eastAsia"/>
                    </w:rPr>
                    <w:t>仓顶排</w:t>
                  </w:r>
                  <w:r>
                    <w:rPr>
                      <w:rFonts w:hint="eastAsia"/>
                      <w:lang w:val="en-US" w:eastAsia="zh-CN"/>
                    </w:rPr>
                    <w:t>气筒</w:t>
                  </w:r>
                  <w:r>
                    <w:rPr>
                      <w:rFonts w:hint="eastAsia"/>
                    </w:rPr>
                    <w:t>（28m）有组织排放，排气筒编号（P2-P5）</w:t>
                  </w:r>
                </w:p>
              </w:tc>
              <w:tc>
                <w:tcPr>
                  <w:tcW w:w="3075" w:type="dxa"/>
                  <w:vAlign w:val="center"/>
                </w:tcPr>
                <w:p>
                  <w:pPr>
                    <w:spacing w:line="240" w:lineRule="auto"/>
                    <w:jc w:val="center"/>
                  </w:pPr>
                  <w:r>
                    <w:rPr>
                      <w:rFonts w:hint="eastAsia"/>
                    </w:rPr>
                    <w:t>水泥、粉煤灰封闭式进仓，项目设8个粉料仓，每2个料仓顶部配1套脉冲袋式除尘器处理</w:t>
                  </w:r>
                  <w:r>
                    <w:rPr>
                      <w:rFonts w:hint="eastAsia"/>
                      <w:lang w:eastAsia="zh-CN"/>
                    </w:rPr>
                    <w:t>，</w:t>
                  </w:r>
                  <w:r>
                    <w:rPr>
                      <w:rFonts w:hint="eastAsia"/>
                      <w:lang w:val="en-US" w:eastAsia="zh-CN"/>
                    </w:rPr>
                    <w:t>处理</w:t>
                  </w:r>
                  <w:r>
                    <w:rPr>
                      <w:rFonts w:hint="eastAsia"/>
                    </w:rPr>
                    <w:t>后</w:t>
                  </w:r>
                  <w:r>
                    <w:rPr>
                      <w:rFonts w:hint="eastAsia"/>
                      <w:lang w:val="en-US" w:eastAsia="zh-CN"/>
                    </w:rPr>
                    <w:t>的废气分别</w:t>
                  </w:r>
                  <w:r>
                    <w:rPr>
                      <w:rFonts w:hint="eastAsia"/>
                    </w:rPr>
                    <w:t>通过</w:t>
                  </w:r>
                  <w:r>
                    <w:rPr>
                      <w:rFonts w:hint="eastAsia"/>
                      <w:lang w:val="en-US" w:eastAsia="zh-CN"/>
                    </w:rPr>
                    <w:t>4根</w:t>
                  </w:r>
                  <w:r>
                    <w:rPr>
                      <w:rFonts w:hint="eastAsia"/>
                    </w:rPr>
                    <w:t>仓顶排</w:t>
                  </w:r>
                  <w:r>
                    <w:rPr>
                      <w:rFonts w:hint="eastAsia"/>
                      <w:lang w:val="en-US" w:eastAsia="zh-CN"/>
                    </w:rPr>
                    <w:t>气筒</w:t>
                  </w:r>
                  <w:r>
                    <w:rPr>
                      <w:rFonts w:hint="eastAsia"/>
                    </w:rPr>
                    <w:t>（28m）有组织排放，排气筒编号（P2-P5）</w:t>
                  </w:r>
                </w:p>
              </w:tc>
              <w:tc>
                <w:tcPr>
                  <w:tcW w:w="753" w:type="dxa"/>
                  <w:vAlign w:val="center"/>
                </w:tcPr>
                <w:p>
                  <w:pPr>
                    <w:spacing w:line="240" w:lineRule="auto"/>
                    <w:jc w:val="center"/>
                    <w:rPr>
                      <w:rFonts w:hint="default"/>
                      <w:lang w:val="en-US"/>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86" w:type="dxa"/>
                  <w:vMerge w:val="continue"/>
                </w:tcPr>
                <w:p>
                  <w:pPr>
                    <w:spacing w:line="240" w:lineRule="auto"/>
                    <w:jc w:val="center"/>
                  </w:pPr>
                </w:p>
              </w:tc>
              <w:tc>
                <w:tcPr>
                  <w:tcW w:w="420" w:type="dxa"/>
                  <w:vMerge w:val="continue"/>
                </w:tcPr>
                <w:p>
                  <w:pPr>
                    <w:spacing w:line="240" w:lineRule="auto"/>
                    <w:jc w:val="center"/>
                  </w:pPr>
                </w:p>
              </w:tc>
              <w:tc>
                <w:tcPr>
                  <w:tcW w:w="560" w:type="dxa"/>
                  <w:vAlign w:val="center"/>
                </w:tcPr>
                <w:p>
                  <w:pPr>
                    <w:spacing w:line="240" w:lineRule="auto"/>
                    <w:jc w:val="center"/>
                  </w:pPr>
                  <w:r>
                    <w:rPr>
                      <w:rFonts w:hint="eastAsia"/>
                    </w:rPr>
                    <w:t>砂仓上料</w:t>
                  </w:r>
                </w:p>
              </w:tc>
              <w:tc>
                <w:tcPr>
                  <w:tcW w:w="2865" w:type="dxa"/>
                </w:tcPr>
                <w:p>
                  <w:pPr>
                    <w:spacing w:line="240" w:lineRule="auto"/>
                    <w:jc w:val="center"/>
                  </w:pPr>
                  <w:r>
                    <w:rPr>
                      <w:rFonts w:hint="eastAsia"/>
                    </w:rPr>
                    <w:t>项目共设2个砂仓，分别为1#、2#砂仓，上料过程中产生的粉尘分别经2套脉冲式袋式除尘器处理后由1根15m高排气筒P</w:t>
                  </w:r>
                  <w:r>
                    <w:rPr>
                      <w:rFonts w:hint="eastAsia"/>
                      <w:lang w:val="en-US" w:eastAsia="zh-CN"/>
                    </w:rPr>
                    <w:t>6</w:t>
                  </w:r>
                  <w:r>
                    <w:rPr>
                      <w:rFonts w:hint="eastAsia"/>
                    </w:rPr>
                    <w:t>有组织排放</w:t>
                  </w:r>
                </w:p>
              </w:tc>
              <w:tc>
                <w:tcPr>
                  <w:tcW w:w="3075" w:type="dxa"/>
                  <w:vAlign w:val="center"/>
                </w:tcPr>
                <w:p>
                  <w:pPr>
                    <w:spacing w:line="240" w:lineRule="auto"/>
                    <w:jc w:val="center"/>
                  </w:pPr>
                  <w:r>
                    <w:rPr>
                      <w:rFonts w:hint="eastAsia"/>
                    </w:rPr>
                    <w:t>项目共设2个砂仓，分别为1#、2#砂仓，上料过程中产生的粉尘分别经2套脉冲式袋式除尘器处理后由1根15m高排气筒P</w:t>
                  </w:r>
                  <w:r>
                    <w:rPr>
                      <w:rFonts w:hint="eastAsia"/>
                      <w:lang w:val="en-US" w:eastAsia="zh-CN"/>
                    </w:rPr>
                    <w:t>6</w:t>
                  </w:r>
                  <w:r>
                    <w:rPr>
                      <w:rFonts w:hint="eastAsia"/>
                    </w:rPr>
                    <w:t>有组织排放</w:t>
                  </w:r>
                </w:p>
              </w:tc>
              <w:tc>
                <w:tcPr>
                  <w:tcW w:w="753" w:type="dxa"/>
                  <w:vAlign w:val="center"/>
                </w:tcPr>
                <w:p>
                  <w:pPr>
                    <w:spacing w:line="240" w:lineRule="auto"/>
                    <w:jc w:val="center"/>
                    <w:rPr>
                      <w:rFonts w:hint="eastAsia"/>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86" w:type="dxa"/>
                  <w:vMerge w:val="continue"/>
                </w:tcPr>
                <w:p>
                  <w:pPr>
                    <w:spacing w:line="240" w:lineRule="auto"/>
                    <w:jc w:val="center"/>
                  </w:pPr>
                </w:p>
              </w:tc>
              <w:tc>
                <w:tcPr>
                  <w:tcW w:w="420" w:type="dxa"/>
                  <w:vMerge w:val="continue"/>
                </w:tcPr>
                <w:p>
                  <w:pPr>
                    <w:spacing w:line="240" w:lineRule="auto"/>
                    <w:jc w:val="center"/>
                  </w:pPr>
                </w:p>
              </w:tc>
              <w:tc>
                <w:tcPr>
                  <w:tcW w:w="560" w:type="dxa"/>
                  <w:vAlign w:val="center"/>
                </w:tcPr>
                <w:p>
                  <w:pPr>
                    <w:spacing w:line="240" w:lineRule="auto"/>
                    <w:jc w:val="center"/>
                  </w:pPr>
                  <w:r>
                    <w:rPr>
                      <w:rFonts w:hint="eastAsia"/>
                    </w:rPr>
                    <w:t>搅拌机废气</w:t>
                  </w:r>
                </w:p>
              </w:tc>
              <w:tc>
                <w:tcPr>
                  <w:tcW w:w="2865" w:type="dxa"/>
                  <w:vAlign w:val="center"/>
                </w:tcPr>
                <w:p>
                  <w:pPr>
                    <w:spacing w:line="240" w:lineRule="auto"/>
                    <w:jc w:val="center"/>
                  </w:pPr>
                  <w:r>
                    <w:rPr>
                      <w:rFonts w:hint="eastAsia"/>
                      <w:lang w:val="en-US" w:eastAsia="zh-CN"/>
                    </w:rPr>
                    <w:t>现有</w:t>
                  </w:r>
                  <w:r>
                    <w:rPr>
                      <w:rFonts w:hint="eastAsia"/>
                    </w:rPr>
                    <w:t>项目设2座搅拌楼，2座搅拌楼产生的废气颗粒物分别经2套脉冲式袋式除尘器处理后由1根15m高排气筒P</w:t>
                  </w:r>
                  <w:r>
                    <w:rPr>
                      <w:rFonts w:hint="eastAsia"/>
                      <w:lang w:val="en-US" w:eastAsia="zh-CN"/>
                    </w:rPr>
                    <w:t>7</w:t>
                  </w:r>
                  <w:r>
                    <w:rPr>
                      <w:rFonts w:hint="eastAsia"/>
                    </w:rPr>
                    <w:t>有组织排放</w:t>
                  </w:r>
                </w:p>
              </w:tc>
              <w:tc>
                <w:tcPr>
                  <w:tcW w:w="3075" w:type="dxa"/>
                  <w:vAlign w:val="center"/>
                </w:tcPr>
                <w:p>
                  <w:pPr>
                    <w:spacing w:line="240" w:lineRule="auto"/>
                    <w:jc w:val="center"/>
                  </w:pPr>
                  <w:r>
                    <w:rPr>
                      <w:rFonts w:hint="eastAsia"/>
                      <w:lang w:val="en-US" w:eastAsia="zh-CN"/>
                    </w:rPr>
                    <w:t>现有</w:t>
                  </w:r>
                  <w:r>
                    <w:rPr>
                      <w:rFonts w:hint="eastAsia"/>
                    </w:rPr>
                    <w:t>项目设2座搅拌楼，1#搅拌楼为现有项目商砼搅拌，2#搅拌楼由</w:t>
                  </w:r>
                  <w:r>
                    <w:rPr>
                      <w:rFonts w:hint="eastAsia"/>
                      <w:lang w:val="en-US" w:eastAsia="zh-CN"/>
                    </w:rPr>
                    <w:t>本项目</w:t>
                  </w:r>
                  <w:r>
                    <w:rPr>
                      <w:rFonts w:hint="eastAsia"/>
                    </w:rPr>
                    <w:t>预拌砂浆（湿拌）生产线代替。2座搅拌楼产生的废气颗粒物分别经2套脉冲式袋式除尘器处理后由1根15m高排气筒P7有组织排放</w:t>
                  </w:r>
                </w:p>
              </w:tc>
              <w:tc>
                <w:tcPr>
                  <w:tcW w:w="753" w:type="dxa"/>
                  <w:vAlign w:val="center"/>
                </w:tcPr>
                <w:p>
                  <w:pPr>
                    <w:spacing w:line="240" w:lineRule="auto"/>
                    <w:jc w:val="center"/>
                    <w:rPr>
                      <w:rFonts w:hint="default"/>
                      <w:lang w:val="en-US"/>
                    </w:rPr>
                  </w:pPr>
                  <w:r>
                    <w:rPr>
                      <w:rFonts w:hint="eastAsia"/>
                      <w:color w:val="000000" w:themeColor="text1"/>
                      <w:szCs w:val="21"/>
                      <w:lang w:val="en-US" w:eastAsia="zh-CN"/>
                      <w14:textFill>
                        <w14:solidFill>
                          <w14:schemeClr w14:val="tx1"/>
                        </w14:solidFill>
                      </w14:textFill>
                    </w:rPr>
                    <w:t>依托现有，将其中1条生产线改建为预拌砂浆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86" w:type="dxa"/>
                  <w:vMerge w:val="continue"/>
                </w:tcPr>
                <w:p>
                  <w:pPr>
                    <w:spacing w:line="240" w:lineRule="auto"/>
                    <w:jc w:val="center"/>
                  </w:pPr>
                </w:p>
              </w:tc>
              <w:tc>
                <w:tcPr>
                  <w:tcW w:w="420" w:type="dxa"/>
                  <w:vMerge w:val="continue"/>
                </w:tcPr>
                <w:p>
                  <w:pPr>
                    <w:spacing w:line="240" w:lineRule="auto"/>
                    <w:jc w:val="center"/>
                  </w:pPr>
                </w:p>
              </w:tc>
              <w:tc>
                <w:tcPr>
                  <w:tcW w:w="560" w:type="dxa"/>
                  <w:vAlign w:val="center"/>
                </w:tcPr>
                <w:p>
                  <w:pPr>
                    <w:spacing w:line="240" w:lineRule="auto"/>
                    <w:jc w:val="center"/>
                    <w:rPr>
                      <w:rFonts w:hint="default" w:eastAsia="宋体"/>
                      <w:lang w:val="en-US" w:eastAsia="zh-CN"/>
                    </w:rPr>
                  </w:pPr>
                  <w:r>
                    <w:rPr>
                      <w:rFonts w:hint="eastAsia"/>
                      <w:lang w:val="en-US" w:eastAsia="zh-CN"/>
                    </w:rPr>
                    <w:t>食堂油烟废气</w:t>
                  </w:r>
                </w:p>
              </w:tc>
              <w:tc>
                <w:tcPr>
                  <w:tcW w:w="2865" w:type="dxa"/>
                  <w:vAlign w:val="center"/>
                </w:tcPr>
                <w:p>
                  <w:pPr>
                    <w:spacing w:line="240" w:lineRule="auto"/>
                    <w:jc w:val="center"/>
                    <w:rPr>
                      <w:rFonts w:hint="default"/>
                      <w:lang w:val="en-US" w:eastAsia="zh-CN"/>
                    </w:rPr>
                  </w:pPr>
                  <w:r>
                    <w:rPr>
                      <w:rFonts w:hint="eastAsia"/>
                      <w:lang w:val="en-US" w:eastAsia="zh-CN"/>
                    </w:rPr>
                    <w:t>项目设食堂，食堂油烟采用油烟净化器处理后经1根排气筒P8有组织排放</w:t>
                  </w:r>
                </w:p>
              </w:tc>
              <w:tc>
                <w:tcPr>
                  <w:tcW w:w="3075" w:type="dxa"/>
                  <w:vAlign w:val="center"/>
                </w:tcPr>
                <w:p>
                  <w:pPr>
                    <w:spacing w:line="240" w:lineRule="auto"/>
                    <w:jc w:val="center"/>
                    <w:rPr>
                      <w:rFonts w:hint="default"/>
                      <w:lang w:val="en-US" w:eastAsia="zh-CN"/>
                    </w:rPr>
                  </w:pPr>
                  <w:r>
                    <w:rPr>
                      <w:rFonts w:hint="eastAsia"/>
                      <w:lang w:val="en-US" w:eastAsia="zh-CN"/>
                    </w:rPr>
                    <w:t>现有项目未对食堂进行验收，技改完成后将不再建设食堂</w:t>
                  </w:r>
                </w:p>
              </w:tc>
              <w:tc>
                <w:tcPr>
                  <w:tcW w:w="753" w:type="dxa"/>
                  <w:vAlign w:val="center"/>
                </w:tcPr>
                <w:p>
                  <w:pPr>
                    <w:spacing w:line="240" w:lineRule="auto"/>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不再建设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vMerge w:val="continue"/>
                </w:tcPr>
                <w:p>
                  <w:pPr>
                    <w:spacing w:line="240" w:lineRule="auto"/>
                    <w:jc w:val="center"/>
                  </w:pPr>
                </w:p>
              </w:tc>
              <w:tc>
                <w:tcPr>
                  <w:tcW w:w="980" w:type="dxa"/>
                  <w:gridSpan w:val="2"/>
                  <w:vAlign w:val="center"/>
                </w:tcPr>
                <w:p>
                  <w:pPr>
                    <w:spacing w:line="240" w:lineRule="auto"/>
                    <w:jc w:val="center"/>
                  </w:pPr>
                  <w:r>
                    <w:t>废水</w:t>
                  </w:r>
                </w:p>
              </w:tc>
              <w:tc>
                <w:tcPr>
                  <w:tcW w:w="2865" w:type="dxa"/>
                  <w:vAlign w:val="center"/>
                </w:tcPr>
                <w:p>
                  <w:pPr>
                    <w:spacing w:line="240" w:lineRule="auto"/>
                    <w:jc w:val="center"/>
                  </w:pPr>
                  <w:r>
                    <w:rPr>
                      <w:color w:val="000000"/>
                      <w:szCs w:val="21"/>
                    </w:rPr>
                    <w:t>车辆冲洗废水</w:t>
                  </w:r>
                  <w:r>
                    <w:rPr>
                      <w:rFonts w:hint="eastAsia"/>
                      <w:color w:val="000000"/>
                      <w:szCs w:val="21"/>
                    </w:rPr>
                    <w:t>、水洗砂废水</w:t>
                  </w:r>
                  <w:r>
                    <w:rPr>
                      <w:color w:val="000000"/>
                      <w:szCs w:val="21"/>
                    </w:rPr>
                    <w:t>经沉淀池沉淀后回用于生产；生活污水经化粪池处理后排入园区污水管网</w:t>
                  </w:r>
                </w:p>
              </w:tc>
              <w:tc>
                <w:tcPr>
                  <w:tcW w:w="3075" w:type="dxa"/>
                  <w:vAlign w:val="center"/>
                </w:tcPr>
                <w:p>
                  <w:pPr>
                    <w:spacing w:line="240" w:lineRule="auto"/>
                    <w:jc w:val="center"/>
                    <w:rPr>
                      <w:color w:val="000000"/>
                      <w:szCs w:val="21"/>
                    </w:rPr>
                  </w:pPr>
                  <w:r>
                    <w:rPr>
                      <w:color w:val="000000"/>
                      <w:szCs w:val="21"/>
                    </w:rPr>
                    <w:t>车辆冲洗废水</w:t>
                  </w:r>
                  <w:r>
                    <w:rPr>
                      <w:rFonts w:hint="eastAsia"/>
                      <w:color w:val="000000"/>
                      <w:szCs w:val="21"/>
                    </w:rPr>
                    <w:t>、水洗砂废水</w:t>
                  </w:r>
                  <w:r>
                    <w:rPr>
                      <w:color w:val="000000"/>
                      <w:szCs w:val="21"/>
                    </w:rPr>
                    <w:t>经沉淀池沉淀后回用于生产；生活污水经化粪池处理后排入园区污水管网</w:t>
                  </w:r>
                </w:p>
              </w:tc>
              <w:tc>
                <w:tcPr>
                  <w:tcW w:w="753" w:type="dxa"/>
                  <w:vAlign w:val="center"/>
                </w:tcPr>
                <w:p>
                  <w:pPr>
                    <w:spacing w:line="240" w:lineRule="auto"/>
                    <w:jc w:val="center"/>
                    <w:rPr>
                      <w:rFonts w:hint="eastAsia" w:eastAsia="宋体"/>
                      <w:lang w:val="en-US" w:eastAsia="zh-CN"/>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6" w:type="dxa"/>
                  <w:vMerge w:val="continue"/>
                </w:tcPr>
                <w:p>
                  <w:pPr>
                    <w:spacing w:line="240" w:lineRule="auto"/>
                    <w:jc w:val="center"/>
                  </w:pPr>
                </w:p>
              </w:tc>
              <w:tc>
                <w:tcPr>
                  <w:tcW w:w="980" w:type="dxa"/>
                  <w:gridSpan w:val="2"/>
                  <w:vAlign w:val="center"/>
                </w:tcPr>
                <w:p>
                  <w:pPr>
                    <w:spacing w:line="240" w:lineRule="auto"/>
                    <w:jc w:val="center"/>
                  </w:pPr>
                  <w:r>
                    <w:t>噪声</w:t>
                  </w:r>
                </w:p>
              </w:tc>
              <w:tc>
                <w:tcPr>
                  <w:tcW w:w="2865" w:type="dxa"/>
                </w:tcPr>
                <w:p>
                  <w:pPr>
                    <w:spacing w:line="240" w:lineRule="auto"/>
                  </w:pPr>
                  <w:r>
                    <w:rPr>
                      <w:color w:val="000000"/>
                      <w:szCs w:val="21"/>
                    </w:rPr>
                    <w:t>选用低噪声设备，采取基础减振、厂房隔声、合理布局、风机加装消声器等措施</w:t>
                  </w:r>
                </w:p>
              </w:tc>
              <w:tc>
                <w:tcPr>
                  <w:tcW w:w="3075" w:type="dxa"/>
                  <w:vAlign w:val="center"/>
                </w:tcPr>
                <w:p>
                  <w:pPr>
                    <w:spacing w:line="240" w:lineRule="auto"/>
                    <w:jc w:val="center"/>
                    <w:rPr>
                      <w:color w:val="000000"/>
                      <w:szCs w:val="21"/>
                    </w:rPr>
                  </w:pPr>
                  <w:r>
                    <w:rPr>
                      <w:color w:val="000000"/>
                      <w:szCs w:val="21"/>
                    </w:rPr>
                    <w:t>选用低噪声设备，采取基础减振、厂房隔声、合理布局等措施</w:t>
                  </w:r>
                </w:p>
              </w:tc>
              <w:tc>
                <w:tcPr>
                  <w:tcW w:w="753" w:type="dxa"/>
                  <w:vAlign w:val="center"/>
                </w:tcPr>
                <w:p>
                  <w:pPr>
                    <w:spacing w:line="240" w:lineRule="auto"/>
                    <w:jc w:val="center"/>
                    <w:rPr>
                      <w:rFonts w:hint="eastAsia"/>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vMerge w:val="continue"/>
                </w:tcPr>
                <w:p>
                  <w:pPr>
                    <w:spacing w:line="240" w:lineRule="auto"/>
                    <w:jc w:val="center"/>
                  </w:pPr>
                </w:p>
              </w:tc>
              <w:tc>
                <w:tcPr>
                  <w:tcW w:w="980" w:type="dxa"/>
                  <w:gridSpan w:val="2"/>
                  <w:vMerge w:val="restart"/>
                  <w:vAlign w:val="center"/>
                </w:tcPr>
                <w:p>
                  <w:pPr>
                    <w:spacing w:line="240" w:lineRule="auto"/>
                    <w:jc w:val="center"/>
                  </w:pPr>
                </w:p>
                <w:p>
                  <w:pPr>
                    <w:spacing w:line="240" w:lineRule="auto"/>
                    <w:jc w:val="center"/>
                  </w:pPr>
                  <w:r>
                    <w:t>固废</w:t>
                  </w:r>
                </w:p>
              </w:tc>
              <w:tc>
                <w:tcPr>
                  <w:tcW w:w="2865" w:type="dxa"/>
                </w:tcPr>
                <w:p>
                  <w:pPr>
                    <w:spacing w:line="240" w:lineRule="auto"/>
                  </w:pPr>
                  <w:r>
                    <w:rPr>
                      <w:color w:val="000000"/>
                      <w:szCs w:val="21"/>
                    </w:rPr>
                    <w:t>除尘装置的除尘灰、沉淀池产生的污泥、钢筋切割过程中的废料收集后回用于生产</w:t>
                  </w:r>
                </w:p>
              </w:tc>
              <w:tc>
                <w:tcPr>
                  <w:tcW w:w="3075" w:type="dxa"/>
                  <w:vAlign w:val="center"/>
                </w:tcPr>
                <w:p>
                  <w:pPr>
                    <w:spacing w:line="240" w:lineRule="auto"/>
                    <w:jc w:val="center"/>
                    <w:rPr>
                      <w:color w:val="000000"/>
                      <w:szCs w:val="21"/>
                    </w:rPr>
                  </w:pPr>
                  <w:r>
                    <w:rPr>
                      <w:color w:val="000000"/>
                      <w:szCs w:val="21"/>
                    </w:rPr>
                    <w:t>除尘装置的除尘灰、沉淀池产生的污泥、钢筋切割过程中的废料收集后回用于生产</w:t>
                  </w:r>
                </w:p>
              </w:tc>
              <w:tc>
                <w:tcPr>
                  <w:tcW w:w="753" w:type="dxa"/>
                  <w:vAlign w:val="center"/>
                </w:tcPr>
                <w:p>
                  <w:pPr>
                    <w:spacing w:line="240" w:lineRule="auto"/>
                    <w:jc w:val="center"/>
                    <w:rPr>
                      <w:rFonts w:hint="eastAsia"/>
                    </w:rPr>
                  </w:pPr>
                  <w:r>
                    <w:rPr>
                      <w:rFonts w:hint="eastAsia"/>
                      <w:color w:val="000000" w:themeColor="text1"/>
                      <w:szCs w:val="21"/>
                      <w:lang w:val="en-US" w:eastAsia="zh-CN"/>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6" w:type="dxa"/>
                  <w:vMerge w:val="continue"/>
                </w:tcPr>
                <w:p>
                  <w:pPr>
                    <w:spacing w:line="240" w:lineRule="auto"/>
                    <w:jc w:val="center"/>
                  </w:pPr>
                </w:p>
              </w:tc>
              <w:tc>
                <w:tcPr>
                  <w:tcW w:w="980" w:type="dxa"/>
                  <w:gridSpan w:val="2"/>
                  <w:vMerge w:val="continue"/>
                </w:tcPr>
                <w:p>
                  <w:pPr>
                    <w:spacing w:line="240" w:lineRule="auto"/>
                    <w:jc w:val="center"/>
                  </w:pPr>
                </w:p>
              </w:tc>
              <w:tc>
                <w:tcPr>
                  <w:tcW w:w="2865" w:type="dxa"/>
                </w:tcPr>
                <w:p>
                  <w:pPr>
                    <w:spacing w:line="240" w:lineRule="auto"/>
                  </w:pPr>
                  <w:r>
                    <w:rPr>
                      <w:color w:val="000000"/>
                      <w:szCs w:val="21"/>
                    </w:rPr>
                    <w:t>职工生活垃圾由环卫部门统一处理</w:t>
                  </w:r>
                </w:p>
              </w:tc>
              <w:tc>
                <w:tcPr>
                  <w:tcW w:w="3075" w:type="dxa"/>
                  <w:vAlign w:val="center"/>
                </w:tcPr>
                <w:p>
                  <w:pPr>
                    <w:spacing w:line="240" w:lineRule="auto"/>
                    <w:jc w:val="center"/>
                    <w:rPr>
                      <w:color w:val="000000"/>
                      <w:szCs w:val="21"/>
                    </w:rPr>
                  </w:pPr>
                  <w:r>
                    <w:rPr>
                      <w:color w:val="000000"/>
                      <w:szCs w:val="21"/>
                    </w:rPr>
                    <w:t>职工生活垃圾由环卫部门统一处理</w:t>
                  </w:r>
                </w:p>
              </w:tc>
              <w:tc>
                <w:tcPr>
                  <w:tcW w:w="753" w:type="dxa"/>
                  <w:vAlign w:val="center"/>
                </w:tcPr>
                <w:p>
                  <w:pPr>
                    <w:spacing w:line="240" w:lineRule="auto"/>
                    <w:jc w:val="center"/>
                    <w:rPr>
                      <w:rFonts w:hint="eastAsia"/>
                    </w:rPr>
                  </w:pPr>
                  <w:r>
                    <w:rPr>
                      <w:rFonts w:hint="eastAsia"/>
                      <w:color w:val="000000" w:themeColor="text1"/>
                      <w:szCs w:val="21"/>
                      <w:lang w:val="en-US" w:eastAsia="zh-CN"/>
                      <w14:textFill>
                        <w14:solidFill>
                          <w14:schemeClr w14:val="tx1"/>
                        </w14:solidFill>
                      </w14:textFill>
                    </w:rPr>
                    <w:t>依托现有</w:t>
                  </w:r>
                </w:p>
              </w:tc>
            </w:tr>
          </w:tbl>
          <w:p>
            <w:pPr>
              <w:spacing w:line="240" w:lineRule="auto"/>
              <w:ind w:firstLine="480" w:firstLineChars="200"/>
              <w:rPr>
                <w:color w:val="000000"/>
                <w:sz w:val="24"/>
              </w:rPr>
            </w:pPr>
          </w:p>
          <w:p>
            <w:pPr>
              <w:ind w:firstLine="480" w:firstLineChars="200"/>
              <w:rPr>
                <w:kern w:val="0"/>
                <w:sz w:val="24"/>
              </w:rPr>
            </w:pPr>
            <w:r>
              <w:rPr>
                <w:color w:val="000000"/>
                <w:sz w:val="24"/>
              </w:rPr>
              <w:t>8、</w:t>
            </w:r>
            <w:r>
              <w:rPr>
                <w:rFonts w:hint="eastAsia"/>
                <w:color w:val="000000"/>
                <w:sz w:val="24"/>
                <w:lang w:val="en-US" w:eastAsia="zh-CN"/>
              </w:rPr>
              <w:t>技改</w:t>
            </w:r>
            <w:r>
              <w:rPr>
                <w:rFonts w:hint="eastAsia"/>
                <w:color w:val="000000"/>
                <w:sz w:val="24"/>
              </w:rPr>
              <w:t>后全厂</w:t>
            </w:r>
            <w:r>
              <w:rPr>
                <w:color w:val="000000"/>
                <w:sz w:val="24"/>
              </w:rPr>
              <w:t>产品方案</w:t>
            </w:r>
          </w:p>
          <w:p>
            <w:pPr>
              <w:jc w:val="center"/>
              <w:rPr>
                <w:b/>
                <w:bCs/>
                <w:kern w:val="0"/>
                <w:sz w:val="21"/>
                <w:szCs w:val="21"/>
              </w:rPr>
            </w:pPr>
            <w:r>
              <w:rPr>
                <w:b/>
                <w:bCs/>
                <w:kern w:val="0"/>
                <w:sz w:val="21"/>
                <w:szCs w:val="21"/>
              </w:rPr>
              <w:t>表</w:t>
            </w:r>
            <w:r>
              <w:rPr>
                <w:rFonts w:hint="eastAsia"/>
                <w:b/>
                <w:bCs/>
                <w:kern w:val="0"/>
                <w:sz w:val="21"/>
                <w:szCs w:val="21"/>
                <w:lang w:val="en-US" w:eastAsia="zh-CN"/>
              </w:rPr>
              <w:t>5</w:t>
            </w:r>
            <w:r>
              <w:rPr>
                <w:b/>
                <w:bCs/>
                <w:kern w:val="0"/>
                <w:sz w:val="21"/>
                <w:szCs w:val="21"/>
              </w:rPr>
              <w:t xml:space="preserve"> </w:t>
            </w:r>
            <w:r>
              <w:rPr>
                <w:rFonts w:hint="eastAsia"/>
                <w:b/>
                <w:bCs/>
                <w:kern w:val="0"/>
                <w:sz w:val="21"/>
                <w:szCs w:val="21"/>
                <w:lang w:val="en-US" w:eastAsia="zh-CN"/>
              </w:rPr>
              <w:t>技改</w:t>
            </w:r>
            <w:r>
              <w:rPr>
                <w:rFonts w:hint="eastAsia"/>
                <w:b/>
                <w:bCs/>
                <w:kern w:val="0"/>
                <w:sz w:val="21"/>
                <w:szCs w:val="21"/>
              </w:rPr>
              <w:t>后全厂</w:t>
            </w:r>
            <w:r>
              <w:rPr>
                <w:b/>
                <w:bCs/>
                <w:kern w:val="0"/>
                <w:sz w:val="21"/>
                <w:szCs w:val="21"/>
              </w:rPr>
              <w:t>产品方案一览表</w:t>
            </w:r>
          </w:p>
          <w:tbl>
            <w:tblPr>
              <w:tblStyle w:val="24"/>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13"/>
              <w:gridCol w:w="1560"/>
              <w:gridCol w:w="1526"/>
              <w:gridCol w:w="1140"/>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jc w:val="center"/>
                    <w:rPr>
                      <w:szCs w:val="21"/>
                    </w:rPr>
                  </w:pPr>
                  <w:r>
                    <w:rPr>
                      <w:szCs w:val="21"/>
                    </w:rPr>
                    <w:t>序号</w:t>
                  </w:r>
                </w:p>
              </w:tc>
              <w:tc>
                <w:tcPr>
                  <w:tcW w:w="1313" w:type="dxa"/>
                  <w:vAlign w:val="center"/>
                </w:tcPr>
                <w:p>
                  <w:pPr>
                    <w:jc w:val="center"/>
                    <w:rPr>
                      <w:szCs w:val="21"/>
                    </w:rPr>
                  </w:pPr>
                  <w:r>
                    <w:rPr>
                      <w:szCs w:val="21"/>
                    </w:rPr>
                    <w:t>名称</w:t>
                  </w:r>
                </w:p>
              </w:tc>
              <w:tc>
                <w:tcPr>
                  <w:tcW w:w="1560" w:type="dxa"/>
                  <w:vAlign w:val="center"/>
                </w:tcPr>
                <w:p>
                  <w:pPr>
                    <w:spacing w:line="240" w:lineRule="auto"/>
                    <w:jc w:val="center"/>
                    <w:rPr>
                      <w:rFonts w:hint="default"/>
                      <w:szCs w:val="21"/>
                      <w:lang w:val="en-US"/>
                    </w:rPr>
                  </w:pPr>
                  <w:r>
                    <w:rPr>
                      <w:rFonts w:hint="eastAsia"/>
                      <w:szCs w:val="21"/>
                      <w:lang w:val="en-US" w:eastAsia="zh-CN"/>
                    </w:rPr>
                    <w:t>技改前产能</w:t>
                  </w:r>
                </w:p>
              </w:tc>
              <w:tc>
                <w:tcPr>
                  <w:tcW w:w="1526" w:type="dxa"/>
                  <w:vAlign w:val="center"/>
                </w:tcPr>
                <w:p>
                  <w:pPr>
                    <w:jc w:val="center"/>
                    <w:rPr>
                      <w:rFonts w:hint="default"/>
                      <w:szCs w:val="21"/>
                      <w:lang w:val="en-US"/>
                    </w:rPr>
                  </w:pPr>
                  <w:r>
                    <w:rPr>
                      <w:rFonts w:hint="eastAsia"/>
                      <w:szCs w:val="21"/>
                      <w:lang w:val="en-US" w:eastAsia="zh-CN"/>
                    </w:rPr>
                    <w:t>技改后产能</w:t>
                  </w:r>
                </w:p>
              </w:tc>
              <w:tc>
                <w:tcPr>
                  <w:tcW w:w="1140" w:type="dxa"/>
                  <w:vAlign w:val="center"/>
                </w:tcPr>
                <w:p>
                  <w:pPr>
                    <w:jc w:val="center"/>
                    <w:rPr>
                      <w:szCs w:val="21"/>
                    </w:rPr>
                  </w:pPr>
                  <w:r>
                    <w:rPr>
                      <w:szCs w:val="21"/>
                    </w:rPr>
                    <w:t>单位</w:t>
                  </w:r>
                </w:p>
              </w:tc>
              <w:tc>
                <w:tcPr>
                  <w:tcW w:w="1901"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jc w:val="center"/>
                    <w:rPr>
                      <w:szCs w:val="21"/>
                    </w:rPr>
                  </w:pPr>
                  <w:r>
                    <w:rPr>
                      <w:szCs w:val="21"/>
                    </w:rPr>
                    <w:t>1</w:t>
                  </w:r>
                </w:p>
              </w:tc>
              <w:tc>
                <w:tcPr>
                  <w:tcW w:w="1313" w:type="dxa"/>
                  <w:vAlign w:val="center"/>
                </w:tcPr>
                <w:p>
                  <w:pPr>
                    <w:jc w:val="center"/>
                    <w:rPr>
                      <w:rFonts w:hint="default" w:eastAsia="宋体"/>
                      <w:szCs w:val="21"/>
                      <w:lang w:val="en-US" w:eastAsia="zh-CN"/>
                    </w:rPr>
                  </w:pPr>
                  <w:r>
                    <w:rPr>
                      <w:rFonts w:hint="eastAsia"/>
                      <w:szCs w:val="21"/>
                      <w:lang w:val="en-US" w:eastAsia="zh-CN"/>
                    </w:rPr>
                    <w:t>建筑装备</w:t>
                  </w:r>
                </w:p>
              </w:tc>
              <w:tc>
                <w:tcPr>
                  <w:tcW w:w="1560" w:type="dxa"/>
                  <w:vAlign w:val="center"/>
                </w:tcPr>
                <w:p>
                  <w:pPr>
                    <w:jc w:val="center"/>
                    <w:rPr>
                      <w:szCs w:val="21"/>
                    </w:rPr>
                  </w:pPr>
                  <w:r>
                    <w:rPr>
                      <w:szCs w:val="21"/>
                    </w:rPr>
                    <w:t>150</w:t>
                  </w:r>
                </w:p>
              </w:tc>
              <w:tc>
                <w:tcPr>
                  <w:tcW w:w="1526" w:type="dxa"/>
                  <w:vAlign w:val="center"/>
                </w:tcPr>
                <w:p>
                  <w:pPr>
                    <w:jc w:val="center"/>
                    <w:rPr>
                      <w:rFonts w:hint="default" w:eastAsia="宋体"/>
                      <w:szCs w:val="21"/>
                      <w:lang w:val="en-US" w:eastAsia="zh-CN"/>
                    </w:rPr>
                  </w:pPr>
                  <w:r>
                    <w:rPr>
                      <w:rFonts w:hint="eastAsia"/>
                      <w:szCs w:val="21"/>
                      <w:lang w:val="en-US" w:eastAsia="zh-CN"/>
                    </w:rPr>
                    <w:t>100</w:t>
                  </w:r>
                </w:p>
              </w:tc>
              <w:tc>
                <w:tcPr>
                  <w:tcW w:w="1140" w:type="dxa"/>
                  <w:vAlign w:val="center"/>
                </w:tcPr>
                <w:p>
                  <w:pPr>
                    <w:jc w:val="center"/>
                    <w:rPr>
                      <w:szCs w:val="21"/>
                    </w:rPr>
                  </w:pPr>
                  <w:r>
                    <w:rPr>
                      <w:szCs w:val="21"/>
                    </w:rPr>
                    <w:t>万m</w:t>
                  </w:r>
                  <w:r>
                    <w:rPr>
                      <w:szCs w:val="21"/>
                      <w:vertAlign w:val="superscript"/>
                    </w:rPr>
                    <w:t>3</w:t>
                  </w:r>
                  <w:r>
                    <w:rPr>
                      <w:szCs w:val="21"/>
                    </w:rPr>
                    <w:t>/a</w:t>
                  </w:r>
                </w:p>
              </w:tc>
              <w:tc>
                <w:tcPr>
                  <w:tcW w:w="1901" w:type="dxa"/>
                  <w:vAlign w:val="center"/>
                </w:tcPr>
                <w:p>
                  <w:pPr>
                    <w:spacing w:line="240" w:lineRule="auto"/>
                    <w:jc w:val="center"/>
                    <w:rPr>
                      <w:rFonts w:hint="default" w:eastAsia="宋体"/>
                      <w:szCs w:val="21"/>
                      <w:lang w:val="en-US" w:eastAsia="zh-CN"/>
                    </w:rPr>
                  </w:pPr>
                  <w:r>
                    <w:rPr>
                      <w:rFonts w:hint="eastAsia"/>
                      <w:szCs w:val="21"/>
                      <w:lang w:val="en-US" w:eastAsia="zh-CN"/>
                    </w:rPr>
                    <w:t>技改后产能减少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jc w:val="center"/>
                    <w:rPr>
                      <w:rFonts w:hint="eastAsia"/>
                      <w:szCs w:val="21"/>
                    </w:rPr>
                  </w:pPr>
                  <w:r>
                    <w:rPr>
                      <w:rFonts w:hint="eastAsia"/>
                      <w:szCs w:val="21"/>
                    </w:rPr>
                    <w:t>2</w:t>
                  </w:r>
                </w:p>
              </w:tc>
              <w:tc>
                <w:tcPr>
                  <w:tcW w:w="1313" w:type="dxa"/>
                  <w:vAlign w:val="center"/>
                </w:tcPr>
                <w:p>
                  <w:pPr>
                    <w:jc w:val="center"/>
                    <w:rPr>
                      <w:szCs w:val="21"/>
                    </w:rPr>
                  </w:pPr>
                  <w:r>
                    <w:rPr>
                      <w:rFonts w:hint="eastAsia"/>
                      <w:szCs w:val="21"/>
                    </w:rPr>
                    <w:t>预拌砂浆</w:t>
                  </w:r>
                </w:p>
              </w:tc>
              <w:tc>
                <w:tcPr>
                  <w:tcW w:w="1560" w:type="dxa"/>
                  <w:vAlign w:val="center"/>
                </w:tcPr>
                <w:p>
                  <w:pPr>
                    <w:jc w:val="center"/>
                    <w:rPr>
                      <w:szCs w:val="21"/>
                    </w:rPr>
                  </w:pPr>
                  <w:r>
                    <w:rPr>
                      <w:rFonts w:hint="eastAsia"/>
                      <w:szCs w:val="21"/>
                    </w:rPr>
                    <w:t>0</w:t>
                  </w:r>
                </w:p>
              </w:tc>
              <w:tc>
                <w:tcPr>
                  <w:tcW w:w="1526" w:type="dxa"/>
                  <w:vAlign w:val="center"/>
                </w:tcPr>
                <w:p>
                  <w:pPr>
                    <w:jc w:val="center"/>
                    <w:rPr>
                      <w:szCs w:val="21"/>
                    </w:rPr>
                  </w:pPr>
                  <w:r>
                    <w:rPr>
                      <w:rFonts w:hint="eastAsia"/>
                      <w:szCs w:val="21"/>
                    </w:rPr>
                    <w:t>50</w:t>
                  </w:r>
                </w:p>
              </w:tc>
              <w:tc>
                <w:tcPr>
                  <w:tcW w:w="1140" w:type="dxa"/>
                  <w:vAlign w:val="center"/>
                </w:tcPr>
                <w:p>
                  <w:pPr>
                    <w:jc w:val="center"/>
                    <w:rPr>
                      <w:szCs w:val="21"/>
                    </w:rPr>
                  </w:pPr>
                  <w:r>
                    <w:rPr>
                      <w:szCs w:val="21"/>
                    </w:rPr>
                    <w:t>万m</w:t>
                  </w:r>
                  <w:r>
                    <w:rPr>
                      <w:szCs w:val="21"/>
                      <w:vertAlign w:val="superscript"/>
                    </w:rPr>
                    <w:t>3</w:t>
                  </w:r>
                  <w:r>
                    <w:rPr>
                      <w:szCs w:val="21"/>
                    </w:rPr>
                    <w:t>/a</w:t>
                  </w:r>
                </w:p>
              </w:tc>
              <w:tc>
                <w:tcPr>
                  <w:tcW w:w="1901" w:type="dxa"/>
                  <w:vAlign w:val="center"/>
                </w:tcPr>
                <w:p>
                  <w:pPr>
                    <w:spacing w:line="240" w:lineRule="auto"/>
                    <w:jc w:val="center"/>
                    <w:rPr>
                      <w:rFonts w:hint="default" w:eastAsia="宋体"/>
                      <w:szCs w:val="21"/>
                      <w:lang w:val="en-US" w:eastAsia="zh-CN"/>
                    </w:rPr>
                  </w:pPr>
                  <w:r>
                    <w:rPr>
                      <w:rFonts w:hint="eastAsia"/>
                      <w:szCs w:val="21"/>
                      <w:lang w:val="en-US" w:eastAsia="zh-CN"/>
                    </w:rPr>
                    <w:t>技改新增预拌砂浆</w:t>
                  </w:r>
                </w:p>
              </w:tc>
            </w:tr>
          </w:tbl>
          <w:p>
            <w:pPr>
              <w:ind w:firstLine="420" w:firstLineChars="200"/>
              <w:rPr>
                <w:rFonts w:hint="default" w:eastAsia="宋体"/>
                <w:bCs/>
                <w:sz w:val="21"/>
                <w:szCs w:val="21"/>
                <w:lang w:val="en-US" w:eastAsia="zh-CN"/>
              </w:rPr>
            </w:pPr>
            <w:r>
              <w:rPr>
                <w:rFonts w:hint="eastAsia"/>
                <w:bCs/>
                <w:sz w:val="21"/>
                <w:szCs w:val="21"/>
                <w:lang w:val="en-US" w:eastAsia="zh-CN"/>
              </w:rPr>
              <w:t>注：本项目建筑装备100万m</w:t>
            </w:r>
            <w:r>
              <w:rPr>
                <w:rFonts w:hint="eastAsia"/>
                <w:bCs/>
                <w:sz w:val="21"/>
                <w:szCs w:val="21"/>
                <w:vertAlign w:val="superscript"/>
                <w:lang w:val="en-US" w:eastAsia="zh-CN"/>
              </w:rPr>
              <w:t>3</w:t>
            </w:r>
            <w:r>
              <w:rPr>
                <w:rFonts w:hint="eastAsia"/>
                <w:bCs/>
                <w:sz w:val="21"/>
                <w:szCs w:val="21"/>
                <w:vertAlign w:val="baseline"/>
                <w:lang w:val="en-US" w:eastAsia="zh-CN"/>
              </w:rPr>
              <w:t>/a</w:t>
            </w:r>
            <w:r>
              <w:rPr>
                <w:rFonts w:hint="eastAsia"/>
                <w:bCs/>
                <w:sz w:val="21"/>
                <w:szCs w:val="21"/>
                <w:lang w:val="en-US" w:eastAsia="zh-CN"/>
              </w:rPr>
              <w:t>约为240万t</w:t>
            </w:r>
            <w:r>
              <w:rPr>
                <w:rFonts w:hint="eastAsia"/>
                <w:bCs/>
                <w:sz w:val="21"/>
                <w:szCs w:val="21"/>
                <w:vertAlign w:val="baseline"/>
                <w:lang w:val="en-US" w:eastAsia="zh-CN"/>
              </w:rPr>
              <w:t>/a</w:t>
            </w:r>
            <w:r>
              <w:rPr>
                <w:rFonts w:hint="eastAsia"/>
                <w:bCs/>
                <w:sz w:val="21"/>
                <w:szCs w:val="21"/>
                <w:lang w:val="en-US" w:eastAsia="zh-CN"/>
              </w:rPr>
              <w:t>；预拌砂浆50m</w:t>
            </w:r>
            <w:r>
              <w:rPr>
                <w:rFonts w:hint="eastAsia"/>
                <w:bCs/>
                <w:sz w:val="21"/>
                <w:szCs w:val="21"/>
                <w:vertAlign w:val="superscript"/>
                <w:lang w:val="en-US" w:eastAsia="zh-CN"/>
              </w:rPr>
              <w:t>3</w:t>
            </w:r>
            <w:r>
              <w:rPr>
                <w:rFonts w:hint="eastAsia"/>
                <w:bCs/>
                <w:sz w:val="21"/>
                <w:szCs w:val="21"/>
                <w:vertAlign w:val="baseline"/>
                <w:lang w:val="en-US" w:eastAsia="zh-CN"/>
              </w:rPr>
              <w:t>/a</w:t>
            </w:r>
            <w:r>
              <w:rPr>
                <w:rFonts w:hint="eastAsia"/>
                <w:bCs/>
                <w:sz w:val="21"/>
                <w:szCs w:val="21"/>
                <w:lang w:val="en-US" w:eastAsia="zh-CN"/>
              </w:rPr>
              <w:t>万约为95万t</w:t>
            </w:r>
            <w:r>
              <w:rPr>
                <w:rFonts w:hint="eastAsia"/>
                <w:bCs/>
                <w:sz w:val="21"/>
                <w:szCs w:val="21"/>
                <w:vertAlign w:val="baseline"/>
                <w:lang w:val="en-US" w:eastAsia="zh-CN"/>
              </w:rPr>
              <w:t>/a。</w:t>
            </w:r>
          </w:p>
          <w:p>
            <w:pPr>
              <w:ind w:firstLine="480" w:firstLineChars="200"/>
              <w:rPr>
                <w:bCs/>
                <w:sz w:val="24"/>
              </w:rPr>
            </w:pPr>
            <w:r>
              <w:rPr>
                <w:bCs/>
                <w:sz w:val="24"/>
              </w:rPr>
              <w:t>9、</w:t>
            </w:r>
            <w:r>
              <w:rPr>
                <w:rFonts w:hint="eastAsia"/>
                <w:bCs/>
                <w:sz w:val="24"/>
                <w:lang w:val="en-US" w:eastAsia="zh-CN"/>
              </w:rPr>
              <w:t>技改</w:t>
            </w:r>
            <w:r>
              <w:rPr>
                <w:bCs/>
                <w:sz w:val="24"/>
              </w:rPr>
              <w:t>后全厂生产设备</w:t>
            </w:r>
          </w:p>
          <w:p>
            <w:pPr>
              <w:jc w:val="center"/>
              <w:rPr>
                <w:b/>
                <w:bCs/>
                <w:color w:val="FF0000"/>
                <w:sz w:val="24"/>
                <w:szCs w:val="32"/>
              </w:rPr>
            </w:pPr>
            <w:r>
              <w:rPr>
                <w:b/>
                <w:bCs/>
                <w:color w:val="000000"/>
                <w:sz w:val="21"/>
                <w:szCs w:val="21"/>
              </w:rPr>
              <w:t>表</w:t>
            </w:r>
            <w:r>
              <w:rPr>
                <w:rFonts w:hint="eastAsia"/>
                <w:b/>
                <w:bCs/>
                <w:color w:val="000000"/>
                <w:sz w:val="21"/>
                <w:szCs w:val="21"/>
                <w:lang w:val="en-US" w:eastAsia="zh-CN"/>
              </w:rPr>
              <w:t>6</w:t>
            </w:r>
            <w:r>
              <w:rPr>
                <w:b/>
                <w:bCs/>
                <w:color w:val="000000"/>
                <w:sz w:val="21"/>
                <w:szCs w:val="21"/>
              </w:rPr>
              <w:t xml:space="preserve"> </w:t>
            </w:r>
            <w:r>
              <w:rPr>
                <w:rFonts w:hint="eastAsia"/>
                <w:b/>
                <w:bCs/>
                <w:color w:val="000000"/>
                <w:sz w:val="21"/>
                <w:szCs w:val="21"/>
                <w:lang w:val="en-US" w:eastAsia="zh-CN"/>
              </w:rPr>
              <w:t>技改</w:t>
            </w:r>
            <w:r>
              <w:rPr>
                <w:b/>
                <w:bCs/>
                <w:color w:val="000000"/>
                <w:sz w:val="21"/>
                <w:szCs w:val="21"/>
              </w:rPr>
              <w:t>后全厂生产设备一览表</w:t>
            </w:r>
          </w:p>
          <w:tbl>
            <w:tblPr>
              <w:tblStyle w:val="25"/>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00"/>
              <w:gridCol w:w="3375"/>
              <w:gridCol w:w="765"/>
              <w:gridCol w:w="7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rFonts w:hint="eastAsia" w:ascii="宋体" w:hAnsi="宋体" w:cs="宋体"/>
                      <w:szCs w:val="21"/>
                    </w:rPr>
                  </w:pPr>
                  <w:r>
                    <w:rPr>
                      <w:rFonts w:hint="eastAsia" w:ascii="宋体" w:hAnsi="宋体" w:cs="宋体"/>
                      <w:szCs w:val="21"/>
                    </w:rPr>
                    <w:t>序号</w:t>
                  </w:r>
                </w:p>
              </w:tc>
              <w:tc>
                <w:tcPr>
                  <w:tcW w:w="1800" w:type="dxa"/>
                  <w:vAlign w:val="center"/>
                </w:tcPr>
                <w:p>
                  <w:pPr>
                    <w:spacing w:line="240" w:lineRule="auto"/>
                    <w:jc w:val="center"/>
                    <w:rPr>
                      <w:rFonts w:hint="eastAsia" w:ascii="宋体" w:hAnsi="宋体" w:cs="宋体"/>
                      <w:szCs w:val="21"/>
                    </w:rPr>
                  </w:pPr>
                  <w:r>
                    <w:rPr>
                      <w:rFonts w:hint="eastAsia" w:ascii="宋体" w:hAnsi="宋体" w:cs="宋体"/>
                      <w:szCs w:val="21"/>
                    </w:rPr>
                    <w:t>部件名称</w:t>
                  </w:r>
                </w:p>
              </w:tc>
              <w:tc>
                <w:tcPr>
                  <w:tcW w:w="3375" w:type="dxa"/>
                  <w:vAlign w:val="center"/>
                </w:tcPr>
                <w:p>
                  <w:pPr>
                    <w:spacing w:line="240" w:lineRule="auto"/>
                    <w:jc w:val="center"/>
                    <w:rPr>
                      <w:rFonts w:hint="eastAsia" w:ascii="宋体" w:hAnsi="宋体" w:cs="宋体"/>
                      <w:szCs w:val="21"/>
                    </w:rPr>
                  </w:pPr>
                  <w:r>
                    <w:rPr>
                      <w:rFonts w:hint="eastAsia" w:ascii="宋体" w:hAnsi="宋体" w:cs="宋体"/>
                      <w:szCs w:val="21"/>
                    </w:rPr>
                    <w:t>构成项目</w:t>
                  </w:r>
                </w:p>
              </w:tc>
              <w:tc>
                <w:tcPr>
                  <w:tcW w:w="765" w:type="dxa"/>
                  <w:vAlign w:val="center"/>
                </w:tcPr>
                <w:p>
                  <w:pPr>
                    <w:spacing w:line="240" w:lineRule="auto"/>
                    <w:jc w:val="center"/>
                    <w:rPr>
                      <w:rFonts w:hint="eastAsia" w:ascii="宋体" w:hAnsi="宋体" w:cs="宋体"/>
                      <w:szCs w:val="21"/>
                    </w:rPr>
                  </w:pPr>
                  <w:r>
                    <w:rPr>
                      <w:rFonts w:hint="eastAsia" w:ascii="宋体" w:hAnsi="宋体" w:cs="宋体"/>
                      <w:szCs w:val="21"/>
                      <w:lang w:val="en-US" w:eastAsia="zh-CN"/>
                    </w:rPr>
                    <w:t>技改</w:t>
                  </w:r>
                  <w:r>
                    <w:rPr>
                      <w:rFonts w:hint="eastAsia" w:ascii="宋体" w:hAnsi="宋体" w:cs="宋体"/>
                      <w:szCs w:val="21"/>
                    </w:rPr>
                    <w:t>前数量</w:t>
                  </w:r>
                </w:p>
              </w:tc>
              <w:tc>
                <w:tcPr>
                  <w:tcW w:w="750" w:type="dxa"/>
                  <w:vAlign w:val="center"/>
                </w:tcPr>
                <w:p>
                  <w:pPr>
                    <w:spacing w:line="240" w:lineRule="auto"/>
                    <w:jc w:val="center"/>
                    <w:rPr>
                      <w:rFonts w:ascii="宋体" w:hAnsi="宋体" w:cs="宋体"/>
                      <w:szCs w:val="21"/>
                    </w:rPr>
                  </w:pPr>
                  <w:r>
                    <w:rPr>
                      <w:rFonts w:hint="eastAsia" w:ascii="宋体" w:hAnsi="宋体" w:cs="宋体"/>
                      <w:szCs w:val="21"/>
                      <w:lang w:val="en-US" w:eastAsia="zh-CN"/>
                    </w:rPr>
                    <w:t>技改</w:t>
                  </w:r>
                  <w:r>
                    <w:rPr>
                      <w:rFonts w:hint="eastAsia" w:ascii="宋体" w:hAnsi="宋体" w:cs="宋体"/>
                      <w:szCs w:val="21"/>
                    </w:rPr>
                    <w:t>后数量</w:t>
                  </w:r>
                </w:p>
              </w:tc>
              <w:tc>
                <w:tcPr>
                  <w:tcW w:w="1237" w:type="dxa"/>
                  <w:vAlign w:val="center"/>
                </w:tcPr>
                <w:p>
                  <w:pPr>
                    <w:spacing w:line="240" w:lineRule="auto"/>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szCs w:val="21"/>
                    </w:rPr>
                    <w:t>1</w:t>
                  </w:r>
                </w:p>
              </w:tc>
              <w:tc>
                <w:tcPr>
                  <w:tcW w:w="1800" w:type="dxa"/>
                </w:tcPr>
                <w:p>
                  <w:pPr>
                    <w:spacing w:line="240" w:lineRule="auto"/>
                    <w:jc w:val="center"/>
                    <w:rPr>
                      <w:rFonts w:hint="eastAsia" w:ascii="宋体" w:hAnsi="宋体" w:cs="宋体"/>
                      <w:szCs w:val="21"/>
                    </w:rPr>
                  </w:pPr>
                  <w:r>
                    <w:rPr>
                      <w:rFonts w:hint="eastAsia" w:ascii="宋体" w:hAnsi="宋体" w:cs="宋体"/>
                      <w:szCs w:val="21"/>
                    </w:rPr>
                    <w:t>主机系统</w:t>
                  </w:r>
                </w:p>
              </w:tc>
              <w:tc>
                <w:tcPr>
                  <w:tcW w:w="3375" w:type="dxa"/>
                </w:tcPr>
                <w:p>
                  <w:pPr>
                    <w:spacing w:line="240" w:lineRule="auto"/>
                    <w:jc w:val="center"/>
                    <w:rPr>
                      <w:rFonts w:hint="eastAsia" w:ascii="宋体" w:hAnsi="宋体" w:cs="宋体"/>
                      <w:szCs w:val="21"/>
                    </w:rPr>
                  </w:pPr>
                  <w:r>
                    <w:rPr>
                      <w:szCs w:val="21"/>
                    </w:rPr>
                    <w:t>MAO4500/3000</w:t>
                  </w:r>
                </w:p>
              </w:tc>
              <w:tc>
                <w:tcPr>
                  <w:tcW w:w="765" w:type="dxa"/>
                </w:tcPr>
                <w:p>
                  <w:pPr>
                    <w:spacing w:line="240" w:lineRule="auto"/>
                    <w:jc w:val="center"/>
                    <w:rPr>
                      <w:szCs w:val="21"/>
                    </w:rPr>
                  </w:pPr>
                  <w:r>
                    <w:rPr>
                      <w:rFonts w:hint="eastAsia"/>
                      <w:szCs w:val="21"/>
                    </w:rPr>
                    <w:t>2</w:t>
                  </w:r>
                </w:p>
              </w:tc>
              <w:tc>
                <w:tcPr>
                  <w:tcW w:w="750" w:type="dxa"/>
                </w:tcPr>
                <w:p>
                  <w:pPr>
                    <w:spacing w:line="240" w:lineRule="auto"/>
                    <w:jc w:val="center"/>
                    <w:rPr>
                      <w:rFonts w:hint="eastAsia"/>
                      <w:szCs w:val="21"/>
                    </w:rPr>
                  </w:pPr>
                  <w:r>
                    <w:rPr>
                      <w:rFonts w:hint="eastAsia"/>
                      <w:szCs w:val="21"/>
                    </w:rPr>
                    <w:t>2</w:t>
                  </w:r>
                </w:p>
              </w:tc>
              <w:tc>
                <w:tcPr>
                  <w:tcW w:w="1237" w:type="dxa"/>
                  <w:vAlign w:val="center"/>
                </w:tcPr>
                <w:p>
                  <w:pPr>
                    <w:spacing w:line="240" w:lineRule="auto"/>
                    <w:jc w:val="center"/>
                    <w:rPr>
                      <w:rFonts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szCs w:val="21"/>
                    </w:rPr>
                    <w:t>2</w:t>
                  </w:r>
                </w:p>
              </w:tc>
              <w:tc>
                <w:tcPr>
                  <w:tcW w:w="1800" w:type="dxa"/>
                </w:tcPr>
                <w:p>
                  <w:pPr>
                    <w:spacing w:line="240" w:lineRule="auto"/>
                    <w:jc w:val="center"/>
                    <w:rPr>
                      <w:rFonts w:hint="eastAsia" w:ascii="宋体" w:hAnsi="宋体" w:cs="宋体"/>
                      <w:szCs w:val="21"/>
                    </w:rPr>
                  </w:pPr>
                  <w:r>
                    <w:rPr>
                      <w:rFonts w:hint="eastAsia" w:ascii="宋体" w:hAnsi="宋体" w:cs="宋体"/>
                      <w:szCs w:val="21"/>
                    </w:rPr>
                    <w:t>主机除尘</w:t>
                  </w:r>
                </w:p>
              </w:tc>
              <w:tc>
                <w:tcPr>
                  <w:tcW w:w="3375" w:type="dxa"/>
                </w:tcPr>
                <w:p>
                  <w:pPr>
                    <w:spacing w:line="240" w:lineRule="auto"/>
                    <w:jc w:val="center"/>
                    <w:rPr>
                      <w:rFonts w:hint="eastAsia" w:ascii="宋体" w:hAnsi="宋体" w:cs="宋体"/>
                      <w:szCs w:val="21"/>
                    </w:rPr>
                  </w:pPr>
                  <w:r>
                    <w:rPr>
                      <w:rFonts w:hint="eastAsia" w:ascii="宋体" w:hAnsi="宋体" w:cs="宋体"/>
                      <w:szCs w:val="21"/>
                    </w:rPr>
                    <w:t>-</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rPr>
                      <w:szCs w:val="21"/>
                    </w:rPr>
                  </w:pPr>
                </w:p>
                <w:p>
                  <w:pPr>
                    <w:spacing w:line="240" w:lineRule="auto"/>
                    <w:jc w:val="center"/>
                    <w:rPr>
                      <w:szCs w:val="21"/>
                    </w:rPr>
                  </w:pPr>
                  <w:r>
                    <w:rPr>
                      <w:szCs w:val="21"/>
                    </w:rPr>
                    <w:t>3</w:t>
                  </w:r>
                </w:p>
              </w:tc>
              <w:tc>
                <w:tcPr>
                  <w:tcW w:w="1800" w:type="dxa"/>
                  <w:vMerge w:val="restart"/>
                </w:tcPr>
                <w:p>
                  <w:pPr>
                    <w:spacing w:line="240" w:lineRule="auto"/>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主机钢结构</w:t>
                  </w:r>
                </w:p>
              </w:tc>
              <w:tc>
                <w:tcPr>
                  <w:tcW w:w="3375" w:type="dxa"/>
                </w:tcPr>
                <w:p>
                  <w:pPr>
                    <w:spacing w:line="240" w:lineRule="auto"/>
                    <w:jc w:val="center"/>
                    <w:rPr>
                      <w:szCs w:val="21"/>
                    </w:rPr>
                  </w:pPr>
                  <w:r>
                    <w:rPr>
                      <w:szCs w:val="21"/>
                    </w:rPr>
                    <w:t>爬梯</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支腿</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eastAsia="宋体"/>
                      <w:szCs w:val="21"/>
                      <w:lang w:eastAsia="zh-CN"/>
                    </w:rPr>
                  </w:pPr>
                  <w:r>
                    <w:rPr>
                      <w:szCs w:val="21"/>
                    </w:rPr>
                    <w:t>搅拌平台</w:t>
                  </w:r>
                  <w:r>
                    <w:rPr>
                      <w:rFonts w:hint="eastAsia"/>
                      <w:szCs w:val="21"/>
                      <w:lang w:eastAsia="zh-CN"/>
                    </w:rPr>
                    <w:t>（</w:t>
                  </w:r>
                  <w:r>
                    <w:rPr>
                      <w:rFonts w:hint="eastAsia"/>
                      <w:szCs w:val="21"/>
                      <w:lang w:val="en-US" w:eastAsia="zh-CN"/>
                    </w:rPr>
                    <w:t>搅拌设备</w:t>
                  </w:r>
                  <w:r>
                    <w:rPr>
                      <w:rFonts w:hint="eastAsia"/>
                      <w:szCs w:val="21"/>
                      <w:lang w:eastAsia="zh-CN"/>
                    </w:rPr>
                    <w:t>）</w:t>
                  </w:r>
                </w:p>
              </w:tc>
              <w:tc>
                <w:tcPr>
                  <w:tcW w:w="765" w:type="dxa"/>
                </w:tcPr>
                <w:p>
                  <w:pPr>
                    <w:spacing w:line="240" w:lineRule="auto"/>
                    <w:jc w:val="center"/>
                    <w:rPr>
                      <w:szCs w:val="21"/>
                    </w:rPr>
                  </w:pPr>
                  <w:r>
                    <w:rPr>
                      <w:rFonts w:hint="eastAsia"/>
                      <w:szCs w:val="21"/>
                    </w:rPr>
                    <w:t>2</w:t>
                  </w:r>
                </w:p>
              </w:tc>
              <w:tc>
                <w:tcPr>
                  <w:tcW w:w="750" w:type="dxa"/>
                </w:tcPr>
                <w:p>
                  <w:pPr>
                    <w:spacing w:line="240" w:lineRule="auto"/>
                    <w:jc w:val="center"/>
                    <w:rPr>
                      <w:rFonts w:hint="eastAsia"/>
                      <w:szCs w:val="21"/>
                    </w:rPr>
                  </w:pPr>
                  <w:r>
                    <w:rPr>
                      <w:rFonts w:hint="eastAsia"/>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计量平台</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r>
                    <w:rPr>
                      <w:szCs w:val="21"/>
                    </w:rPr>
                    <w:t>4</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骨料配料系统</w:t>
                  </w:r>
                </w:p>
                <w:p>
                  <w:pPr>
                    <w:spacing w:line="240" w:lineRule="auto"/>
                    <w:jc w:val="center"/>
                    <w:rPr>
                      <w:rFonts w:hint="eastAsia" w:ascii="宋体" w:hAnsi="宋体" w:cs="宋体"/>
                      <w:szCs w:val="21"/>
                    </w:rPr>
                  </w:pPr>
                  <w:r>
                    <w:rPr>
                      <w:rFonts w:hint="eastAsia" w:ascii="宋体" w:hAnsi="宋体" w:cs="宋体"/>
                      <w:szCs w:val="21"/>
                    </w:rPr>
                    <w:t>（地仓式）</w:t>
                  </w:r>
                </w:p>
              </w:tc>
              <w:tc>
                <w:tcPr>
                  <w:tcW w:w="3375" w:type="dxa"/>
                </w:tcPr>
                <w:p>
                  <w:pPr>
                    <w:spacing w:line="240" w:lineRule="auto"/>
                    <w:jc w:val="center"/>
                    <w:rPr>
                      <w:szCs w:val="21"/>
                    </w:rPr>
                  </w:pPr>
                  <w:r>
                    <w:rPr>
                      <w:szCs w:val="21"/>
                    </w:rPr>
                    <w:t>60m³料仓</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骨料给料斗</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骨料给料门</w:t>
                  </w:r>
                </w:p>
              </w:tc>
              <w:tc>
                <w:tcPr>
                  <w:tcW w:w="765" w:type="dxa"/>
                </w:tcPr>
                <w:p>
                  <w:pPr>
                    <w:spacing w:line="240" w:lineRule="auto"/>
                    <w:jc w:val="center"/>
                    <w:rPr>
                      <w:szCs w:val="21"/>
                    </w:rPr>
                  </w:pPr>
                  <w:r>
                    <w:rPr>
                      <w:szCs w:val="21"/>
                    </w:rPr>
                    <w:t>8</w:t>
                  </w:r>
                </w:p>
              </w:tc>
              <w:tc>
                <w:tcPr>
                  <w:tcW w:w="750" w:type="dxa"/>
                </w:tcPr>
                <w:p>
                  <w:pPr>
                    <w:spacing w:line="240" w:lineRule="auto"/>
                    <w:jc w:val="center"/>
                    <w:rPr>
                      <w:szCs w:val="21"/>
                    </w:rPr>
                  </w:pPr>
                  <w:r>
                    <w:rPr>
                      <w:szCs w:val="21"/>
                    </w:rPr>
                    <w:t>8</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rPr>
                      <w:szCs w:val="21"/>
                    </w:rPr>
                  </w:pPr>
                  <w:r>
                    <w:rPr>
                      <w:szCs w:val="21"/>
                    </w:rPr>
                    <w:t>电动滚筒YDY11-1.6-630×1000(B)</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输送胶带B=1000mm</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计量斗</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传感器2000</w:t>
                  </w:r>
                </w:p>
              </w:tc>
              <w:tc>
                <w:tcPr>
                  <w:tcW w:w="765" w:type="dxa"/>
                </w:tcPr>
                <w:p>
                  <w:pPr>
                    <w:spacing w:line="240" w:lineRule="auto"/>
                    <w:jc w:val="center"/>
                    <w:rPr>
                      <w:szCs w:val="21"/>
                    </w:rPr>
                  </w:pPr>
                  <w:r>
                    <w:rPr>
                      <w:szCs w:val="21"/>
                    </w:rPr>
                    <w:t>12</w:t>
                  </w:r>
                </w:p>
              </w:tc>
              <w:tc>
                <w:tcPr>
                  <w:tcW w:w="750" w:type="dxa"/>
                </w:tcPr>
                <w:p>
                  <w:pPr>
                    <w:spacing w:line="240" w:lineRule="auto"/>
                    <w:jc w:val="center"/>
                    <w:rPr>
                      <w:szCs w:val="21"/>
                    </w:rPr>
                  </w:pPr>
                  <w:r>
                    <w:rPr>
                      <w:szCs w:val="21"/>
                    </w:rPr>
                    <w:t>12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给料门气缸QGB80-280-S</w:t>
                  </w:r>
                </w:p>
              </w:tc>
              <w:tc>
                <w:tcPr>
                  <w:tcW w:w="765" w:type="dxa"/>
                </w:tcPr>
                <w:p>
                  <w:pPr>
                    <w:spacing w:line="240" w:lineRule="auto"/>
                    <w:jc w:val="center"/>
                    <w:rPr>
                      <w:szCs w:val="21"/>
                    </w:rPr>
                  </w:pPr>
                  <w:r>
                    <w:rPr>
                      <w:szCs w:val="21"/>
                    </w:rPr>
                    <w:t>8</w:t>
                  </w:r>
                </w:p>
              </w:tc>
              <w:tc>
                <w:tcPr>
                  <w:tcW w:w="750" w:type="dxa"/>
                </w:tcPr>
                <w:p>
                  <w:pPr>
                    <w:spacing w:line="240" w:lineRule="auto"/>
                    <w:jc w:val="center"/>
                    <w:rPr>
                      <w:szCs w:val="21"/>
                    </w:rPr>
                  </w:pPr>
                  <w:r>
                    <w:rPr>
                      <w:szCs w:val="21"/>
                    </w:rPr>
                    <w:t>8</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计量斗气缸QGB80-280-S</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r>
                    <w:rPr>
                      <w:szCs w:val="21"/>
                    </w:rPr>
                    <w:t>5</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斜皮带输送机</w:t>
                  </w:r>
                </w:p>
              </w:tc>
              <w:tc>
                <w:tcPr>
                  <w:tcW w:w="3375" w:type="dxa"/>
                </w:tcPr>
                <w:p>
                  <w:pPr>
                    <w:spacing w:line="240" w:lineRule="auto"/>
                    <w:jc w:val="center"/>
                    <w:rPr>
                      <w:szCs w:val="21"/>
                    </w:rPr>
                  </w:pPr>
                  <w:r>
                    <w:rPr>
                      <w:szCs w:val="21"/>
                    </w:rPr>
                    <w:t>电动滚筒YTH37-2-630×1000(B)</w:t>
                  </w:r>
                </w:p>
                <w:p>
                  <w:pPr>
                    <w:spacing w:line="240" w:lineRule="auto"/>
                    <w:jc w:val="center"/>
                    <w:rPr>
                      <w:szCs w:val="21"/>
                    </w:rPr>
                  </w:pPr>
                  <w:r>
                    <w:rPr>
                      <w:szCs w:val="21"/>
                    </w:rPr>
                    <w:t>带逆止器（外置式）包胶人字</w:t>
                  </w:r>
                </w:p>
              </w:tc>
              <w:tc>
                <w:tcPr>
                  <w:tcW w:w="765" w:type="dxa"/>
                </w:tcPr>
                <w:p>
                  <w:pPr>
                    <w:spacing w:line="480" w:lineRule="auto"/>
                    <w:jc w:val="center"/>
                    <w:rPr>
                      <w:szCs w:val="21"/>
                    </w:rPr>
                  </w:pPr>
                  <w:r>
                    <w:rPr>
                      <w:szCs w:val="21"/>
                    </w:rPr>
                    <w:t>1</w:t>
                  </w:r>
                </w:p>
              </w:tc>
              <w:tc>
                <w:tcPr>
                  <w:tcW w:w="750" w:type="dxa"/>
                </w:tcPr>
                <w:p>
                  <w:pPr>
                    <w:spacing w:line="480" w:lineRule="auto"/>
                    <w:jc w:val="center"/>
                    <w:rPr>
                      <w:szCs w:val="21"/>
                    </w:rPr>
                  </w:pPr>
                  <w:r>
                    <w:rPr>
                      <w:szCs w:val="21"/>
                    </w:rPr>
                    <w:t>1</w:t>
                  </w:r>
                </w:p>
              </w:tc>
              <w:tc>
                <w:tcPr>
                  <w:tcW w:w="1237" w:type="dxa"/>
                  <w:vMerge w:val="restart"/>
                  <w:vAlign w:val="center"/>
                </w:tcPr>
                <w:p>
                  <w:pPr>
                    <w:spacing w:line="48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头架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改向滚筒</w:t>
                  </w:r>
                </w:p>
              </w:tc>
              <w:tc>
                <w:tcPr>
                  <w:tcW w:w="765" w:type="dxa"/>
                </w:tcPr>
                <w:p>
                  <w:pPr>
                    <w:spacing w:line="240" w:lineRule="auto"/>
                    <w:jc w:val="center"/>
                    <w:rPr>
                      <w:szCs w:val="21"/>
                    </w:rPr>
                  </w:pPr>
                  <w:r>
                    <w:rPr>
                      <w:szCs w:val="21"/>
                    </w:rPr>
                    <w:t>5</w:t>
                  </w:r>
                </w:p>
              </w:tc>
              <w:tc>
                <w:tcPr>
                  <w:tcW w:w="750" w:type="dxa"/>
                </w:tcPr>
                <w:p>
                  <w:pPr>
                    <w:spacing w:line="240" w:lineRule="auto"/>
                    <w:jc w:val="center"/>
                    <w:rPr>
                      <w:szCs w:val="21"/>
                    </w:rPr>
                  </w:pPr>
                  <w:r>
                    <w:rPr>
                      <w:szCs w:val="21"/>
                    </w:rPr>
                    <w:t>5</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机架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重垂张紧装置</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左侧梯子</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支腿</w:t>
                  </w:r>
                </w:p>
              </w:tc>
              <w:tc>
                <w:tcPr>
                  <w:tcW w:w="765" w:type="dxa"/>
                </w:tcPr>
                <w:p>
                  <w:pPr>
                    <w:spacing w:line="240" w:lineRule="auto"/>
                    <w:jc w:val="center"/>
                    <w:rPr>
                      <w:szCs w:val="21"/>
                    </w:rPr>
                  </w:pPr>
                  <w:r>
                    <w:rPr>
                      <w:szCs w:val="21"/>
                    </w:rPr>
                    <w:t>2</w:t>
                  </w:r>
                </w:p>
              </w:tc>
              <w:tc>
                <w:tcPr>
                  <w:tcW w:w="750" w:type="dxa"/>
                </w:tcPr>
                <w:p>
                  <w:pPr>
                    <w:spacing w:line="240" w:lineRule="auto"/>
                    <w:jc w:val="center"/>
                    <w:rPr>
                      <w:szCs w:val="21"/>
                    </w:rPr>
                  </w:pPr>
                  <w:r>
                    <w:rPr>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尾架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输送胶带L-106000mm</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垂拉砂箱</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槽托辊</w:t>
                  </w:r>
                </w:p>
              </w:tc>
              <w:tc>
                <w:tcPr>
                  <w:tcW w:w="765" w:type="dxa"/>
                </w:tcPr>
                <w:p>
                  <w:pPr>
                    <w:spacing w:line="240" w:lineRule="auto"/>
                    <w:jc w:val="center"/>
                    <w:rPr>
                      <w:szCs w:val="21"/>
                    </w:rPr>
                  </w:pPr>
                  <w:r>
                    <w:rPr>
                      <w:szCs w:val="21"/>
                    </w:rPr>
                    <w:t>45</w:t>
                  </w:r>
                </w:p>
              </w:tc>
              <w:tc>
                <w:tcPr>
                  <w:tcW w:w="750" w:type="dxa"/>
                </w:tcPr>
                <w:p>
                  <w:pPr>
                    <w:spacing w:line="240" w:lineRule="auto"/>
                    <w:jc w:val="center"/>
                    <w:rPr>
                      <w:szCs w:val="21"/>
                    </w:rPr>
                  </w:pPr>
                  <w:r>
                    <w:rPr>
                      <w:szCs w:val="21"/>
                    </w:rPr>
                    <w:t>45</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上调心托辊组</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下调心托辊组</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平托辊组</w:t>
                  </w:r>
                </w:p>
              </w:tc>
              <w:tc>
                <w:tcPr>
                  <w:tcW w:w="765" w:type="dxa"/>
                </w:tcPr>
                <w:p>
                  <w:pPr>
                    <w:spacing w:line="240" w:lineRule="auto"/>
                    <w:jc w:val="center"/>
                    <w:rPr>
                      <w:szCs w:val="21"/>
                    </w:rPr>
                  </w:pPr>
                  <w:r>
                    <w:rPr>
                      <w:szCs w:val="21"/>
                    </w:rPr>
                    <w:t>22</w:t>
                  </w:r>
                </w:p>
              </w:tc>
              <w:tc>
                <w:tcPr>
                  <w:tcW w:w="750" w:type="dxa"/>
                </w:tcPr>
                <w:p>
                  <w:pPr>
                    <w:spacing w:line="240" w:lineRule="auto"/>
                    <w:jc w:val="center"/>
                    <w:rPr>
                      <w:szCs w:val="21"/>
                    </w:rPr>
                  </w:pPr>
                  <w:r>
                    <w:rPr>
                      <w:szCs w:val="21"/>
                    </w:rPr>
                    <w:t>22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导料槽</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右侧梯子</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r>
                    <w:rPr>
                      <w:szCs w:val="21"/>
                    </w:rPr>
                    <w:t>6</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骨料储料仓</w:t>
                  </w:r>
                </w:p>
              </w:tc>
              <w:tc>
                <w:tcPr>
                  <w:tcW w:w="3375" w:type="dxa"/>
                </w:tcPr>
                <w:p>
                  <w:pPr>
                    <w:spacing w:line="240" w:lineRule="auto"/>
                    <w:jc w:val="center"/>
                    <w:rPr>
                      <w:rFonts w:hint="eastAsia" w:ascii="宋体" w:hAnsi="宋体" w:cs="宋体"/>
                      <w:szCs w:val="21"/>
                    </w:rPr>
                  </w:pPr>
                  <w:r>
                    <w:rPr>
                      <w:rFonts w:hint="eastAsia" w:ascii="宋体" w:hAnsi="宋体" w:cs="宋体"/>
                      <w:szCs w:val="21"/>
                    </w:rPr>
                    <w:t>骨料储料斗</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卸料门</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气缸QGBZ125×250-MP1</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行程开关JLXK1-111</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p>
                <w:p>
                  <w:pPr>
                    <w:spacing w:line="240" w:lineRule="auto"/>
                    <w:rPr>
                      <w:szCs w:val="21"/>
                    </w:rPr>
                  </w:pPr>
                </w:p>
                <w:p>
                  <w:pPr>
                    <w:spacing w:line="240" w:lineRule="auto"/>
                    <w:jc w:val="center"/>
                    <w:rPr>
                      <w:szCs w:val="21"/>
                    </w:rPr>
                  </w:pPr>
                  <w:r>
                    <w:rPr>
                      <w:szCs w:val="21"/>
                    </w:rPr>
                    <w:t>7</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粉料计量系统</w:t>
                  </w:r>
                </w:p>
              </w:tc>
              <w:tc>
                <w:tcPr>
                  <w:tcW w:w="3375" w:type="dxa"/>
                </w:tcPr>
                <w:p>
                  <w:pPr>
                    <w:spacing w:line="240" w:lineRule="auto"/>
                    <w:jc w:val="center"/>
                    <w:rPr>
                      <w:szCs w:val="21"/>
                    </w:rPr>
                  </w:pPr>
                  <w:r>
                    <w:rPr>
                      <w:szCs w:val="21"/>
                    </w:rPr>
                    <w:t>水泥计量计</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传感器TSC-1000</w:t>
                  </w:r>
                </w:p>
              </w:tc>
              <w:tc>
                <w:tcPr>
                  <w:tcW w:w="765" w:type="dxa"/>
                </w:tcPr>
                <w:p>
                  <w:pPr>
                    <w:spacing w:line="240" w:lineRule="auto"/>
                    <w:jc w:val="center"/>
                    <w:rPr>
                      <w:szCs w:val="21"/>
                    </w:rPr>
                  </w:pPr>
                  <w:r>
                    <w:rPr>
                      <w:szCs w:val="21"/>
                    </w:rPr>
                    <w:t>3</w:t>
                  </w:r>
                </w:p>
              </w:tc>
              <w:tc>
                <w:tcPr>
                  <w:tcW w:w="750" w:type="dxa"/>
                </w:tcPr>
                <w:p>
                  <w:pPr>
                    <w:spacing w:line="240" w:lineRule="auto"/>
                    <w:jc w:val="center"/>
                    <w:rPr>
                      <w:szCs w:val="21"/>
                    </w:rPr>
                  </w:pPr>
                  <w:r>
                    <w:rPr>
                      <w:szCs w:val="21"/>
                    </w:rPr>
                    <w:t>3</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卸料门蝶阀DN300</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振动器0.15KW</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粉煤灰计量斗</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传感器TSC-500</w:t>
                  </w:r>
                </w:p>
              </w:tc>
              <w:tc>
                <w:tcPr>
                  <w:tcW w:w="765" w:type="dxa"/>
                </w:tcPr>
                <w:p>
                  <w:pPr>
                    <w:spacing w:line="240" w:lineRule="auto"/>
                    <w:jc w:val="center"/>
                    <w:rPr>
                      <w:szCs w:val="21"/>
                    </w:rPr>
                  </w:pPr>
                  <w:r>
                    <w:rPr>
                      <w:szCs w:val="21"/>
                    </w:rPr>
                    <w:t>3</w:t>
                  </w:r>
                </w:p>
              </w:tc>
              <w:tc>
                <w:tcPr>
                  <w:tcW w:w="750" w:type="dxa"/>
                </w:tcPr>
                <w:p>
                  <w:pPr>
                    <w:spacing w:line="240" w:lineRule="auto"/>
                    <w:jc w:val="center"/>
                    <w:rPr>
                      <w:szCs w:val="21"/>
                    </w:rPr>
                  </w:pPr>
                  <w:r>
                    <w:rPr>
                      <w:szCs w:val="21"/>
                    </w:rPr>
                    <w:t>3</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卸料门蝶阀DN250</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振动器0.15KW</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480" w:lineRule="auto"/>
                    <w:jc w:val="center"/>
                    <w:rPr>
                      <w:szCs w:val="21"/>
                    </w:rPr>
                  </w:pPr>
                  <w:r>
                    <w:rPr>
                      <w:szCs w:val="21"/>
                    </w:rPr>
                    <w:t>8</w:t>
                  </w:r>
                </w:p>
              </w:tc>
              <w:tc>
                <w:tcPr>
                  <w:tcW w:w="1800" w:type="dxa"/>
                  <w:vMerge w:val="restart"/>
                </w:tcPr>
                <w:p>
                  <w:pPr>
                    <w:spacing w:line="240" w:lineRule="auto"/>
                    <w:jc w:val="center"/>
                    <w:rPr>
                      <w:rFonts w:hint="eastAsia" w:ascii="宋体" w:hAnsi="宋体" w:cs="宋体"/>
                      <w:szCs w:val="21"/>
                    </w:rPr>
                  </w:pPr>
                </w:p>
                <w:p>
                  <w:pPr>
                    <w:spacing w:line="480" w:lineRule="auto"/>
                    <w:jc w:val="center"/>
                    <w:rPr>
                      <w:rFonts w:hint="eastAsia" w:ascii="宋体" w:hAnsi="宋体" w:cs="宋体"/>
                      <w:szCs w:val="21"/>
                    </w:rPr>
                  </w:pPr>
                  <w:r>
                    <w:rPr>
                      <w:rFonts w:hint="eastAsia" w:ascii="宋体" w:hAnsi="宋体" w:cs="宋体"/>
                      <w:szCs w:val="21"/>
                    </w:rPr>
                    <w:t>水计量系统</w:t>
                  </w:r>
                </w:p>
              </w:tc>
              <w:tc>
                <w:tcPr>
                  <w:tcW w:w="3375" w:type="dxa"/>
                </w:tcPr>
                <w:p>
                  <w:pPr>
                    <w:spacing w:line="240" w:lineRule="auto"/>
                    <w:jc w:val="center"/>
                    <w:rPr>
                      <w:szCs w:val="21"/>
                    </w:rPr>
                  </w:pPr>
                  <w:r>
                    <w:rPr>
                      <w:szCs w:val="21"/>
                    </w:rPr>
                    <w:t>水计量斗</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传感器TSC-500</w:t>
                  </w:r>
                </w:p>
              </w:tc>
              <w:tc>
                <w:tcPr>
                  <w:tcW w:w="765" w:type="dxa"/>
                </w:tcPr>
                <w:p>
                  <w:pPr>
                    <w:spacing w:line="240" w:lineRule="auto"/>
                    <w:jc w:val="center"/>
                    <w:rPr>
                      <w:szCs w:val="21"/>
                    </w:rPr>
                  </w:pPr>
                  <w:r>
                    <w:rPr>
                      <w:szCs w:val="21"/>
                    </w:rPr>
                    <w:t>3</w:t>
                  </w:r>
                </w:p>
              </w:tc>
              <w:tc>
                <w:tcPr>
                  <w:tcW w:w="750" w:type="dxa"/>
                </w:tcPr>
                <w:p>
                  <w:pPr>
                    <w:spacing w:line="240" w:lineRule="auto"/>
                    <w:jc w:val="center"/>
                    <w:rPr>
                      <w:szCs w:val="21"/>
                    </w:rPr>
                  </w:pPr>
                  <w:r>
                    <w:rPr>
                      <w:szCs w:val="21"/>
                    </w:rPr>
                    <w:t>3</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卸水水泵ISG125-100A</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气动衬胶蝶阀DN150</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r>
                    <w:rPr>
                      <w:szCs w:val="21"/>
                    </w:rPr>
                    <w:t>9</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液体外加剂计量系统</w:t>
                  </w:r>
                </w:p>
              </w:tc>
              <w:tc>
                <w:tcPr>
                  <w:tcW w:w="3375" w:type="dxa"/>
                </w:tcPr>
                <w:p>
                  <w:pPr>
                    <w:spacing w:line="240" w:lineRule="auto"/>
                    <w:jc w:val="center"/>
                    <w:rPr>
                      <w:szCs w:val="21"/>
                    </w:rPr>
                  </w:pPr>
                  <w:r>
                    <w:rPr>
                      <w:szCs w:val="21"/>
                    </w:rPr>
                    <w:t>外加剂计量斗（不锈钢）</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传感器TSC-200</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气动衬胶蝶阀DN50</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p>
                <w:p>
                  <w:pPr>
                    <w:spacing w:line="240" w:lineRule="auto"/>
                    <w:jc w:val="center"/>
                    <w:rPr>
                      <w:szCs w:val="21"/>
                    </w:rPr>
                  </w:pPr>
                  <w:r>
                    <w:rPr>
                      <w:szCs w:val="21"/>
                    </w:rPr>
                    <w:t>10</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液体外加剂储存及供给系统</w:t>
                  </w:r>
                </w:p>
              </w:tc>
              <w:tc>
                <w:tcPr>
                  <w:tcW w:w="3375" w:type="dxa"/>
                </w:tcPr>
                <w:p>
                  <w:pPr>
                    <w:spacing w:line="240" w:lineRule="auto"/>
                    <w:jc w:val="center"/>
                    <w:rPr>
                      <w:szCs w:val="21"/>
                    </w:rPr>
                  </w:pPr>
                  <w:r>
                    <w:rPr>
                      <w:szCs w:val="21"/>
                    </w:rPr>
                    <w:t>管路及配件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储料仓5m³</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储料仓10m³</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机架</w:t>
                  </w:r>
                </w:p>
              </w:tc>
              <w:tc>
                <w:tcPr>
                  <w:tcW w:w="765" w:type="dxa"/>
                </w:tcPr>
                <w:p>
                  <w:pPr>
                    <w:spacing w:line="240" w:lineRule="auto"/>
                    <w:jc w:val="center"/>
                    <w:rPr>
                      <w:szCs w:val="21"/>
                    </w:rPr>
                  </w:pPr>
                  <w:r>
                    <w:rPr>
                      <w:szCs w:val="21"/>
                    </w:rPr>
                    <w:t>2</w:t>
                  </w:r>
                </w:p>
              </w:tc>
              <w:tc>
                <w:tcPr>
                  <w:tcW w:w="750" w:type="dxa"/>
                </w:tcPr>
                <w:p>
                  <w:pPr>
                    <w:spacing w:line="240" w:lineRule="auto"/>
                    <w:jc w:val="center"/>
                    <w:rPr>
                      <w:szCs w:val="21"/>
                    </w:rPr>
                  </w:pPr>
                  <w:r>
                    <w:rPr>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潜水泵WQ15-1.1KW</w:t>
                  </w:r>
                </w:p>
              </w:tc>
              <w:tc>
                <w:tcPr>
                  <w:tcW w:w="765" w:type="dxa"/>
                </w:tcPr>
                <w:p>
                  <w:pPr>
                    <w:spacing w:line="240" w:lineRule="auto"/>
                    <w:jc w:val="center"/>
                    <w:rPr>
                      <w:szCs w:val="21"/>
                    </w:rPr>
                  </w:pPr>
                  <w:r>
                    <w:rPr>
                      <w:szCs w:val="21"/>
                    </w:rPr>
                    <w:t>2</w:t>
                  </w:r>
                </w:p>
              </w:tc>
              <w:tc>
                <w:tcPr>
                  <w:tcW w:w="750" w:type="dxa"/>
                </w:tcPr>
                <w:p>
                  <w:pPr>
                    <w:spacing w:line="240" w:lineRule="auto"/>
                    <w:jc w:val="center"/>
                    <w:rPr>
                      <w:szCs w:val="21"/>
                    </w:rPr>
                  </w:pPr>
                  <w:r>
                    <w:rPr>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外加剂气吹搅动系统</w:t>
                  </w:r>
                </w:p>
              </w:tc>
              <w:tc>
                <w:tcPr>
                  <w:tcW w:w="765" w:type="dxa"/>
                </w:tcPr>
                <w:p>
                  <w:pPr>
                    <w:spacing w:line="240" w:lineRule="auto"/>
                    <w:jc w:val="center"/>
                    <w:rPr>
                      <w:szCs w:val="21"/>
                    </w:rPr>
                  </w:pPr>
                  <w:r>
                    <w:rPr>
                      <w:szCs w:val="21"/>
                    </w:rPr>
                    <w:t>2</w:t>
                  </w:r>
                </w:p>
              </w:tc>
              <w:tc>
                <w:tcPr>
                  <w:tcW w:w="750" w:type="dxa"/>
                </w:tcPr>
                <w:p>
                  <w:pPr>
                    <w:spacing w:line="240" w:lineRule="auto"/>
                    <w:jc w:val="center"/>
                    <w:rPr>
                      <w:szCs w:val="21"/>
                    </w:rPr>
                  </w:pPr>
                  <w:r>
                    <w:rPr>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480" w:lineRule="auto"/>
                    <w:jc w:val="center"/>
                    <w:rPr>
                      <w:szCs w:val="21"/>
                    </w:rPr>
                  </w:pPr>
                  <w:r>
                    <w:rPr>
                      <w:szCs w:val="21"/>
                    </w:rPr>
                    <w:t>11</w:t>
                  </w:r>
                </w:p>
              </w:tc>
              <w:tc>
                <w:tcPr>
                  <w:tcW w:w="1800" w:type="dxa"/>
                  <w:vMerge w:val="restart"/>
                </w:tcPr>
                <w:p>
                  <w:pPr>
                    <w:spacing w:line="480" w:lineRule="auto"/>
                    <w:jc w:val="center"/>
                    <w:rPr>
                      <w:rFonts w:hint="eastAsia" w:ascii="宋体" w:hAnsi="宋体" w:cs="宋体"/>
                      <w:szCs w:val="21"/>
                    </w:rPr>
                  </w:pPr>
                  <w:r>
                    <w:rPr>
                      <w:rFonts w:hint="eastAsia" w:ascii="宋体" w:hAnsi="宋体" w:cs="宋体"/>
                      <w:szCs w:val="21"/>
                    </w:rPr>
                    <w:t>水路系统</w:t>
                  </w:r>
                </w:p>
              </w:tc>
              <w:tc>
                <w:tcPr>
                  <w:tcW w:w="3375" w:type="dxa"/>
                </w:tcPr>
                <w:p>
                  <w:pPr>
                    <w:spacing w:line="240" w:lineRule="auto"/>
                    <w:jc w:val="center"/>
                    <w:rPr>
                      <w:szCs w:val="21"/>
                    </w:rPr>
                  </w:pPr>
                  <w:r>
                    <w:rPr>
                      <w:szCs w:val="21"/>
                    </w:rPr>
                    <w:t>供水水泵QY65-18-5.5</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管路及配件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77" w:type="dxa"/>
                  <w:vMerge w:val="restart"/>
                </w:tcPr>
                <w:p>
                  <w:pPr>
                    <w:spacing w:line="240" w:lineRule="auto"/>
                    <w:jc w:val="center"/>
                    <w:rPr>
                      <w:szCs w:val="21"/>
                    </w:rPr>
                  </w:pPr>
                </w:p>
                <w:p>
                  <w:pPr>
                    <w:spacing w:line="240" w:lineRule="auto"/>
                    <w:jc w:val="center"/>
                    <w:rPr>
                      <w:szCs w:val="21"/>
                    </w:rPr>
                  </w:pPr>
                  <w:r>
                    <w:rPr>
                      <w:szCs w:val="21"/>
                    </w:rPr>
                    <w:t>12</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气控系统</w:t>
                  </w:r>
                </w:p>
              </w:tc>
              <w:tc>
                <w:tcPr>
                  <w:tcW w:w="3375" w:type="dxa"/>
                </w:tcPr>
                <w:p>
                  <w:pPr>
                    <w:spacing w:line="240" w:lineRule="auto"/>
                    <w:jc w:val="center"/>
                    <w:rPr>
                      <w:szCs w:val="21"/>
                    </w:rPr>
                  </w:pPr>
                  <w:r>
                    <w:rPr>
                      <w:szCs w:val="21"/>
                    </w:rPr>
                    <w:t>储气罐</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rPr>
                  </w:pPr>
                </w:p>
                <w:p>
                  <w:pPr>
                    <w:jc w:val="center"/>
                    <w:rPr>
                      <w:rFonts w:hint="eastAsia"/>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气联体LFR/L-08</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压缩空气过滤器KJL-40</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管路、接头号及固定件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p>
                <w:p>
                  <w:pPr>
                    <w:spacing w:line="240" w:lineRule="auto"/>
                    <w:jc w:val="center"/>
                    <w:rPr>
                      <w:szCs w:val="21"/>
                    </w:rPr>
                  </w:pPr>
                  <w:r>
                    <w:rPr>
                      <w:szCs w:val="21"/>
                    </w:rPr>
                    <w:t>13</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电控系统</w:t>
                  </w:r>
                </w:p>
              </w:tc>
              <w:tc>
                <w:tcPr>
                  <w:tcW w:w="3375" w:type="dxa"/>
                </w:tcPr>
                <w:p>
                  <w:pPr>
                    <w:spacing w:line="240" w:lineRule="auto"/>
                    <w:jc w:val="center"/>
                    <w:rPr>
                      <w:szCs w:val="21"/>
                    </w:rPr>
                  </w:pPr>
                  <w:r>
                    <w:rPr>
                      <w:szCs w:val="21"/>
                    </w:rPr>
                    <w:t>主要电器元件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工控机</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工控机砼控制软件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液晶显示器1</w:t>
                  </w:r>
                  <w:r>
                    <w:rPr>
                      <w:rFonts w:hint="eastAsia"/>
                      <w:szCs w:val="21"/>
                    </w:rPr>
                    <w:t>9</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打印机LQ-520K</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UPS不间断电源</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操作台</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强电柜</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电线、电缆</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r>
                    <w:rPr>
                      <w:szCs w:val="21"/>
                    </w:rPr>
                    <w:t>14</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监控系统</w:t>
                  </w:r>
                </w:p>
              </w:tc>
              <w:tc>
                <w:tcPr>
                  <w:tcW w:w="3375" w:type="dxa"/>
                </w:tcPr>
                <w:p>
                  <w:pPr>
                    <w:spacing w:line="240" w:lineRule="auto"/>
                    <w:jc w:val="center"/>
                    <w:rPr>
                      <w:rFonts w:hint="eastAsia" w:ascii="宋体" w:hAnsi="宋体" w:cs="宋体"/>
                      <w:szCs w:val="21"/>
                    </w:rPr>
                  </w:pPr>
                  <w:r>
                    <w:rPr>
                      <w:rFonts w:hint="eastAsia" w:ascii="宋体" w:hAnsi="宋体" w:cs="宋体"/>
                      <w:szCs w:val="21"/>
                    </w:rPr>
                    <w:t>摄像机</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摄像镜头</w:t>
                  </w:r>
                </w:p>
              </w:tc>
              <w:tc>
                <w:tcPr>
                  <w:tcW w:w="765" w:type="dxa"/>
                </w:tcPr>
                <w:p>
                  <w:pPr>
                    <w:spacing w:line="240" w:lineRule="auto"/>
                    <w:jc w:val="center"/>
                    <w:rPr>
                      <w:szCs w:val="21"/>
                    </w:rPr>
                  </w:pPr>
                  <w:r>
                    <w:rPr>
                      <w:szCs w:val="21"/>
                    </w:rPr>
                    <w:t>4</w:t>
                  </w:r>
                </w:p>
              </w:tc>
              <w:tc>
                <w:tcPr>
                  <w:tcW w:w="750" w:type="dxa"/>
                </w:tcPr>
                <w:p>
                  <w:pPr>
                    <w:spacing w:line="240" w:lineRule="auto"/>
                    <w:jc w:val="center"/>
                    <w:rPr>
                      <w:szCs w:val="21"/>
                    </w:rPr>
                  </w:pPr>
                  <w:r>
                    <w:rPr>
                      <w:szCs w:val="21"/>
                    </w:rPr>
                    <w:t>4</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监视器</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tcPr>
                <w:p>
                  <w:pPr>
                    <w:spacing w:line="240" w:lineRule="auto"/>
                    <w:jc w:val="center"/>
                    <w:rPr>
                      <w:szCs w:val="21"/>
                    </w:rPr>
                  </w:pPr>
                </w:p>
                <w:p>
                  <w:pPr>
                    <w:spacing w:line="240" w:lineRule="auto"/>
                    <w:jc w:val="center"/>
                    <w:rPr>
                      <w:szCs w:val="21"/>
                    </w:rPr>
                  </w:pPr>
                </w:p>
                <w:p>
                  <w:pPr>
                    <w:spacing w:line="240" w:lineRule="auto"/>
                    <w:jc w:val="center"/>
                    <w:rPr>
                      <w:szCs w:val="21"/>
                    </w:rPr>
                  </w:pPr>
                  <w:r>
                    <w:rPr>
                      <w:szCs w:val="21"/>
                    </w:rPr>
                    <w:t>15</w:t>
                  </w:r>
                </w:p>
              </w:tc>
              <w:tc>
                <w:tcPr>
                  <w:tcW w:w="1800" w:type="dxa"/>
                  <w:vMerge w:val="restart"/>
                </w:tcPr>
                <w:p>
                  <w:pPr>
                    <w:spacing w:line="240" w:lineRule="auto"/>
                    <w:jc w:val="center"/>
                    <w:rPr>
                      <w:rFonts w:hint="eastAsia" w:ascii="宋体" w:hAnsi="宋体" w:cs="宋体"/>
                      <w:szCs w:val="21"/>
                    </w:rPr>
                  </w:pPr>
                </w:p>
                <w:p>
                  <w:pPr>
                    <w:spacing w:line="240" w:lineRule="auto"/>
                    <w:jc w:val="center"/>
                    <w:rPr>
                      <w:rFonts w:hint="eastAsia" w:ascii="宋体" w:hAnsi="宋体" w:cs="宋体"/>
                      <w:szCs w:val="21"/>
                    </w:rPr>
                  </w:pPr>
                  <w:r>
                    <w:rPr>
                      <w:rFonts w:hint="eastAsia" w:ascii="宋体" w:hAnsi="宋体" w:cs="宋体"/>
                      <w:szCs w:val="21"/>
                    </w:rPr>
                    <w:t>控制室</w:t>
                  </w:r>
                  <w:r>
                    <w:rPr>
                      <w:szCs w:val="21"/>
                    </w:rPr>
                    <w:t>2.3m*6.5m</w:t>
                  </w:r>
                </w:p>
              </w:tc>
              <w:tc>
                <w:tcPr>
                  <w:tcW w:w="3375" w:type="dxa"/>
                </w:tcPr>
                <w:p>
                  <w:pPr>
                    <w:spacing w:line="240" w:lineRule="auto"/>
                    <w:jc w:val="center"/>
                    <w:rPr>
                      <w:rFonts w:hint="eastAsia" w:ascii="宋体" w:hAnsi="宋体" w:cs="宋体"/>
                      <w:szCs w:val="21"/>
                    </w:rPr>
                  </w:pPr>
                  <w:r>
                    <w:rPr>
                      <w:rFonts w:hint="eastAsia" w:ascii="宋体" w:hAnsi="宋体" w:cs="宋体"/>
                      <w:szCs w:val="21"/>
                    </w:rPr>
                    <w:t>主控制机架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双层彩色板</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座椅</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支架</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rFonts w:hint="eastAsia" w:ascii="宋体" w:hAnsi="宋体" w:cs="宋体"/>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rFonts w:hint="eastAsia" w:ascii="宋体" w:hAnsi="宋体" w:cs="宋体"/>
                      <w:szCs w:val="21"/>
                    </w:rPr>
                  </w:pPr>
                  <w:r>
                    <w:rPr>
                      <w:rFonts w:hint="eastAsia" w:ascii="宋体" w:hAnsi="宋体" w:cs="宋体"/>
                      <w:szCs w:val="21"/>
                    </w:rPr>
                    <w:t>格力空调</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szCs w:val="21"/>
                    </w:rPr>
                    <w:t>16</w:t>
                  </w:r>
                </w:p>
              </w:tc>
              <w:tc>
                <w:tcPr>
                  <w:tcW w:w="5175" w:type="dxa"/>
                  <w:gridSpan w:val="2"/>
                </w:tcPr>
                <w:p>
                  <w:pPr>
                    <w:spacing w:line="240" w:lineRule="auto"/>
                    <w:jc w:val="center"/>
                    <w:rPr>
                      <w:rFonts w:hint="eastAsia" w:ascii="宋体" w:hAnsi="宋体" w:cs="宋体"/>
                      <w:szCs w:val="21"/>
                    </w:rPr>
                  </w:pPr>
                  <w:r>
                    <w:rPr>
                      <w:rFonts w:hint="eastAsia" w:ascii="宋体" w:hAnsi="宋体" w:cs="宋体"/>
                      <w:szCs w:val="21"/>
                    </w:rPr>
                    <w:t>主机（双层）及皮带机外装修（单层彩板）</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szCs w:val="21"/>
                    </w:rPr>
                    <w:t>17</w:t>
                  </w:r>
                </w:p>
              </w:tc>
              <w:tc>
                <w:tcPr>
                  <w:tcW w:w="6690" w:type="dxa"/>
                  <w:gridSpan w:val="4"/>
                </w:tcPr>
                <w:p>
                  <w:pPr>
                    <w:spacing w:line="240" w:lineRule="auto"/>
                    <w:jc w:val="center"/>
                    <w:rPr>
                      <w:szCs w:val="21"/>
                    </w:rPr>
                  </w:pPr>
                  <w:r>
                    <w:rPr>
                      <w:szCs w:val="21"/>
                    </w:rPr>
                    <w:t>搅拌楼颜色</w:t>
                  </w:r>
                </w:p>
              </w:tc>
              <w:tc>
                <w:tcPr>
                  <w:tcW w:w="1237" w:type="dxa"/>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szCs w:val="21"/>
                    </w:rPr>
                    <w:t>18</w:t>
                  </w:r>
                </w:p>
              </w:tc>
              <w:tc>
                <w:tcPr>
                  <w:tcW w:w="1800" w:type="dxa"/>
                </w:tcPr>
                <w:p>
                  <w:pPr>
                    <w:spacing w:line="240" w:lineRule="auto"/>
                    <w:jc w:val="center"/>
                    <w:rPr>
                      <w:rFonts w:hint="eastAsia" w:ascii="宋体" w:hAnsi="宋体" w:cs="宋体"/>
                      <w:szCs w:val="21"/>
                    </w:rPr>
                  </w:pPr>
                  <w:r>
                    <w:rPr>
                      <w:rFonts w:hint="eastAsia" w:ascii="宋体" w:hAnsi="宋体" w:cs="宋体"/>
                      <w:szCs w:val="21"/>
                    </w:rPr>
                    <w:t>照明系统</w:t>
                  </w:r>
                </w:p>
              </w:tc>
              <w:tc>
                <w:tcPr>
                  <w:tcW w:w="3375" w:type="dxa"/>
                </w:tcPr>
                <w:p>
                  <w:pPr>
                    <w:spacing w:line="240" w:lineRule="auto"/>
                    <w:jc w:val="center"/>
                    <w:rPr>
                      <w:rFonts w:hint="eastAsia" w:ascii="宋体" w:hAnsi="宋体" w:cs="宋体"/>
                      <w:szCs w:val="21"/>
                    </w:rPr>
                  </w:pPr>
                  <w:r>
                    <w:rPr>
                      <w:rFonts w:hint="eastAsia" w:ascii="宋体" w:hAnsi="宋体" w:cs="宋体"/>
                      <w:szCs w:val="21"/>
                    </w:rPr>
                    <w:t>电缆、电线、照明及桥架线路系统</w:t>
                  </w:r>
                </w:p>
              </w:tc>
              <w:tc>
                <w:tcPr>
                  <w:tcW w:w="765" w:type="dxa"/>
                </w:tcPr>
                <w:p>
                  <w:pPr>
                    <w:spacing w:line="240" w:lineRule="auto"/>
                    <w:jc w:val="center"/>
                    <w:rPr>
                      <w:szCs w:val="21"/>
                    </w:rPr>
                  </w:pPr>
                  <w:r>
                    <w:rPr>
                      <w:szCs w:val="21"/>
                    </w:rPr>
                    <w:t>1</w:t>
                  </w:r>
                </w:p>
              </w:tc>
              <w:tc>
                <w:tcPr>
                  <w:tcW w:w="750" w:type="dxa"/>
                </w:tcPr>
                <w:p>
                  <w:pPr>
                    <w:spacing w:line="240" w:lineRule="auto"/>
                    <w:jc w:val="center"/>
                    <w:rPr>
                      <w:szCs w:val="21"/>
                    </w:rPr>
                  </w:pPr>
                  <w:r>
                    <w:rPr>
                      <w:szCs w:val="21"/>
                    </w:rPr>
                    <w:t>1</w:t>
                  </w:r>
                </w:p>
              </w:tc>
              <w:tc>
                <w:tcPr>
                  <w:tcW w:w="1237" w:type="dxa"/>
                  <w:vMerge w:val="restart"/>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restart"/>
                  <w:vAlign w:val="center"/>
                </w:tcPr>
                <w:p>
                  <w:pPr>
                    <w:spacing w:line="480" w:lineRule="auto"/>
                    <w:jc w:val="center"/>
                    <w:rPr>
                      <w:szCs w:val="21"/>
                    </w:rPr>
                  </w:pPr>
                  <w:r>
                    <w:rPr>
                      <w:szCs w:val="21"/>
                    </w:rPr>
                    <w:t>19</w:t>
                  </w:r>
                </w:p>
              </w:tc>
              <w:tc>
                <w:tcPr>
                  <w:tcW w:w="1800" w:type="dxa"/>
                  <w:vMerge w:val="restart"/>
                  <w:vAlign w:val="center"/>
                </w:tcPr>
                <w:p>
                  <w:pPr>
                    <w:spacing w:line="480" w:lineRule="auto"/>
                    <w:jc w:val="center"/>
                    <w:rPr>
                      <w:rFonts w:hint="eastAsia" w:ascii="宋体" w:hAnsi="宋体" w:cs="宋体"/>
                      <w:szCs w:val="21"/>
                    </w:rPr>
                  </w:pPr>
                  <w:r>
                    <w:rPr>
                      <w:rFonts w:hint="eastAsia" w:ascii="宋体" w:hAnsi="宋体" w:cs="宋体"/>
                      <w:szCs w:val="21"/>
                    </w:rPr>
                    <w:t>螺旋输送机</w:t>
                  </w:r>
                </w:p>
              </w:tc>
              <w:tc>
                <w:tcPr>
                  <w:tcW w:w="3375" w:type="dxa"/>
                </w:tcPr>
                <w:p>
                  <w:pPr>
                    <w:spacing w:line="240" w:lineRule="auto"/>
                    <w:jc w:val="center"/>
                    <w:rPr>
                      <w:szCs w:val="21"/>
                    </w:rPr>
                  </w:pPr>
                  <w:r>
                    <w:rPr>
                      <w:szCs w:val="21"/>
                    </w:rPr>
                    <w:t>Φ273</w:t>
                  </w:r>
                </w:p>
              </w:tc>
              <w:tc>
                <w:tcPr>
                  <w:tcW w:w="765" w:type="dxa"/>
                </w:tcPr>
                <w:p>
                  <w:pPr>
                    <w:spacing w:line="240" w:lineRule="auto"/>
                    <w:jc w:val="center"/>
                    <w:rPr>
                      <w:szCs w:val="21"/>
                    </w:rPr>
                  </w:pPr>
                  <w:r>
                    <w:rPr>
                      <w:szCs w:val="21"/>
                    </w:rPr>
                    <w:t>2</w:t>
                  </w:r>
                </w:p>
              </w:tc>
              <w:tc>
                <w:tcPr>
                  <w:tcW w:w="750" w:type="dxa"/>
                </w:tcPr>
                <w:p>
                  <w:pPr>
                    <w:spacing w:line="240" w:lineRule="auto"/>
                    <w:jc w:val="center"/>
                    <w:rPr>
                      <w:szCs w:val="21"/>
                    </w:rPr>
                  </w:pPr>
                  <w:r>
                    <w:rPr>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line="240" w:lineRule="auto"/>
                    <w:jc w:val="center"/>
                    <w:rPr>
                      <w:szCs w:val="21"/>
                    </w:rPr>
                  </w:pPr>
                </w:p>
              </w:tc>
              <w:tc>
                <w:tcPr>
                  <w:tcW w:w="1800" w:type="dxa"/>
                  <w:vMerge w:val="continue"/>
                </w:tcPr>
                <w:p>
                  <w:pPr>
                    <w:spacing w:line="240" w:lineRule="auto"/>
                    <w:jc w:val="center"/>
                    <w:rPr>
                      <w:rFonts w:hint="eastAsia" w:ascii="宋体" w:hAnsi="宋体" w:cs="宋体"/>
                      <w:szCs w:val="21"/>
                    </w:rPr>
                  </w:pPr>
                </w:p>
              </w:tc>
              <w:tc>
                <w:tcPr>
                  <w:tcW w:w="3375" w:type="dxa"/>
                </w:tcPr>
                <w:p>
                  <w:pPr>
                    <w:spacing w:line="240" w:lineRule="auto"/>
                    <w:jc w:val="center"/>
                    <w:rPr>
                      <w:szCs w:val="21"/>
                    </w:rPr>
                  </w:pPr>
                  <w:r>
                    <w:rPr>
                      <w:szCs w:val="21"/>
                    </w:rPr>
                    <w:t>Φ325</w:t>
                  </w:r>
                </w:p>
              </w:tc>
              <w:tc>
                <w:tcPr>
                  <w:tcW w:w="765" w:type="dxa"/>
                </w:tcPr>
                <w:p>
                  <w:pPr>
                    <w:spacing w:line="240" w:lineRule="auto"/>
                    <w:jc w:val="center"/>
                    <w:rPr>
                      <w:szCs w:val="21"/>
                    </w:rPr>
                  </w:pPr>
                  <w:r>
                    <w:rPr>
                      <w:szCs w:val="21"/>
                    </w:rPr>
                    <w:t>2</w:t>
                  </w:r>
                </w:p>
              </w:tc>
              <w:tc>
                <w:tcPr>
                  <w:tcW w:w="750" w:type="dxa"/>
                </w:tcPr>
                <w:p>
                  <w:pPr>
                    <w:spacing w:line="240" w:lineRule="auto"/>
                    <w:jc w:val="center"/>
                    <w:rPr>
                      <w:szCs w:val="21"/>
                    </w:rPr>
                  </w:pPr>
                  <w:r>
                    <w:rPr>
                      <w:szCs w:val="21"/>
                    </w:rPr>
                    <w:t>2</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szCs w:val="21"/>
                    </w:rPr>
                    <w:t>20</w:t>
                  </w:r>
                </w:p>
              </w:tc>
              <w:tc>
                <w:tcPr>
                  <w:tcW w:w="1800" w:type="dxa"/>
                </w:tcPr>
                <w:p>
                  <w:pPr>
                    <w:spacing w:line="240" w:lineRule="auto"/>
                    <w:jc w:val="center"/>
                    <w:rPr>
                      <w:rFonts w:hint="eastAsia" w:ascii="宋体" w:hAnsi="宋体" w:eastAsia="宋体" w:cs="宋体"/>
                      <w:szCs w:val="21"/>
                      <w:lang w:eastAsia="zh-CN"/>
                    </w:rPr>
                  </w:pPr>
                  <w:r>
                    <w:rPr>
                      <w:rFonts w:hint="eastAsia" w:ascii="宋体" w:hAnsi="宋体" w:cs="宋体"/>
                      <w:szCs w:val="21"/>
                    </w:rPr>
                    <w:t>粉料仓</w:t>
                  </w:r>
                  <w:r>
                    <w:rPr>
                      <w:rFonts w:hint="eastAsia" w:ascii="宋体" w:hAnsi="宋体" w:cs="宋体"/>
                      <w:szCs w:val="21"/>
                      <w:lang w:eastAsia="zh-CN"/>
                    </w:rPr>
                    <w:t>（</w:t>
                  </w:r>
                  <w:r>
                    <w:rPr>
                      <w:rFonts w:hint="eastAsia" w:ascii="宋体" w:hAnsi="宋体" w:cs="宋体"/>
                      <w:szCs w:val="21"/>
                      <w:lang w:val="en-US" w:eastAsia="zh-CN"/>
                    </w:rPr>
                    <w:t>原料仓</w:t>
                  </w:r>
                  <w:r>
                    <w:rPr>
                      <w:rFonts w:hint="eastAsia" w:ascii="宋体" w:hAnsi="宋体" w:cs="宋体"/>
                      <w:szCs w:val="21"/>
                      <w:lang w:eastAsia="zh-CN"/>
                    </w:rPr>
                    <w:t>）</w:t>
                  </w:r>
                </w:p>
              </w:tc>
              <w:tc>
                <w:tcPr>
                  <w:tcW w:w="3375" w:type="dxa"/>
                </w:tcPr>
                <w:p>
                  <w:pPr>
                    <w:spacing w:line="240" w:lineRule="auto"/>
                    <w:jc w:val="center"/>
                    <w:rPr>
                      <w:szCs w:val="21"/>
                    </w:rPr>
                  </w:pPr>
                  <w:r>
                    <w:rPr>
                      <w:szCs w:val="21"/>
                    </w:rPr>
                    <w:t>200T</w:t>
                  </w:r>
                </w:p>
              </w:tc>
              <w:tc>
                <w:tcPr>
                  <w:tcW w:w="765" w:type="dxa"/>
                </w:tcPr>
                <w:p>
                  <w:pPr>
                    <w:spacing w:line="240" w:lineRule="auto"/>
                    <w:jc w:val="center"/>
                    <w:rPr>
                      <w:szCs w:val="21"/>
                    </w:rPr>
                  </w:pPr>
                  <w:r>
                    <w:rPr>
                      <w:rFonts w:hint="eastAsia"/>
                      <w:szCs w:val="21"/>
                    </w:rPr>
                    <w:t>8</w:t>
                  </w:r>
                </w:p>
              </w:tc>
              <w:tc>
                <w:tcPr>
                  <w:tcW w:w="750" w:type="dxa"/>
                </w:tcPr>
                <w:p>
                  <w:pPr>
                    <w:spacing w:line="240" w:lineRule="auto"/>
                    <w:jc w:val="center"/>
                    <w:rPr>
                      <w:szCs w:val="21"/>
                    </w:rPr>
                  </w:pPr>
                  <w:r>
                    <w:rPr>
                      <w:rFonts w:hint="eastAsia"/>
                      <w:szCs w:val="21"/>
                    </w:rPr>
                    <w:t>8</w:t>
                  </w:r>
                </w:p>
              </w:tc>
              <w:tc>
                <w:tcPr>
                  <w:tcW w:w="1237" w:type="dxa"/>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rFonts w:hint="eastAsia"/>
                      <w:szCs w:val="21"/>
                    </w:rPr>
                    <w:t>21</w:t>
                  </w:r>
                </w:p>
              </w:tc>
              <w:tc>
                <w:tcPr>
                  <w:tcW w:w="1800" w:type="dxa"/>
                </w:tcPr>
                <w:p>
                  <w:pPr>
                    <w:spacing w:line="240" w:lineRule="auto"/>
                    <w:jc w:val="center"/>
                    <w:rPr>
                      <w:rFonts w:hint="eastAsia" w:ascii="宋体" w:hAnsi="宋体" w:cs="宋体"/>
                      <w:szCs w:val="21"/>
                    </w:rPr>
                  </w:pPr>
                  <w:r>
                    <w:rPr>
                      <w:rFonts w:hint="eastAsia" w:ascii="宋体" w:hAnsi="宋体" w:cs="宋体"/>
                      <w:szCs w:val="21"/>
                    </w:rPr>
                    <w:t>分离机组</w:t>
                  </w:r>
                </w:p>
              </w:tc>
              <w:tc>
                <w:tcPr>
                  <w:tcW w:w="3375" w:type="dxa"/>
                </w:tcPr>
                <w:p>
                  <w:pPr>
                    <w:spacing w:line="240" w:lineRule="auto"/>
                    <w:jc w:val="center"/>
                    <w:rPr>
                      <w:szCs w:val="21"/>
                    </w:rPr>
                  </w:pPr>
                  <w:r>
                    <w:rPr>
                      <w:szCs w:val="21"/>
                    </w:rPr>
                    <w:t>落地式卧螺离心机  0.75（kw）</w:t>
                  </w:r>
                </w:p>
              </w:tc>
              <w:tc>
                <w:tcPr>
                  <w:tcW w:w="765" w:type="dxa"/>
                </w:tcPr>
                <w:p>
                  <w:pPr>
                    <w:spacing w:line="240" w:lineRule="auto"/>
                    <w:jc w:val="center"/>
                    <w:rPr>
                      <w:szCs w:val="21"/>
                    </w:rPr>
                  </w:pPr>
                  <w:r>
                    <w:rPr>
                      <w:rFonts w:hint="eastAsia"/>
                      <w:szCs w:val="21"/>
                    </w:rPr>
                    <w:t>1</w:t>
                  </w:r>
                </w:p>
              </w:tc>
              <w:tc>
                <w:tcPr>
                  <w:tcW w:w="750" w:type="dxa"/>
                </w:tcPr>
                <w:p>
                  <w:pPr>
                    <w:spacing w:line="240" w:lineRule="auto"/>
                    <w:jc w:val="center"/>
                    <w:rPr>
                      <w:rFonts w:hint="eastAsia"/>
                      <w:szCs w:val="21"/>
                    </w:rPr>
                  </w:pPr>
                  <w:r>
                    <w:rPr>
                      <w:rFonts w:hint="eastAsia"/>
                      <w:szCs w:val="21"/>
                    </w:rPr>
                    <w:t>1</w:t>
                  </w:r>
                </w:p>
              </w:tc>
              <w:tc>
                <w:tcPr>
                  <w:tcW w:w="1237" w:type="dxa"/>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szCs w:val="21"/>
                    </w:rPr>
                  </w:pPr>
                  <w:r>
                    <w:rPr>
                      <w:rFonts w:hint="eastAsia"/>
                      <w:szCs w:val="21"/>
                    </w:rPr>
                    <w:t>22</w:t>
                  </w:r>
                </w:p>
              </w:tc>
              <w:tc>
                <w:tcPr>
                  <w:tcW w:w="1800" w:type="dxa"/>
                  <w:vAlign w:val="center"/>
                </w:tcPr>
                <w:p>
                  <w:pPr>
                    <w:spacing w:line="240" w:lineRule="auto"/>
                    <w:jc w:val="center"/>
                    <w:rPr>
                      <w:rFonts w:hint="eastAsia" w:ascii="宋体" w:hAnsi="宋体" w:cs="宋体"/>
                      <w:szCs w:val="21"/>
                    </w:rPr>
                  </w:pPr>
                  <w:r>
                    <w:rPr>
                      <w:rFonts w:hint="eastAsia" w:ascii="宋体" w:hAnsi="宋体" w:cs="宋体"/>
                      <w:szCs w:val="21"/>
                    </w:rPr>
                    <w:t>破碎筛分机组</w:t>
                  </w:r>
                </w:p>
              </w:tc>
              <w:tc>
                <w:tcPr>
                  <w:tcW w:w="3375" w:type="dxa"/>
                  <w:vAlign w:val="center"/>
                </w:tcPr>
                <w:p>
                  <w:pPr>
                    <w:spacing w:line="240" w:lineRule="auto"/>
                    <w:jc w:val="center"/>
                    <w:rPr>
                      <w:szCs w:val="21"/>
                    </w:rPr>
                  </w:pPr>
                  <w:r>
                    <w:rPr>
                      <w:szCs w:val="21"/>
                    </w:rPr>
                    <w:t>振动筛  7.5（kw）</w:t>
                  </w:r>
                </w:p>
              </w:tc>
              <w:tc>
                <w:tcPr>
                  <w:tcW w:w="765" w:type="dxa"/>
                  <w:vAlign w:val="center"/>
                </w:tcPr>
                <w:p>
                  <w:pPr>
                    <w:spacing w:line="240" w:lineRule="auto"/>
                    <w:jc w:val="center"/>
                    <w:rPr>
                      <w:szCs w:val="21"/>
                    </w:rPr>
                  </w:pPr>
                  <w:r>
                    <w:rPr>
                      <w:rFonts w:hint="eastAsia"/>
                      <w:szCs w:val="21"/>
                    </w:rPr>
                    <w:t>1</w:t>
                  </w:r>
                </w:p>
              </w:tc>
              <w:tc>
                <w:tcPr>
                  <w:tcW w:w="750" w:type="dxa"/>
                  <w:vAlign w:val="center"/>
                </w:tcPr>
                <w:p>
                  <w:pPr>
                    <w:spacing w:line="240" w:lineRule="auto"/>
                    <w:jc w:val="center"/>
                    <w:rPr>
                      <w:rFonts w:hint="eastAsia"/>
                      <w:szCs w:val="21"/>
                    </w:rPr>
                  </w:pPr>
                  <w:r>
                    <w:rPr>
                      <w:rFonts w:hint="eastAsia"/>
                      <w:szCs w:val="21"/>
                    </w:rPr>
                    <w:t>1</w:t>
                  </w:r>
                </w:p>
              </w:tc>
              <w:tc>
                <w:tcPr>
                  <w:tcW w:w="1237" w:type="dxa"/>
                  <w:vAlign w:val="center"/>
                </w:tcPr>
                <w:p>
                  <w:pPr>
                    <w:spacing w:line="240" w:lineRule="auto"/>
                    <w:jc w:val="center"/>
                    <w:rPr>
                      <w:rFonts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rFonts w:hint="eastAsia"/>
                      <w:szCs w:val="21"/>
                    </w:rPr>
                  </w:pPr>
                  <w:r>
                    <w:rPr>
                      <w:rFonts w:hint="eastAsia"/>
                      <w:szCs w:val="21"/>
                    </w:rPr>
                    <w:t>23</w:t>
                  </w:r>
                </w:p>
              </w:tc>
              <w:tc>
                <w:tcPr>
                  <w:tcW w:w="1800" w:type="dxa"/>
                </w:tcPr>
                <w:p>
                  <w:pPr>
                    <w:spacing w:line="240" w:lineRule="auto"/>
                    <w:jc w:val="center"/>
                    <w:rPr>
                      <w:rFonts w:hint="eastAsia" w:ascii="宋体" w:hAnsi="宋体" w:cs="宋体"/>
                      <w:szCs w:val="21"/>
                    </w:rPr>
                  </w:pPr>
                  <w:r>
                    <w:rPr>
                      <w:rFonts w:hint="eastAsia" w:ascii="宋体" w:hAnsi="宋体" w:cs="宋体"/>
                      <w:szCs w:val="21"/>
                    </w:rPr>
                    <w:t>除尘装置</w:t>
                  </w:r>
                </w:p>
              </w:tc>
              <w:tc>
                <w:tcPr>
                  <w:tcW w:w="3375" w:type="dxa"/>
                </w:tcPr>
                <w:p>
                  <w:pPr>
                    <w:spacing w:line="240" w:lineRule="auto"/>
                    <w:jc w:val="center"/>
                    <w:rPr>
                      <w:szCs w:val="21"/>
                    </w:rPr>
                  </w:pPr>
                  <w:r>
                    <w:rPr>
                      <w:rFonts w:hint="eastAsia"/>
                      <w:szCs w:val="21"/>
                    </w:rPr>
                    <w:t>5000-40000（m</w:t>
                  </w:r>
                  <w:r>
                    <w:rPr>
                      <w:rFonts w:hint="eastAsia"/>
                      <w:szCs w:val="21"/>
                      <w:vertAlign w:val="superscript"/>
                    </w:rPr>
                    <w:t>3</w:t>
                  </w:r>
                  <w:r>
                    <w:rPr>
                      <w:rFonts w:hint="eastAsia"/>
                      <w:szCs w:val="21"/>
                    </w:rPr>
                    <w:t>/h）  7.5（kw）</w:t>
                  </w:r>
                </w:p>
              </w:tc>
              <w:tc>
                <w:tcPr>
                  <w:tcW w:w="765" w:type="dxa"/>
                </w:tcPr>
                <w:p>
                  <w:pPr>
                    <w:spacing w:line="240" w:lineRule="auto"/>
                    <w:jc w:val="center"/>
                    <w:rPr>
                      <w:szCs w:val="21"/>
                    </w:rPr>
                  </w:pPr>
                  <w:r>
                    <w:rPr>
                      <w:rFonts w:hint="eastAsia"/>
                      <w:szCs w:val="21"/>
                    </w:rPr>
                    <w:t>9</w:t>
                  </w:r>
                </w:p>
              </w:tc>
              <w:tc>
                <w:tcPr>
                  <w:tcW w:w="750" w:type="dxa"/>
                </w:tcPr>
                <w:p>
                  <w:pPr>
                    <w:spacing w:line="240" w:lineRule="auto"/>
                    <w:jc w:val="center"/>
                    <w:rPr>
                      <w:rFonts w:hint="eastAsia"/>
                      <w:szCs w:val="21"/>
                    </w:rPr>
                  </w:pPr>
                  <w:r>
                    <w:rPr>
                      <w:rFonts w:hint="eastAsia"/>
                      <w:szCs w:val="21"/>
                    </w:rPr>
                    <w:t>9</w:t>
                  </w:r>
                </w:p>
              </w:tc>
              <w:tc>
                <w:tcPr>
                  <w:tcW w:w="1237" w:type="dxa"/>
                  <w:vMerge w:val="restart"/>
                  <w:vAlign w:val="center"/>
                </w:tcPr>
                <w:p>
                  <w:pPr>
                    <w:spacing w:line="240" w:lineRule="auto"/>
                    <w:jc w:val="center"/>
                    <w:rPr>
                      <w:rFonts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rFonts w:hint="eastAsia"/>
                      <w:szCs w:val="21"/>
                    </w:rPr>
                  </w:pPr>
                  <w:r>
                    <w:rPr>
                      <w:rFonts w:hint="eastAsia"/>
                      <w:szCs w:val="21"/>
                    </w:rPr>
                    <w:t>24</w:t>
                  </w:r>
                </w:p>
              </w:tc>
              <w:tc>
                <w:tcPr>
                  <w:tcW w:w="1800" w:type="dxa"/>
                </w:tcPr>
                <w:p>
                  <w:pPr>
                    <w:spacing w:line="240" w:lineRule="auto"/>
                    <w:jc w:val="center"/>
                    <w:rPr>
                      <w:rFonts w:hint="eastAsia" w:ascii="宋体" w:hAnsi="宋体" w:cs="宋体"/>
                      <w:szCs w:val="21"/>
                    </w:rPr>
                  </w:pPr>
                  <w:r>
                    <w:rPr>
                      <w:rFonts w:hint="eastAsia" w:ascii="宋体" w:hAnsi="宋体" w:cs="宋体"/>
                      <w:szCs w:val="21"/>
                    </w:rPr>
                    <w:t>地磅</w:t>
                  </w:r>
                </w:p>
              </w:tc>
              <w:tc>
                <w:tcPr>
                  <w:tcW w:w="3375" w:type="dxa"/>
                </w:tcPr>
                <w:p>
                  <w:pPr>
                    <w:spacing w:line="240" w:lineRule="auto"/>
                    <w:jc w:val="center"/>
                    <w:rPr>
                      <w:szCs w:val="21"/>
                    </w:rPr>
                  </w:pPr>
                  <w:r>
                    <w:rPr>
                      <w:rFonts w:hint="eastAsia"/>
                      <w:szCs w:val="21"/>
                    </w:rPr>
                    <w:t>-</w:t>
                  </w:r>
                </w:p>
              </w:tc>
              <w:tc>
                <w:tcPr>
                  <w:tcW w:w="765" w:type="dxa"/>
                </w:tcPr>
                <w:p>
                  <w:pPr>
                    <w:spacing w:line="240" w:lineRule="auto"/>
                    <w:jc w:val="center"/>
                    <w:rPr>
                      <w:szCs w:val="21"/>
                    </w:rPr>
                  </w:pPr>
                  <w:r>
                    <w:rPr>
                      <w:rFonts w:hint="eastAsia"/>
                      <w:szCs w:val="21"/>
                    </w:rPr>
                    <w:t>1</w:t>
                  </w:r>
                </w:p>
              </w:tc>
              <w:tc>
                <w:tcPr>
                  <w:tcW w:w="750" w:type="dxa"/>
                </w:tcPr>
                <w:p>
                  <w:pPr>
                    <w:spacing w:line="240" w:lineRule="auto"/>
                    <w:jc w:val="center"/>
                    <w:rPr>
                      <w:rFonts w:hint="eastAsia"/>
                      <w:szCs w:val="21"/>
                    </w:rPr>
                  </w:pPr>
                  <w:r>
                    <w:rPr>
                      <w:rFonts w:hint="eastAsia"/>
                      <w:szCs w:val="21"/>
                    </w:rPr>
                    <w:t>1</w:t>
                  </w:r>
                </w:p>
              </w:tc>
              <w:tc>
                <w:tcPr>
                  <w:tcW w:w="1237" w:type="dxa"/>
                  <w:vMerge w:val="continue"/>
                  <w:vAlign w:val="center"/>
                </w:tcPr>
                <w:p>
                  <w:pPr>
                    <w:spacing w:line="24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rFonts w:hint="eastAsia"/>
                      <w:szCs w:val="21"/>
                    </w:rPr>
                    <w:t>25</w:t>
                  </w:r>
                </w:p>
              </w:tc>
              <w:tc>
                <w:tcPr>
                  <w:tcW w:w="1800" w:type="dxa"/>
                </w:tcPr>
                <w:p>
                  <w:pPr>
                    <w:spacing w:line="240" w:lineRule="auto"/>
                    <w:jc w:val="center"/>
                    <w:rPr>
                      <w:rFonts w:hint="eastAsia" w:ascii="宋体" w:hAnsi="宋体" w:cs="宋体"/>
                      <w:szCs w:val="21"/>
                    </w:rPr>
                  </w:pPr>
                  <w:r>
                    <w:rPr>
                      <w:rFonts w:hint="eastAsia" w:ascii="宋体" w:hAnsi="宋体" w:cs="宋体"/>
                      <w:szCs w:val="21"/>
                    </w:rPr>
                    <w:t>洗轮机</w:t>
                  </w:r>
                </w:p>
              </w:tc>
              <w:tc>
                <w:tcPr>
                  <w:tcW w:w="3375" w:type="dxa"/>
                </w:tcPr>
                <w:p>
                  <w:pPr>
                    <w:spacing w:line="240" w:lineRule="auto"/>
                    <w:jc w:val="center"/>
                    <w:rPr>
                      <w:szCs w:val="21"/>
                    </w:rPr>
                  </w:pPr>
                  <w:r>
                    <w:rPr>
                      <w:rFonts w:hint="eastAsia"/>
                      <w:szCs w:val="21"/>
                    </w:rPr>
                    <w:t>-</w:t>
                  </w:r>
                </w:p>
              </w:tc>
              <w:tc>
                <w:tcPr>
                  <w:tcW w:w="765" w:type="dxa"/>
                </w:tcPr>
                <w:p>
                  <w:pPr>
                    <w:spacing w:line="240" w:lineRule="auto"/>
                    <w:jc w:val="center"/>
                    <w:rPr>
                      <w:szCs w:val="21"/>
                    </w:rPr>
                  </w:pPr>
                  <w:r>
                    <w:rPr>
                      <w:rFonts w:hint="eastAsia"/>
                      <w:szCs w:val="21"/>
                    </w:rPr>
                    <w:t>1</w:t>
                  </w:r>
                </w:p>
              </w:tc>
              <w:tc>
                <w:tcPr>
                  <w:tcW w:w="750" w:type="dxa"/>
                </w:tcPr>
                <w:p>
                  <w:pPr>
                    <w:spacing w:line="240" w:lineRule="auto"/>
                    <w:jc w:val="center"/>
                    <w:rPr>
                      <w:rFonts w:hint="eastAsia"/>
                      <w:szCs w:val="21"/>
                    </w:rPr>
                  </w:pPr>
                  <w:r>
                    <w:rPr>
                      <w:rFonts w:hint="eastAsia"/>
                      <w:szCs w:val="21"/>
                    </w:rPr>
                    <w:t>1</w:t>
                  </w:r>
                </w:p>
              </w:tc>
              <w:tc>
                <w:tcPr>
                  <w:tcW w:w="1237" w:type="dxa"/>
                  <w:vMerge w:val="continue"/>
                  <w:vAlign w:val="center"/>
                </w:tcPr>
                <w:p>
                  <w:pPr>
                    <w:spacing w:line="24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spacing w:line="240" w:lineRule="auto"/>
                    <w:jc w:val="center"/>
                    <w:rPr>
                      <w:szCs w:val="21"/>
                    </w:rPr>
                  </w:pPr>
                  <w:r>
                    <w:rPr>
                      <w:rFonts w:hint="eastAsia"/>
                      <w:szCs w:val="21"/>
                    </w:rPr>
                    <w:t>26</w:t>
                  </w:r>
                </w:p>
              </w:tc>
              <w:tc>
                <w:tcPr>
                  <w:tcW w:w="1800" w:type="dxa"/>
                  <w:vAlign w:val="center"/>
                </w:tcPr>
                <w:p>
                  <w:pPr>
                    <w:spacing w:line="240" w:lineRule="auto"/>
                    <w:jc w:val="center"/>
                    <w:rPr>
                      <w:rFonts w:ascii="宋体" w:hAnsi="宋体" w:cs="宋体"/>
                      <w:szCs w:val="21"/>
                    </w:rPr>
                  </w:pPr>
                  <w:r>
                    <w:rPr>
                      <w:rFonts w:hint="eastAsia" w:ascii="宋体" w:hAnsi="宋体" w:cs="宋体"/>
                      <w:szCs w:val="21"/>
                    </w:rPr>
                    <w:t>水洗设备</w:t>
                  </w:r>
                </w:p>
              </w:tc>
              <w:tc>
                <w:tcPr>
                  <w:tcW w:w="3375" w:type="dxa"/>
                  <w:vAlign w:val="center"/>
                </w:tcPr>
                <w:p>
                  <w:pPr>
                    <w:spacing w:line="240" w:lineRule="auto"/>
                    <w:jc w:val="center"/>
                    <w:rPr>
                      <w:rFonts w:hint="eastAsia"/>
                      <w:szCs w:val="21"/>
                    </w:rPr>
                  </w:pPr>
                  <w:r>
                    <w:rPr>
                      <w:rFonts w:hint="eastAsia"/>
                      <w:szCs w:val="21"/>
                    </w:rPr>
                    <w:t>XS200*300</w:t>
                  </w:r>
                </w:p>
              </w:tc>
              <w:tc>
                <w:tcPr>
                  <w:tcW w:w="765" w:type="dxa"/>
                  <w:vAlign w:val="center"/>
                </w:tcPr>
                <w:p>
                  <w:pPr>
                    <w:spacing w:line="240" w:lineRule="auto"/>
                    <w:jc w:val="center"/>
                    <w:rPr>
                      <w:szCs w:val="21"/>
                    </w:rPr>
                  </w:pPr>
                  <w:r>
                    <w:rPr>
                      <w:rFonts w:hint="eastAsia"/>
                      <w:szCs w:val="21"/>
                    </w:rPr>
                    <w:t>1</w:t>
                  </w:r>
                </w:p>
              </w:tc>
              <w:tc>
                <w:tcPr>
                  <w:tcW w:w="750" w:type="dxa"/>
                  <w:vAlign w:val="center"/>
                </w:tcPr>
                <w:p>
                  <w:pPr>
                    <w:spacing w:line="240" w:lineRule="auto"/>
                    <w:jc w:val="center"/>
                    <w:rPr>
                      <w:rFonts w:hint="eastAsia"/>
                      <w:szCs w:val="21"/>
                    </w:rPr>
                  </w:pPr>
                  <w:r>
                    <w:rPr>
                      <w:rFonts w:hint="eastAsia"/>
                      <w:szCs w:val="21"/>
                    </w:rPr>
                    <w:t>1</w:t>
                  </w:r>
                </w:p>
              </w:tc>
              <w:tc>
                <w:tcPr>
                  <w:tcW w:w="1237" w:type="dxa"/>
                  <w:vAlign w:val="center"/>
                </w:tcPr>
                <w:p>
                  <w:pPr>
                    <w:spacing w:line="240" w:lineRule="auto"/>
                    <w:jc w:val="center"/>
                    <w:rPr>
                      <w:rFonts w:hint="eastAsia" w:ascii="宋体" w:hAnsi="宋体" w:cs="宋体"/>
                      <w:szCs w:val="21"/>
                    </w:rPr>
                  </w:pPr>
                  <w:r>
                    <w:rPr>
                      <w:rFonts w:hint="eastAsia" w:ascii="宋体" w:hAnsi="宋体" w:cs="宋体"/>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line="240" w:lineRule="auto"/>
                    <w:jc w:val="center"/>
                    <w:rPr>
                      <w:szCs w:val="21"/>
                    </w:rPr>
                  </w:pPr>
                  <w:r>
                    <w:rPr>
                      <w:rFonts w:hint="eastAsia"/>
                      <w:szCs w:val="21"/>
                    </w:rPr>
                    <w:t>27</w:t>
                  </w:r>
                </w:p>
              </w:tc>
              <w:tc>
                <w:tcPr>
                  <w:tcW w:w="1800" w:type="dxa"/>
                </w:tcPr>
                <w:p>
                  <w:pPr>
                    <w:spacing w:line="240" w:lineRule="auto"/>
                    <w:jc w:val="center"/>
                    <w:rPr>
                      <w:rFonts w:ascii="宋体" w:hAnsi="宋体" w:cs="宋体"/>
                      <w:szCs w:val="21"/>
                    </w:rPr>
                  </w:pPr>
                  <w:r>
                    <w:rPr>
                      <w:rFonts w:hint="eastAsia" w:ascii="宋体" w:hAnsi="宋体" w:cs="宋体"/>
                      <w:szCs w:val="21"/>
                    </w:rPr>
                    <w:t>筛沙机</w:t>
                  </w:r>
                </w:p>
              </w:tc>
              <w:tc>
                <w:tcPr>
                  <w:tcW w:w="3375" w:type="dxa"/>
                </w:tcPr>
                <w:p>
                  <w:pPr>
                    <w:spacing w:line="240" w:lineRule="auto"/>
                    <w:jc w:val="center"/>
                    <w:rPr>
                      <w:szCs w:val="21"/>
                    </w:rPr>
                  </w:pPr>
                  <w:r>
                    <w:rPr>
                      <w:rFonts w:hint="eastAsia"/>
                      <w:szCs w:val="21"/>
                    </w:rPr>
                    <w:t>SSJ50型</w:t>
                  </w:r>
                </w:p>
              </w:tc>
              <w:tc>
                <w:tcPr>
                  <w:tcW w:w="765" w:type="dxa"/>
                </w:tcPr>
                <w:p>
                  <w:pPr>
                    <w:spacing w:line="240" w:lineRule="auto"/>
                    <w:jc w:val="center"/>
                    <w:rPr>
                      <w:szCs w:val="21"/>
                    </w:rPr>
                  </w:pPr>
                  <w:r>
                    <w:rPr>
                      <w:rFonts w:hint="eastAsia"/>
                      <w:szCs w:val="21"/>
                    </w:rPr>
                    <w:t>0</w:t>
                  </w:r>
                </w:p>
              </w:tc>
              <w:tc>
                <w:tcPr>
                  <w:tcW w:w="750" w:type="dxa"/>
                </w:tcPr>
                <w:p>
                  <w:pPr>
                    <w:spacing w:line="240" w:lineRule="auto"/>
                    <w:jc w:val="center"/>
                    <w:rPr>
                      <w:szCs w:val="21"/>
                    </w:rPr>
                  </w:pPr>
                  <w:r>
                    <w:rPr>
                      <w:rFonts w:hint="eastAsia"/>
                      <w:szCs w:val="21"/>
                    </w:rPr>
                    <w:t>1</w:t>
                  </w:r>
                </w:p>
              </w:tc>
              <w:tc>
                <w:tcPr>
                  <w:tcW w:w="1237" w:type="dxa"/>
                  <w:vAlign w:val="center"/>
                </w:tcPr>
                <w:p>
                  <w:pPr>
                    <w:spacing w:line="240" w:lineRule="auto"/>
                    <w:jc w:val="center"/>
                    <w:rPr>
                      <w:rFonts w:ascii="宋体" w:hAnsi="宋体" w:cs="宋体"/>
                      <w:szCs w:val="21"/>
                    </w:rPr>
                  </w:pPr>
                  <w:r>
                    <w:rPr>
                      <w:rFonts w:hint="eastAsia" w:ascii="宋体" w:hAnsi="宋体" w:cs="宋体"/>
                      <w:szCs w:val="21"/>
                    </w:rPr>
                    <w:t>本次新增</w:t>
                  </w:r>
                </w:p>
              </w:tc>
            </w:tr>
          </w:tbl>
          <w:p>
            <w:pPr>
              <w:ind w:firstLine="480" w:firstLineChars="200"/>
              <w:rPr>
                <w:bCs/>
                <w:sz w:val="24"/>
              </w:rPr>
            </w:pPr>
            <w:r>
              <w:rPr>
                <w:bCs/>
                <w:sz w:val="24"/>
              </w:rPr>
              <w:t>10、</w:t>
            </w:r>
            <w:r>
              <w:rPr>
                <w:rFonts w:hint="eastAsia"/>
                <w:bCs/>
                <w:sz w:val="24"/>
                <w:lang w:val="en-US" w:eastAsia="zh-CN"/>
              </w:rPr>
              <w:t>技改</w:t>
            </w:r>
            <w:r>
              <w:rPr>
                <w:rFonts w:hint="eastAsia"/>
                <w:bCs/>
                <w:sz w:val="24"/>
              </w:rPr>
              <w:t>后全厂主要</w:t>
            </w:r>
            <w:r>
              <w:rPr>
                <w:bCs/>
                <w:sz w:val="24"/>
              </w:rPr>
              <w:t>原辅材料及能源消耗</w:t>
            </w:r>
          </w:p>
          <w:p>
            <w:pPr>
              <w:jc w:val="center"/>
              <w:rPr>
                <w:b/>
                <w:bCs/>
                <w:sz w:val="24"/>
              </w:rPr>
            </w:pPr>
            <w:r>
              <w:rPr>
                <w:b/>
                <w:bCs/>
                <w:sz w:val="21"/>
                <w:szCs w:val="21"/>
              </w:rPr>
              <w:t>表</w:t>
            </w:r>
            <w:r>
              <w:rPr>
                <w:rFonts w:hint="eastAsia"/>
                <w:b/>
                <w:bCs/>
                <w:sz w:val="21"/>
                <w:szCs w:val="21"/>
                <w:lang w:val="en-US" w:eastAsia="zh-CN"/>
              </w:rPr>
              <w:t>7</w:t>
            </w:r>
            <w:r>
              <w:rPr>
                <w:b/>
                <w:bCs/>
                <w:sz w:val="21"/>
                <w:szCs w:val="21"/>
              </w:rPr>
              <w:t xml:space="preserve"> </w:t>
            </w:r>
            <w:r>
              <w:rPr>
                <w:rFonts w:hint="eastAsia"/>
                <w:b/>
                <w:bCs/>
                <w:sz w:val="21"/>
                <w:szCs w:val="21"/>
                <w:lang w:val="en-US" w:eastAsia="zh-CN"/>
              </w:rPr>
              <w:t>技改</w:t>
            </w:r>
            <w:r>
              <w:rPr>
                <w:rFonts w:hint="eastAsia"/>
                <w:b/>
                <w:bCs/>
                <w:sz w:val="21"/>
                <w:szCs w:val="21"/>
              </w:rPr>
              <w:t>后全厂</w:t>
            </w:r>
            <w:r>
              <w:rPr>
                <w:b/>
                <w:bCs/>
                <w:sz w:val="21"/>
                <w:szCs w:val="21"/>
              </w:rPr>
              <w:t>主要原辅材料及能源消耗一览表</w:t>
            </w:r>
          </w:p>
          <w:tbl>
            <w:tblPr>
              <w:tblStyle w:val="24"/>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380"/>
              <w:gridCol w:w="1080"/>
              <w:gridCol w:w="1285"/>
              <w:gridCol w:w="1320"/>
              <w:gridCol w:w="130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36" w:type="dxa"/>
                  <w:shd w:val="clear" w:color="000000" w:fill="FFFFFF"/>
                  <w:vAlign w:val="center"/>
                </w:tcPr>
                <w:p>
                  <w:pPr>
                    <w:widowControl/>
                    <w:spacing w:line="240" w:lineRule="auto"/>
                    <w:jc w:val="center"/>
                    <w:rPr>
                      <w:kern w:val="0"/>
                      <w:szCs w:val="21"/>
                    </w:rPr>
                  </w:pPr>
                  <w:r>
                    <w:rPr>
                      <w:kern w:val="0"/>
                      <w:szCs w:val="21"/>
                    </w:rPr>
                    <w:t>序号</w:t>
                  </w:r>
                </w:p>
              </w:tc>
              <w:tc>
                <w:tcPr>
                  <w:tcW w:w="1460" w:type="dxa"/>
                  <w:gridSpan w:val="2"/>
                  <w:shd w:val="clear" w:color="000000" w:fill="FFFFFF"/>
                  <w:vAlign w:val="center"/>
                </w:tcPr>
                <w:p>
                  <w:pPr>
                    <w:widowControl/>
                    <w:spacing w:line="240" w:lineRule="auto"/>
                    <w:jc w:val="center"/>
                    <w:rPr>
                      <w:kern w:val="0"/>
                      <w:szCs w:val="21"/>
                    </w:rPr>
                  </w:pPr>
                  <w:r>
                    <w:rPr>
                      <w:kern w:val="0"/>
                      <w:szCs w:val="21"/>
                    </w:rPr>
                    <w:t>原辅材料名称</w:t>
                  </w:r>
                </w:p>
              </w:tc>
              <w:tc>
                <w:tcPr>
                  <w:tcW w:w="1285" w:type="dxa"/>
                  <w:shd w:val="clear" w:color="000000" w:fill="FFFFFF"/>
                  <w:vAlign w:val="center"/>
                </w:tcPr>
                <w:p>
                  <w:pPr>
                    <w:widowControl/>
                    <w:spacing w:line="240" w:lineRule="auto"/>
                    <w:jc w:val="center"/>
                    <w:rPr>
                      <w:kern w:val="0"/>
                      <w:szCs w:val="21"/>
                    </w:rPr>
                  </w:pPr>
                  <w:r>
                    <w:rPr>
                      <w:rFonts w:hint="eastAsia"/>
                      <w:kern w:val="0"/>
                      <w:szCs w:val="21"/>
                      <w:lang w:val="en-US" w:eastAsia="zh-CN"/>
                    </w:rPr>
                    <w:t>技改前年用量</w:t>
                  </w:r>
                </w:p>
              </w:tc>
              <w:tc>
                <w:tcPr>
                  <w:tcW w:w="1320" w:type="dxa"/>
                  <w:shd w:val="clear" w:color="000000" w:fill="FFFFFF"/>
                  <w:vAlign w:val="center"/>
                </w:tcPr>
                <w:p>
                  <w:pPr>
                    <w:widowControl/>
                    <w:spacing w:line="240" w:lineRule="auto"/>
                    <w:jc w:val="center"/>
                    <w:rPr>
                      <w:rFonts w:hint="eastAsia" w:eastAsia="宋体"/>
                      <w:kern w:val="0"/>
                      <w:szCs w:val="21"/>
                      <w:lang w:val="en-US" w:eastAsia="zh-CN"/>
                    </w:rPr>
                  </w:pPr>
                  <w:r>
                    <w:rPr>
                      <w:rFonts w:hint="eastAsia"/>
                      <w:kern w:val="0"/>
                      <w:szCs w:val="21"/>
                      <w:lang w:val="en-US" w:eastAsia="zh-CN"/>
                    </w:rPr>
                    <w:t>技改</w:t>
                  </w:r>
                  <w:r>
                    <w:rPr>
                      <w:rFonts w:hint="eastAsia"/>
                      <w:kern w:val="0"/>
                      <w:szCs w:val="21"/>
                    </w:rPr>
                    <w:t>后</w:t>
                  </w:r>
                  <w:r>
                    <w:rPr>
                      <w:rFonts w:hint="eastAsia"/>
                      <w:kern w:val="0"/>
                      <w:szCs w:val="21"/>
                      <w:lang w:val="en-US" w:eastAsia="zh-CN"/>
                    </w:rPr>
                    <w:t>全厂</w:t>
                  </w:r>
                </w:p>
                <w:p>
                  <w:pPr>
                    <w:widowControl/>
                    <w:spacing w:line="240" w:lineRule="auto"/>
                    <w:jc w:val="center"/>
                    <w:rPr>
                      <w:kern w:val="0"/>
                      <w:szCs w:val="21"/>
                    </w:rPr>
                  </w:pPr>
                  <w:r>
                    <w:rPr>
                      <w:rFonts w:hint="eastAsia"/>
                      <w:kern w:val="0"/>
                      <w:szCs w:val="21"/>
                    </w:rPr>
                    <w:t>年用量</w:t>
                  </w:r>
                </w:p>
              </w:tc>
              <w:tc>
                <w:tcPr>
                  <w:tcW w:w="1305" w:type="dxa"/>
                  <w:shd w:val="clear" w:color="000000" w:fill="FFFFFF"/>
                  <w:vAlign w:val="center"/>
                </w:tcPr>
                <w:p>
                  <w:pPr>
                    <w:widowControl/>
                    <w:spacing w:line="240" w:lineRule="auto"/>
                    <w:jc w:val="center"/>
                    <w:rPr>
                      <w:rFonts w:hint="eastAsia" w:eastAsia="宋体"/>
                      <w:kern w:val="0"/>
                      <w:szCs w:val="21"/>
                      <w:lang w:eastAsia="zh-CN"/>
                    </w:rPr>
                  </w:pPr>
                  <w:r>
                    <w:rPr>
                      <w:rFonts w:hint="eastAsia"/>
                      <w:kern w:val="0"/>
                      <w:szCs w:val="21"/>
                      <w:lang w:val="en-US" w:eastAsia="zh-CN"/>
                    </w:rPr>
                    <w:t>单位</w:t>
                  </w:r>
                </w:p>
              </w:tc>
              <w:tc>
                <w:tcPr>
                  <w:tcW w:w="2370" w:type="dxa"/>
                  <w:shd w:val="clear" w:color="000000" w:fill="FFFFFF"/>
                  <w:vAlign w:val="center"/>
                </w:tcPr>
                <w:p>
                  <w:pPr>
                    <w:widowControl/>
                    <w:spacing w:line="240" w:lineRule="auto"/>
                    <w:jc w:val="center"/>
                    <w:rPr>
                      <w:rFonts w:hint="eastAsia"/>
                      <w:kern w:val="0"/>
                      <w:szCs w:val="21"/>
                    </w:rPr>
                  </w:pPr>
                  <w:r>
                    <w:rPr>
                      <w:rFonts w:hint="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6" w:type="dxa"/>
                  <w:vAlign w:val="center"/>
                </w:tcPr>
                <w:p>
                  <w:pPr>
                    <w:widowControl/>
                    <w:spacing w:line="240" w:lineRule="auto"/>
                    <w:jc w:val="center"/>
                    <w:rPr>
                      <w:kern w:val="0"/>
                      <w:szCs w:val="21"/>
                    </w:rPr>
                  </w:pPr>
                  <w:r>
                    <w:rPr>
                      <w:kern w:val="0"/>
                      <w:szCs w:val="21"/>
                    </w:rPr>
                    <w:t>1</w:t>
                  </w:r>
                </w:p>
              </w:tc>
              <w:tc>
                <w:tcPr>
                  <w:tcW w:w="1460" w:type="dxa"/>
                  <w:gridSpan w:val="2"/>
                  <w:vAlign w:val="center"/>
                </w:tcPr>
                <w:p>
                  <w:pPr>
                    <w:widowControl/>
                    <w:spacing w:line="240" w:lineRule="auto"/>
                    <w:jc w:val="center"/>
                    <w:rPr>
                      <w:kern w:val="0"/>
                      <w:szCs w:val="21"/>
                    </w:rPr>
                  </w:pPr>
                  <w:r>
                    <w:rPr>
                      <w:kern w:val="0"/>
                      <w:szCs w:val="21"/>
                    </w:rPr>
                    <w:t>水泥</w:t>
                  </w:r>
                </w:p>
              </w:tc>
              <w:tc>
                <w:tcPr>
                  <w:tcW w:w="1285" w:type="dxa"/>
                  <w:vAlign w:val="center"/>
                </w:tcPr>
                <w:p>
                  <w:pPr>
                    <w:widowControl/>
                    <w:spacing w:line="240" w:lineRule="auto"/>
                    <w:jc w:val="center"/>
                    <w:rPr>
                      <w:kern w:val="0"/>
                      <w:szCs w:val="21"/>
                    </w:rPr>
                  </w:pPr>
                  <w:r>
                    <w:rPr>
                      <w:kern w:val="0"/>
                      <w:szCs w:val="21"/>
                    </w:rPr>
                    <w:t xml:space="preserve">36.52 </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35.28</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Align w:val="center"/>
                </w:tcPr>
                <w:p>
                  <w:pPr>
                    <w:widowControl/>
                    <w:spacing w:line="240" w:lineRule="auto"/>
                    <w:jc w:val="center"/>
                    <w:rPr>
                      <w:rFonts w:hint="eastAsia"/>
                      <w:kern w:val="0"/>
                      <w:szCs w:val="21"/>
                    </w:rPr>
                  </w:pPr>
                  <w:r>
                    <w:rPr>
                      <w:rFonts w:hint="eastAsia"/>
                      <w:kern w:val="0"/>
                      <w:szCs w:val="21"/>
                    </w:rPr>
                    <w:t>邯郸、峰峰、罐车运输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6" w:type="dxa"/>
                  <w:vAlign w:val="center"/>
                </w:tcPr>
                <w:p>
                  <w:pPr>
                    <w:widowControl/>
                    <w:spacing w:line="240" w:lineRule="auto"/>
                    <w:jc w:val="center"/>
                    <w:rPr>
                      <w:kern w:val="0"/>
                      <w:szCs w:val="21"/>
                    </w:rPr>
                  </w:pPr>
                  <w:r>
                    <w:rPr>
                      <w:kern w:val="0"/>
                      <w:szCs w:val="21"/>
                    </w:rPr>
                    <w:t>2</w:t>
                  </w:r>
                </w:p>
              </w:tc>
              <w:tc>
                <w:tcPr>
                  <w:tcW w:w="1460" w:type="dxa"/>
                  <w:gridSpan w:val="2"/>
                  <w:vAlign w:val="center"/>
                </w:tcPr>
                <w:p>
                  <w:pPr>
                    <w:widowControl/>
                    <w:spacing w:line="240" w:lineRule="auto"/>
                    <w:jc w:val="center"/>
                    <w:rPr>
                      <w:kern w:val="0"/>
                      <w:szCs w:val="21"/>
                    </w:rPr>
                  </w:pPr>
                  <w:r>
                    <w:rPr>
                      <w:kern w:val="0"/>
                      <w:szCs w:val="21"/>
                    </w:rPr>
                    <w:t>钢筋</w:t>
                  </w:r>
                </w:p>
              </w:tc>
              <w:tc>
                <w:tcPr>
                  <w:tcW w:w="1285" w:type="dxa"/>
                  <w:vAlign w:val="center"/>
                </w:tcPr>
                <w:p>
                  <w:pPr>
                    <w:widowControl/>
                    <w:spacing w:line="240" w:lineRule="auto"/>
                    <w:jc w:val="center"/>
                    <w:rPr>
                      <w:kern w:val="0"/>
                      <w:szCs w:val="21"/>
                    </w:rPr>
                  </w:pPr>
                  <w:r>
                    <w:rPr>
                      <w:kern w:val="0"/>
                      <w:szCs w:val="21"/>
                    </w:rPr>
                    <w:t>18.18</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12.12</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Align w:val="center"/>
                </w:tcPr>
                <w:p>
                  <w:pPr>
                    <w:widowControl/>
                    <w:spacing w:line="240" w:lineRule="auto"/>
                    <w:jc w:val="center"/>
                    <w:rPr>
                      <w:kern w:val="0"/>
                      <w:szCs w:val="21"/>
                    </w:rPr>
                  </w:pPr>
                  <w:r>
                    <w:rPr>
                      <w:kern w:val="0"/>
                      <w:szCs w:val="21"/>
                    </w:rPr>
                    <w:t>邯郸、武安</w:t>
                  </w:r>
                  <w:r>
                    <w:rPr>
                      <w:rFonts w:hint="eastAsia"/>
                      <w:kern w:val="0"/>
                      <w:szCs w:val="21"/>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36" w:type="dxa"/>
                  <w:vAlign w:val="center"/>
                </w:tcPr>
                <w:p>
                  <w:pPr>
                    <w:widowControl/>
                    <w:spacing w:line="240" w:lineRule="auto"/>
                    <w:jc w:val="center"/>
                    <w:rPr>
                      <w:kern w:val="0"/>
                      <w:szCs w:val="21"/>
                    </w:rPr>
                  </w:pPr>
                  <w:r>
                    <w:rPr>
                      <w:kern w:val="0"/>
                      <w:szCs w:val="21"/>
                    </w:rPr>
                    <w:t>3</w:t>
                  </w:r>
                </w:p>
              </w:tc>
              <w:tc>
                <w:tcPr>
                  <w:tcW w:w="1460" w:type="dxa"/>
                  <w:gridSpan w:val="2"/>
                  <w:vAlign w:val="center"/>
                </w:tcPr>
                <w:p>
                  <w:pPr>
                    <w:widowControl/>
                    <w:spacing w:line="240" w:lineRule="auto"/>
                    <w:jc w:val="center"/>
                    <w:rPr>
                      <w:kern w:val="0"/>
                      <w:szCs w:val="21"/>
                    </w:rPr>
                  </w:pPr>
                  <w:r>
                    <w:rPr>
                      <w:kern w:val="0"/>
                      <w:szCs w:val="21"/>
                    </w:rPr>
                    <w:t>砂</w:t>
                  </w:r>
                </w:p>
              </w:tc>
              <w:tc>
                <w:tcPr>
                  <w:tcW w:w="1285" w:type="dxa"/>
                  <w:vAlign w:val="center"/>
                </w:tcPr>
                <w:p>
                  <w:pPr>
                    <w:widowControl/>
                    <w:spacing w:line="240" w:lineRule="auto"/>
                    <w:jc w:val="center"/>
                    <w:rPr>
                      <w:kern w:val="0"/>
                      <w:szCs w:val="21"/>
                    </w:rPr>
                  </w:pPr>
                  <w:r>
                    <w:rPr>
                      <w:kern w:val="0"/>
                      <w:szCs w:val="21"/>
                    </w:rPr>
                    <w:t>108.03</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107.29</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Align w:val="center"/>
                </w:tcPr>
                <w:p>
                  <w:pPr>
                    <w:widowControl/>
                    <w:spacing w:line="240" w:lineRule="auto"/>
                    <w:jc w:val="center"/>
                    <w:rPr>
                      <w:kern w:val="0"/>
                      <w:szCs w:val="21"/>
                    </w:rPr>
                  </w:pPr>
                  <w:r>
                    <w:rPr>
                      <w:kern w:val="0"/>
                      <w:szCs w:val="21"/>
                    </w:rPr>
                    <w:t>邯郸、沙河、武安</w:t>
                  </w:r>
                  <w:r>
                    <w:rPr>
                      <w:rFonts w:hint="eastAsia"/>
                      <w:kern w:val="0"/>
                      <w:szCs w:val="21"/>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36" w:type="dxa"/>
                  <w:vMerge w:val="restart"/>
                  <w:vAlign w:val="center"/>
                </w:tcPr>
                <w:p>
                  <w:pPr>
                    <w:widowControl/>
                    <w:spacing w:line="240" w:lineRule="auto"/>
                    <w:jc w:val="center"/>
                    <w:rPr>
                      <w:kern w:val="0"/>
                      <w:szCs w:val="21"/>
                    </w:rPr>
                  </w:pPr>
                  <w:r>
                    <w:rPr>
                      <w:kern w:val="0"/>
                      <w:szCs w:val="21"/>
                    </w:rPr>
                    <w:t>4</w:t>
                  </w:r>
                </w:p>
              </w:tc>
              <w:tc>
                <w:tcPr>
                  <w:tcW w:w="380" w:type="dxa"/>
                  <w:vMerge w:val="restart"/>
                  <w:vAlign w:val="center"/>
                </w:tcPr>
                <w:p>
                  <w:pPr>
                    <w:widowControl/>
                    <w:spacing w:line="240" w:lineRule="auto"/>
                    <w:jc w:val="center"/>
                    <w:rPr>
                      <w:kern w:val="0"/>
                      <w:szCs w:val="21"/>
                    </w:rPr>
                  </w:pPr>
                  <w:r>
                    <w:rPr>
                      <w:kern w:val="0"/>
                      <w:szCs w:val="21"/>
                    </w:rPr>
                    <w:t>石料</w:t>
                  </w:r>
                </w:p>
              </w:tc>
              <w:tc>
                <w:tcPr>
                  <w:tcW w:w="1080" w:type="dxa"/>
                  <w:vAlign w:val="center"/>
                </w:tcPr>
                <w:p>
                  <w:pPr>
                    <w:widowControl/>
                    <w:spacing w:line="240" w:lineRule="auto"/>
                    <w:jc w:val="center"/>
                    <w:rPr>
                      <w:kern w:val="0"/>
                      <w:szCs w:val="21"/>
                    </w:rPr>
                  </w:pPr>
                  <w:r>
                    <w:rPr>
                      <w:kern w:val="0"/>
                      <w:szCs w:val="21"/>
                    </w:rPr>
                    <w:t>粒径5-10mm</w:t>
                  </w:r>
                </w:p>
              </w:tc>
              <w:tc>
                <w:tcPr>
                  <w:tcW w:w="1285" w:type="dxa"/>
                  <w:vAlign w:val="center"/>
                </w:tcPr>
                <w:p>
                  <w:pPr>
                    <w:widowControl/>
                    <w:spacing w:line="240" w:lineRule="auto"/>
                    <w:jc w:val="center"/>
                    <w:rPr>
                      <w:kern w:val="0"/>
                      <w:szCs w:val="21"/>
                    </w:rPr>
                  </w:pPr>
                  <w:r>
                    <w:rPr>
                      <w:kern w:val="0"/>
                      <w:szCs w:val="21"/>
                    </w:rPr>
                    <w:t>32.29</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32.29</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Merge w:val="restart"/>
                  <w:vAlign w:val="center"/>
                </w:tcPr>
                <w:p>
                  <w:pPr>
                    <w:widowControl/>
                    <w:spacing w:line="240" w:lineRule="auto"/>
                    <w:jc w:val="center"/>
                    <w:rPr>
                      <w:kern w:val="0"/>
                      <w:szCs w:val="21"/>
                    </w:rPr>
                  </w:pPr>
                  <w:r>
                    <w:rPr>
                      <w:kern w:val="0"/>
                      <w:szCs w:val="21"/>
                    </w:rPr>
                    <w:t>邯郸</w:t>
                  </w:r>
                  <w:r>
                    <w:rPr>
                      <w:rFonts w:hint="eastAsia"/>
                      <w:kern w:val="0"/>
                      <w:szCs w:val="21"/>
                    </w:rPr>
                    <w:t>、</w:t>
                  </w:r>
                  <w:r>
                    <w:rPr>
                      <w:kern w:val="0"/>
                      <w:szCs w:val="21"/>
                    </w:rPr>
                    <w:t>武安</w:t>
                  </w:r>
                  <w:r>
                    <w:rPr>
                      <w:rFonts w:hint="eastAsia"/>
                      <w:kern w:val="0"/>
                      <w:szCs w:val="21"/>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6" w:type="dxa"/>
                  <w:vMerge w:val="continue"/>
                  <w:vAlign w:val="center"/>
                </w:tcPr>
                <w:p>
                  <w:pPr>
                    <w:widowControl/>
                    <w:spacing w:line="240" w:lineRule="auto"/>
                    <w:jc w:val="center"/>
                    <w:rPr>
                      <w:kern w:val="0"/>
                      <w:szCs w:val="21"/>
                    </w:rPr>
                  </w:pPr>
                </w:p>
              </w:tc>
              <w:tc>
                <w:tcPr>
                  <w:tcW w:w="380" w:type="dxa"/>
                  <w:vMerge w:val="continue"/>
                  <w:vAlign w:val="center"/>
                </w:tcPr>
                <w:p>
                  <w:pPr>
                    <w:widowControl/>
                    <w:spacing w:line="240" w:lineRule="auto"/>
                    <w:jc w:val="center"/>
                    <w:rPr>
                      <w:kern w:val="0"/>
                      <w:szCs w:val="21"/>
                    </w:rPr>
                  </w:pPr>
                </w:p>
              </w:tc>
              <w:tc>
                <w:tcPr>
                  <w:tcW w:w="1080" w:type="dxa"/>
                  <w:vAlign w:val="center"/>
                </w:tcPr>
                <w:p>
                  <w:pPr>
                    <w:widowControl/>
                    <w:spacing w:line="240" w:lineRule="auto"/>
                    <w:jc w:val="center"/>
                    <w:rPr>
                      <w:kern w:val="0"/>
                      <w:szCs w:val="21"/>
                    </w:rPr>
                  </w:pPr>
                  <w:r>
                    <w:rPr>
                      <w:kern w:val="0"/>
                      <w:szCs w:val="21"/>
                    </w:rPr>
                    <w:t>粒径10-20mm</w:t>
                  </w:r>
                </w:p>
              </w:tc>
              <w:tc>
                <w:tcPr>
                  <w:tcW w:w="1285" w:type="dxa"/>
                  <w:vAlign w:val="center"/>
                </w:tcPr>
                <w:p>
                  <w:pPr>
                    <w:widowControl/>
                    <w:spacing w:line="240" w:lineRule="auto"/>
                    <w:jc w:val="center"/>
                    <w:rPr>
                      <w:kern w:val="0"/>
                      <w:szCs w:val="21"/>
                    </w:rPr>
                  </w:pPr>
                  <w:r>
                    <w:rPr>
                      <w:kern w:val="0"/>
                      <w:szCs w:val="21"/>
                    </w:rPr>
                    <w:t>1.35</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1.35</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Merge w:val="continue"/>
                  <w:vAlign w:val="center"/>
                </w:tcPr>
                <w:p>
                  <w:pPr>
                    <w:widowControl/>
                    <w:spacing w:line="24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6" w:type="dxa"/>
                  <w:vMerge w:val="continue"/>
                  <w:vAlign w:val="center"/>
                </w:tcPr>
                <w:p>
                  <w:pPr>
                    <w:widowControl/>
                    <w:spacing w:line="240" w:lineRule="auto"/>
                    <w:jc w:val="center"/>
                    <w:rPr>
                      <w:kern w:val="0"/>
                      <w:szCs w:val="21"/>
                    </w:rPr>
                  </w:pPr>
                </w:p>
              </w:tc>
              <w:tc>
                <w:tcPr>
                  <w:tcW w:w="380" w:type="dxa"/>
                  <w:vMerge w:val="continue"/>
                  <w:vAlign w:val="center"/>
                </w:tcPr>
                <w:p>
                  <w:pPr>
                    <w:widowControl/>
                    <w:spacing w:line="240" w:lineRule="auto"/>
                    <w:jc w:val="center"/>
                    <w:rPr>
                      <w:kern w:val="0"/>
                      <w:szCs w:val="21"/>
                    </w:rPr>
                  </w:pPr>
                </w:p>
              </w:tc>
              <w:tc>
                <w:tcPr>
                  <w:tcW w:w="1080" w:type="dxa"/>
                  <w:vAlign w:val="center"/>
                </w:tcPr>
                <w:p>
                  <w:pPr>
                    <w:widowControl/>
                    <w:spacing w:line="240" w:lineRule="auto"/>
                    <w:jc w:val="center"/>
                    <w:rPr>
                      <w:kern w:val="0"/>
                      <w:szCs w:val="21"/>
                    </w:rPr>
                  </w:pPr>
                  <w:r>
                    <w:rPr>
                      <w:kern w:val="0"/>
                      <w:szCs w:val="21"/>
                    </w:rPr>
                    <w:t>粒径</w:t>
                  </w:r>
                </w:p>
                <w:p>
                  <w:pPr>
                    <w:widowControl/>
                    <w:spacing w:line="240" w:lineRule="auto"/>
                    <w:jc w:val="center"/>
                    <w:rPr>
                      <w:kern w:val="0"/>
                      <w:szCs w:val="21"/>
                    </w:rPr>
                  </w:pPr>
                  <w:r>
                    <w:rPr>
                      <w:kern w:val="0"/>
                      <w:szCs w:val="21"/>
                    </w:rPr>
                    <w:t>50mm</w:t>
                  </w:r>
                </w:p>
              </w:tc>
              <w:tc>
                <w:tcPr>
                  <w:tcW w:w="1285" w:type="dxa"/>
                  <w:vAlign w:val="center"/>
                </w:tcPr>
                <w:p>
                  <w:pPr>
                    <w:widowControl/>
                    <w:spacing w:line="240" w:lineRule="auto"/>
                    <w:jc w:val="center"/>
                    <w:rPr>
                      <w:kern w:val="0"/>
                      <w:szCs w:val="21"/>
                    </w:rPr>
                  </w:pPr>
                  <w:r>
                    <w:rPr>
                      <w:kern w:val="0"/>
                      <w:szCs w:val="21"/>
                    </w:rPr>
                    <w:t>1.5</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1.5</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Merge w:val="continue"/>
                  <w:vAlign w:val="center"/>
                </w:tcPr>
                <w:p>
                  <w:pPr>
                    <w:widowControl/>
                    <w:spacing w:line="24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6" w:type="dxa"/>
                  <w:vAlign w:val="center"/>
                </w:tcPr>
                <w:p>
                  <w:pPr>
                    <w:spacing w:line="240" w:lineRule="auto"/>
                    <w:jc w:val="center"/>
                    <w:rPr>
                      <w:kern w:val="0"/>
                      <w:szCs w:val="21"/>
                    </w:rPr>
                  </w:pPr>
                  <w:r>
                    <w:rPr>
                      <w:kern w:val="0"/>
                      <w:szCs w:val="21"/>
                    </w:rPr>
                    <w:t>5</w:t>
                  </w:r>
                </w:p>
              </w:tc>
              <w:tc>
                <w:tcPr>
                  <w:tcW w:w="380" w:type="dxa"/>
                  <w:vAlign w:val="center"/>
                </w:tcPr>
                <w:p>
                  <w:pPr>
                    <w:widowControl/>
                    <w:spacing w:line="240" w:lineRule="auto"/>
                    <w:jc w:val="center"/>
                    <w:rPr>
                      <w:kern w:val="0"/>
                      <w:szCs w:val="21"/>
                    </w:rPr>
                  </w:pPr>
                  <w:r>
                    <w:rPr>
                      <w:kern w:val="0"/>
                      <w:szCs w:val="21"/>
                    </w:rPr>
                    <w:t>掺合料</w:t>
                  </w:r>
                </w:p>
              </w:tc>
              <w:tc>
                <w:tcPr>
                  <w:tcW w:w="1080" w:type="dxa"/>
                  <w:vAlign w:val="center"/>
                </w:tcPr>
                <w:p>
                  <w:pPr>
                    <w:widowControl/>
                    <w:spacing w:line="240" w:lineRule="auto"/>
                    <w:jc w:val="center"/>
                    <w:rPr>
                      <w:kern w:val="0"/>
                      <w:szCs w:val="21"/>
                    </w:rPr>
                  </w:pPr>
                  <w:r>
                    <w:rPr>
                      <w:kern w:val="0"/>
                      <w:szCs w:val="21"/>
                    </w:rPr>
                    <w:t>粉煤灰</w:t>
                  </w:r>
                </w:p>
              </w:tc>
              <w:tc>
                <w:tcPr>
                  <w:tcW w:w="1285" w:type="dxa"/>
                  <w:vAlign w:val="center"/>
                </w:tcPr>
                <w:p>
                  <w:pPr>
                    <w:widowControl/>
                    <w:spacing w:line="240" w:lineRule="auto"/>
                    <w:jc w:val="center"/>
                    <w:rPr>
                      <w:kern w:val="0"/>
                      <w:szCs w:val="21"/>
                    </w:rPr>
                  </w:pPr>
                  <w:r>
                    <w:rPr>
                      <w:kern w:val="0"/>
                      <w:szCs w:val="21"/>
                    </w:rPr>
                    <w:t>13.94</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13.09</w:t>
                  </w:r>
                </w:p>
              </w:tc>
              <w:tc>
                <w:tcPr>
                  <w:tcW w:w="1305"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万t/a</w:t>
                  </w:r>
                </w:p>
              </w:tc>
              <w:tc>
                <w:tcPr>
                  <w:tcW w:w="2370" w:type="dxa"/>
                  <w:vAlign w:val="center"/>
                </w:tcPr>
                <w:p>
                  <w:pPr>
                    <w:widowControl/>
                    <w:spacing w:line="240" w:lineRule="auto"/>
                    <w:jc w:val="center"/>
                    <w:rPr>
                      <w:kern w:val="0"/>
                      <w:szCs w:val="21"/>
                    </w:rPr>
                  </w:pPr>
                  <w:r>
                    <w:rPr>
                      <w:kern w:val="0"/>
                      <w:szCs w:val="21"/>
                    </w:rPr>
                    <w:t>邯郸</w:t>
                  </w:r>
                  <w:r>
                    <w:rPr>
                      <w:rFonts w:hint="eastAsia"/>
                      <w:kern w:val="0"/>
                      <w:szCs w:val="21"/>
                    </w:rPr>
                    <w:t>、</w:t>
                  </w:r>
                  <w:r>
                    <w:rPr>
                      <w:kern w:val="0"/>
                      <w:szCs w:val="21"/>
                    </w:rPr>
                    <w:t>武安</w:t>
                  </w:r>
                  <w:r>
                    <w:rPr>
                      <w:rFonts w:hint="eastAsia"/>
                      <w:kern w:val="0"/>
                      <w:szCs w:val="21"/>
                    </w:rPr>
                    <w:t>、罐车运输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36" w:type="dxa"/>
                  <w:vAlign w:val="center"/>
                </w:tcPr>
                <w:p>
                  <w:pPr>
                    <w:widowControl/>
                    <w:spacing w:line="240" w:lineRule="auto"/>
                    <w:jc w:val="center"/>
                    <w:rPr>
                      <w:kern w:val="0"/>
                      <w:szCs w:val="21"/>
                    </w:rPr>
                  </w:pPr>
                  <w:r>
                    <w:rPr>
                      <w:kern w:val="0"/>
                      <w:szCs w:val="21"/>
                    </w:rPr>
                    <w:t>6</w:t>
                  </w:r>
                </w:p>
              </w:tc>
              <w:tc>
                <w:tcPr>
                  <w:tcW w:w="1460" w:type="dxa"/>
                  <w:gridSpan w:val="2"/>
                  <w:vAlign w:val="center"/>
                </w:tcPr>
                <w:p>
                  <w:pPr>
                    <w:widowControl/>
                    <w:spacing w:line="240" w:lineRule="auto"/>
                    <w:jc w:val="center"/>
                    <w:rPr>
                      <w:kern w:val="0"/>
                      <w:szCs w:val="21"/>
                    </w:rPr>
                  </w:pPr>
                  <w:r>
                    <w:rPr>
                      <w:kern w:val="0"/>
                      <w:szCs w:val="21"/>
                    </w:rPr>
                    <w:t>外加剂</w:t>
                  </w:r>
                </w:p>
              </w:tc>
              <w:tc>
                <w:tcPr>
                  <w:tcW w:w="1285" w:type="dxa"/>
                  <w:vAlign w:val="center"/>
                </w:tcPr>
                <w:p>
                  <w:pPr>
                    <w:widowControl/>
                    <w:spacing w:line="240" w:lineRule="auto"/>
                    <w:jc w:val="center"/>
                    <w:rPr>
                      <w:kern w:val="0"/>
                      <w:szCs w:val="21"/>
                    </w:rPr>
                  </w:pPr>
                  <w:r>
                    <w:rPr>
                      <w:kern w:val="0"/>
                      <w:szCs w:val="21"/>
                    </w:rPr>
                    <w:t xml:space="preserve">1.2 </w:t>
                  </w:r>
                </w:p>
              </w:tc>
              <w:tc>
                <w:tcPr>
                  <w:tcW w:w="1320" w:type="dxa"/>
                  <w:vAlign w:val="center"/>
                </w:tcPr>
                <w:p>
                  <w:pPr>
                    <w:widowControl/>
                    <w:spacing w:line="240" w:lineRule="auto"/>
                    <w:jc w:val="center"/>
                    <w:rPr>
                      <w:rFonts w:hint="default" w:eastAsia="宋体"/>
                      <w:kern w:val="0"/>
                      <w:szCs w:val="21"/>
                      <w:lang w:val="en-US" w:eastAsia="zh-CN"/>
                    </w:rPr>
                  </w:pPr>
                  <w:r>
                    <w:rPr>
                      <w:rFonts w:hint="eastAsia"/>
                      <w:kern w:val="0"/>
                      <w:szCs w:val="21"/>
                      <w:lang w:val="en-US" w:eastAsia="zh-CN"/>
                    </w:rPr>
                    <w:t>1.75</w:t>
                  </w:r>
                </w:p>
              </w:tc>
              <w:tc>
                <w:tcPr>
                  <w:tcW w:w="1305" w:type="dxa"/>
                  <w:vAlign w:val="center"/>
                </w:tcPr>
                <w:p>
                  <w:pPr>
                    <w:spacing w:line="240" w:lineRule="auto"/>
                    <w:jc w:val="center"/>
                    <w:rPr>
                      <w:rFonts w:hint="default" w:eastAsia="宋体"/>
                      <w:szCs w:val="21"/>
                      <w:lang w:val="en-US" w:eastAsia="zh-CN"/>
                    </w:rPr>
                  </w:pPr>
                  <w:r>
                    <w:rPr>
                      <w:rFonts w:hint="eastAsia"/>
                      <w:kern w:val="0"/>
                      <w:szCs w:val="21"/>
                      <w:lang w:val="en-US" w:eastAsia="zh-CN"/>
                    </w:rPr>
                    <w:t>万t/a</w:t>
                  </w:r>
                </w:p>
              </w:tc>
              <w:tc>
                <w:tcPr>
                  <w:tcW w:w="2370" w:type="dxa"/>
                  <w:vAlign w:val="center"/>
                </w:tcPr>
                <w:p>
                  <w:pPr>
                    <w:spacing w:line="240" w:lineRule="auto"/>
                    <w:jc w:val="center"/>
                    <w:rPr>
                      <w:szCs w:val="21"/>
                    </w:rPr>
                  </w:pPr>
                  <w:r>
                    <w:rPr>
                      <w:szCs w:val="21"/>
                    </w:rPr>
                    <w:t>峰峰矿区</w:t>
                  </w:r>
                  <w:r>
                    <w:rPr>
                      <w:rFonts w:hint="eastAsia"/>
                      <w:szCs w:val="21"/>
                    </w:rPr>
                    <w:t>、罐车运输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36" w:type="dxa"/>
                  <w:vAlign w:val="center"/>
                </w:tcPr>
                <w:p>
                  <w:pPr>
                    <w:widowControl/>
                    <w:spacing w:line="240" w:lineRule="auto"/>
                    <w:jc w:val="center"/>
                    <w:rPr>
                      <w:rFonts w:hint="eastAsia"/>
                      <w:kern w:val="0"/>
                      <w:szCs w:val="21"/>
                    </w:rPr>
                  </w:pPr>
                  <w:r>
                    <w:rPr>
                      <w:rFonts w:hint="eastAsia"/>
                      <w:kern w:val="0"/>
                      <w:szCs w:val="21"/>
                    </w:rPr>
                    <w:t>7</w:t>
                  </w:r>
                </w:p>
              </w:tc>
              <w:tc>
                <w:tcPr>
                  <w:tcW w:w="1460" w:type="dxa"/>
                  <w:gridSpan w:val="2"/>
                  <w:vAlign w:val="center"/>
                </w:tcPr>
                <w:p>
                  <w:pPr>
                    <w:widowControl/>
                    <w:spacing w:line="24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新鲜水</w:t>
                  </w:r>
                </w:p>
              </w:tc>
              <w:tc>
                <w:tcPr>
                  <w:tcW w:w="1285" w:type="dxa"/>
                  <w:vAlign w:val="center"/>
                </w:tcPr>
                <w:p>
                  <w:pPr>
                    <w:widowControl/>
                    <w:spacing w:line="24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12.41</w:t>
                  </w:r>
                </w:p>
              </w:tc>
              <w:tc>
                <w:tcPr>
                  <w:tcW w:w="1320" w:type="dxa"/>
                  <w:vAlign w:val="center"/>
                </w:tcPr>
                <w:p>
                  <w:pPr>
                    <w:widowControl/>
                    <w:spacing w:line="24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17.83</w:t>
                  </w:r>
                </w:p>
              </w:tc>
              <w:tc>
                <w:tcPr>
                  <w:tcW w:w="1305" w:type="dxa"/>
                  <w:vAlign w:val="center"/>
                </w:tcPr>
                <w:p>
                  <w:pPr>
                    <w:spacing w:line="240" w:lineRule="auto"/>
                    <w:jc w:val="center"/>
                    <w:rPr>
                      <w:rFonts w:hint="default" w:eastAsia="宋体"/>
                      <w:szCs w:val="21"/>
                      <w:lang w:val="en-US" w:eastAsia="zh-CN"/>
                    </w:rPr>
                  </w:pPr>
                  <w:r>
                    <w:rPr>
                      <w:rFonts w:hint="eastAsia"/>
                      <w:kern w:val="0"/>
                      <w:szCs w:val="21"/>
                      <w:lang w:val="en-US" w:eastAsia="zh-CN"/>
                    </w:rPr>
                    <w:t>万t/a</w:t>
                  </w:r>
                </w:p>
              </w:tc>
              <w:tc>
                <w:tcPr>
                  <w:tcW w:w="2370" w:type="dxa"/>
                  <w:vAlign w:val="center"/>
                </w:tcPr>
                <w:p>
                  <w:pPr>
                    <w:spacing w:line="240" w:lineRule="auto"/>
                    <w:jc w:val="center"/>
                    <w:rPr>
                      <w:rFonts w:hint="eastAsia"/>
                      <w:szCs w:val="21"/>
                    </w:rPr>
                  </w:pPr>
                  <w:r>
                    <w:rPr>
                      <w:rFonts w:hint="eastAsia"/>
                      <w:szCs w:val="21"/>
                    </w:rPr>
                    <w:t>园区供水管网提供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36" w:type="dxa"/>
                  <w:vAlign w:val="center"/>
                </w:tcPr>
                <w:p>
                  <w:pPr>
                    <w:widowControl/>
                    <w:spacing w:line="240" w:lineRule="auto"/>
                    <w:jc w:val="center"/>
                    <w:rPr>
                      <w:kern w:val="0"/>
                      <w:szCs w:val="21"/>
                    </w:rPr>
                  </w:pPr>
                  <w:r>
                    <w:rPr>
                      <w:rFonts w:hint="eastAsia"/>
                      <w:kern w:val="0"/>
                      <w:szCs w:val="21"/>
                    </w:rPr>
                    <w:t>8</w:t>
                  </w:r>
                </w:p>
              </w:tc>
              <w:tc>
                <w:tcPr>
                  <w:tcW w:w="1460" w:type="dxa"/>
                  <w:gridSpan w:val="2"/>
                  <w:vAlign w:val="center"/>
                </w:tcPr>
                <w:p>
                  <w:pPr>
                    <w:widowControl/>
                    <w:spacing w:line="240"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w:t>
                  </w:r>
                </w:p>
              </w:tc>
              <w:tc>
                <w:tcPr>
                  <w:tcW w:w="1285" w:type="dxa"/>
                  <w:vAlign w:val="center"/>
                </w:tcPr>
                <w:p>
                  <w:pPr>
                    <w:widowControl/>
                    <w:spacing w:line="24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14:textFill>
                        <w14:solidFill>
                          <w14:schemeClr w14:val="tx1"/>
                        </w14:solidFill>
                      </w14:textFill>
                    </w:rPr>
                    <w:t>89.84</w:t>
                  </w:r>
                  <w:r>
                    <w:rPr>
                      <w:rFonts w:hint="eastAsia"/>
                      <w:color w:val="000000" w:themeColor="text1"/>
                      <w:kern w:val="0"/>
                      <w:szCs w:val="21"/>
                      <w:lang w:val="en-US" w:eastAsia="zh-CN"/>
                      <w14:textFill>
                        <w14:solidFill>
                          <w14:schemeClr w14:val="tx1"/>
                        </w14:solidFill>
                      </w14:textFill>
                    </w:rPr>
                    <w:t>万kwh/a</w:t>
                  </w:r>
                </w:p>
              </w:tc>
              <w:tc>
                <w:tcPr>
                  <w:tcW w:w="1320" w:type="dxa"/>
                  <w:vAlign w:val="center"/>
                </w:tcPr>
                <w:p>
                  <w:pPr>
                    <w:widowControl/>
                    <w:spacing w:line="24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92.47万kwh/a</w:t>
                  </w:r>
                </w:p>
              </w:tc>
              <w:tc>
                <w:tcPr>
                  <w:tcW w:w="1305" w:type="dxa"/>
                  <w:vAlign w:val="center"/>
                </w:tcPr>
                <w:p>
                  <w:pPr>
                    <w:spacing w:line="240" w:lineRule="auto"/>
                    <w:jc w:val="center"/>
                    <w:rPr>
                      <w:rFonts w:hint="default" w:eastAsia="宋体"/>
                      <w:szCs w:val="21"/>
                      <w:lang w:val="en-US" w:eastAsia="zh-CN"/>
                    </w:rPr>
                  </w:pPr>
                  <w:r>
                    <w:rPr>
                      <w:rFonts w:hint="eastAsia"/>
                      <w:color w:val="000000" w:themeColor="text1"/>
                      <w:kern w:val="0"/>
                      <w:szCs w:val="21"/>
                      <w:lang w:val="en-US" w:eastAsia="zh-CN"/>
                      <w14:textFill>
                        <w14:solidFill>
                          <w14:schemeClr w14:val="tx1"/>
                        </w14:solidFill>
                      </w14:textFill>
                    </w:rPr>
                    <w:t>万kwh/a</w:t>
                  </w:r>
                </w:p>
              </w:tc>
              <w:tc>
                <w:tcPr>
                  <w:tcW w:w="2370" w:type="dxa"/>
                  <w:vAlign w:val="center"/>
                </w:tcPr>
                <w:p>
                  <w:pPr>
                    <w:spacing w:line="240" w:lineRule="auto"/>
                    <w:jc w:val="center"/>
                    <w:rPr>
                      <w:rFonts w:hint="eastAsia"/>
                      <w:szCs w:val="21"/>
                    </w:rPr>
                  </w:pPr>
                  <w:r>
                    <w:rPr>
                      <w:rFonts w:hint="eastAsia"/>
                      <w:szCs w:val="21"/>
                    </w:rPr>
                    <w:t>园区供电管网提供</w:t>
                  </w:r>
                </w:p>
              </w:tc>
            </w:tr>
          </w:tbl>
          <w:p>
            <w:pPr>
              <w:ind w:firstLine="480" w:firstLineChars="200"/>
              <w:rPr>
                <w:rFonts w:hint="eastAsia"/>
                <w:bCs/>
                <w:sz w:val="24"/>
              </w:rPr>
            </w:pPr>
            <w:r>
              <w:rPr>
                <w:rFonts w:hint="eastAsia"/>
                <w:bCs/>
                <w:sz w:val="24"/>
              </w:rPr>
              <w:t>原辅材料理化性质：</w:t>
            </w:r>
          </w:p>
          <w:p>
            <w:pPr>
              <w:pStyle w:val="2"/>
              <w:rPr>
                <w:sz w:val="24"/>
                <w:szCs w:val="24"/>
              </w:rPr>
            </w:pPr>
            <w:r>
              <w:rPr>
                <w:sz w:val="24"/>
                <w:szCs w:val="24"/>
              </w:rPr>
              <w:t>粉煤灰：是从煤燃烧后的烟气中收捕下来的细灰，粉煤灰是燃煤电厂排出的主要固体废物。粉煤灰的氧化物组成为</w:t>
            </w:r>
            <w:r>
              <w:rPr>
                <w:rFonts w:hint="eastAsia"/>
                <w:sz w:val="24"/>
                <w:szCs w:val="24"/>
              </w:rPr>
              <w:t>：</w:t>
            </w:r>
            <w:r>
              <w:rPr>
                <w:sz w:val="24"/>
                <w:szCs w:val="24"/>
              </w:rPr>
              <w:t>SiO</w:t>
            </w:r>
            <w:r>
              <w:rPr>
                <w:sz w:val="24"/>
                <w:szCs w:val="24"/>
                <w:vertAlign w:val="subscript"/>
              </w:rPr>
              <w:t>2</w:t>
            </w:r>
            <w:r>
              <w:rPr>
                <w:sz w:val="24"/>
                <w:szCs w:val="24"/>
              </w:rPr>
              <w:t>、Al</w:t>
            </w:r>
            <w:r>
              <w:rPr>
                <w:sz w:val="24"/>
                <w:szCs w:val="24"/>
                <w:vertAlign w:val="subscript"/>
              </w:rPr>
              <w:t>2</w:t>
            </w:r>
            <w:r>
              <w:rPr>
                <w:sz w:val="24"/>
                <w:szCs w:val="24"/>
              </w:rPr>
              <w:t>O</w:t>
            </w:r>
            <w:r>
              <w:rPr>
                <w:sz w:val="24"/>
                <w:szCs w:val="24"/>
                <w:vertAlign w:val="subscript"/>
              </w:rPr>
              <w:t>3</w:t>
            </w:r>
            <w:r>
              <w:rPr>
                <w:sz w:val="24"/>
                <w:szCs w:val="24"/>
              </w:rPr>
              <w:t>及少量的FeO、Fe</w:t>
            </w:r>
            <w:r>
              <w:rPr>
                <w:sz w:val="24"/>
                <w:szCs w:val="24"/>
                <w:vertAlign w:val="subscript"/>
              </w:rPr>
              <w:t>2</w:t>
            </w:r>
            <w:r>
              <w:rPr>
                <w:sz w:val="24"/>
                <w:szCs w:val="24"/>
              </w:rPr>
              <w:t>O</w:t>
            </w:r>
            <w:r>
              <w:rPr>
                <w:sz w:val="24"/>
                <w:szCs w:val="24"/>
                <w:vertAlign w:val="subscript"/>
              </w:rPr>
              <w:t>3</w:t>
            </w:r>
            <w:r>
              <w:rPr>
                <w:sz w:val="24"/>
                <w:szCs w:val="24"/>
              </w:rPr>
              <w:t>、CaO、MgO、SO</w:t>
            </w:r>
            <w:r>
              <w:rPr>
                <w:sz w:val="24"/>
                <w:szCs w:val="24"/>
                <w:vertAlign w:val="subscript"/>
              </w:rPr>
              <w:t>3</w:t>
            </w:r>
            <w:r>
              <w:rPr>
                <w:sz w:val="24"/>
                <w:szCs w:val="24"/>
              </w:rPr>
              <w:t>、TiO</w:t>
            </w:r>
            <w:r>
              <w:rPr>
                <w:sz w:val="24"/>
                <w:szCs w:val="24"/>
                <w:vertAlign w:val="subscript"/>
              </w:rPr>
              <w:t>2</w:t>
            </w:r>
            <w:r>
              <w:rPr>
                <w:sz w:val="24"/>
                <w:szCs w:val="24"/>
              </w:rPr>
              <w:t>等，其中SiO</w:t>
            </w:r>
            <w:r>
              <w:rPr>
                <w:sz w:val="24"/>
                <w:szCs w:val="24"/>
                <w:vertAlign w:val="subscript"/>
              </w:rPr>
              <w:t>2</w:t>
            </w:r>
            <w:r>
              <w:rPr>
                <w:sz w:val="24"/>
                <w:szCs w:val="24"/>
              </w:rPr>
              <w:t>和Al</w:t>
            </w:r>
            <w:r>
              <w:rPr>
                <w:sz w:val="24"/>
                <w:szCs w:val="24"/>
                <w:vertAlign w:val="subscript"/>
              </w:rPr>
              <w:t>2</w:t>
            </w:r>
            <w:r>
              <w:rPr>
                <w:sz w:val="24"/>
                <w:szCs w:val="24"/>
              </w:rPr>
              <w:t>O</w:t>
            </w:r>
            <w:r>
              <w:rPr>
                <w:sz w:val="24"/>
                <w:szCs w:val="24"/>
                <w:vertAlign w:val="subscript"/>
              </w:rPr>
              <w:t>3</w:t>
            </w:r>
            <w:r>
              <w:rPr>
                <w:sz w:val="24"/>
                <w:szCs w:val="24"/>
              </w:rPr>
              <w:t>含量可占总含量的60%以上。</w:t>
            </w:r>
          </w:p>
          <w:p>
            <w:pPr>
              <w:pStyle w:val="2"/>
            </w:pPr>
            <w:r>
              <w:rPr>
                <w:sz w:val="24"/>
                <w:szCs w:val="24"/>
              </w:rPr>
              <w:t>外加剂：是指在拌制混凝土拌合前或拌合过程中掺入用以改善混凝土性能的物质。混凝土外加剂的掺量一般不大于水泥质量的5%。混凝土外加剂产品的质量必须符合国家标准《混凝土外加剂》(GB 8076-2008)的规定。本项目使用的外加剂主要为减水剂和调凝剂。调凝剂：木质素磺酸盐及其改性或衍生物、羟基羧酸及其盐或其改性和衍生物、无机盐（锌盐、硼酸盐、磷酸盐、氯化物）、铵盐及其衍生物、碳水化合物及多聚糖酸或糖酸、水溶性聚合物（纤维素醚、密胺衍生物、萘衍生物、聚硅氧烷和磺化碳氢化合物）；高效减水剂：萘磺酸盐甲醛缩合物、多环芳烃磺酸盐甲醛缩合物、三聚氰胺磺酸盐甲醛缩聚物、对胺基苯磺酸甲醛缩聚物、磺化酮醛缩聚物、聚丙烯酸盐及其接枝共聚物等</w:t>
            </w:r>
          </w:p>
          <w:p>
            <w:pPr>
              <w:ind w:firstLine="480" w:firstLineChars="200"/>
              <w:rPr>
                <w:bCs/>
                <w:sz w:val="24"/>
              </w:rPr>
            </w:pPr>
            <w:r>
              <w:rPr>
                <w:bCs/>
                <w:sz w:val="24"/>
              </w:rPr>
              <w:t>11、公用工程</w:t>
            </w:r>
          </w:p>
          <w:p>
            <w:pPr>
              <w:ind w:firstLine="480" w:firstLineChars="200"/>
              <w:rPr>
                <w:sz w:val="24"/>
              </w:rPr>
            </w:pPr>
            <w:r>
              <w:rPr>
                <w:sz w:val="24"/>
              </w:rPr>
              <w:t>（1）给水</w:t>
            </w:r>
          </w:p>
          <w:p>
            <w:pPr>
              <w:ind w:firstLine="480" w:firstLineChars="200"/>
              <w:rPr>
                <w:sz w:val="24"/>
              </w:rPr>
            </w:pPr>
            <w:r>
              <w:rPr>
                <w:rFonts w:hint="eastAsia"/>
                <w:sz w:val="24"/>
              </w:rPr>
              <w:t>项目用水主要为生产用水、职工生活用水、车辆冲洗用水、道路浇洒用水和绿化用水</w:t>
            </w:r>
            <w:r>
              <w:rPr>
                <w:rFonts w:hint="eastAsia"/>
                <w:sz w:val="24"/>
                <w:lang w:eastAsia="zh-CN"/>
              </w:rPr>
              <w:t>、</w:t>
            </w:r>
            <w:r>
              <w:rPr>
                <w:rFonts w:hint="eastAsia"/>
                <w:sz w:val="24"/>
                <w:lang w:val="en-US" w:eastAsia="zh-CN"/>
              </w:rPr>
              <w:t>喷淋用水</w:t>
            </w:r>
            <w:r>
              <w:rPr>
                <w:rFonts w:hint="eastAsia"/>
                <w:sz w:val="24"/>
              </w:rPr>
              <w:t>，项目用水来自</w:t>
            </w:r>
            <w:r>
              <w:rPr>
                <w:rFonts w:hint="eastAsia"/>
                <w:sz w:val="24"/>
                <w:lang w:val="en-US" w:eastAsia="zh-CN"/>
              </w:rPr>
              <w:t>河北魏县经济开发区供水</w:t>
            </w:r>
            <w:r>
              <w:rPr>
                <w:rFonts w:hint="eastAsia"/>
                <w:sz w:val="24"/>
              </w:rPr>
              <w:t>管网提供，可满足本项目供水需求。</w:t>
            </w:r>
          </w:p>
          <w:p>
            <w:pPr>
              <w:ind w:firstLine="480" w:firstLineChars="200"/>
              <w:rPr>
                <w:sz w:val="24"/>
              </w:rPr>
            </w:pPr>
            <w:r>
              <w:rPr>
                <w:rFonts w:hint="eastAsia"/>
                <w:sz w:val="24"/>
              </w:rPr>
              <w:t>①职工生活用水</w:t>
            </w:r>
          </w:p>
          <w:p>
            <w:pPr>
              <w:ind w:firstLine="480" w:firstLineChars="200"/>
              <w:rPr>
                <w:rFonts w:hint="default" w:eastAsia="宋体"/>
                <w:sz w:val="24"/>
                <w:lang w:val="en-US" w:eastAsia="zh-CN"/>
              </w:rPr>
            </w:pPr>
            <w:r>
              <w:rPr>
                <w:sz w:val="24"/>
              </w:rPr>
              <w:t>本项目不新增员工，</w:t>
            </w:r>
            <w:r>
              <w:rPr>
                <w:rFonts w:hint="eastAsia"/>
                <w:sz w:val="24"/>
              </w:rPr>
              <w:t>依托现有项目职工总数38人，项目不设食堂及宿舍，职工生活用水根据《河北省用水定额 第三部分：生活用水》（DB13/T1161.3-2016）并结合项目实际情况，项目职工用水定额为40L/（人·d）计，年工作300天，则项目职工生活用水为1.52m</w:t>
            </w:r>
            <w:r>
              <w:rPr>
                <w:rFonts w:hint="eastAsia"/>
                <w:sz w:val="24"/>
                <w:vertAlign w:val="superscript"/>
              </w:rPr>
              <w:t>3</w:t>
            </w:r>
            <w:r>
              <w:rPr>
                <w:rFonts w:hint="eastAsia"/>
                <w:sz w:val="24"/>
              </w:rPr>
              <w:t>/d（456m</w:t>
            </w:r>
            <w:r>
              <w:rPr>
                <w:rFonts w:hint="eastAsia"/>
                <w:sz w:val="24"/>
                <w:vertAlign w:val="superscript"/>
              </w:rPr>
              <w:t>3</w:t>
            </w:r>
            <w:r>
              <w:rPr>
                <w:rFonts w:hint="eastAsia"/>
                <w:sz w:val="24"/>
              </w:rPr>
              <w:t>/a）。</w:t>
            </w:r>
            <w:r>
              <w:rPr>
                <w:rFonts w:hint="eastAsia"/>
                <w:sz w:val="24"/>
                <w:lang w:val="en-US" w:eastAsia="zh-CN"/>
              </w:rPr>
              <w:t>技改后不再建设食堂，无食堂用水。</w:t>
            </w:r>
          </w:p>
          <w:p>
            <w:pPr>
              <w:ind w:firstLine="480" w:firstLineChars="200"/>
              <w:rPr>
                <w:sz w:val="24"/>
              </w:rPr>
            </w:pPr>
            <w:r>
              <w:rPr>
                <w:rFonts w:hint="eastAsia"/>
                <w:sz w:val="24"/>
              </w:rPr>
              <w:t>②生产用水</w:t>
            </w:r>
          </w:p>
          <w:p>
            <w:pPr>
              <w:ind w:firstLine="480" w:firstLineChars="200"/>
              <w:rPr>
                <w:rFonts w:hint="eastAsia"/>
                <w:sz w:val="24"/>
              </w:rPr>
            </w:pPr>
            <w:r>
              <w:rPr>
                <w:rFonts w:hint="eastAsia"/>
                <w:sz w:val="24"/>
              </w:rPr>
              <w:t>本项目生产用水主要为预拌砂浆（湿拌）搅拌用水，用水指标为0.1m</w:t>
            </w:r>
            <w:r>
              <w:rPr>
                <w:rFonts w:hint="eastAsia"/>
                <w:sz w:val="24"/>
                <w:vertAlign w:val="superscript"/>
              </w:rPr>
              <w:t>3</w:t>
            </w:r>
            <w:r>
              <w:rPr>
                <w:rFonts w:hint="eastAsia"/>
                <w:sz w:val="24"/>
              </w:rPr>
              <w:t>/t，项目年生产预拌砂浆95万t，则搅拌用水量为95000m</w:t>
            </w:r>
            <w:r>
              <w:rPr>
                <w:rFonts w:hint="eastAsia"/>
                <w:sz w:val="24"/>
                <w:vertAlign w:val="superscript"/>
              </w:rPr>
              <w:t>3</w:t>
            </w:r>
            <w:r>
              <w:rPr>
                <w:rFonts w:hint="eastAsia"/>
                <w:sz w:val="24"/>
              </w:rPr>
              <w:t>/</w:t>
            </w:r>
            <w:r>
              <w:rPr>
                <w:sz w:val="24"/>
              </w:rPr>
              <w:t>a</w:t>
            </w:r>
            <w:r>
              <w:rPr>
                <w:rFonts w:hint="eastAsia"/>
                <w:sz w:val="24"/>
              </w:rPr>
              <w:t>。</w:t>
            </w:r>
          </w:p>
          <w:p>
            <w:pPr>
              <w:pStyle w:val="2"/>
              <w:rPr>
                <w:sz w:val="24"/>
                <w:szCs w:val="24"/>
              </w:rPr>
            </w:pPr>
            <w:r>
              <w:rPr>
                <w:rFonts w:hint="eastAsia"/>
                <w:sz w:val="24"/>
              </w:rPr>
              <w:t>现有项目生产用水包括洗砂用水及搅拌用水，搅拌用水指标为</w:t>
            </w:r>
            <w:r>
              <w:rPr>
                <w:sz w:val="24"/>
                <w:szCs w:val="24"/>
              </w:rPr>
              <w:t>0.08m</w:t>
            </w:r>
            <w:r>
              <w:rPr>
                <w:rFonts w:hint="eastAsia"/>
                <w:sz w:val="24"/>
                <w:szCs w:val="24"/>
                <w:vertAlign w:val="superscript"/>
              </w:rPr>
              <w:t>3</w:t>
            </w:r>
            <w:r>
              <w:rPr>
                <w:sz w:val="24"/>
                <w:szCs w:val="24"/>
              </w:rPr>
              <w:t>/t，项目年产建筑装备</w:t>
            </w:r>
            <w:r>
              <w:rPr>
                <w:rFonts w:hint="eastAsia"/>
                <w:sz w:val="24"/>
                <w:szCs w:val="24"/>
                <w:lang w:val="en-US" w:eastAsia="zh-CN"/>
              </w:rPr>
              <w:t>100</w:t>
            </w:r>
            <w:r>
              <w:rPr>
                <w:sz w:val="24"/>
                <w:szCs w:val="24"/>
              </w:rPr>
              <w:t>万m</w:t>
            </w:r>
            <w:r>
              <w:rPr>
                <w:rFonts w:hint="eastAsia"/>
                <w:sz w:val="24"/>
                <w:szCs w:val="24"/>
                <w:vertAlign w:val="superscript"/>
              </w:rPr>
              <w:t>3</w:t>
            </w:r>
            <w:r>
              <w:rPr>
                <w:sz w:val="24"/>
                <w:szCs w:val="24"/>
              </w:rPr>
              <w:t>，则搅拌用水量为</w:t>
            </w:r>
            <w:r>
              <w:rPr>
                <w:rFonts w:hint="eastAsia"/>
                <w:sz w:val="24"/>
                <w:szCs w:val="24"/>
                <w:lang w:val="en-US" w:eastAsia="zh-CN"/>
              </w:rPr>
              <w:t>80000</w:t>
            </w:r>
            <w:r>
              <w:rPr>
                <w:sz w:val="24"/>
                <w:szCs w:val="24"/>
              </w:rPr>
              <w:t>m</w:t>
            </w:r>
            <w:r>
              <w:rPr>
                <w:rFonts w:hint="eastAsia"/>
                <w:sz w:val="24"/>
                <w:szCs w:val="24"/>
                <w:vertAlign w:val="superscript"/>
              </w:rPr>
              <w:t>3</w:t>
            </w:r>
            <w:r>
              <w:rPr>
                <w:sz w:val="24"/>
                <w:szCs w:val="24"/>
              </w:rPr>
              <w:t>/a</w:t>
            </w:r>
            <w:r>
              <w:rPr>
                <w:rFonts w:hint="eastAsia"/>
                <w:sz w:val="24"/>
                <w:szCs w:val="24"/>
                <w:lang w:eastAsia="zh-CN"/>
              </w:rPr>
              <w:t>，</w:t>
            </w:r>
            <w:r>
              <w:rPr>
                <w:rFonts w:hint="eastAsia"/>
                <w:sz w:val="24"/>
                <w:szCs w:val="24"/>
                <w:lang w:val="en-US" w:eastAsia="zh-CN"/>
              </w:rPr>
              <w:t>其中2400</w:t>
            </w:r>
            <w:r>
              <w:rPr>
                <w:sz w:val="24"/>
                <w:szCs w:val="24"/>
              </w:rPr>
              <w:t>m</w:t>
            </w:r>
            <w:r>
              <w:rPr>
                <w:rFonts w:hint="eastAsia"/>
                <w:sz w:val="24"/>
                <w:szCs w:val="24"/>
                <w:vertAlign w:val="superscript"/>
              </w:rPr>
              <w:t>3</w:t>
            </w:r>
            <w:r>
              <w:rPr>
                <w:sz w:val="24"/>
                <w:szCs w:val="24"/>
              </w:rPr>
              <w:t>/a</w:t>
            </w:r>
            <w:r>
              <w:rPr>
                <w:rFonts w:hint="eastAsia"/>
                <w:sz w:val="24"/>
                <w:szCs w:val="24"/>
                <w:lang w:val="en-US" w:eastAsia="zh-CN"/>
              </w:rPr>
              <w:t>的车辆冲洗废水与570</w:t>
            </w:r>
            <w:r>
              <w:rPr>
                <w:sz w:val="24"/>
                <w:szCs w:val="24"/>
              </w:rPr>
              <w:t>m</w:t>
            </w:r>
            <w:r>
              <w:rPr>
                <w:rFonts w:hint="eastAsia"/>
                <w:sz w:val="24"/>
                <w:szCs w:val="24"/>
                <w:vertAlign w:val="superscript"/>
              </w:rPr>
              <w:t>3</w:t>
            </w:r>
            <w:r>
              <w:rPr>
                <w:sz w:val="24"/>
                <w:szCs w:val="24"/>
              </w:rPr>
              <w:t>/a</w:t>
            </w:r>
            <w:r>
              <w:rPr>
                <w:rFonts w:hint="eastAsia"/>
                <w:sz w:val="24"/>
                <w:szCs w:val="24"/>
                <w:lang w:val="en-US" w:eastAsia="zh-CN"/>
              </w:rPr>
              <w:t>洗砂废水经沉淀后用于搅拌工序，因此，搅拌工序新鲜用水量为77030</w:t>
            </w:r>
            <w:r>
              <w:rPr>
                <w:sz w:val="24"/>
                <w:szCs w:val="24"/>
              </w:rPr>
              <w:t>m</w:t>
            </w:r>
            <w:r>
              <w:rPr>
                <w:rFonts w:hint="eastAsia"/>
                <w:sz w:val="24"/>
                <w:szCs w:val="24"/>
                <w:vertAlign w:val="superscript"/>
              </w:rPr>
              <w:t>3</w:t>
            </w:r>
            <w:r>
              <w:rPr>
                <w:sz w:val="24"/>
                <w:szCs w:val="24"/>
              </w:rPr>
              <w:t>/a。</w:t>
            </w:r>
          </w:p>
          <w:p>
            <w:pPr>
              <w:pStyle w:val="2"/>
              <w:ind w:left="0" w:leftChars="0" w:firstLine="480" w:firstLineChars="200"/>
              <w:rPr>
                <w:sz w:val="24"/>
                <w:szCs w:val="24"/>
              </w:rPr>
            </w:pPr>
            <w:r>
              <w:rPr>
                <w:sz w:val="24"/>
                <w:szCs w:val="24"/>
              </w:rPr>
              <w:t>洗砂用水新鲜水用量为1.9m</w:t>
            </w:r>
            <w:r>
              <w:rPr>
                <w:sz w:val="24"/>
                <w:szCs w:val="24"/>
                <w:vertAlign w:val="superscript"/>
              </w:rPr>
              <w:t>3</w:t>
            </w:r>
            <w:r>
              <w:rPr>
                <w:sz w:val="24"/>
                <w:szCs w:val="24"/>
              </w:rPr>
              <w:t>/d，年用水量为570m</w:t>
            </w:r>
            <w:r>
              <w:rPr>
                <w:rFonts w:hint="eastAsia"/>
                <w:sz w:val="24"/>
                <w:szCs w:val="24"/>
                <w:vertAlign w:val="superscript"/>
              </w:rPr>
              <w:t>3</w:t>
            </w:r>
            <w:r>
              <w:rPr>
                <w:sz w:val="24"/>
                <w:szCs w:val="24"/>
              </w:rPr>
              <w:t>/a，洗砂废水经沉淀池处理后循环使用，定期补充新鲜水。</w:t>
            </w:r>
          </w:p>
          <w:p>
            <w:pPr>
              <w:pStyle w:val="2"/>
              <w:rPr>
                <w:sz w:val="24"/>
                <w:szCs w:val="24"/>
              </w:rPr>
            </w:pPr>
            <w:r>
              <w:rPr>
                <w:rFonts w:hint="eastAsia"/>
                <w:sz w:val="24"/>
                <w:szCs w:val="24"/>
              </w:rPr>
              <w:t>则现有项目生产用新鲜水量为</w:t>
            </w:r>
            <w:r>
              <w:rPr>
                <w:rFonts w:hint="eastAsia"/>
                <w:sz w:val="24"/>
                <w:szCs w:val="24"/>
                <w:lang w:val="en-US" w:eastAsia="zh-CN"/>
              </w:rPr>
              <w:t>77600</w:t>
            </w:r>
            <w:r>
              <w:rPr>
                <w:sz w:val="24"/>
                <w:szCs w:val="24"/>
              </w:rPr>
              <w:t>m</w:t>
            </w:r>
            <w:r>
              <w:rPr>
                <w:sz w:val="24"/>
                <w:szCs w:val="24"/>
                <w:vertAlign w:val="superscript"/>
              </w:rPr>
              <w:t>3</w:t>
            </w:r>
            <w:r>
              <w:rPr>
                <w:sz w:val="24"/>
                <w:szCs w:val="24"/>
              </w:rPr>
              <w:t>/a</w:t>
            </w:r>
            <w:r>
              <w:rPr>
                <w:rFonts w:hint="eastAsia"/>
                <w:sz w:val="24"/>
                <w:szCs w:val="24"/>
              </w:rPr>
              <w:t>。</w:t>
            </w:r>
          </w:p>
          <w:p>
            <w:pPr>
              <w:pStyle w:val="2"/>
              <w:rPr>
                <w:sz w:val="24"/>
                <w:szCs w:val="24"/>
              </w:rPr>
            </w:pPr>
            <w:r>
              <w:rPr>
                <w:sz w:val="24"/>
                <w:szCs w:val="24"/>
              </w:rPr>
              <w:t>因此，</w:t>
            </w:r>
            <w:r>
              <w:rPr>
                <w:rFonts w:hint="eastAsia"/>
                <w:sz w:val="24"/>
                <w:szCs w:val="24"/>
                <w:lang w:val="en-US" w:eastAsia="zh-CN"/>
              </w:rPr>
              <w:t>技改</w:t>
            </w:r>
            <w:r>
              <w:rPr>
                <w:rFonts w:hint="eastAsia"/>
                <w:sz w:val="24"/>
                <w:szCs w:val="24"/>
              </w:rPr>
              <w:t>后生产用新鲜水总量为</w:t>
            </w:r>
            <w:r>
              <w:rPr>
                <w:rFonts w:hint="eastAsia"/>
                <w:sz w:val="24"/>
                <w:szCs w:val="24"/>
                <w:lang w:val="en-US" w:eastAsia="zh-CN"/>
              </w:rPr>
              <w:t>172600</w:t>
            </w:r>
            <w:r>
              <w:rPr>
                <w:sz w:val="24"/>
                <w:szCs w:val="24"/>
              </w:rPr>
              <w:t>m</w:t>
            </w:r>
            <w:r>
              <w:rPr>
                <w:sz w:val="24"/>
                <w:szCs w:val="24"/>
                <w:vertAlign w:val="superscript"/>
              </w:rPr>
              <w:t>3</w:t>
            </w:r>
            <w:r>
              <w:rPr>
                <w:sz w:val="24"/>
                <w:szCs w:val="24"/>
              </w:rPr>
              <w:t>/a</w:t>
            </w:r>
            <w:r>
              <w:rPr>
                <w:rFonts w:hint="eastAsia"/>
                <w:sz w:val="24"/>
                <w:szCs w:val="24"/>
              </w:rPr>
              <w:t>。</w:t>
            </w:r>
          </w:p>
          <w:p>
            <w:pPr>
              <w:ind w:firstLine="480" w:firstLineChars="200"/>
              <w:rPr>
                <w:rFonts w:hint="eastAsia"/>
                <w:sz w:val="24"/>
              </w:rPr>
            </w:pPr>
            <w:r>
              <w:rPr>
                <w:rFonts w:hint="eastAsia"/>
                <w:sz w:val="24"/>
              </w:rPr>
              <w:t>③车辆冲洗用水</w:t>
            </w:r>
          </w:p>
          <w:p>
            <w:pPr>
              <w:pStyle w:val="2"/>
              <w:rPr>
                <w:rFonts w:hint="eastAsia"/>
                <w:snapToGrid w:val="0"/>
                <w:color w:val="000000"/>
                <w:sz w:val="24"/>
                <w:szCs w:val="24"/>
              </w:rPr>
            </w:pPr>
            <w:r>
              <w:rPr>
                <w:rFonts w:hint="eastAsia"/>
                <w:snapToGrid w:val="0"/>
                <w:color w:val="000000"/>
                <w:sz w:val="24"/>
                <w:szCs w:val="24"/>
              </w:rPr>
              <w:t>运输</w:t>
            </w:r>
            <w:r>
              <w:rPr>
                <w:snapToGrid w:val="0"/>
                <w:color w:val="000000"/>
                <w:sz w:val="24"/>
                <w:szCs w:val="24"/>
              </w:rPr>
              <w:t>车运输过程需对车辆外侧及轮胎进行冲洗，根据企业提供的资料，冲洗用水量按0.1m</w:t>
            </w:r>
            <w:r>
              <w:rPr>
                <w:snapToGrid w:val="0"/>
                <w:color w:val="000000"/>
                <w:sz w:val="24"/>
                <w:szCs w:val="24"/>
                <w:vertAlign w:val="superscript"/>
              </w:rPr>
              <w:t>3</w:t>
            </w:r>
            <w:r>
              <w:rPr>
                <w:snapToGrid w:val="0"/>
                <w:color w:val="000000"/>
                <w:sz w:val="24"/>
                <w:szCs w:val="24"/>
              </w:rPr>
              <w:t>/车次，</w:t>
            </w:r>
            <w:r>
              <w:rPr>
                <w:rFonts w:hint="eastAsia"/>
                <w:snapToGrid w:val="0"/>
                <w:color w:val="000000"/>
                <w:sz w:val="24"/>
                <w:szCs w:val="24"/>
              </w:rPr>
              <w:t>现有项目</w:t>
            </w:r>
            <w:r>
              <w:rPr>
                <w:snapToGrid w:val="0"/>
                <w:color w:val="000000"/>
                <w:sz w:val="24"/>
                <w:szCs w:val="24"/>
              </w:rPr>
              <w:t>每天冲洗100车次计。则车辆冲洗用水量约为10m</w:t>
            </w:r>
            <w:r>
              <w:rPr>
                <w:snapToGrid w:val="0"/>
                <w:color w:val="000000"/>
                <w:sz w:val="24"/>
                <w:szCs w:val="24"/>
                <w:vertAlign w:val="superscript"/>
              </w:rPr>
              <w:t>3</w:t>
            </w:r>
            <w:r>
              <w:rPr>
                <w:snapToGrid w:val="0"/>
                <w:color w:val="000000"/>
                <w:sz w:val="24"/>
                <w:szCs w:val="24"/>
              </w:rPr>
              <w:t>/d（3000m</w:t>
            </w:r>
            <w:r>
              <w:rPr>
                <w:snapToGrid w:val="0"/>
                <w:color w:val="000000"/>
                <w:sz w:val="24"/>
                <w:szCs w:val="24"/>
                <w:vertAlign w:val="superscript"/>
              </w:rPr>
              <w:t>3</w:t>
            </w:r>
            <w:r>
              <w:rPr>
                <w:snapToGrid w:val="0"/>
                <w:color w:val="000000"/>
                <w:sz w:val="24"/>
                <w:szCs w:val="24"/>
              </w:rPr>
              <w:t>/a）。车辆冲洗用水为新鲜水</w:t>
            </w:r>
            <w:r>
              <w:rPr>
                <w:bCs/>
                <w:snapToGrid w:val="0"/>
                <w:color w:val="000000"/>
                <w:sz w:val="24"/>
                <w:szCs w:val="24"/>
              </w:rPr>
              <w:t>，</w:t>
            </w:r>
            <w:r>
              <w:rPr>
                <w:snapToGrid w:val="0"/>
                <w:color w:val="000000"/>
                <w:sz w:val="24"/>
                <w:szCs w:val="24"/>
              </w:rPr>
              <w:t>耗散系数以20%计，则冲洗废水产生量为8m</w:t>
            </w:r>
            <w:r>
              <w:rPr>
                <w:snapToGrid w:val="0"/>
                <w:color w:val="000000"/>
                <w:sz w:val="24"/>
                <w:szCs w:val="24"/>
                <w:vertAlign w:val="superscript"/>
              </w:rPr>
              <w:t>3</w:t>
            </w:r>
            <w:r>
              <w:rPr>
                <w:snapToGrid w:val="0"/>
                <w:color w:val="000000"/>
                <w:sz w:val="24"/>
                <w:szCs w:val="24"/>
              </w:rPr>
              <w:t>/d（2400m</w:t>
            </w:r>
            <w:r>
              <w:rPr>
                <w:snapToGrid w:val="0"/>
                <w:color w:val="000000"/>
                <w:sz w:val="24"/>
                <w:szCs w:val="24"/>
                <w:vertAlign w:val="superscript"/>
              </w:rPr>
              <w:t>3</w:t>
            </w:r>
            <w:r>
              <w:rPr>
                <w:snapToGrid w:val="0"/>
                <w:color w:val="000000"/>
                <w:sz w:val="24"/>
                <w:szCs w:val="24"/>
              </w:rPr>
              <w:t>/a），</w:t>
            </w:r>
            <w:r>
              <w:rPr>
                <w:rFonts w:hint="eastAsia"/>
                <w:snapToGrid w:val="0"/>
                <w:color w:val="000000"/>
                <w:sz w:val="24"/>
                <w:szCs w:val="24"/>
              </w:rPr>
              <w:t>冲洗废水直接进入沉淀池，经沉淀池沉淀后用于生产补水</w:t>
            </w:r>
            <w:r>
              <w:rPr>
                <w:rFonts w:hint="eastAsia"/>
                <w:snapToGrid w:val="0"/>
                <w:color w:val="000000"/>
                <w:sz w:val="24"/>
                <w:szCs w:val="24"/>
                <w:lang w:eastAsia="zh-CN"/>
              </w:rPr>
              <w:t>（</w:t>
            </w:r>
            <w:r>
              <w:rPr>
                <w:rFonts w:hint="eastAsia"/>
                <w:snapToGrid w:val="0"/>
                <w:color w:val="000000"/>
                <w:sz w:val="24"/>
                <w:szCs w:val="24"/>
                <w:lang w:val="en-US" w:eastAsia="zh-CN"/>
              </w:rPr>
              <w:t>主要用于搅拌工序</w:t>
            </w:r>
            <w:r>
              <w:rPr>
                <w:rFonts w:hint="eastAsia"/>
                <w:snapToGrid w:val="0"/>
                <w:color w:val="000000"/>
                <w:sz w:val="24"/>
                <w:szCs w:val="24"/>
                <w:lang w:eastAsia="zh-CN"/>
              </w:rPr>
              <w:t>）</w:t>
            </w:r>
            <w:r>
              <w:rPr>
                <w:rFonts w:hint="eastAsia"/>
                <w:snapToGrid w:val="0"/>
                <w:color w:val="000000"/>
                <w:sz w:val="24"/>
                <w:szCs w:val="24"/>
              </w:rPr>
              <w:t>。</w:t>
            </w:r>
          </w:p>
          <w:p>
            <w:pPr>
              <w:pStyle w:val="2"/>
              <w:rPr>
                <w:rFonts w:hint="eastAsia"/>
                <w:snapToGrid w:val="0"/>
                <w:color w:val="000000"/>
                <w:sz w:val="24"/>
                <w:szCs w:val="24"/>
              </w:rPr>
            </w:pPr>
            <w:r>
              <w:rPr>
                <w:rFonts w:hint="eastAsia"/>
                <w:snapToGrid w:val="0"/>
                <w:color w:val="000000"/>
                <w:sz w:val="24"/>
                <w:szCs w:val="24"/>
              </w:rPr>
              <w:t xml:space="preserve">④道路浇洒用水   </w:t>
            </w:r>
          </w:p>
          <w:p>
            <w:pPr>
              <w:pStyle w:val="2"/>
              <w:rPr>
                <w:rFonts w:hint="eastAsia"/>
                <w:snapToGrid w:val="0"/>
                <w:color w:val="000000"/>
                <w:sz w:val="24"/>
                <w:szCs w:val="24"/>
              </w:rPr>
            </w:pPr>
            <w:r>
              <w:rPr>
                <w:rFonts w:hint="eastAsia"/>
                <w:bCs/>
                <w:snapToGrid w:val="0"/>
                <w:sz w:val="24"/>
                <w:szCs w:val="24"/>
              </w:rPr>
              <w:t>厂区</w:t>
            </w:r>
            <w:r>
              <w:rPr>
                <w:bCs/>
                <w:snapToGrid w:val="0"/>
                <w:sz w:val="24"/>
                <w:szCs w:val="24"/>
              </w:rPr>
              <w:t>内车辆运输产生的扬尘通过对道路洒水抑制扬尘产生，根据企业提供的资料，本项目厂区内道路总面积为6503.87m</w:t>
            </w:r>
            <w:r>
              <w:rPr>
                <w:bCs/>
                <w:snapToGrid w:val="0"/>
                <w:sz w:val="24"/>
                <w:szCs w:val="24"/>
                <w:vertAlign w:val="superscript"/>
              </w:rPr>
              <w:t>2</w:t>
            </w:r>
            <w:r>
              <w:rPr>
                <w:bCs/>
                <w:snapToGrid w:val="0"/>
                <w:sz w:val="24"/>
                <w:szCs w:val="24"/>
              </w:rPr>
              <w:t>，</w:t>
            </w:r>
            <w:r>
              <w:rPr>
                <w:snapToGrid w:val="0"/>
                <w:sz w:val="24"/>
              </w:rPr>
              <w:t>道路浇洒用水指标为2L/</w:t>
            </w:r>
            <w:r>
              <w:rPr>
                <w:bCs/>
                <w:snapToGrid w:val="0"/>
                <w:sz w:val="24"/>
                <w:szCs w:val="24"/>
              </w:rPr>
              <w:t>m</w:t>
            </w:r>
            <w:r>
              <w:rPr>
                <w:bCs/>
                <w:snapToGrid w:val="0"/>
                <w:sz w:val="24"/>
                <w:szCs w:val="24"/>
                <w:vertAlign w:val="superscript"/>
              </w:rPr>
              <w:t>2</w:t>
            </w:r>
            <w:r>
              <w:rPr>
                <w:bCs/>
                <w:snapToGrid w:val="0"/>
                <w:sz w:val="24"/>
                <w:szCs w:val="24"/>
              </w:rPr>
              <w:t>，年洒水60次，则用水量为780.46</w:t>
            </w:r>
            <w:r>
              <w:rPr>
                <w:snapToGrid w:val="0"/>
                <w:sz w:val="24"/>
                <w:szCs w:val="24"/>
              </w:rPr>
              <w:t>m</w:t>
            </w:r>
            <w:r>
              <w:rPr>
                <w:snapToGrid w:val="0"/>
                <w:sz w:val="24"/>
                <w:szCs w:val="24"/>
                <w:vertAlign w:val="superscript"/>
              </w:rPr>
              <w:t>3</w:t>
            </w:r>
            <w:r>
              <w:rPr>
                <w:snapToGrid w:val="0"/>
                <w:sz w:val="24"/>
                <w:szCs w:val="24"/>
              </w:rPr>
              <w:t>/a</w:t>
            </w:r>
            <w:r>
              <w:rPr>
                <w:rFonts w:hint="eastAsia"/>
                <w:snapToGrid w:val="0"/>
                <w:sz w:val="24"/>
                <w:szCs w:val="24"/>
              </w:rPr>
              <w:t>。</w:t>
            </w:r>
            <w:r>
              <w:rPr>
                <w:rFonts w:hint="eastAsia"/>
                <w:snapToGrid w:val="0"/>
                <w:color w:val="000000"/>
                <w:sz w:val="24"/>
                <w:szCs w:val="24"/>
              </w:rPr>
              <w:t xml:space="preserve">   </w:t>
            </w:r>
          </w:p>
          <w:p>
            <w:pPr>
              <w:spacing w:line="480" w:lineRule="exact"/>
              <w:ind w:firstLine="480" w:firstLineChars="200"/>
              <w:rPr>
                <w:snapToGrid w:val="0"/>
                <w:kern w:val="0"/>
                <w:sz w:val="24"/>
              </w:rPr>
            </w:pPr>
            <w:r>
              <w:rPr>
                <w:rFonts w:hint="eastAsia"/>
                <w:snapToGrid w:val="0"/>
                <w:kern w:val="0"/>
                <w:sz w:val="24"/>
              </w:rPr>
              <w:t>⑤喷淋用水</w:t>
            </w:r>
          </w:p>
          <w:p>
            <w:pPr>
              <w:spacing w:line="480" w:lineRule="exact"/>
              <w:ind w:firstLine="480" w:firstLineChars="200"/>
              <w:rPr>
                <w:snapToGrid w:val="0"/>
                <w:kern w:val="0"/>
                <w:sz w:val="24"/>
              </w:rPr>
            </w:pPr>
            <w:r>
              <w:rPr>
                <w:rFonts w:hint="eastAsia"/>
                <w:snapToGrid w:val="0"/>
                <w:kern w:val="0"/>
                <w:sz w:val="24"/>
                <w:lang w:eastAsia="zh-CN"/>
              </w:rPr>
              <w:t>技改</w:t>
            </w:r>
            <w:r>
              <w:rPr>
                <w:rFonts w:hint="eastAsia"/>
                <w:snapToGrid w:val="0"/>
                <w:kern w:val="0"/>
                <w:sz w:val="24"/>
              </w:rPr>
              <w:t>后，项目设厂区喷雾装置对厂区无组织粉尘进行降尘处理，根据类比数据，喷淋用水量约为0.5</w:t>
            </w:r>
            <w:r>
              <w:rPr>
                <w:sz w:val="24"/>
              </w:rPr>
              <w:t>m</w:t>
            </w:r>
            <w:r>
              <w:rPr>
                <w:sz w:val="24"/>
                <w:vertAlign w:val="superscript"/>
              </w:rPr>
              <w:t>3</w:t>
            </w:r>
            <w:r>
              <w:rPr>
                <w:rFonts w:hint="eastAsia"/>
                <w:snapToGrid w:val="0"/>
                <w:kern w:val="0"/>
                <w:sz w:val="24"/>
              </w:rPr>
              <w:t>/d，年喷淋用水量为150</w:t>
            </w:r>
            <w:r>
              <w:rPr>
                <w:sz w:val="24"/>
              </w:rPr>
              <w:t>m</w:t>
            </w:r>
            <w:r>
              <w:rPr>
                <w:sz w:val="24"/>
                <w:vertAlign w:val="superscript"/>
              </w:rPr>
              <w:t>3</w:t>
            </w:r>
            <w:r>
              <w:rPr>
                <w:rFonts w:hint="eastAsia"/>
                <w:snapToGrid w:val="0"/>
                <w:kern w:val="0"/>
                <w:sz w:val="24"/>
              </w:rPr>
              <w:t>/a。</w:t>
            </w:r>
          </w:p>
          <w:p>
            <w:pPr>
              <w:spacing w:line="480" w:lineRule="exact"/>
              <w:ind w:firstLine="480" w:firstLineChars="200"/>
              <w:rPr>
                <w:snapToGrid w:val="0"/>
                <w:kern w:val="0"/>
                <w:sz w:val="24"/>
              </w:rPr>
            </w:pPr>
            <w:r>
              <w:rPr>
                <w:rFonts w:hint="eastAsia"/>
                <w:snapToGrid w:val="0"/>
                <w:kern w:val="0"/>
                <w:sz w:val="24"/>
              </w:rPr>
              <w:t>⑥</w:t>
            </w:r>
            <w:r>
              <w:rPr>
                <w:snapToGrid w:val="0"/>
                <w:kern w:val="0"/>
                <w:sz w:val="24"/>
              </w:rPr>
              <w:t>绿化用水</w:t>
            </w:r>
          </w:p>
          <w:p>
            <w:pPr>
              <w:spacing w:line="480" w:lineRule="exact"/>
              <w:ind w:firstLine="480" w:firstLineChars="200"/>
              <w:rPr>
                <w:rFonts w:hint="eastAsia"/>
                <w:snapToGrid w:val="0"/>
                <w:color w:val="000000"/>
                <w:kern w:val="0"/>
                <w:sz w:val="24"/>
              </w:rPr>
            </w:pPr>
            <w:r>
              <w:rPr>
                <w:snapToGrid w:val="0"/>
                <w:kern w:val="0"/>
                <w:sz w:val="24"/>
              </w:rPr>
              <w:t>项目区绿化面积为2218.65m</w:t>
            </w:r>
            <w:r>
              <w:rPr>
                <w:snapToGrid w:val="0"/>
                <w:kern w:val="0"/>
                <w:sz w:val="24"/>
                <w:vertAlign w:val="superscript"/>
              </w:rPr>
              <w:t>2</w:t>
            </w:r>
            <w:r>
              <w:rPr>
                <w:snapToGrid w:val="0"/>
                <w:kern w:val="0"/>
                <w:sz w:val="24"/>
              </w:rPr>
              <w:t>，绿化用水量为0.6m</w:t>
            </w:r>
            <w:r>
              <w:rPr>
                <w:snapToGrid w:val="0"/>
                <w:kern w:val="0"/>
                <w:sz w:val="24"/>
                <w:vertAlign w:val="superscript"/>
              </w:rPr>
              <w:t>3</w:t>
            </w:r>
            <w:r>
              <w:rPr>
                <w:snapToGrid w:val="0"/>
                <w:kern w:val="0"/>
                <w:sz w:val="24"/>
              </w:rPr>
              <w:t>/m</w:t>
            </w:r>
            <w:r>
              <w:rPr>
                <w:snapToGrid w:val="0"/>
                <w:kern w:val="0"/>
                <w:sz w:val="24"/>
                <w:vertAlign w:val="superscript"/>
              </w:rPr>
              <w:t>2</w:t>
            </w:r>
            <w:r>
              <w:rPr>
                <w:snapToGrid w:val="0"/>
                <w:kern w:val="0"/>
                <w:sz w:val="24"/>
              </w:rPr>
              <w:t>·a，按180天计算，则项目用水量为1331.19m</w:t>
            </w:r>
            <w:r>
              <w:rPr>
                <w:snapToGrid w:val="0"/>
                <w:kern w:val="0"/>
                <w:sz w:val="24"/>
                <w:vertAlign w:val="superscript"/>
              </w:rPr>
              <w:t>3</w:t>
            </w:r>
            <w:r>
              <w:rPr>
                <w:snapToGrid w:val="0"/>
                <w:kern w:val="0"/>
                <w:sz w:val="24"/>
              </w:rPr>
              <w:t>/a</w:t>
            </w:r>
            <w:r>
              <w:rPr>
                <w:rFonts w:hint="eastAsia"/>
                <w:snapToGrid w:val="0"/>
                <w:color w:val="000000"/>
                <w:kern w:val="0"/>
                <w:sz w:val="24"/>
              </w:rPr>
              <w:t xml:space="preserve">。   </w:t>
            </w:r>
          </w:p>
          <w:p>
            <w:pPr>
              <w:spacing w:line="480" w:lineRule="exact"/>
              <w:ind w:firstLine="480" w:firstLineChars="200"/>
              <w:rPr>
                <w:sz w:val="24"/>
              </w:rPr>
            </w:pPr>
            <w:r>
              <w:rPr>
                <w:rFonts w:hint="eastAsia"/>
                <w:sz w:val="24"/>
              </w:rPr>
              <w:t>综上，</w:t>
            </w:r>
            <w:r>
              <w:rPr>
                <w:rFonts w:hint="eastAsia"/>
                <w:sz w:val="24"/>
                <w:lang w:val="en-US" w:eastAsia="zh-CN"/>
              </w:rPr>
              <w:t>技改</w:t>
            </w:r>
            <w:r>
              <w:rPr>
                <w:rFonts w:hint="eastAsia"/>
                <w:sz w:val="24"/>
              </w:rPr>
              <w:t>后厂区新鲜水总用量为</w:t>
            </w:r>
            <w:r>
              <w:rPr>
                <w:rFonts w:hint="eastAsia"/>
                <w:sz w:val="24"/>
                <w:lang w:val="en-US" w:eastAsia="zh-CN"/>
              </w:rPr>
              <w:t>178346.15</w:t>
            </w:r>
            <w:r>
              <w:rPr>
                <w:snapToGrid w:val="0"/>
                <w:kern w:val="0"/>
                <w:sz w:val="24"/>
              </w:rPr>
              <w:t>m</w:t>
            </w:r>
            <w:r>
              <w:rPr>
                <w:snapToGrid w:val="0"/>
                <w:kern w:val="0"/>
                <w:sz w:val="24"/>
                <w:vertAlign w:val="superscript"/>
              </w:rPr>
              <w:t>3</w:t>
            </w:r>
            <w:r>
              <w:rPr>
                <w:snapToGrid w:val="0"/>
                <w:kern w:val="0"/>
                <w:sz w:val="24"/>
              </w:rPr>
              <w:t>/a</w:t>
            </w:r>
            <w:r>
              <w:rPr>
                <w:rFonts w:hint="eastAsia"/>
                <w:snapToGrid w:val="0"/>
                <w:kern w:val="0"/>
                <w:sz w:val="24"/>
              </w:rPr>
              <w:t>。</w:t>
            </w:r>
          </w:p>
          <w:p>
            <w:pPr>
              <w:numPr>
                <w:ilvl w:val="0"/>
                <w:numId w:val="4"/>
              </w:numPr>
              <w:spacing w:line="480" w:lineRule="exact"/>
              <w:ind w:firstLine="480" w:firstLineChars="200"/>
              <w:rPr>
                <w:rFonts w:hint="eastAsia"/>
                <w:sz w:val="24"/>
              </w:rPr>
            </w:pPr>
            <w:r>
              <w:rPr>
                <w:rFonts w:hint="eastAsia"/>
                <w:sz w:val="24"/>
              </w:rPr>
              <w:t>排水</w:t>
            </w:r>
          </w:p>
          <w:p>
            <w:pPr>
              <w:spacing w:line="480" w:lineRule="exact"/>
              <w:ind w:firstLine="480" w:firstLineChars="200"/>
              <w:rPr>
                <w:sz w:val="24"/>
              </w:rPr>
            </w:pPr>
            <w:r>
              <w:rPr>
                <w:snapToGrid w:val="0"/>
                <w:color w:val="000000"/>
                <w:kern w:val="0"/>
                <w:sz w:val="24"/>
              </w:rPr>
              <w:t>项目车辆清洗废水产生量约为8m</w:t>
            </w:r>
            <w:r>
              <w:rPr>
                <w:snapToGrid w:val="0"/>
                <w:color w:val="000000"/>
                <w:kern w:val="0"/>
                <w:sz w:val="24"/>
                <w:vertAlign w:val="superscript"/>
              </w:rPr>
              <w:t>3</w:t>
            </w:r>
            <w:r>
              <w:rPr>
                <w:snapToGrid w:val="0"/>
                <w:color w:val="000000"/>
                <w:kern w:val="0"/>
                <w:sz w:val="24"/>
              </w:rPr>
              <w:t>/d（2400m</w:t>
            </w:r>
            <w:r>
              <w:rPr>
                <w:snapToGrid w:val="0"/>
                <w:color w:val="000000"/>
                <w:kern w:val="0"/>
                <w:sz w:val="24"/>
                <w:vertAlign w:val="superscript"/>
              </w:rPr>
              <w:t>3</w:t>
            </w:r>
            <w:r>
              <w:rPr>
                <w:snapToGrid w:val="0"/>
                <w:color w:val="000000"/>
                <w:kern w:val="0"/>
                <w:sz w:val="24"/>
              </w:rPr>
              <w:t>/a），经沉淀池处理后，用于生产补水，不外排；</w:t>
            </w:r>
            <w:r>
              <w:rPr>
                <w:rFonts w:hint="eastAsia"/>
                <w:snapToGrid w:val="0"/>
                <w:color w:val="000000"/>
                <w:kern w:val="0"/>
                <w:sz w:val="24"/>
              </w:rPr>
              <w:t>水洗砂废水经沉淀池处理后用于生产补水，不外排，定期补充损耗；</w:t>
            </w:r>
            <w:r>
              <w:rPr>
                <w:snapToGrid w:val="0"/>
                <w:color w:val="000000"/>
                <w:kern w:val="0"/>
                <w:sz w:val="24"/>
              </w:rPr>
              <w:t>道路浇洒用水</w:t>
            </w:r>
            <w:r>
              <w:rPr>
                <w:rFonts w:hint="eastAsia"/>
                <w:snapToGrid w:val="0"/>
                <w:color w:val="000000"/>
                <w:kern w:val="0"/>
                <w:sz w:val="24"/>
              </w:rPr>
              <w:t>、喷淋用水</w:t>
            </w:r>
            <w:r>
              <w:rPr>
                <w:snapToGrid w:val="0"/>
                <w:color w:val="000000"/>
                <w:kern w:val="0"/>
                <w:sz w:val="24"/>
              </w:rPr>
              <w:t>均为自然蒸发损耗，无废水产生；职工盥洗废水</w:t>
            </w:r>
            <w:r>
              <w:rPr>
                <w:color w:val="000000"/>
                <w:sz w:val="24"/>
              </w:rPr>
              <w:t>按照用水80%计算，废水产生量为1.216m³/d（364.8m³/a），产生量较少，</w:t>
            </w:r>
            <w:r>
              <w:rPr>
                <w:rFonts w:hint="eastAsia"/>
                <w:color w:val="000000"/>
                <w:sz w:val="24"/>
              </w:rPr>
              <w:t>通过下水管道进入化粪池，</w:t>
            </w:r>
            <w:r>
              <w:rPr>
                <w:color w:val="000000"/>
                <w:sz w:val="24"/>
              </w:rPr>
              <w:t>经化粪池处理后排入园区污水管网</w:t>
            </w:r>
            <w:r>
              <w:rPr>
                <w:sz w:val="24"/>
              </w:rPr>
              <w:t>。</w:t>
            </w:r>
            <w:r>
              <w:rPr>
                <w:rFonts w:hint="eastAsia"/>
                <w:sz w:val="24"/>
                <w:lang w:val="en-US" w:eastAsia="zh-CN"/>
              </w:rPr>
              <w:t>技改</w:t>
            </w:r>
            <w:r>
              <w:rPr>
                <w:sz w:val="24"/>
              </w:rPr>
              <w:t>项目建成后，全厂给排水平衡图见图2、给排水情况表见表</w:t>
            </w:r>
            <w:r>
              <w:rPr>
                <w:rFonts w:hint="eastAsia"/>
                <w:sz w:val="24"/>
              </w:rPr>
              <w:t>5</w:t>
            </w:r>
            <w:r>
              <w:rPr>
                <w:sz w:val="24"/>
              </w:rPr>
              <w:t>。</w:t>
            </w:r>
          </w:p>
          <w:p>
            <w:pPr>
              <w:spacing w:line="480" w:lineRule="exact"/>
              <w:ind w:firstLine="480" w:firstLineChars="200"/>
            </w:pPr>
            <w:r>
              <w:rPr>
                <w:rFonts w:hint="eastAsia"/>
                <w:sz w:val="24"/>
              </w:rPr>
              <w:t>（3）</w:t>
            </w:r>
            <w:r>
              <w:rPr>
                <w:sz w:val="24"/>
              </w:rPr>
              <w:t>供电：</w:t>
            </w:r>
            <w:r>
              <w:rPr>
                <w:rFonts w:hint="eastAsia"/>
                <w:sz w:val="24"/>
              </w:rPr>
              <w:t>因</w:t>
            </w:r>
            <w:r>
              <w:rPr>
                <w:rFonts w:hint="eastAsia"/>
                <w:sz w:val="24"/>
                <w:lang w:val="en-US" w:eastAsia="zh-CN"/>
              </w:rPr>
              <w:t>技改</w:t>
            </w:r>
            <w:r>
              <w:rPr>
                <w:sz w:val="24"/>
              </w:rPr>
              <w:t>项目</w:t>
            </w:r>
            <w:r>
              <w:rPr>
                <w:rFonts w:hint="eastAsia"/>
                <w:sz w:val="24"/>
              </w:rPr>
              <w:t>生产线是由现有项目生产线中的1条替代，新增设备较少，因此，</w:t>
            </w:r>
            <w:r>
              <w:rPr>
                <w:rFonts w:hint="eastAsia"/>
                <w:sz w:val="24"/>
                <w:lang w:val="en-US" w:eastAsia="zh-CN"/>
              </w:rPr>
              <w:t>技改</w:t>
            </w:r>
            <w:r>
              <w:rPr>
                <w:rFonts w:hint="eastAsia"/>
                <w:sz w:val="24"/>
              </w:rPr>
              <w:t>项目新增</w:t>
            </w:r>
            <w:r>
              <w:rPr>
                <w:sz w:val="24"/>
              </w:rPr>
              <w:t>用电</w:t>
            </w:r>
            <w:r>
              <w:rPr>
                <w:rFonts w:hint="eastAsia"/>
                <w:sz w:val="24"/>
              </w:rPr>
              <w:t>量较少，</w:t>
            </w:r>
            <w:r>
              <w:rPr>
                <w:sz w:val="24"/>
              </w:rPr>
              <w:t>为</w:t>
            </w:r>
            <w:r>
              <w:rPr>
                <w:rFonts w:hint="eastAsia"/>
                <w:sz w:val="24"/>
                <w:lang w:val="en-US" w:eastAsia="zh-CN"/>
              </w:rPr>
              <w:t>2.63</w:t>
            </w:r>
            <w:r>
              <w:rPr>
                <w:sz w:val="24"/>
              </w:rPr>
              <w:t>万</w:t>
            </w:r>
            <w:r>
              <w:t>kW·h/a，</w:t>
            </w:r>
            <w:r>
              <w:rPr>
                <w:rFonts w:hint="eastAsia"/>
                <w:sz w:val="24"/>
                <w:lang w:val="en-US" w:eastAsia="zh-CN"/>
              </w:rPr>
              <w:t>技改</w:t>
            </w:r>
            <w:r>
              <w:rPr>
                <w:rFonts w:hint="eastAsia"/>
                <w:sz w:val="24"/>
              </w:rPr>
              <w:t>后全厂用电量为</w:t>
            </w:r>
            <w:r>
              <w:rPr>
                <w:rFonts w:hint="eastAsia"/>
                <w:sz w:val="24"/>
                <w:lang w:val="en-US" w:eastAsia="zh-CN"/>
              </w:rPr>
              <w:t>92.47</w:t>
            </w:r>
            <w:r>
              <w:rPr>
                <w:sz w:val="24"/>
              </w:rPr>
              <w:t>万</w:t>
            </w:r>
            <w:r>
              <w:t>kW·h/a</w:t>
            </w:r>
            <w:r>
              <w:rPr>
                <w:rFonts w:hint="eastAsia"/>
              </w:rPr>
              <w:t>，</w:t>
            </w:r>
            <w:r>
              <w:rPr>
                <w:sz w:val="24"/>
              </w:rPr>
              <w:t>依托现有</w:t>
            </w:r>
            <w:r>
              <w:rPr>
                <w:rFonts w:hint="eastAsia"/>
                <w:sz w:val="24"/>
              </w:rPr>
              <w:t>供电</w:t>
            </w:r>
            <w:r>
              <w:rPr>
                <w:sz w:val="24"/>
              </w:rPr>
              <w:t>系统由</w:t>
            </w:r>
            <w:r>
              <w:rPr>
                <w:rFonts w:hint="eastAsia"/>
                <w:sz w:val="24"/>
                <w:lang w:val="en-US" w:eastAsia="zh-CN"/>
              </w:rPr>
              <w:t>河北魏县经济开发区供电管网</w:t>
            </w:r>
            <w:r>
              <w:rPr>
                <w:sz w:val="24"/>
              </w:rPr>
              <w:t>提供</w:t>
            </w:r>
            <w:r>
              <w:t>。</w:t>
            </w:r>
          </w:p>
          <w:p>
            <w:pPr>
              <w:spacing w:line="480" w:lineRule="exact"/>
              <w:ind w:firstLine="480" w:firstLineChars="200"/>
              <w:rPr>
                <w:sz w:val="24"/>
              </w:rPr>
            </w:pPr>
            <w:r>
              <w:rPr>
                <w:sz w:val="24"/>
              </w:rPr>
              <w:t>（</w:t>
            </w:r>
            <w:r>
              <w:rPr>
                <w:rFonts w:hint="eastAsia"/>
                <w:sz w:val="24"/>
              </w:rPr>
              <w:t>4</w:t>
            </w:r>
            <w:r>
              <w:rPr>
                <w:sz w:val="24"/>
              </w:rPr>
              <w:t>）</w:t>
            </w:r>
            <w:r>
              <w:rPr>
                <w:rFonts w:hint="eastAsia"/>
                <w:sz w:val="24"/>
              </w:rPr>
              <w:t>供热及制冷</w:t>
            </w:r>
            <w:r>
              <w:rPr>
                <w:sz w:val="24"/>
              </w:rPr>
              <w:t>：</w:t>
            </w:r>
            <w:r>
              <w:rPr>
                <w:rFonts w:hint="eastAsia"/>
                <w:sz w:val="24"/>
              </w:rPr>
              <w:t>项目供热及制冷采用单体空调提供，生产不用热</w:t>
            </w:r>
            <w:r>
              <w:rPr>
                <w:sz w:val="24"/>
              </w:rPr>
              <w:t>。</w:t>
            </w:r>
          </w:p>
          <w:p>
            <w:pPr>
              <w:spacing w:line="360" w:lineRule="auto"/>
              <w:jc w:val="center"/>
              <w:rPr>
                <w:rFonts w:hint="eastAsia"/>
                <w:b/>
                <w:bCs/>
                <w:sz w:val="24"/>
                <w:szCs w:val="32"/>
              </w:rPr>
            </w:pPr>
            <w:r>
              <w:rPr>
                <w:rFonts w:hint="eastAsia"/>
                <w:b/>
                <w:bCs/>
                <w:sz w:val="21"/>
                <w:szCs w:val="21"/>
              </w:rPr>
              <w:t>表</w:t>
            </w:r>
            <w:r>
              <w:rPr>
                <w:rFonts w:hint="eastAsia"/>
                <w:b/>
                <w:bCs/>
                <w:sz w:val="21"/>
                <w:szCs w:val="21"/>
                <w:lang w:val="en-US" w:eastAsia="zh-CN"/>
              </w:rPr>
              <w:t>8本项目</w:t>
            </w:r>
            <w:r>
              <w:rPr>
                <w:rFonts w:hint="eastAsia"/>
                <w:b/>
                <w:bCs/>
                <w:sz w:val="21"/>
                <w:szCs w:val="21"/>
              </w:rPr>
              <w:t>给排水情况表</w:t>
            </w:r>
            <w:r>
              <w:rPr>
                <w:rFonts w:hint="eastAsia"/>
                <w:b/>
                <w:bCs/>
                <w:sz w:val="24"/>
                <w:szCs w:val="32"/>
              </w:rPr>
              <w:t xml:space="preserve">     </w:t>
            </w:r>
            <w:r>
              <w:rPr>
                <w:rFonts w:hint="eastAsia"/>
                <w:b/>
                <w:bCs/>
                <w:sz w:val="18"/>
                <w:szCs w:val="18"/>
              </w:rPr>
              <w:t>单位m</w:t>
            </w:r>
            <w:r>
              <w:rPr>
                <w:rFonts w:hint="eastAsia"/>
                <w:b/>
                <w:bCs/>
                <w:sz w:val="18"/>
                <w:szCs w:val="18"/>
                <w:vertAlign w:val="superscript"/>
              </w:rPr>
              <w:t>3</w:t>
            </w:r>
            <w:r>
              <w:rPr>
                <w:rFonts w:hint="eastAsia"/>
                <w:b/>
                <w:bCs/>
                <w:sz w:val="18"/>
                <w:szCs w:val="18"/>
              </w:rPr>
              <w:t>/d</w:t>
            </w:r>
          </w:p>
          <w:tbl>
            <w:tblPr>
              <w:tblStyle w:val="25"/>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50"/>
              <w:gridCol w:w="850"/>
              <w:gridCol w:w="850"/>
              <w:gridCol w:w="850"/>
              <w:gridCol w:w="850"/>
              <w:gridCol w:w="85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lang w:val="en-US" w:eastAsia="zh-CN"/>
                    </w:rPr>
                  </w:pPr>
                  <w:r>
                    <w:rPr>
                      <w:rFonts w:hint="eastAsia"/>
                      <w:lang w:val="en-US" w:eastAsia="zh-CN"/>
                    </w:rPr>
                    <w:t>序号</w:t>
                  </w:r>
                </w:p>
              </w:tc>
              <w:tc>
                <w:tcPr>
                  <w:tcW w:w="850" w:type="dxa"/>
                  <w:vAlign w:val="center"/>
                </w:tcPr>
                <w:p>
                  <w:pPr>
                    <w:bidi w:val="0"/>
                    <w:spacing w:line="240" w:lineRule="auto"/>
                    <w:jc w:val="center"/>
                    <w:rPr>
                      <w:rFonts w:hint="default" w:eastAsia="宋体"/>
                      <w:lang w:val="en-US" w:eastAsia="zh-CN"/>
                    </w:rPr>
                  </w:pPr>
                  <w:r>
                    <w:rPr>
                      <w:rFonts w:hint="eastAsia"/>
                      <w:lang w:val="en-US" w:eastAsia="zh-CN"/>
                    </w:rPr>
                    <w:t>供排水单元</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总用水量</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新鲜水量</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循环水量</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消耗量</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废水量</w:t>
                  </w:r>
                </w:p>
              </w:tc>
              <w:tc>
                <w:tcPr>
                  <w:tcW w:w="2640" w:type="dxa"/>
                  <w:vAlign w:val="center"/>
                </w:tcPr>
                <w:p>
                  <w:pPr>
                    <w:bidi w:val="0"/>
                    <w:spacing w:line="240" w:lineRule="auto"/>
                    <w:jc w:val="center"/>
                    <w:rPr>
                      <w:rFonts w:hint="eastAsia" w:eastAsia="宋体"/>
                      <w:lang w:val="en-US" w:eastAsia="zh-CN"/>
                    </w:rPr>
                  </w:pPr>
                  <w:r>
                    <w:rPr>
                      <w:rFonts w:hint="eastAsia"/>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lang w:val="en-US" w:eastAsia="zh-CN"/>
                    </w:rPr>
                  </w:pPr>
                  <w:r>
                    <w:rPr>
                      <w:rFonts w:hint="eastAsia"/>
                      <w:lang w:val="en-US" w:eastAsia="zh-CN"/>
                    </w:rPr>
                    <w:t>1</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生产用水</w:t>
                  </w:r>
                </w:p>
              </w:tc>
              <w:tc>
                <w:tcPr>
                  <w:tcW w:w="850" w:type="dxa"/>
                  <w:vAlign w:val="center"/>
                </w:tcPr>
                <w:p>
                  <w:pPr>
                    <w:adjustRightInd w:val="0"/>
                    <w:snapToGrid w:val="0"/>
                    <w:spacing w:line="320" w:lineRule="exact"/>
                    <w:jc w:val="center"/>
                    <w:rPr>
                      <w:rFonts w:hint="default"/>
                      <w:lang w:val="en-US"/>
                    </w:rPr>
                  </w:pPr>
                  <w:r>
                    <w:rPr>
                      <w:rFonts w:hint="eastAsia" w:cs="Times New Roman"/>
                      <w:snapToGrid w:val="0"/>
                      <w:color w:val="auto"/>
                      <w:kern w:val="0"/>
                      <w:szCs w:val="21"/>
                      <w:lang w:val="en-US" w:eastAsia="zh-CN"/>
                    </w:rPr>
                    <w:t>316.67</w:t>
                  </w:r>
                </w:p>
              </w:tc>
              <w:tc>
                <w:tcPr>
                  <w:tcW w:w="850" w:type="dxa"/>
                  <w:vAlign w:val="center"/>
                </w:tcPr>
                <w:p>
                  <w:pPr>
                    <w:adjustRightInd w:val="0"/>
                    <w:snapToGrid w:val="0"/>
                    <w:spacing w:line="320" w:lineRule="exact"/>
                    <w:jc w:val="center"/>
                    <w:rPr>
                      <w:rFonts w:hint="default"/>
                      <w:lang w:val="en-US"/>
                    </w:rPr>
                  </w:pPr>
                  <w:r>
                    <w:rPr>
                      <w:rFonts w:hint="eastAsia" w:cs="Times New Roman"/>
                      <w:snapToGrid w:val="0"/>
                      <w:color w:val="auto"/>
                      <w:kern w:val="0"/>
                      <w:szCs w:val="21"/>
                      <w:lang w:val="en-US" w:eastAsia="zh-CN"/>
                    </w:rPr>
                    <w:t>316.67</w:t>
                  </w:r>
                </w:p>
              </w:tc>
              <w:tc>
                <w:tcPr>
                  <w:tcW w:w="850" w:type="dxa"/>
                  <w:vAlign w:val="center"/>
                </w:tcPr>
                <w:p>
                  <w:pPr>
                    <w:adjustRightInd w:val="0"/>
                    <w:snapToGrid w:val="0"/>
                    <w:spacing w:line="320" w:lineRule="exact"/>
                    <w:jc w:val="center"/>
                  </w:pPr>
                  <w:r>
                    <w:rPr>
                      <w:rFonts w:hint="eastAsia" w:cs="Times New Roman"/>
                      <w:snapToGrid w:val="0"/>
                      <w:color w:val="auto"/>
                      <w:kern w:val="0"/>
                      <w:szCs w:val="21"/>
                      <w:lang w:val="en-US" w:eastAsia="zh-CN"/>
                    </w:rPr>
                    <w:t>0</w:t>
                  </w:r>
                </w:p>
              </w:tc>
              <w:tc>
                <w:tcPr>
                  <w:tcW w:w="850" w:type="dxa"/>
                  <w:vAlign w:val="center"/>
                </w:tcPr>
                <w:p>
                  <w:pPr>
                    <w:adjustRightInd w:val="0"/>
                    <w:snapToGrid w:val="0"/>
                    <w:spacing w:line="320" w:lineRule="exact"/>
                    <w:jc w:val="center"/>
                    <w:rPr>
                      <w:rFonts w:hint="default"/>
                      <w:lang w:val="en-US"/>
                    </w:rPr>
                  </w:pPr>
                  <w:r>
                    <w:rPr>
                      <w:rFonts w:hint="eastAsia" w:cs="Times New Roman"/>
                      <w:snapToGrid w:val="0"/>
                      <w:color w:val="auto"/>
                      <w:kern w:val="0"/>
                      <w:szCs w:val="21"/>
                      <w:lang w:val="en-US" w:eastAsia="zh-CN"/>
                    </w:rPr>
                    <w:t>316.67</w:t>
                  </w:r>
                </w:p>
              </w:tc>
              <w:tc>
                <w:tcPr>
                  <w:tcW w:w="850" w:type="dxa"/>
                  <w:vAlign w:val="center"/>
                </w:tcPr>
                <w:p>
                  <w:pPr>
                    <w:adjustRightInd w:val="0"/>
                    <w:snapToGrid w:val="0"/>
                    <w:spacing w:line="320" w:lineRule="exact"/>
                    <w:jc w:val="center"/>
                  </w:pPr>
                  <w:r>
                    <w:rPr>
                      <w:rFonts w:hint="default" w:ascii="Times New Roman" w:hAnsi="Times New Roman" w:cs="Times New Roman"/>
                      <w:snapToGrid w:val="0"/>
                      <w:color w:val="auto"/>
                      <w:kern w:val="0"/>
                      <w:szCs w:val="21"/>
                      <w:lang w:val="en-US" w:eastAsia="zh-CN"/>
                    </w:rPr>
                    <w:t>0</w:t>
                  </w:r>
                </w:p>
              </w:tc>
              <w:tc>
                <w:tcPr>
                  <w:tcW w:w="2640" w:type="dxa"/>
                  <w:vAlign w:val="center"/>
                </w:tcPr>
                <w:p>
                  <w:pPr>
                    <w:adjustRightInd w:val="0"/>
                    <w:snapToGrid w:val="0"/>
                    <w:spacing w:line="320" w:lineRule="exact"/>
                    <w:jc w:val="center"/>
                    <w:rPr>
                      <w:rFonts w:hint="default"/>
                      <w:lang w:val="en-US"/>
                    </w:rPr>
                  </w:pPr>
                  <w:r>
                    <w:rPr>
                      <w:rFonts w:hint="eastAsia" w:cs="Times New Roman"/>
                      <w:snapToGrid w:val="0"/>
                      <w:color w:val="auto"/>
                      <w:kern w:val="0"/>
                      <w:szCs w:val="21"/>
                      <w:lang w:val="en-US" w:eastAsia="zh-CN"/>
                    </w:rPr>
                    <w:t>进入产品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lang w:val="en-US" w:eastAsia="zh-CN"/>
                    </w:rPr>
                  </w:pPr>
                  <w:r>
                    <w:rPr>
                      <w:rFonts w:hint="eastAsia"/>
                      <w:lang w:val="en-US" w:eastAsia="zh-CN"/>
                    </w:rPr>
                    <w:t>2</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喷淋用水</w:t>
                  </w:r>
                </w:p>
              </w:tc>
              <w:tc>
                <w:tcPr>
                  <w:tcW w:w="850" w:type="dxa"/>
                  <w:vAlign w:val="center"/>
                </w:tcPr>
                <w:p>
                  <w:pPr>
                    <w:adjustRightInd w:val="0"/>
                    <w:snapToGrid w:val="0"/>
                    <w:spacing w:line="320" w:lineRule="exact"/>
                    <w:jc w:val="cente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0.5</w:t>
                  </w:r>
                </w:p>
              </w:tc>
              <w:tc>
                <w:tcPr>
                  <w:tcW w:w="850" w:type="dxa"/>
                  <w:vAlign w:val="center"/>
                </w:tcPr>
                <w:p>
                  <w:pPr>
                    <w:adjustRightInd w:val="0"/>
                    <w:snapToGrid w:val="0"/>
                    <w:spacing w:line="320" w:lineRule="exact"/>
                    <w:jc w:val="cente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0.5</w:t>
                  </w:r>
                </w:p>
              </w:tc>
              <w:tc>
                <w:tcPr>
                  <w:tcW w:w="850" w:type="dxa"/>
                  <w:vAlign w:val="center"/>
                </w:tcPr>
                <w:p>
                  <w:pPr>
                    <w:adjustRightInd w:val="0"/>
                    <w:snapToGrid w:val="0"/>
                    <w:spacing w:line="320" w:lineRule="exact"/>
                    <w:jc w:val="cente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0.5</w:t>
                  </w:r>
                </w:p>
              </w:tc>
              <w:tc>
                <w:tcPr>
                  <w:tcW w:w="850" w:type="dxa"/>
                  <w:vAlign w:val="center"/>
                </w:tcPr>
                <w:p>
                  <w:pPr>
                    <w:adjustRightInd w:val="0"/>
                    <w:snapToGrid w:val="0"/>
                    <w:spacing w:line="320" w:lineRule="exact"/>
                    <w:jc w:val="cente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w:t>
                  </w:r>
                </w:p>
              </w:tc>
              <w:tc>
                <w:tcPr>
                  <w:tcW w:w="2640" w:type="dxa"/>
                  <w:vAlign w:val="center"/>
                </w:tcPr>
                <w:p>
                  <w:pPr>
                    <w:adjustRightInd w:val="0"/>
                    <w:snapToGrid w:val="0"/>
                    <w:spacing w:line="320" w:lineRule="exact"/>
                    <w:jc w:val="center"/>
                  </w:pPr>
                  <w:r>
                    <w:rPr>
                      <w:rFonts w:hint="default" w:ascii="Times New Roman" w:hAnsi="Times New Roman" w:eastAsia="宋体" w:cs="Times New Roman"/>
                      <w:snapToGrid w:val="0"/>
                      <w:color w:val="auto"/>
                      <w:kern w:val="0"/>
                      <w:szCs w:val="21"/>
                      <w:lang w:val="en-US" w:eastAsia="zh-CN"/>
                    </w:rPr>
                    <w:t>自然蒸发损耗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6" w:type="dxa"/>
                  <w:gridSpan w:val="2"/>
                  <w:vAlign w:val="center"/>
                </w:tcPr>
                <w:p>
                  <w:pPr>
                    <w:bidi w:val="0"/>
                    <w:spacing w:line="240" w:lineRule="auto"/>
                    <w:jc w:val="center"/>
                  </w:pPr>
                  <w:r>
                    <w:rPr>
                      <w:rFonts w:hint="eastAsia"/>
                      <w:lang w:val="en-US" w:eastAsia="zh-CN"/>
                    </w:rPr>
                    <w:t>合计</w:t>
                  </w:r>
                </w:p>
              </w:tc>
              <w:tc>
                <w:tcPr>
                  <w:tcW w:w="850" w:type="dxa"/>
                  <w:vAlign w:val="center"/>
                </w:tcPr>
                <w:p>
                  <w:pPr>
                    <w:bidi w:val="0"/>
                    <w:spacing w:line="240" w:lineRule="auto"/>
                    <w:jc w:val="center"/>
                    <w:rPr>
                      <w:rFonts w:hint="default" w:eastAsia="宋体"/>
                      <w:lang w:val="en-US" w:eastAsia="zh-CN"/>
                    </w:rPr>
                  </w:pPr>
                  <w:r>
                    <w:rPr>
                      <w:rFonts w:hint="eastAsia"/>
                      <w:lang w:val="en-US" w:eastAsia="zh-CN"/>
                    </w:rPr>
                    <w:t>317.17</w:t>
                  </w:r>
                </w:p>
              </w:tc>
              <w:tc>
                <w:tcPr>
                  <w:tcW w:w="850" w:type="dxa"/>
                  <w:vAlign w:val="center"/>
                </w:tcPr>
                <w:p>
                  <w:pPr>
                    <w:bidi w:val="0"/>
                    <w:spacing w:line="240" w:lineRule="auto"/>
                    <w:jc w:val="center"/>
                    <w:rPr>
                      <w:rFonts w:hint="default" w:eastAsia="宋体"/>
                      <w:lang w:val="en-US" w:eastAsia="zh-CN"/>
                    </w:rPr>
                  </w:pPr>
                  <w:r>
                    <w:rPr>
                      <w:rFonts w:hint="eastAsia"/>
                      <w:lang w:val="en-US" w:eastAsia="zh-CN"/>
                    </w:rPr>
                    <w:t>317.17</w:t>
                  </w:r>
                </w:p>
              </w:tc>
              <w:tc>
                <w:tcPr>
                  <w:tcW w:w="850" w:type="dxa"/>
                  <w:vAlign w:val="center"/>
                </w:tcPr>
                <w:p>
                  <w:pPr>
                    <w:bidi w:val="0"/>
                    <w:spacing w:line="240" w:lineRule="auto"/>
                    <w:jc w:val="center"/>
                    <w:rPr>
                      <w:rFonts w:hint="eastAsia" w:eastAsia="宋体"/>
                      <w:lang w:val="en-US" w:eastAsia="zh-CN"/>
                    </w:rPr>
                  </w:pPr>
                  <w:r>
                    <w:rPr>
                      <w:rFonts w:hint="eastAsia"/>
                      <w:lang w:val="en-US" w:eastAsia="zh-CN"/>
                    </w:rPr>
                    <w:t>0</w:t>
                  </w:r>
                </w:p>
              </w:tc>
              <w:tc>
                <w:tcPr>
                  <w:tcW w:w="850" w:type="dxa"/>
                  <w:vAlign w:val="center"/>
                </w:tcPr>
                <w:p>
                  <w:pPr>
                    <w:bidi w:val="0"/>
                    <w:spacing w:line="240" w:lineRule="auto"/>
                    <w:jc w:val="center"/>
                    <w:rPr>
                      <w:rFonts w:hint="default" w:eastAsia="宋体"/>
                      <w:lang w:val="en-US" w:eastAsia="zh-CN"/>
                    </w:rPr>
                  </w:pPr>
                  <w:r>
                    <w:rPr>
                      <w:rFonts w:hint="eastAsia"/>
                      <w:lang w:val="en-US" w:eastAsia="zh-CN"/>
                    </w:rPr>
                    <w:t>317.17</w:t>
                  </w:r>
                </w:p>
              </w:tc>
              <w:tc>
                <w:tcPr>
                  <w:tcW w:w="850" w:type="dxa"/>
                  <w:vAlign w:val="center"/>
                </w:tcPr>
                <w:p>
                  <w:pPr>
                    <w:bidi w:val="0"/>
                    <w:spacing w:line="240" w:lineRule="auto"/>
                    <w:jc w:val="center"/>
                    <w:rPr>
                      <w:rFonts w:hint="default" w:eastAsia="宋体"/>
                      <w:lang w:val="en-US" w:eastAsia="zh-CN"/>
                    </w:rPr>
                  </w:pPr>
                  <w:r>
                    <w:rPr>
                      <w:rFonts w:hint="eastAsia"/>
                      <w:lang w:val="en-US" w:eastAsia="zh-CN"/>
                    </w:rPr>
                    <w:t>0</w:t>
                  </w:r>
                </w:p>
              </w:tc>
              <w:tc>
                <w:tcPr>
                  <w:tcW w:w="2640" w:type="dxa"/>
                  <w:vAlign w:val="center"/>
                </w:tcPr>
                <w:p>
                  <w:pPr>
                    <w:bidi w:val="0"/>
                    <w:spacing w:line="240" w:lineRule="auto"/>
                    <w:jc w:val="center"/>
                  </w:pPr>
                  <w:r>
                    <w:rPr>
                      <w:rFonts w:hint="default" w:ascii="Times New Roman" w:hAnsi="Times New Roman" w:cs="Times New Roman"/>
                      <w:snapToGrid w:val="0"/>
                      <w:color w:val="auto"/>
                      <w:kern w:val="0"/>
                      <w:szCs w:val="21"/>
                      <w:lang w:val="en-US" w:eastAsia="zh-CN"/>
                    </w:rPr>
                    <w:t>--</w:t>
                  </w:r>
                </w:p>
              </w:tc>
            </w:tr>
          </w:tbl>
          <w:p>
            <w:pPr>
              <w:jc w:val="center"/>
            </w:pPr>
          </w:p>
          <w:p>
            <w:pPr>
              <w:jc w:val="center"/>
              <w:rPr>
                <w:rFonts w:hint="eastAsia"/>
                <w:b/>
                <w:bCs/>
                <w:sz w:val="21"/>
                <w:szCs w:val="21"/>
                <w:lang w:val="en-US" w:eastAsia="zh-CN"/>
              </w:rPr>
            </w:pPr>
            <w:r>
              <w:drawing>
                <wp:inline distT="0" distB="0" distL="114300" distR="114300">
                  <wp:extent cx="4857750" cy="165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857750" cy="1657350"/>
                          </a:xfrm>
                          <a:prstGeom prst="rect">
                            <a:avLst/>
                          </a:prstGeom>
                          <a:noFill/>
                          <a:ln>
                            <a:noFill/>
                          </a:ln>
                        </pic:spPr>
                      </pic:pic>
                    </a:graphicData>
                  </a:graphic>
                </wp:inline>
              </w:drawing>
            </w:r>
          </w:p>
          <w:p>
            <w:pPr>
              <w:jc w:val="center"/>
              <w:rPr>
                <w:rFonts w:hint="default"/>
                <w:b/>
                <w:bCs/>
                <w:sz w:val="21"/>
                <w:szCs w:val="21"/>
                <w:lang w:val="en-US" w:eastAsia="zh-CN"/>
              </w:rPr>
            </w:pPr>
            <w:r>
              <w:rPr>
                <w:rFonts w:hint="eastAsia"/>
                <w:b/>
                <w:bCs/>
                <w:sz w:val="21"/>
                <w:szCs w:val="21"/>
                <w:lang w:val="en-US" w:eastAsia="zh-CN"/>
              </w:rPr>
              <w:t xml:space="preserve">图1-1 本项目给排水平衡图    </w:t>
            </w:r>
            <w:r>
              <w:rPr>
                <w:rFonts w:hint="eastAsia"/>
                <w:b/>
                <w:bCs/>
                <w:sz w:val="18"/>
                <w:szCs w:val="18"/>
              </w:rPr>
              <w:t>单位m</w:t>
            </w:r>
            <w:r>
              <w:rPr>
                <w:rFonts w:hint="eastAsia"/>
                <w:b/>
                <w:bCs/>
                <w:sz w:val="18"/>
                <w:szCs w:val="18"/>
                <w:vertAlign w:val="superscript"/>
              </w:rPr>
              <w:t>3</w:t>
            </w:r>
            <w:r>
              <w:rPr>
                <w:rFonts w:hint="eastAsia"/>
                <w:b/>
                <w:bCs/>
                <w:sz w:val="18"/>
                <w:szCs w:val="18"/>
              </w:rPr>
              <w:t>/d</w:t>
            </w:r>
          </w:p>
          <w:p>
            <w:pPr>
              <w:jc w:val="center"/>
              <w:rPr>
                <w:rFonts w:hint="default" w:eastAsia="宋体"/>
                <w:b/>
                <w:bCs/>
                <w:sz w:val="24"/>
                <w:szCs w:val="24"/>
                <w:lang w:val="en-US" w:eastAsia="zh-CN"/>
              </w:rPr>
            </w:pPr>
            <w:r>
              <w:rPr>
                <w:rFonts w:hint="eastAsia"/>
                <w:b/>
                <w:bCs/>
                <w:sz w:val="21"/>
                <w:szCs w:val="21"/>
                <w:lang w:val="en-US" w:eastAsia="zh-CN"/>
              </w:rPr>
              <w:t>表9 技改后全厂给排水情况表</w:t>
            </w:r>
            <w:r>
              <w:rPr>
                <w:rFonts w:hint="eastAsia"/>
                <w:b/>
                <w:bCs/>
                <w:sz w:val="24"/>
                <w:szCs w:val="24"/>
                <w:lang w:val="en-US" w:eastAsia="zh-CN"/>
              </w:rPr>
              <w:t xml:space="preserve">      </w:t>
            </w:r>
            <w:r>
              <w:rPr>
                <w:rFonts w:hint="eastAsia"/>
                <w:b/>
                <w:bCs/>
                <w:sz w:val="18"/>
                <w:szCs w:val="18"/>
              </w:rPr>
              <w:t>单位m</w:t>
            </w:r>
            <w:r>
              <w:rPr>
                <w:rFonts w:hint="eastAsia"/>
                <w:b/>
                <w:bCs/>
                <w:sz w:val="18"/>
                <w:szCs w:val="18"/>
                <w:vertAlign w:val="superscript"/>
              </w:rPr>
              <w:t>3</w:t>
            </w:r>
            <w:r>
              <w:rPr>
                <w:rFonts w:hint="eastAsia"/>
                <w:b/>
                <w:bCs/>
                <w:sz w:val="18"/>
                <w:szCs w:val="18"/>
              </w:rPr>
              <w:t>/d</w:t>
            </w:r>
          </w:p>
          <w:tbl>
            <w:tblPr>
              <w:tblStyle w:val="25"/>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50"/>
              <w:gridCol w:w="850"/>
              <w:gridCol w:w="850"/>
              <w:gridCol w:w="850"/>
              <w:gridCol w:w="850"/>
              <w:gridCol w:w="85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序号</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供排水单元</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总用水量</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新鲜水量</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循环水量</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损耗量</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废水量</w:t>
                  </w:r>
                </w:p>
              </w:tc>
              <w:tc>
                <w:tcPr>
                  <w:tcW w:w="264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生产用水</w:t>
                  </w:r>
                </w:p>
              </w:tc>
              <w:tc>
                <w:tcPr>
                  <w:tcW w:w="850" w:type="dxa"/>
                  <w:vAlign w:val="center"/>
                </w:tcPr>
                <w:p>
                  <w:pPr>
                    <w:adjustRightInd w:val="0"/>
                    <w:snapToGrid w:val="0"/>
                    <w:spacing w:line="320" w:lineRule="exact"/>
                    <w:jc w:val="center"/>
                    <w:rPr>
                      <w:rFonts w:hint="default"/>
                      <w:color w:val="000000" w:themeColor="text1"/>
                      <w:lang w:val="en-US"/>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585.23</w:t>
                  </w:r>
                </w:p>
              </w:tc>
              <w:tc>
                <w:tcPr>
                  <w:tcW w:w="850" w:type="dxa"/>
                  <w:vAlign w:val="center"/>
                </w:tcPr>
                <w:p>
                  <w:pPr>
                    <w:adjustRightInd w:val="0"/>
                    <w:snapToGrid w:val="0"/>
                    <w:spacing w:line="320" w:lineRule="exact"/>
                    <w:jc w:val="center"/>
                    <w:rPr>
                      <w:rFonts w:hint="default"/>
                      <w:color w:val="000000" w:themeColor="text1"/>
                      <w:lang w:val="en-US"/>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575.33</w:t>
                  </w:r>
                </w:p>
              </w:tc>
              <w:tc>
                <w:tcPr>
                  <w:tcW w:w="850" w:type="dxa"/>
                  <w:vAlign w:val="center"/>
                </w:tcPr>
                <w:p>
                  <w:pPr>
                    <w:adjustRightInd w:val="0"/>
                    <w:snapToGrid w:val="0"/>
                    <w:spacing w:line="320" w:lineRule="exact"/>
                    <w:jc w:val="center"/>
                    <w:rPr>
                      <w:rFonts w:hint="default"/>
                      <w:color w:val="000000" w:themeColor="text1"/>
                      <w:lang w:val="en-US"/>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8</w:t>
                  </w:r>
                </w:p>
              </w:tc>
              <w:tc>
                <w:tcPr>
                  <w:tcW w:w="850" w:type="dxa"/>
                  <w:vAlign w:val="center"/>
                </w:tcPr>
                <w:p>
                  <w:pPr>
                    <w:adjustRightInd w:val="0"/>
                    <w:snapToGrid w:val="0"/>
                    <w:spacing w:line="320" w:lineRule="exact"/>
                    <w:jc w:val="center"/>
                    <w:rPr>
                      <w:rFonts w:hint="default"/>
                      <w:color w:val="000000" w:themeColor="text1"/>
                      <w:lang w:val="en-US"/>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583.33</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264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生活用水</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1.52</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1.52</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0.304</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1.216</w:t>
                  </w:r>
                </w:p>
              </w:tc>
              <w:tc>
                <w:tcPr>
                  <w:tcW w:w="2640" w:type="dxa"/>
                  <w:vAlign w:val="center"/>
                </w:tcPr>
                <w:p>
                  <w:pPr>
                    <w:adjustRightInd w:val="0"/>
                    <w:snapToGrid w:val="0"/>
                    <w:spacing w:line="320" w:lineRule="exact"/>
                    <w:jc w:val="center"/>
                    <w:rPr>
                      <w:rFonts w:hint="default" w:ascii="Times New Roman" w:hAnsi="Times New Roman" w:cs="Times New Roman"/>
                      <w:snapToGrid w:val="0"/>
                      <w:color w:val="000000" w:themeColor="text1"/>
                      <w:kern w:val="0"/>
                      <w:szCs w:val="21"/>
                      <w:lang w:eastAsia="zh-CN"/>
                      <w14:textFill>
                        <w14:solidFill>
                          <w14:schemeClr w14:val="tx1"/>
                        </w14:solidFill>
                      </w14:textFill>
                    </w:rPr>
                  </w:pPr>
                  <w:r>
                    <w:rPr>
                      <w:rFonts w:hint="default" w:ascii="Times New Roman" w:hAnsi="Times New Roman" w:cs="Times New Roman"/>
                      <w:snapToGrid w:val="0"/>
                      <w:color w:val="000000" w:themeColor="text1"/>
                      <w:kern w:val="0"/>
                      <w:szCs w:val="21"/>
                      <w:lang w:eastAsia="zh-CN"/>
                      <w14:textFill>
                        <w14:solidFill>
                          <w14:schemeClr w14:val="tx1"/>
                        </w14:solidFill>
                      </w14:textFill>
                    </w:rPr>
                    <w:t>经化粪池处理后排入</w:t>
                  </w:r>
                </w:p>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eastAsia="zh-CN"/>
                      <w14:textFill>
                        <w14:solidFill>
                          <w14:schemeClr w14:val="tx1"/>
                        </w14:solidFill>
                      </w14:textFill>
                    </w:rPr>
                    <w:t>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食堂用水</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2640" w:type="dxa"/>
                  <w:vAlign w:val="center"/>
                </w:tcPr>
                <w:p>
                  <w:pPr>
                    <w:adjustRightInd w:val="0"/>
                    <w:snapToGrid w:val="0"/>
                    <w:spacing w:line="320" w:lineRule="exact"/>
                    <w:jc w:val="center"/>
                    <w:rPr>
                      <w:rFonts w:hint="default"/>
                      <w:color w:val="000000" w:themeColor="text1"/>
                      <w:lang w:val="en-US"/>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技改后食堂将不再建设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车辆冲洗用水</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10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10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8</w:t>
                  </w:r>
                </w:p>
              </w:tc>
              <w:tc>
                <w:tcPr>
                  <w:tcW w:w="2640" w:type="dxa"/>
                  <w:vAlign w:val="center"/>
                </w:tcPr>
                <w:p>
                  <w:pPr>
                    <w:adjustRightInd w:val="0"/>
                    <w:snapToGrid w:val="0"/>
                    <w:spacing w:line="320" w:lineRule="exact"/>
                    <w:jc w:val="center"/>
                    <w:rPr>
                      <w:rFonts w:hint="default" w:ascii="Times New Roman" w:hAnsi="Times New Roman" w:eastAsia="宋体" w:cs="Times New Roman"/>
                      <w:snapToGrid w:val="0"/>
                      <w:color w:val="000000" w:themeColor="text1"/>
                      <w:kern w:val="0"/>
                      <w:szCs w:val="21"/>
                      <w:lang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eastAsia="zh-CN"/>
                      <w14:textFill>
                        <w14:solidFill>
                          <w14:schemeClr w14:val="tx1"/>
                        </w14:solidFill>
                      </w14:textFill>
                    </w:rPr>
                    <w:t>经沉淀池处理后</w:t>
                  </w:r>
                </w:p>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eastAsia="zh-CN"/>
                      <w14:textFill>
                        <w14:solidFill>
                          <w14:schemeClr w14:val="tx1"/>
                        </w14:solidFill>
                      </w14:textFill>
                    </w:rPr>
                    <w:t>用于生产补水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道路浇洒用水</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2.6</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2.6</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2.6</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0</w:t>
                  </w:r>
                </w:p>
              </w:tc>
              <w:tc>
                <w:tcPr>
                  <w:tcW w:w="264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自然蒸发损耗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绿化用水</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4.44</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4.44</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4.44</w:t>
                  </w:r>
                </w:p>
              </w:tc>
              <w:tc>
                <w:tcPr>
                  <w:tcW w:w="85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0</w:t>
                  </w:r>
                </w:p>
              </w:tc>
              <w:tc>
                <w:tcPr>
                  <w:tcW w:w="2640" w:type="dxa"/>
                  <w:vAlign w:val="center"/>
                </w:tcPr>
                <w:p>
                  <w:pPr>
                    <w:adjustRightInd w:val="0"/>
                    <w:snapToGrid w:val="0"/>
                    <w:spacing w:line="320" w:lineRule="exact"/>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6" w:type="dxa"/>
                  <w:vAlign w:val="center"/>
                </w:tcPr>
                <w:p>
                  <w:pPr>
                    <w:bidi w:val="0"/>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p>
              </w:tc>
              <w:tc>
                <w:tcPr>
                  <w:tcW w:w="850" w:type="dxa"/>
                  <w:vAlign w:val="center"/>
                </w:tcPr>
                <w:p>
                  <w:pPr>
                    <w:bidi w:val="0"/>
                    <w:spacing w:line="240" w:lineRule="auto"/>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喷淋用水</w:t>
                  </w:r>
                </w:p>
              </w:tc>
              <w:tc>
                <w:tcPr>
                  <w:tcW w:w="850" w:type="dxa"/>
                  <w:vAlign w:val="center"/>
                </w:tcPr>
                <w:p>
                  <w:pPr>
                    <w:adjustRightInd w:val="0"/>
                    <w:snapToGrid w:val="0"/>
                    <w:spacing w:line="320" w:lineRule="exact"/>
                    <w:jc w:val="cente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0.5</w:t>
                  </w:r>
                </w:p>
              </w:tc>
              <w:tc>
                <w:tcPr>
                  <w:tcW w:w="850" w:type="dxa"/>
                  <w:vAlign w:val="center"/>
                </w:tcPr>
                <w:p>
                  <w:pPr>
                    <w:adjustRightInd w:val="0"/>
                    <w:snapToGrid w:val="0"/>
                    <w:spacing w:line="320" w:lineRule="exact"/>
                    <w:jc w:val="cente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0.5</w:t>
                  </w:r>
                </w:p>
              </w:tc>
              <w:tc>
                <w:tcPr>
                  <w:tcW w:w="850" w:type="dxa"/>
                  <w:vAlign w:val="center"/>
                </w:tcPr>
                <w:p>
                  <w:pPr>
                    <w:adjustRightInd w:val="0"/>
                    <w:snapToGrid w:val="0"/>
                    <w:spacing w:line="320" w:lineRule="exact"/>
                    <w:jc w:val="center"/>
                    <w:rPr>
                      <w:rFonts w:hint="default" w:ascii="Times New Roman" w:hAnsi="Times New Roman"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cs="Times New Roman"/>
                      <w:snapToGrid w:val="0"/>
                      <w:color w:val="000000" w:themeColor="text1"/>
                      <w:kern w:val="0"/>
                      <w:szCs w:val="21"/>
                      <w:lang w:val="en-US" w:eastAsia="zh-CN"/>
                      <w14:textFill>
                        <w14:solidFill>
                          <w14:schemeClr w14:val="tx1"/>
                        </w14:solidFill>
                      </w14:textFill>
                    </w:rPr>
                    <w:t>0</w:t>
                  </w:r>
                </w:p>
              </w:tc>
              <w:tc>
                <w:tcPr>
                  <w:tcW w:w="850" w:type="dxa"/>
                  <w:vAlign w:val="center"/>
                </w:tcPr>
                <w:p>
                  <w:pPr>
                    <w:adjustRightInd w:val="0"/>
                    <w:snapToGrid w:val="0"/>
                    <w:spacing w:line="320" w:lineRule="exact"/>
                    <w:jc w:val="cente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0.5</w:t>
                  </w:r>
                </w:p>
              </w:tc>
              <w:tc>
                <w:tcPr>
                  <w:tcW w:w="850" w:type="dxa"/>
                  <w:vAlign w:val="center"/>
                </w:tcPr>
                <w:p>
                  <w:pPr>
                    <w:adjustRightInd w:val="0"/>
                    <w:snapToGrid w:val="0"/>
                    <w:spacing w:line="320" w:lineRule="exact"/>
                    <w:jc w:val="cente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Cs w:val="21"/>
                      <w:lang w:val="en-US" w:eastAsia="zh-CN"/>
                      <w14:textFill>
                        <w14:solidFill>
                          <w14:schemeClr w14:val="tx1"/>
                        </w14:solidFill>
                      </w14:textFill>
                    </w:rPr>
                    <w:t>0</w:t>
                  </w:r>
                </w:p>
              </w:tc>
              <w:tc>
                <w:tcPr>
                  <w:tcW w:w="2640" w:type="dxa"/>
                  <w:vAlign w:val="center"/>
                </w:tcPr>
                <w:p>
                  <w:pPr>
                    <w:adjustRightInd w:val="0"/>
                    <w:snapToGrid w:val="0"/>
                    <w:spacing w:line="320" w:lineRule="exact"/>
                    <w:jc w:val="center"/>
                    <w:rPr>
                      <w:rFonts w:hint="default" w:ascii="Times New Roman" w:hAnsi="Times New Roman"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自然蒸发损耗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6" w:type="dxa"/>
                  <w:gridSpan w:val="2"/>
                  <w:vAlign w:val="center"/>
                </w:tcPr>
                <w:p>
                  <w:pPr>
                    <w:bidi w:val="0"/>
                    <w:spacing w:line="240" w:lineRule="auto"/>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合计</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604.29</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594.39</w:t>
                  </w:r>
                </w:p>
              </w:tc>
              <w:tc>
                <w:tcPr>
                  <w:tcW w:w="850" w:type="dxa"/>
                  <w:vAlign w:val="center"/>
                </w:tcPr>
                <w:p>
                  <w:pPr>
                    <w:bidi w:val="0"/>
                    <w:spacing w:line="240" w:lineRule="auto"/>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593.174</w:t>
                  </w:r>
                </w:p>
              </w:tc>
              <w:tc>
                <w:tcPr>
                  <w:tcW w:w="850" w:type="dxa"/>
                  <w:vAlign w:val="center"/>
                </w:tcPr>
                <w:p>
                  <w:pPr>
                    <w:bidi w:val="0"/>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9.216</w:t>
                  </w:r>
                </w:p>
              </w:tc>
              <w:tc>
                <w:tcPr>
                  <w:tcW w:w="2640" w:type="dxa"/>
                  <w:vAlign w:val="center"/>
                </w:tcPr>
                <w:p>
                  <w:pPr>
                    <w:bidi w:val="0"/>
                    <w:spacing w:line="240" w:lineRule="auto"/>
                    <w:jc w:val="center"/>
                    <w:rPr>
                      <w:color w:val="000000" w:themeColor="text1"/>
                      <w14:textFill>
                        <w14:solidFill>
                          <w14:schemeClr w14:val="tx1"/>
                        </w14:solidFill>
                      </w14:textFill>
                    </w:rPr>
                  </w:pPr>
                  <w:r>
                    <w:rPr>
                      <w:rFonts w:hint="default" w:ascii="Times New Roman" w:hAnsi="Times New Roman" w:cs="Times New Roman"/>
                      <w:snapToGrid w:val="0"/>
                      <w:color w:val="000000" w:themeColor="text1"/>
                      <w:kern w:val="0"/>
                      <w:szCs w:val="21"/>
                      <w:lang w:val="en-US" w:eastAsia="zh-CN"/>
                      <w14:textFill>
                        <w14:solidFill>
                          <w14:schemeClr w14:val="tx1"/>
                        </w14:solidFill>
                      </w14:textFill>
                    </w:rPr>
                    <w:t>--</w:t>
                  </w:r>
                </w:p>
              </w:tc>
            </w:tr>
          </w:tbl>
          <w:p>
            <w:pPr>
              <w:pStyle w:val="6"/>
            </w:pPr>
            <w:r>
              <w:drawing>
                <wp:inline distT="0" distB="0" distL="114300" distR="114300">
                  <wp:extent cx="5337175" cy="4130675"/>
                  <wp:effectExtent l="0" t="0" r="15875" b="317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2"/>
                          <a:stretch>
                            <a:fillRect/>
                          </a:stretch>
                        </pic:blipFill>
                        <pic:spPr>
                          <a:xfrm>
                            <a:off x="0" y="0"/>
                            <a:ext cx="5337175" cy="4130675"/>
                          </a:xfrm>
                          <a:prstGeom prst="rect">
                            <a:avLst/>
                          </a:prstGeom>
                          <a:noFill/>
                          <a:ln>
                            <a:noFill/>
                          </a:ln>
                        </pic:spPr>
                      </pic:pic>
                    </a:graphicData>
                  </a:graphic>
                </wp:inline>
              </w:drawing>
            </w:r>
          </w:p>
          <w:p>
            <w:pPr>
              <w:jc w:val="center"/>
              <w:rPr>
                <w:rFonts w:hint="eastAsia"/>
                <w:b/>
                <w:bCs/>
                <w:sz w:val="24"/>
                <w:szCs w:val="32"/>
              </w:rPr>
            </w:pPr>
            <w:r>
              <w:rPr>
                <w:rFonts w:hint="eastAsia"/>
                <w:b/>
                <w:bCs/>
                <w:sz w:val="21"/>
                <w:szCs w:val="21"/>
              </w:rPr>
              <w:t>图1</w:t>
            </w:r>
            <w:r>
              <w:rPr>
                <w:rFonts w:hint="eastAsia"/>
                <w:b/>
                <w:bCs/>
                <w:sz w:val="21"/>
                <w:szCs w:val="21"/>
                <w:lang w:val="en-US" w:eastAsia="zh-CN"/>
              </w:rPr>
              <w:t>-2</w:t>
            </w:r>
            <w:r>
              <w:rPr>
                <w:rFonts w:hint="eastAsia"/>
                <w:b/>
                <w:bCs/>
                <w:sz w:val="21"/>
                <w:szCs w:val="21"/>
              </w:rPr>
              <w:t xml:space="preserve"> </w:t>
            </w:r>
            <w:r>
              <w:rPr>
                <w:rFonts w:hint="eastAsia"/>
                <w:b/>
                <w:bCs/>
                <w:sz w:val="21"/>
                <w:szCs w:val="21"/>
                <w:lang w:val="en-US" w:eastAsia="zh-CN"/>
              </w:rPr>
              <w:t>技改</w:t>
            </w:r>
            <w:r>
              <w:rPr>
                <w:rFonts w:hint="eastAsia"/>
                <w:b/>
                <w:bCs/>
                <w:sz w:val="21"/>
                <w:szCs w:val="21"/>
              </w:rPr>
              <w:t>后全厂项目给排水平衡图</w:t>
            </w:r>
            <w:r>
              <w:rPr>
                <w:rStyle w:val="29"/>
                <w:rFonts w:hint="eastAsia"/>
                <w:kern w:val="0"/>
                <w:szCs w:val="20"/>
              </w:rPr>
              <w:t xml:space="preserve">  </w:t>
            </w:r>
            <w:r>
              <w:rPr>
                <w:rFonts w:hint="eastAsia"/>
                <w:b/>
                <w:bCs/>
                <w:sz w:val="18"/>
                <w:szCs w:val="18"/>
              </w:rPr>
              <w:t>单位m</w:t>
            </w:r>
            <w:r>
              <w:rPr>
                <w:rFonts w:hint="eastAsia"/>
                <w:b/>
                <w:bCs/>
                <w:sz w:val="18"/>
                <w:szCs w:val="18"/>
                <w:vertAlign w:val="superscript"/>
              </w:rPr>
              <w:t>3</w:t>
            </w:r>
            <w:r>
              <w:rPr>
                <w:rFonts w:hint="eastAsia"/>
                <w:b/>
                <w:bCs/>
                <w:sz w:val="18"/>
                <w:szCs w:val="18"/>
              </w:rPr>
              <w:t>/d</w:t>
            </w:r>
          </w:p>
          <w:p>
            <w:pPr>
              <w:ind w:firstLine="480" w:firstLineChars="200"/>
              <w:rPr>
                <w:rFonts w:hint="eastAsia"/>
                <w:sz w:val="24"/>
              </w:rPr>
            </w:pPr>
            <w:r>
              <w:rPr>
                <w:rFonts w:hint="eastAsia"/>
                <w:sz w:val="24"/>
              </w:rPr>
              <w:t>12、厂区平面布置</w:t>
            </w:r>
          </w:p>
          <w:p>
            <w:pPr>
              <w:ind w:firstLine="480" w:firstLineChars="200"/>
              <w:rPr>
                <w:rFonts w:hint="eastAsia"/>
                <w:sz w:val="24"/>
              </w:rPr>
            </w:pPr>
            <w:r>
              <w:rPr>
                <w:rFonts w:hint="eastAsia"/>
                <w:sz w:val="24"/>
                <w:lang w:val="en-US" w:eastAsia="zh-CN"/>
              </w:rPr>
              <w:t>现有项目厂区平面布置图：</w:t>
            </w:r>
            <w:r>
              <w:rPr>
                <w:rFonts w:hint="eastAsia"/>
                <w:sz w:val="24"/>
              </w:rPr>
              <w:t>河北琪发商砼有限公司厂区平面布置自北向南，自西向东布局为生产车间、料仓、</w:t>
            </w:r>
            <w:r>
              <w:rPr>
                <w:rFonts w:hint="eastAsia"/>
                <w:sz w:val="24"/>
                <w:lang w:val="en-US" w:eastAsia="zh-CN"/>
              </w:rPr>
              <w:t>1#</w:t>
            </w:r>
            <w:r>
              <w:rPr>
                <w:rFonts w:hint="eastAsia"/>
                <w:sz w:val="24"/>
              </w:rPr>
              <w:t>商砼搅拌楼</w:t>
            </w:r>
            <w:r>
              <w:rPr>
                <w:rFonts w:hint="eastAsia"/>
                <w:sz w:val="24"/>
                <w:lang w:eastAsia="zh-CN"/>
              </w:rPr>
              <w:t>、</w:t>
            </w:r>
            <w:r>
              <w:rPr>
                <w:rFonts w:hint="eastAsia"/>
                <w:sz w:val="24"/>
                <w:lang w:val="en-US" w:eastAsia="zh-CN"/>
              </w:rPr>
              <w:t>2#</w:t>
            </w:r>
            <w:r>
              <w:rPr>
                <w:rFonts w:hint="eastAsia"/>
                <w:sz w:val="24"/>
              </w:rPr>
              <w:t>商砼搅拌楼、办公区、地磅、门岗。</w:t>
            </w:r>
          </w:p>
          <w:p>
            <w:pPr>
              <w:ind w:firstLine="480" w:firstLineChars="200"/>
              <w:rPr>
                <w:color w:val="000000"/>
                <w:sz w:val="24"/>
              </w:rPr>
            </w:pPr>
            <w:r>
              <w:rPr>
                <w:rFonts w:hint="eastAsia"/>
                <w:sz w:val="24"/>
                <w:lang w:val="en-US" w:eastAsia="zh-CN"/>
              </w:rPr>
              <w:t>本项目厂区平面布置图：将原有2#商砼搅拌楼更换为本项目预拌砂浆搅拌生产线，其他位置不发生变化。</w:t>
            </w:r>
            <w:r>
              <w:rPr>
                <w:color w:val="000000"/>
                <w:sz w:val="24"/>
              </w:rPr>
              <w:t>厂区平面布置详见附图</w:t>
            </w:r>
            <w:r>
              <w:rPr>
                <w:rFonts w:hint="eastAsia"/>
                <w:color w:val="000000"/>
                <w:sz w:val="24"/>
              </w:rPr>
              <w:t>3</w:t>
            </w:r>
            <w:r>
              <w:rPr>
                <w:color w:val="000000"/>
                <w:sz w:val="24"/>
              </w:rPr>
              <w:t>。</w:t>
            </w:r>
          </w:p>
          <w:p>
            <w:pPr>
              <w:numPr>
                <w:ilvl w:val="0"/>
                <w:numId w:val="5"/>
              </w:numPr>
              <w:ind w:firstLine="480" w:firstLineChars="200"/>
              <w:rPr>
                <w:rFonts w:hint="eastAsia"/>
                <w:color w:val="000000"/>
                <w:sz w:val="24"/>
              </w:rPr>
            </w:pPr>
            <w:r>
              <w:rPr>
                <w:rFonts w:hint="eastAsia"/>
                <w:color w:val="000000"/>
                <w:sz w:val="24"/>
              </w:rPr>
              <w:t xml:space="preserve">项目周边关系 </w:t>
            </w:r>
          </w:p>
          <w:p>
            <w:pPr>
              <w:ind w:firstLine="480" w:firstLineChars="200"/>
            </w:pPr>
            <w:r>
              <w:rPr>
                <w:rFonts w:hint="eastAsia"/>
                <w:color w:val="000000"/>
                <w:sz w:val="24"/>
              </w:rPr>
              <w:t>本项目位于</w:t>
            </w:r>
            <w:r>
              <w:rPr>
                <w:rFonts w:hint="eastAsia"/>
                <w:sz w:val="24"/>
              </w:rPr>
              <w:t>魏县经济开发区平安大街北段西侧，</w:t>
            </w:r>
            <w:r>
              <w:rPr>
                <w:sz w:val="24"/>
              </w:rPr>
              <w:t>厂址中心地理坐标为北纬36°2</w:t>
            </w:r>
            <w:r>
              <w:rPr>
                <w:rFonts w:hint="eastAsia"/>
                <w:sz w:val="24"/>
              </w:rPr>
              <w:t>0</w:t>
            </w:r>
            <w:r>
              <w:rPr>
                <w:sz w:val="24"/>
              </w:rPr>
              <w:t>'</w:t>
            </w:r>
            <w:r>
              <w:rPr>
                <w:rFonts w:hint="eastAsia"/>
                <w:sz w:val="24"/>
                <w:lang w:val="en-US" w:eastAsia="zh-CN"/>
              </w:rPr>
              <w:t>24.000</w:t>
            </w:r>
            <w:r>
              <w:rPr>
                <w:sz w:val="24"/>
              </w:rPr>
              <w:t>"，东经114°5</w:t>
            </w:r>
            <w:r>
              <w:rPr>
                <w:rFonts w:hint="eastAsia"/>
                <w:sz w:val="24"/>
              </w:rPr>
              <w:t>9</w:t>
            </w:r>
            <w:r>
              <w:rPr>
                <w:sz w:val="24"/>
              </w:rPr>
              <w:t>'</w:t>
            </w:r>
            <w:r>
              <w:rPr>
                <w:rFonts w:hint="eastAsia"/>
                <w:sz w:val="24"/>
                <w:lang w:val="en-US" w:eastAsia="zh-CN"/>
              </w:rPr>
              <w:t>26.520</w:t>
            </w:r>
            <w:r>
              <w:rPr>
                <w:sz w:val="24"/>
              </w:rPr>
              <w:t>"</w:t>
            </w:r>
            <w:r>
              <w:rPr>
                <w:rFonts w:hint="eastAsia"/>
                <w:sz w:val="24"/>
              </w:rPr>
              <w:t>，项目北侧为魏县金隅混凝土有限公司，南邻和赢电压器厂，西邻河北慕湖有限公司，东侧为道路。距离</w:t>
            </w:r>
            <w:r>
              <w:rPr>
                <w:sz w:val="24"/>
              </w:rPr>
              <w:t>本项目最近的敏感点为</w:t>
            </w:r>
            <w:r>
              <w:rPr>
                <w:rFonts w:hint="eastAsia"/>
                <w:sz w:val="24"/>
              </w:rPr>
              <w:t>距离厂区西侧580m的安上村，项目用地为建设用地，周围无自然保护区、文物古迹等环境敏感点，项目地理位置图见附图1，周边敏感点分布见附图2。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dxa"/>
            <w:vAlign w:val="center"/>
          </w:tcPr>
          <w:p>
            <w:pPr>
              <w:pStyle w:val="19"/>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625" w:type="dxa"/>
          </w:tcPr>
          <w:p>
            <w:pPr>
              <w:ind w:firstLine="480" w:firstLineChars="200"/>
              <w:rPr>
                <w:rFonts w:hint="eastAsia"/>
                <w:sz w:val="24"/>
              </w:rPr>
            </w:pPr>
            <w:r>
              <w:rPr>
                <w:rFonts w:hint="eastAsia"/>
                <w:sz w:val="24"/>
              </w:rPr>
              <w:t>1、施工期工艺流程</w:t>
            </w:r>
          </w:p>
          <w:p>
            <w:pPr>
              <w:ind w:firstLine="480" w:firstLineChars="200"/>
              <w:rPr>
                <w:rFonts w:hint="eastAsia"/>
              </w:rPr>
            </w:pPr>
            <w:r>
              <w:rPr>
                <w:rFonts w:hint="eastAsia"/>
                <w:sz w:val="24"/>
              </w:rPr>
              <w:t>本项目依托现有项目建设，不新增用地及厂房，施工期主要包括设备的运输安装与调试，无土木施工，仅存在设备安装、车辆运输过程中产生的噪声，车辆运输产生的扬尘。随着设备安装及调试完成后即消失。</w:t>
            </w:r>
          </w:p>
          <w:p>
            <w:pPr>
              <w:ind w:firstLine="480" w:firstLineChars="200"/>
              <w:rPr>
                <w:rFonts w:hint="eastAsia"/>
                <w:color w:val="000000"/>
                <w:sz w:val="24"/>
                <w:szCs w:val="32"/>
              </w:rPr>
            </w:pPr>
            <w:r>
              <w:rPr>
                <w:rFonts w:hint="eastAsia"/>
                <w:color w:val="000000"/>
                <w:sz w:val="24"/>
                <w:szCs w:val="32"/>
              </w:rPr>
              <w:t>2、运营期工艺流程</w:t>
            </w:r>
          </w:p>
          <w:p>
            <w:pPr>
              <w:ind w:firstLine="482" w:firstLineChars="200"/>
              <w:rPr>
                <w:rFonts w:hint="eastAsia"/>
                <w:b/>
                <w:bCs/>
                <w:color w:val="FF0000"/>
                <w:sz w:val="24"/>
                <w:szCs w:val="32"/>
              </w:rPr>
            </w:pPr>
            <w:r>
              <w:rPr>
                <w:rFonts w:hint="eastAsia"/>
                <w:b/>
                <w:bCs/>
                <w:color w:val="000000"/>
                <w:sz w:val="24"/>
              </w:rPr>
              <w:t>预拌砂浆生产工艺流程：</w:t>
            </w:r>
          </w:p>
          <w:p>
            <w:pPr>
              <w:rPr>
                <w:rFonts w:hint="eastAsia"/>
                <w:sz w:val="24"/>
                <w:szCs w:val="32"/>
              </w:rPr>
            </w:pPr>
            <w:r>
              <w:drawing>
                <wp:inline distT="0" distB="0" distL="114300" distR="114300">
                  <wp:extent cx="5336540" cy="4538980"/>
                  <wp:effectExtent l="0" t="0" r="16510" b="1397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3"/>
                          <a:stretch>
                            <a:fillRect/>
                          </a:stretch>
                        </pic:blipFill>
                        <pic:spPr>
                          <a:xfrm>
                            <a:off x="0" y="0"/>
                            <a:ext cx="5336540" cy="4538980"/>
                          </a:xfrm>
                          <a:prstGeom prst="rect">
                            <a:avLst/>
                          </a:prstGeom>
                          <a:noFill/>
                          <a:ln>
                            <a:noFill/>
                          </a:ln>
                        </pic:spPr>
                      </pic:pic>
                    </a:graphicData>
                  </a:graphic>
                </wp:inline>
              </w:drawing>
            </w:r>
            <w:r>
              <w:rPr>
                <w:sz w:val="24"/>
              </w:rPr>
              <mc:AlternateContent>
                <mc:Choice Requires="wps">
                  <w:drawing>
                    <wp:anchor distT="0" distB="0" distL="114300" distR="114300" simplePos="0" relativeHeight="251659264" behindDoc="0" locked="0" layoutInCell="1" allowOverlap="1">
                      <wp:simplePos x="0" y="0"/>
                      <wp:positionH relativeFrom="column">
                        <wp:posOffset>3296285</wp:posOffset>
                      </wp:positionH>
                      <wp:positionV relativeFrom="paragraph">
                        <wp:posOffset>4193540</wp:posOffset>
                      </wp:positionV>
                      <wp:extent cx="1943100" cy="314325"/>
                      <wp:effectExtent l="4445" t="4445" r="8255" b="11430"/>
                      <wp:wrapNone/>
                      <wp:docPr id="12" name="文本框 64"/>
                      <wp:cNvGraphicFramePr/>
                      <a:graphic xmlns:a="http://schemas.openxmlformats.org/drawingml/2006/main">
                        <a:graphicData uri="http://schemas.microsoft.com/office/word/2010/wordprocessingShape">
                          <wps:wsp>
                            <wps:cNvSpPr txBox="1"/>
                            <wps:spPr>
                              <a:xfrm>
                                <a:off x="0" y="0"/>
                                <a:ext cx="1943100" cy="314325"/>
                              </a:xfrm>
                              <a:prstGeom prst="rect">
                                <a:avLst/>
                              </a:prstGeom>
                              <a:solidFill>
                                <a:srgbClr val="FFFFFF"/>
                              </a:solidFill>
                              <a:ln w="9525" cap="flat" cmpd="sng">
                                <a:solidFill>
                                  <a:srgbClr val="000000">
                                    <a:alpha val="0"/>
                                  </a:srgbClr>
                                </a:solidFill>
                                <a:prstDash val="solid"/>
                                <a:miter/>
                                <a:headEnd type="none" w="med" len="med"/>
                                <a:tailEnd type="none" w="med" len="med"/>
                              </a:ln>
                            </wps:spPr>
                            <wps:txbx>
                              <w:txbxContent>
                                <w:p>
                                  <w:r>
                                    <w:rPr>
                                      <w:rFonts w:hint="eastAsia"/>
                                    </w:rPr>
                                    <w:t>图例：G废气 N噪声 S固废</w:t>
                                  </w:r>
                                </w:p>
                              </w:txbxContent>
                            </wps:txbx>
                            <wps:bodyPr upright="1"/>
                          </wps:wsp>
                        </a:graphicData>
                      </a:graphic>
                    </wp:anchor>
                  </w:drawing>
                </mc:Choice>
                <mc:Fallback>
                  <w:pict>
                    <v:shape id="文本框 64" o:spid="_x0000_s1026" o:spt="202" type="#_x0000_t202" style="position:absolute;left:0pt;margin-left:259.55pt;margin-top:330.2pt;height:24.75pt;width:153pt;z-index:251659264;mso-width-relative:page;mso-height-relative:page;" fillcolor="#FFFFFF" filled="t" stroked="t" coordsize="21600,21600" o:gfxdata="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SfDINsAAAAL&#10;AQAADwAAAAAAAAABACAAAAAiAAAAZHJzL2Rvd25yZXYueG1sUEsBAhQAFAAAAAgAh07iQD/Hd6oZ&#10;AgAAVQQAAA4AAAAAAAAAAQAgAAAAKgEAAGRycy9lMm9Eb2MueG1sUEsFBgAAAAAGAAYAWQEAALUF&#10;AAAAAA==&#10;">
                      <v:fill on="t" focussize="0,0"/>
                      <v:stroke color="#000000" opacity="0f" joinstyle="miter"/>
                      <v:imagedata o:title=""/>
                      <o:lock v:ext="edit" aspectratio="f"/>
                      <v:textbox>
                        <w:txbxContent>
                          <w:p>
                            <w:r>
                              <w:rPr>
                                <w:rFonts w:hint="eastAsia"/>
                              </w:rPr>
                              <w:t>图例：G废气 N噪声 S固废</w:t>
                            </w:r>
                          </w:p>
                        </w:txbxContent>
                      </v:textbox>
                    </v:shape>
                  </w:pict>
                </mc:Fallback>
              </mc:AlternateContent>
            </w:r>
          </w:p>
          <w:p>
            <w:pPr>
              <w:ind w:firstLine="420"/>
              <w:jc w:val="center"/>
              <w:rPr>
                <w:rFonts w:hint="eastAsia" w:ascii="宋体" w:hAnsi="宋体" w:cs="宋体"/>
                <w:szCs w:val="21"/>
              </w:rPr>
            </w:pPr>
            <w:r>
              <w:rPr>
                <w:rFonts w:hint="eastAsia" w:ascii="宋体" w:hAnsi="宋体" w:cs="宋体"/>
                <w:b/>
                <w:bCs/>
                <w:sz w:val="21"/>
                <w:szCs w:val="21"/>
              </w:rPr>
              <w:t>图</w:t>
            </w:r>
            <w:r>
              <w:rPr>
                <w:rFonts w:hint="eastAsia"/>
                <w:b/>
                <w:bCs/>
                <w:sz w:val="21"/>
                <w:szCs w:val="21"/>
                <w:lang w:val="en-US" w:eastAsia="zh-CN"/>
              </w:rPr>
              <w:t>2</w:t>
            </w:r>
            <w:r>
              <w:rPr>
                <w:rFonts w:hint="eastAsia"/>
                <w:b/>
                <w:bCs/>
                <w:sz w:val="21"/>
                <w:szCs w:val="21"/>
              </w:rPr>
              <w:t xml:space="preserve">  </w:t>
            </w:r>
            <w:r>
              <w:rPr>
                <w:rFonts w:hint="eastAsia" w:ascii="宋体" w:hAnsi="宋体" w:cs="宋体"/>
                <w:b/>
                <w:bCs/>
                <w:sz w:val="21"/>
                <w:szCs w:val="21"/>
              </w:rPr>
              <w:t>预拌砂浆工艺流程及产排污节点图</w:t>
            </w:r>
          </w:p>
          <w:p>
            <w:pPr>
              <w:rPr>
                <w:rFonts w:hint="eastAsia"/>
                <w:b/>
                <w:bCs/>
                <w:sz w:val="24"/>
              </w:rPr>
            </w:pPr>
            <w:r>
              <w:rPr>
                <w:rFonts w:hint="eastAsia"/>
                <w:b/>
                <w:bCs/>
                <w:sz w:val="24"/>
              </w:rPr>
              <w:t>工艺流程简介：</w:t>
            </w:r>
          </w:p>
          <w:p>
            <w:pPr>
              <w:numPr>
                <w:ilvl w:val="0"/>
                <w:numId w:val="6"/>
              </w:numPr>
              <w:rPr>
                <w:sz w:val="24"/>
              </w:rPr>
            </w:pPr>
            <w:r>
              <w:rPr>
                <w:sz w:val="24"/>
              </w:rPr>
              <w:t>备料</w:t>
            </w:r>
          </w:p>
          <w:p>
            <w:pPr>
              <w:ind w:firstLine="480" w:firstLineChars="200"/>
              <w:rPr>
                <w:sz w:val="24"/>
              </w:rPr>
            </w:pPr>
            <w:r>
              <w:rPr>
                <w:rFonts w:hint="eastAsia"/>
                <w:sz w:val="24"/>
              </w:rPr>
              <w:t>散装水泥、粉煤灰</w:t>
            </w:r>
            <w:r>
              <w:rPr>
                <w:sz w:val="24"/>
              </w:rPr>
              <w:t>经过输送车通过管道以负压吸入料斗，再以压缩空气（正压）通过管道分别</w:t>
            </w:r>
            <w:r>
              <w:rPr>
                <w:rFonts w:hint="eastAsia"/>
                <w:sz w:val="24"/>
              </w:rPr>
              <w:t>气力输送至</w:t>
            </w:r>
            <w:r>
              <w:rPr>
                <w:sz w:val="24"/>
              </w:rPr>
              <w:t>各水泥筒仓、粉煤灰筒仓。</w:t>
            </w:r>
          </w:p>
          <w:p>
            <w:pPr>
              <w:ind w:firstLine="482" w:firstLineChars="200"/>
              <w:rPr>
                <w:rFonts w:hint="eastAsia"/>
                <w:b/>
                <w:bCs/>
                <w:sz w:val="24"/>
              </w:rPr>
            </w:pPr>
            <w:r>
              <w:rPr>
                <w:b/>
                <w:bCs/>
                <w:sz w:val="24"/>
              </w:rPr>
              <w:t>本工序产生的主要污染物为：备料过程产生的粉尘；备料过程产生的噪声</w:t>
            </w:r>
            <w:r>
              <w:rPr>
                <w:rFonts w:hint="eastAsia"/>
                <w:b/>
                <w:bCs/>
                <w:sz w:val="24"/>
              </w:rPr>
              <w:t>；布袋除尘器收集的粉尘。</w:t>
            </w:r>
          </w:p>
          <w:p>
            <w:pPr>
              <w:numPr>
                <w:ilvl w:val="0"/>
                <w:numId w:val="6"/>
              </w:numPr>
              <w:rPr>
                <w:sz w:val="24"/>
              </w:rPr>
            </w:pPr>
            <w:r>
              <w:rPr>
                <w:sz w:val="24"/>
              </w:rPr>
              <w:t>计量</w:t>
            </w:r>
          </w:p>
          <w:p>
            <w:pPr>
              <w:ind w:firstLine="480" w:firstLineChars="200"/>
              <w:rPr>
                <w:sz w:val="24"/>
              </w:rPr>
            </w:pPr>
            <w:r>
              <w:rPr>
                <w:sz w:val="24"/>
              </w:rPr>
              <w:t>机制砂称量：使用装载机将机制砂运至配料仓，装载机在原料库内转运物料，配料仓在全封闭的原料库内，配料仓设置三面围挡，装载机</w:t>
            </w:r>
            <w:r>
              <w:rPr>
                <w:rFonts w:hint="eastAsia"/>
                <w:sz w:val="24"/>
              </w:rPr>
              <w:t>上料时开启喷淋装置。</w:t>
            </w:r>
            <w:r>
              <w:rPr>
                <w:sz w:val="24"/>
              </w:rPr>
              <w:t>通过配料仓下方配置的电子皮带秤对骨料按重称量，并将机制砂经全封闭皮带送入干砂筒仓中，称好的机制砂由提升机输送到搅拌机。电子皮带秤能对砂等粒物料精确计量，它是在皮带输送机的适当部位装一组或多组计量托辊，用以计量物料的瞬间和累计质量。</w:t>
            </w:r>
          </w:p>
          <w:p>
            <w:pPr>
              <w:ind w:firstLine="480" w:firstLineChars="200"/>
              <w:rPr>
                <w:sz w:val="24"/>
              </w:rPr>
            </w:pPr>
            <w:r>
              <w:rPr>
                <w:sz w:val="24"/>
              </w:rPr>
              <w:t>粉料称量（水泥、粉煤灰）：通过自动控制系统控制粉料仓下方的蝶阀，粉料落入螺旋输送机，再由螺旋输送机输送至计量斗称量，称好的粉料由计量斗下方的气缸开启阀门划入搅拌主机</w:t>
            </w:r>
            <w:r>
              <w:rPr>
                <w:rStyle w:val="29"/>
                <w:sz w:val="24"/>
              </w:rPr>
              <w:t>，</w:t>
            </w:r>
            <w:r>
              <w:rPr>
                <w:sz w:val="24"/>
              </w:rPr>
              <w:t>计量斗及搅拌主机位于全封闭的搅拌楼内，水和水泥同时加入，液态外加剂随水流一同加入。</w:t>
            </w:r>
          </w:p>
          <w:p>
            <w:pPr>
              <w:ind w:firstLine="482" w:firstLineChars="200"/>
              <w:rPr>
                <w:b/>
                <w:bCs/>
                <w:sz w:val="24"/>
              </w:rPr>
            </w:pPr>
            <w:r>
              <w:rPr>
                <w:b/>
                <w:bCs/>
                <w:sz w:val="24"/>
              </w:rPr>
              <w:t>本工序产生的主要污染物为：水泥仓、粉煤灰仓上料时产生的粉尘，计量上料时产生的粉尘，砂石料堆场装卸物料时产生的粉尘；装载机、皮带输送机产生的噪声</w:t>
            </w:r>
            <w:r>
              <w:rPr>
                <w:rFonts w:hint="eastAsia"/>
                <w:b/>
                <w:bCs/>
                <w:sz w:val="24"/>
              </w:rPr>
              <w:t>；布袋除尘器收集产生的粉尘</w:t>
            </w:r>
            <w:r>
              <w:rPr>
                <w:b/>
                <w:bCs/>
                <w:sz w:val="24"/>
              </w:rPr>
              <w:t>。</w:t>
            </w:r>
          </w:p>
          <w:p>
            <w:pPr>
              <w:numPr>
                <w:ilvl w:val="0"/>
                <w:numId w:val="6"/>
              </w:numPr>
              <w:rPr>
                <w:sz w:val="24"/>
              </w:rPr>
            </w:pPr>
            <w:r>
              <w:rPr>
                <w:sz w:val="24"/>
              </w:rPr>
              <w:t>搅拌</w:t>
            </w:r>
          </w:p>
          <w:p>
            <w:pPr>
              <w:ind w:firstLine="480" w:firstLineChars="200"/>
              <w:rPr>
                <w:sz w:val="24"/>
              </w:rPr>
            </w:pPr>
            <w:r>
              <w:rPr>
                <w:sz w:val="24"/>
              </w:rPr>
              <w:t>各物料在搅拌主机内进行强制搅拌，强制搅拌过程采用电脑控制，从而保证预拌砂浆的质量。</w:t>
            </w:r>
          </w:p>
          <w:p>
            <w:pPr>
              <w:ind w:firstLine="482" w:firstLineChars="200"/>
              <w:rPr>
                <w:rFonts w:hint="eastAsia"/>
                <w:b/>
                <w:sz w:val="24"/>
              </w:rPr>
            </w:pPr>
            <w:r>
              <w:rPr>
                <w:b/>
                <w:bCs/>
                <w:sz w:val="24"/>
              </w:rPr>
              <w:t>本工序产生的主要污染物为：搅拌过程产生的粉尘；搅拌机运行时产生的噪声</w:t>
            </w:r>
            <w:r>
              <w:rPr>
                <w:rFonts w:hint="eastAsia"/>
                <w:b/>
                <w:sz w:val="24"/>
              </w:rPr>
              <w:t>，废气治理过程产生的除尘灰。</w:t>
            </w:r>
          </w:p>
          <w:p>
            <w:pPr>
              <w:numPr>
                <w:ilvl w:val="0"/>
                <w:numId w:val="6"/>
              </w:numPr>
              <w:rPr>
                <w:sz w:val="24"/>
              </w:rPr>
            </w:pPr>
            <w:r>
              <w:rPr>
                <w:rFonts w:hint="eastAsia"/>
                <w:sz w:val="24"/>
              </w:rPr>
              <w:t>成品</w:t>
            </w:r>
          </w:p>
          <w:p>
            <w:pPr>
              <w:ind w:firstLine="480" w:firstLineChars="200"/>
              <w:rPr>
                <w:rFonts w:hint="eastAsia"/>
                <w:bCs/>
                <w:kern w:val="0"/>
                <w:sz w:val="24"/>
              </w:rPr>
            </w:pPr>
            <w:r>
              <w:rPr>
                <w:bCs/>
                <w:kern w:val="0"/>
                <w:sz w:val="24"/>
              </w:rPr>
              <w:t>混合后的成品砂浆进入接料斗后可以直接进入砂浆运输车</w:t>
            </w:r>
            <w:r>
              <w:rPr>
                <w:rFonts w:hint="eastAsia"/>
                <w:bCs/>
                <w:kern w:val="0"/>
                <w:sz w:val="24"/>
              </w:rPr>
              <w:t>。</w:t>
            </w:r>
          </w:p>
          <w:p>
            <w:pPr>
              <w:ind w:firstLine="480" w:firstLineChars="200"/>
              <w:rPr>
                <w:sz w:val="24"/>
              </w:rPr>
            </w:pPr>
            <w:r>
              <w:rPr>
                <w:sz w:val="24"/>
              </w:rPr>
              <w:t>主要污染工序：本项目生产过程中主要污染物的产生情况见表</w:t>
            </w:r>
            <w:r>
              <w:rPr>
                <w:rFonts w:hint="eastAsia"/>
                <w:sz w:val="24"/>
              </w:rPr>
              <w:t>10</w:t>
            </w:r>
            <w:r>
              <w:rPr>
                <w:sz w:val="24"/>
              </w:rPr>
              <w:t>。</w:t>
            </w:r>
          </w:p>
          <w:p>
            <w:pPr>
              <w:ind w:firstLine="422" w:firstLineChars="200"/>
              <w:jc w:val="center"/>
              <w:rPr>
                <w:rFonts w:hint="eastAsia" w:ascii="宋体" w:hAnsi="宋体" w:cs="宋体"/>
                <w:b/>
                <w:bCs/>
                <w:sz w:val="21"/>
                <w:szCs w:val="21"/>
              </w:rPr>
            </w:pPr>
            <w:r>
              <w:rPr>
                <w:rFonts w:hint="eastAsia" w:ascii="宋体" w:hAnsi="宋体" w:cs="宋体"/>
                <w:b/>
                <w:bCs/>
                <w:sz w:val="21"/>
                <w:szCs w:val="21"/>
              </w:rPr>
              <w:t>表10 本项目生产过程中主要污染物的产生情况一览表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34"/>
              <w:gridCol w:w="942"/>
              <w:gridCol w:w="344"/>
              <w:gridCol w:w="1204"/>
              <w:gridCol w:w="4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990" w:type="pct"/>
                  <w:gridSpan w:val="2"/>
                  <w:vAlign w:val="center"/>
                </w:tcPr>
                <w:p>
                  <w:pPr>
                    <w:snapToGrid w:val="0"/>
                    <w:spacing w:line="240" w:lineRule="auto"/>
                    <w:jc w:val="center"/>
                    <w:rPr>
                      <w:szCs w:val="21"/>
                    </w:rPr>
                  </w:pPr>
                  <w:r>
                    <w:rPr>
                      <w:szCs w:val="21"/>
                    </w:rPr>
                    <w:t>污染类别</w:t>
                  </w:r>
                </w:p>
              </w:tc>
              <w:tc>
                <w:tcPr>
                  <w:tcW w:w="765" w:type="pct"/>
                  <w:gridSpan w:val="2"/>
                  <w:vAlign w:val="center"/>
                </w:tcPr>
                <w:p>
                  <w:pPr>
                    <w:snapToGrid w:val="0"/>
                    <w:spacing w:line="240" w:lineRule="auto"/>
                    <w:jc w:val="center"/>
                    <w:rPr>
                      <w:rFonts w:hint="eastAsia"/>
                      <w:szCs w:val="21"/>
                    </w:rPr>
                  </w:pPr>
                  <w:r>
                    <w:rPr>
                      <w:rFonts w:hint="eastAsia"/>
                      <w:szCs w:val="21"/>
                    </w:rPr>
                    <w:t>污染工序</w:t>
                  </w:r>
                </w:p>
              </w:tc>
              <w:tc>
                <w:tcPr>
                  <w:tcW w:w="717" w:type="pct"/>
                  <w:vAlign w:val="center"/>
                </w:tcPr>
                <w:p>
                  <w:pPr>
                    <w:snapToGrid w:val="0"/>
                    <w:spacing w:line="240" w:lineRule="auto"/>
                    <w:jc w:val="center"/>
                    <w:rPr>
                      <w:szCs w:val="21"/>
                    </w:rPr>
                  </w:pPr>
                  <w:r>
                    <w:rPr>
                      <w:szCs w:val="21"/>
                    </w:rPr>
                    <w:t>主要污染物</w:t>
                  </w:r>
                </w:p>
              </w:tc>
              <w:tc>
                <w:tcPr>
                  <w:tcW w:w="2526" w:type="pct"/>
                  <w:vAlign w:val="center"/>
                </w:tcPr>
                <w:p>
                  <w:pPr>
                    <w:snapToGrid w:val="0"/>
                    <w:spacing w:line="240" w:lineRule="auto"/>
                    <w:jc w:val="center"/>
                    <w:rPr>
                      <w:szCs w:val="21"/>
                    </w:rPr>
                  </w:pPr>
                  <w:r>
                    <w:rPr>
                      <w:szCs w:val="21"/>
                    </w:rPr>
                    <w:t>治理措施或去向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53" w:type="pct"/>
                  <w:vMerge w:val="restart"/>
                  <w:vAlign w:val="center"/>
                </w:tcPr>
                <w:p>
                  <w:pPr>
                    <w:snapToGrid w:val="0"/>
                    <w:spacing w:line="240" w:lineRule="auto"/>
                    <w:jc w:val="center"/>
                    <w:rPr>
                      <w:szCs w:val="21"/>
                    </w:rPr>
                  </w:pPr>
                  <w:r>
                    <w:rPr>
                      <w:szCs w:val="21"/>
                    </w:rPr>
                    <w:t>废气</w:t>
                  </w:r>
                </w:p>
              </w:tc>
              <w:tc>
                <w:tcPr>
                  <w:tcW w:w="437" w:type="pct"/>
                  <w:vMerge w:val="restart"/>
                  <w:vAlign w:val="center"/>
                </w:tcPr>
                <w:p>
                  <w:pPr>
                    <w:spacing w:line="240" w:lineRule="auto"/>
                    <w:jc w:val="center"/>
                    <w:rPr>
                      <w:rFonts w:hint="eastAsia"/>
                      <w:szCs w:val="21"/>
                    </w:rPr>
                  </w:pPr>
                  <w:r>
                    <w:rPr>
                      <w:rFonts w:hint="eastAsia"/>
                      <w:szCs w:val="21"/>
                    </w:rPr>
                    <w:t>有组织废气</w:t>
                  </w:r>
                </w:p>
              </w:tc>
              <w:tc>
                <w:tcPr>
                  <w:tcW w:w="765" w:type="pct"/>
                  <w:gridSpan w:val="2"/>
                  <w:vAlign w:val="center"/>
                </w:tcPr>
                <w:p>
                  <w:pPr>
                    <w:spacing w:line="240" w:lineRule="auto"/>
                    <w:jc w:val="center"/>
                    <w:rPr>
                      <w:szCs w:val="21"/>
                    </w:rPr>
                  </w:pPr>
                  <w:r>
                    <w:rPr>
                      <w:rFonts w:hint="eastAsia"/>
                      <w:szCs w:val="21"/>
                    </w:rPr>
                    <w:t>粉料仓上料废气</w:t>
                  </w:r>
                </w:p>
              </w:tc>
              <w:tc>
                <w:tcPr>
                  <w:tcW w:w="717" w:type="pct"/>
                  <w:vAlign w:val="center"/>
                </w:tcPr>
                <w:p>
                  <w:pPr>
                    <w:spacing w:line="240" w:lineRule="auto"/>
                    <w:jc w:val="center"/>
                    <w:rPr>
                      <w:rFonts w:hint="eastAsia"/>
                      <w:szCs w:val="21"/>
                    </w:rPr>
                  </w:pPr>
                  <w:r>
                    <w:rPr>
                      <w:rFonts w:hint="eastAsia"/>
                      <w:szCs w:val="21"/>
                    </w:rPr>
                    <w:t>颗粒物</w:t>
                  </w:r>
                </w:p>
              </w:tc>
              <w:tc>
                <w:tcPr>
                  <w:tcW w:w="2526" w:type="pct"/>
                  <w:vAlign w:val="center"/>
                </w:tcPr>
                <w:p>
                  <w:pPr>
                    <w:spacing w:line="240" w:lineRule="auto"/>
                    <w:jc w:val="center"/>
                    <w:rPr>
                      <w:szCs w:val="21"/>
                    </w:rPr>
                  </w:pPr>
                  <w:r>
                    <w:rPr>
                      <w:rFonts w:hint="eastAsia"/>
                      <w:szCs w:val="21"/>
                    </w:rPr>
                    <w:t>粉料封闭式进仓，每2个料仓顶部配1套脉冲袋式除尘器处理上料废气后通过仓顶排放口（28m）有组织排放，排气筒编号（P2-P5）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53" w:type="pct"/>
                  <w:vMerge w:val="continue"/>
                  <w:vAlign w:val="center"/>
                </w:tcPr>
                <w:p>
                  <w:pPr>
                    <w:snapToGrid w:val="0"/>
                    <w:spacing w:line="240" w:lineRule="auto"/>
                    <w:jc w:val="center"/>
                    <w:rPr>
                      <w:szCs w:val="21"/>
                    </w:rPr>
                  </w:pPr>
                </w:p>
              </w:tc>
              <w:tc>
                <w:tcPr>
                  <w:tcW w:w="437" w:type="pct"/>
                  <w:vMerge w:val="continue"/>
                  <w:vAlign w:val="center"/>
                </w:tcPr>
                <w:p>
                  <w:pPr>
                    <w:spacing w:line="240" w:lineRule="auto"/>
                    <w:jc w:val="center"/>
                    <w:rPr>
                      <w:rFonts w:hint="eastAsia"/>
                      <w:szCs w:val="21"/>
                    </w:rPr>
                  </w:pPr>
                </w:p>
              </w:tc>
              <w:tc>
                <w:tcPr>
                  <w:tcW w:w="765" w:type="pct"/>
                  <w:gridSpan w:val="2"/>
                  <w:vAlign w:val="center"/>
                </w:tcPr>
                <w:p>
                  <w:pPr>
                    <w:spacing w:line="240" w:lineRule="auto"/>
                    <w:jc w:val="center"/>
                    <w:rPr>
                      <w:szCs w:val="21"/>
                    </w:rPr>
                  </w:pPr>
                  <w:r>
                    <w:rPr>
                      <w:rFonts w:hint="eastAsia"/>
                      <w:szCs w:val="21"/>
                    </w:rPr>
                    <w:t>砂仓上料废气</w:t>
                  </w:r>
                </w:p>
              </w:tc>
              <w:tc>
                <w:tcPr>
                  <w:tcW w:w="717" w:type="pct"/>
                  <w:vAlign w:val="center"/>
                </w:tcPr>
                <w:p>
                  <w:pPr>
                    <w:spacing w:line="240" w:lineRule="auto"/>
                    <w:jc w:val="center"/>
                    <w:rPr>
                      <w:rFonts w:hint="eastAsia"/>
                      <w:szCs w:val="21"/>
                    </w:rPr>
                  </w:pPr>
                  <w:r>
                    <w:rPr>
                      <w:rFonts w:hint="eastAsia"/>
                      <w:szCs w:val="21"/>
                    </w:rPr>
                    <w:t>颗粒物</w:t>
                  </w:r>
                </w:p>
              </w:tc>
              <w:tc>
                <w:tcPr>
                  <w:tcW w:w="2526" w:type="pct"/>
                  <w:vAlign w:val="center"/>
                </w:tcPr>
                <w:p>
                  <w:pPr>
                    <w:spacing w:line="240" w:lineRule="auto"/>
                    <w:jc w:val="center"/>
                    <w:rPr>
                      <w:szCs w:val="21"/>
                    </w:rPr>
                  </w:pPr>
                  <w:r>
                    <w:rPr>
                      <w:rFonts w:hint="eastAsia"/>
                      <w:szCs w:val="21"/>
                    </w:rPr>
                    <w:t>项目设2个砂仓，上料产生的粉尘分别经2套脉冲式袋式除尘器处理后由1根15m高排气筒P6有组织排放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53" w:type="pct"/>
                  <w:vMerge w:val="continue"/>
                  <w:vAlign w:val="center"/>
                </w:tcPr>
                <w:p>
                  <w:pPr>
                    <w:snapToGrid w:val="0"/>
                    <w:spacing w:line="240" w:lineRule="auto"/>
                    <w:jc w:val="center"/>
                    <w:rPr>
                      <w:szCs w:val="21"/>
                    </w:rPr>
                  </w:pPr>
                </w:p>
              </w:tc>
              <w:tc>
                <w:tcPr>
                  <w:tcW w:w="437" w:type="pct"/>
                  <w:vMerge w:val="continue"/>
                  <w:vAlign w:val="center"/>
                </w:tcPr>
                <w:p>
                  <w:pPr>
                    <w:spacing w:line="240" w:lineRule="auto"/>
                    <w:jc w:val="center"/>
                    <w:rPr>
                      <w:rFonts w:hint="eastAsia"/>
                      <w:szCs w:val="21"/>
                    </w:rPr>
                  </w:pPr>
                </w:p>
              </w:tc>
              <w:tc>
                <w:tcPr>
                  <w:tcW w:w="765" w:type="pct"/>
                  <w:gridSpan w:val="2"/>
                  <w:vAlign w:val="center"/>
                </w:tcPr>
                <w:p>
                  <w:pPr>
                    <w:spacing w:line="240" w:lineRule="auto"/>
                    <w:jc w:val="center"/>
                    <w:rPr>
                      <w:szCs w:val="21"/>
                    </w:rPr>
                  </w:pPr>
                  <w:r>
                    <w:rPr>
                      <w:rFonts w:hint="eastAsia"/>
                      <w:szCs w:val="21"/>
                    </w:rPr>
                    <w:t>搅拌工序废气</w:t>
                  </w:r>
                </w:p>
              </w:tc>
              <w:tc>
                <w:tcPr>
                  <w:tcW w:w="717" w:type="pct"/>
                  <w:vAlign w:val="center"/>
                </w:tcPr>
                <w:p>
                  <w:pPr>
                    <w:spacing w:line="240" w:lineRule="auto"/>
                    <w:jc w:val="center"/>
                    <w:rPr>
                      <w:rFonts w:hint="eastAsia"/>
                      <w:szCs w:val="21"/>
                    </w:rPr>
                  </w:pPr>
                  <w:r>
                    <w:rPr>
                      <w:rFonts w:hint="eastAsia"/>
                      <w:szCs w:val="21"/>
                    </w:rPr>
                    <w:t>颗粒物</w:t>
                  </w:r>
                </w:p>
              </w:tc>
              <w:tc>
                <w:tcPr>
                  <w:tcW w:w="2526" w:type="pct"/>
                  <w:vAlign w:val="center"/>
                </w:tcPr>
                <w:p>
                  <w:pPr>
                    <w:spacing w:line="240" w:lineRule="auto"/>
                    <w:jc w:val="center"/>
                    <w:rPr>
                      <w:szCs w:val="21"/>
                    </w:rPr>
                  </w:pPr>
                  <w:r>
                    <w:rPr>
                      <w:rFonts w:hint="eastAsia"/>
                      <w:szCs w:val="21"/>
                    </w:rPr>
                    <w:t>搅拌楼密闭作业，经1套脉冲式布袋除尘器处理后由1根15m高排气筒P7有组织排放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53" w:type="pct"/>
                  <w:vMerge w:val="continue"/>
                  <w:vAlign w:val="center"/>
                </w:tcPr>
                <w:p>
                  <w:pPr>
                    <w:spacing w:line="240" w:lineRule="auto"/>
                    <w:jc w:val="center"/>
                    <w:rPr>
                      <w:szCs w:val="21"/>
                    </w:rPr>
                  </w:pPr>
                </w:p>
              </w:tc>
              <w:tc>
                <w:tcPr>
                  <w:tcW w:w="437" w:type="pct"/>
                  <w:vAlign w:val="center"/>
                </w:tcPr>
                <w:p>
                  <w:pPr>
                    <w:spacing w:line="240" w:lineRule="auto"/>
                    <w:jc w:val="center"/>
                    <w:rPr>
                      <w:rFonts w:hint="eastAsia"/>
                      <w:szCs w:val="21"/>
                    </w:rPr>
                  </w:pPr>
                  <w:r>
                    <w:rPr>
                      <w:rFonts w:hint="eastAsia"/>
                      <w:szCs w:val="21"/>
                    </w:rPr>
                    <w:t>无组织废气</w:t>
                  </w:r>
                </w:p>
              </w:tc>
              <w:tc>
                <w:tcPr>
                  <w:tcW w:w="765" w:type="pct"/>
                  <w:gridSpan w:val="2"/>
                  <w:vAlign w:val="center"/>
                </w:tcPr>
                <w:p>
                  <w:pPr>
                    <w:spacing w:line="240" w:lineRule="auto"/>
                    <w:jc w:val="center"/>
                    <w:rPr>
                      <w:szCs w:val="21"/>
                    </w:rPr>
                  </w:pPr>
                  <w:r>
                    <w:rPr>
                      <w:rFonts w:hint="eastAsia"/>
                      <w:szCs w:val="21"/>
                    </w:rPr>
                    <w:t>物料装卸</w:t>
                  </w:r>
                </w:p>
              </w:tc>
              <w:tc>
                <w:tcPr>
                  <w:tcW w:w="717" w:type="pct"/>
                  <w:vAlign w:val="center"/>
                </w:tcPr>
                <w:p>
                  <w:pPr>
                    <w:spacing w:line="240" w:lineRule="auto"/>
                    <w:jc w:val="center"/>
                    <w:rPr>
                      <w:rFonts w:hint="eastAsia"/>
                      <w:szCs w:val="21"/>
                    </w:rPr>
                  </w:pPr>
                  <w:r>
                    <w:rPr>
                      <w:rFonts w:hint="eastAsia"/>
                      <w:szCs w:val="21"/>
                    </w:rPr>
                    <w:t>颗粒物</w:t>
                  </w:r>
                </w:p>
              </w:tc>
              <w:tc>
                <w:tcPr>
                  <w:tcW w:w="2526" w:type="pct"/>
                  <w:vAlign w:val="center"/>
                </w:tcPr>
                <w:p>
                  <w:pPr>
                    <w:spacing w:line="240" w:lineRule="auto"/>
                    <w:jc w:val="center"/>
                    <w:rPr>
                      <w:szCs w:val="21"/>
                    </w:rPr>
                  </w:pPr>
                  <w:r>
                    <w:rPr>
                      <w:rFonts w:hint="eastAsia"/>
                      <w:szCs w:val="21"/>
                    </w:rPr>
                    <w:t>采用车间密闭生产，车间及厂界设喷淋装置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3" w:type="pct"/>
                  <w:vAlign w:val="center"/>
                </w:tcPr>
                <w:p>
                  <w:pPr>
                    <w:spacing w:line="240" w:lineRule="auto"/>
                    <w:jc w:val="center"/>
                    <w:rPr>
                      <w:szCs w:val="21"/>
                    </w:rPr>
                  </w:pPr>
                  <w:r>
                    <w:rPr>
                      <w:szCs w:val="21"/>
                    </w:rPr>
                    <w:t>废水</w:t>
                  </w:r>
                </w:p>
              </w:tc>
              <w:tc>
                <w:tcPr>
                  <w:tcW w:w="1203" w:type="pct"/>
                  <w:gridSpan w:val="3"/>
                  <w:vAlign w:val="center"/>
                </w:tcPr>
                <w:p>
                  <w:pPr>
                    <w:spacing w:line="240" w:lineRule="auto"/>
                    <w:jc w:val="center"/>
                    <w:rPr>
                      <w:szCs w:val="21"/>
                    </w:rPr>
                  </w:pPr>
                  <w:r>
                    <w:rPr>
                      <w:szCs w:val="21"/>
                    </w:rPr>
                    <w:t>职工生活</w:t>
                  </w:r>
                </w:p>
              </w:tc>
              <w:tc>
                <w:tcPr>
                  <w:tcW w:w="3243" w:type="pct"/>
                  <w:gridSpan w:val="2"/>
                  <w:vAlign w:val="center"/>
                </w:tcPr>
                <w:p>
                  <w:pPr>
                    <w:spacing w:line="240" w:lineRule="auto"/>
                    <w:jc w:val="center"/>
                    <w:rPr>
                      <w:szCs w:val="21"/>
                    </w:rPr>
                  </w:pPr>
                  <w:r>
                    <w:rPr>
                      <w:rFonts w:hint="eastAsia"/>
                      <w:szCs w:val="21"/>
                    </w:rPr>
                    <w:t>依托现有项目，经化粪池处理后由园区管网排入魏县经济开发区污水处理厂处理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53" w:type="pct"/>
                  <w:vAlign w:val="center"/>
                </w:tcPr>
                <w:p>
                  <w:pPr>
                    <w:spacing w:line="240" w:lineRule="auto"/>
                    <w:jc w:val="center"/>
                    <w:rPr>
                      <w:szCs w:val="21"/>
                    </w:rPr>
                  </w:pPr>
                  <w:r>
                    <w:rPr>
                      <w:szCs w:val="21"/>
                    </w:rPr>
                    <w:t>噪声</w:t>
                  </w:r>
                </w:p>
              </w:tc>
              <w:tc>
                <w:tcPr>
                  <w:tcW w:w="1203" w:type="pct"/>
                  <w:gridSpan w:val="3"/>
                  <w:vAlign w:val="center"/>
                </w:tcPr>
                <w:p>
                  <w:pPr>
                    <w:spacing w:line="240" w:lineRule="auto"/>
                    <w:jc w:val="center"/>
                    <w:rPr>
                      <w:szCs w:val="21"/>
                    </w:rPr>
                  </w:pPr>
                  <w:r>
                    <w:rPr>
                      <w:rFonts w:hint="eastAsia"/>
                      <w:szCs w:val="21"/>
                    </w:rPr>
                    <w:t>生产设备</w:t>
                  </w:r>
                </w:p>
              </w:tc>
              <w:tc>
                <w:tcPr>
                  <w:tcW w:w="717" w:type="pct"/>
                  <w:vAlign w:val="center"/>
                </w:tcPr>
                <w:p>
                  <w:pPr>
                    <w:spacing w:line="240" w:lineRule="auto"/>
                    <w:jc w:val="center"/>
                    <w:rPr>
                      <w:rFonts w:hint="eastAsia"/>
                      <w:szCs w:val="21"/>
                    </w:rPr>
                  </w:pPr>
                  <w:r>
                    <w:rPr>
                      <w:rFonts w:hint="eastAsia"/>
                      <w:szCs w:val="21"/>
                    </w:rPr>
                    <w:t>噪声</w:t>
                  </w:r>
                </w:p>
              </w:tc>
              <w:tc>
                <w:tcPr>
                  <w:tcW w:w="2526" w:type="pct"/>
                  <w:vAlign w:val="center"/>
                </w:tcPr>
                <w:p>
                  <w:pPr>
                    <w:spacing w:line="240" w:lineRule="auto"/>
                    <w:jc w:val="center"/>
                    <w:rPr>
                      <w:szCs w:val="21"/>
                    </w:rPr>
                  </w:pPr>
                  <w:r>
                    <w:rPr>
                      <w:szCs w:val="21"/>
                    </w:rPr>
                    <w:t>采用低噪声设备、厂房隔声、基础减振、经距离衰减等措施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3" w:type="pct"/>
                  <w:vMerge w:val="restart"/>
                  <w:vAlign w:val="center"/>
                </w:tcPr>
                <w:p>
                  <w:pPr>
                    <w:spacing w:line="240" w:lineRule="auto"/>
                    <w:jc w:val="center"/>
                    <w:rPr>
                      <w:rFonts w:hint="eastAsia"/>
                      <w:szCs w:val="21"/>
                    </w:rPr>
                  </w:pPr>
                  <w:r>
                    <w:rPr>
                      <w:rFonts w:hint="eastAsia"/>
                      <w:szCs w:val="21"/>
                    </w:rPr>
                    <w:t>固废</w:t>
                  </w:r>
                </w:p>
              </w:tc>
              <w:tc>
                <w:tcPr>
                  <w:tcW w:w="998" w:type="pct"/>
                  <w:gridSpan w:val="2"/>
                  <w:vAlign w:val="center"/>
                </w:tcPr>
                <w:p>
                  <w:pPr>
                    <w:spacing w:line="240" w:lineRule="auto"/>
                    <w:jc w:val="center"/>
                    <w:rPr>
                      <w:szCs w:val="21"/>
                    </w:rPr>
                  </w:pPr>
                  <w:r>
                    <w:rPr>
                      <w:rFonts w:hint="eastAsia"/>
                      <w:szCs w:val="21"/>
                    </w:rPr>
                    <w:t>布袋除尘器</w:t>
                  </w:r>
                </w:p>
              </w:tc>
              <w:tc>
                <w:tcPr>
                  <w:tcW w:w="922" w:type="pct"/>
                  <w:gridSpan w:val="2"/>
                  <w:vAlign w:val="center"/>
                </w:tcPr>
                <w:p>
                  <w:pPr>
                    <w:spacing w:line="240" w:lineRule="auto"/>
                    <w:jc w:val="center"/>
                    <w:rPr>
                      <w:szCs w:val="21"/>
                    </w:rPr>
                  </w:pPr>
                  <w:r>
                    <w:rPr>
                      <w:rFonts w:hint="eastAsia"/>
                      <w:szCs w:val="21"/>
                    </w:rPr>
                    <w:t>除尘灰</w:t>
                  </w:r>
                </w:p>
              </w:tc>
              <w:tc>
                <w:tcPr>
                  <w:tcW w:w="2526" w:type="pct"/>
                  <w:vMerge w:val="restart"/>
                  <w:vAlign w:val="center"/>
                </w:tcPr>
                <w:p>
                  <w:pPr>
                    <w:spacing w:line="240" w:lineRule="auto"/>
                    <w:jc w:val="center"/>
                    <w:rPr>
                      <w:szCs w:val="21"/>
                    </w:rPr>
                  </w:pPr>
                  <w:r>
                    <w:rPr>
                      <w:rFonts w:hint="eastAsia"/>
                      <w:szCs w:val="21"/>
                    </w:rPr>
                    <w:t>统一收集后回用于生产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3" w:type="pct"/>
                  <w:vMerge w:val="continue"/>
                  <w:vAlign w:val="center"/>
                </w:tcPr>
                <w:p>
                  <w:pPr>
                    <w:spacing w:line="240" w:lineRule="auto"/>
                    <w:jc w:val="center"/>
                    <w:rPr>
                      <w:rFonts w:hint="eastAsia"/>
                      <w:szCs w:val="21"/>
                    </w:rPr>
                  </w:pPr>
                </w:p>
              </w:tc>
              <w:tc>
                <w:tcPr>
                  <w:tcW w:w="998" w:type="pct"/>
                  <w:gridSpan w:val="2"/>
                  <w:vAlign w:val="center"/>
                </w:tcPr>
                <w:p>
                  <w:pPr>
                    <w:spacing w:line="240" w:lineRule="auto"/>
                    <w:jc w:val="center"/>
                    <w:rPr>
                      <w:szCs w:val="21"/>
                    </w:rPr>
                  </w:pPr>
                  <w:r>
                    <w:rPr>
                      <w:rFonts w:hint="eastAsia"/>
                      <w:szCs w:val="21"/>
                    </w:rPr>
                    <w:t>循环水池</w:t>
                  </w:r>
                </w:p>
              </w:tc>
              <w:tc>
                <w:tcPr>
                  <w:tcW w:w="922" w:type="pct"/>
                  <w:gridSpan w:val="2"/>
                  <w:vAlign w:val="center"/>
                </w:tcPr>
                <w:p>
                  <w:pPr>
                    <w:spacing w:line="240" w:lineRule="auto"/>
                    <w:jc w:val="center"/>
                    <w:rPr>
                      <w:szCs w:val="21"/>
                    </w:rPr>
                  </w:pPr>
                  <w:r>
                    <w:rPr>
                      <w:rFonts w:hint="eastAsia"/>
                      <w:szCs w:val="21"/>
                    </w:rPr>
                    <w:t>沉淀池砂石</w:t>
                  </w:r>
                </w:p>
              </w:tc>
              <w:tc>
                <w:tcPr>
                  <w:tcW w:w="2526" w:type="pct"/>
                  <w:vMerge w:val="continue"/>
                  <w:vAlign w:val="center"/>
                </w:tcPr>
                <w:p>
                  <w:pPr>
                    <w:spacing w:line="24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3" w:type="pct"/>
                  <w:vMerge w:val="continue"/>
                  <w:vAlign w:val="center"/>
                </w:tcPr>
                <w:p>
                  <w:pPr>
                    <w:spacing w:line="240" w:lineRule="auto"/>
                    <w:jc w:val="center"/>
                    <w:rPr>
                      <w:rFonts w:hint="eastAsia"/>
                      <w:szCs w:val="21"/>
                    </w:rPr>
                  </w:pPr>
                </w:p>
              </w:tc>
              <w:tc>
                <w:tcPr>
                  <w:tcW w:w="998" w:type="pct"/>
                  <w:gridSpan w:val="2"/>
                  <w:vAlign w:val="center"/>
                </w:tcPr>
                <w:p>
                  <w:pPr>
                    <w:spacing w:line="240" w:lineRule="auto"/>
                    <w:jc w:val="center"/>
                    <w:rPr>
                      <w:szCs w:val="21"/>
                    </w:rPr>
                  </w:pPr>
                  <w:r>
                    <w:rPr>
                      <w:rFonts w:hint="eastAsia"/>
                      <w:szCs w:val="21"/>
                    </w:rPr>
                    <w:t>职工生活</w:t>
                  </w:r>
                </w:p>
              </w:tc>
              <w:tc>
                <w:tcPr>
                  <w:tcW w:w="922" w:type="pct"/>
                  <w:gridSpan w:val="2"/>
                  <w:vAlign w:val="center"/>
                </w:tcPr>
                <w:p>
                  <w:pPr>
                    <w:spacing w:line="240" w:lineRule="auto"/>
                    <w:jc w:val="center"/>
                    <w:rPr>
                      <w:rFonts w:hint="eastAsia"/>
                      <w:szCs w:val="21"/>
                    </w:rPr>
                  </w:pPr>
                  <w:r>
                    <w:rPr>
                      <w:rFonts w:hint="eastAsia"/>
                      <w:szCs w:val="21"/>
                    </w:rPr>
                    <w:t>生活垃圾</w:t>
                  </w:r>
                </w:p>
              </w:tc>
              <w:tc>
                <w:tcPr>
                  <w:tcW w:w="2526" w:type="pct"/>
                  <w:vAlign w:val="center"/>
                </w:tcPr>
                <w:p>
                  <w:pPr>
                    <w:spacing w:line="240" w:lineRule="auto"/>
                    <w:jc w:val="center"/>
                    <w:rPr>
                      <w:szCs w:val="21"/>
                    </w:rPr>
                  </w:pPr>
                  <w:r>
                    <w:rPr>
                      <w:rFonts w:hint="eastAsia"/>
                      <w:szCs w:val="21"/>
                    </w:rPr>
                    <w:t>由当地环卫部门统一清运</w:t>
                  </w:r>
                </w:p>
              </w:tc>
            </w:tr>
          </w:tbl>
          <w:p>
            <w:pPr>
              <w:rPr>
                <w:bCs/>
                <w:szCs w:val="21"/>
              </w:rPr>
            </w:pPr>
            <w:r>
              <w:rPr>
                <w:rFonts w:hint="eastAsia"/>
                <w:bCs/>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435" w:type="dxa"/>
            <w:vAlign w:val="center"/>
          </w:tcPr>
          <w:p>
            <w:pPr>
              <w:pStyle w:val="19"/>
              <w:adjustRightInd w:val="0"/>
              <w:snapToGrid w:val="0"/>
              <w:spacing w:before="0" w:beforeAutospacing="0" w:after="0" w:afterAutospacing="0"/>
              <w:jc w:val="center"/>
              <w:rPr>
                <w:rFonts w:cs="宋体"/>
                <w:sz w:val="21"/>
                <w:szCs w:val="21"/>
              </w:rPr>
            </w:pPr>
            <w:r>
              <w:rPr>
                <w:rFonts w:hint="eastAsia" w:cs="宋体"/>
                <w:bCs/>
                <w:color w:val="000000"/>
                <w:kern w:val="2"/>
                <w:sz w:val="21"/>
                <w:szCs w:val="21"/>
              </w:rPr>
              <w:t>与项目有关的原有环境污染问题</w:t>
            </w:r>
          </w:p>
        </w:tc>
        <w:tc>
          <w:tcPr>
            <w:tcW w:w="8625" w:type="dxa"/>
          </w:tcPr>
          <w:p>
            <w:pPr>
              <w:tabs>
                <w:tab w:val="left" w:pos="369"/>
              </w:tabs>
              <w:spacing w:line="500" w:lineRule="exact"/>
              <w:ind w:firstLine="480" w:firstLineChars="200"/>
              <w:rPr>
                <w:rFonts w:hint="eastAsia"/>
                <w:sz w:val="24"/>
                <w:szCs w:val="32"/>
              </w:rPr>
            </w:pPr>
            <w:r>
              <w:rPr>
                <w:rFonts w:hint="eastAsia"/>
                <w:sz w:val="24"/>
                <w:szCs w:val="32"/>
              </w:rPr>
              <w:t>1、相关环评文件执行情况</w:t>
            </w:r>
          </w:p>
          <w:p>
            <w:pPr>
              <w:spacing w:line="500" w:lineRule="exact"/>
              <w:ind w:firstLine="480" w:firstLineChars="200"/>
              <w:rPr>
                <w:sz w:val="24"/>
                <w:szCs w:val="32"/>
              </w:rPr>
            </w:pPr>
            <w:r>
              <w:rPr>
                <w:rFonts w:hint="eastAsia"/>
                <w:sz w:val="24"/>
                <w:szCs w:val="32"/>
              </w:rPr>
              <w:t>河北琪发商砼有限公司于2019年1月委托北京华夏国润环保科技有限公司编制了《</w:t>
            </w:r>
            <w:r>
              <w:rPr>
                <w:rFonts w:hint="eastAsia"/>
                <w:sz w:val="24"/>
              </w:rPr>
              <w:t>河北琪发商砼有限公司河北琪发建筑装备生产基地建设</w:t>
            </w:r>
            <w:r>
              <w:rPr>
                <w:sz w:val="24"/>
              </w:rPr>
              <w:t>项目</w:t>
            </w:r>
            <w:r>
              <w:rPr>
                <w:color w:val="000000"/>
                <w:sz w:val="24"/>
              </w:rPr>
              <w:t>环境影响评价报告表</w:t>
            </w:r>
            <w:r>
              <w:rPr>
                <w:rFonts w:hint="eastAsia"/>
                <w:sz w:val="24"/>
                <w:szCs w:val="32"/>
              </w:rPr>
              <w:t>》，</w:t>
            </w:r>
            <w:r>
              <w:rPr>
                <w:color w:val="000000"/>
                <w:sz w:val="24"/>
              </w:rPr>
              <w:t>该报告表于20</w:t>
            </w:r>
            <w:r>
              <w:rPr>
                <w:rFonts w:hint="eastAsia"/>
                <w:color w:val="000000"/>
                <w:sz w:val="24"/>
              </w:rPr>
              <w:t>19</w:t>
            </w:r>
            <w:r>
              <w:rPr>
                <w:color w:val="000000"/>
                <w:sz w:val="24"/>
              </w:rPr>
              <w:t>年</w:t>
            </w:r>
            <w:r>
              <w:rPr>
                <w:rFonts w:hint="eastAsia"/>
                <w:color w:val="000000"/>
                <w:sz w:val="24"/>
              </w:rPr>
              <w:t>3</w:t>
            </w:r>
            <w:r>
              <w:rPr>
                <w:color w:val="000000"/>
                <w:sz w:val="24"/>
              </w:rPr>
              <w:t>月</w:t>
            </w:r>
            <w:r>
              <w:rPr>
                <w:rFonts w:hint="eastAsia"/>
                <w:color w:val="000000"/>
                <w:sz w:val="24"/>
              </w:rPr>
              <w:t>7</w:t>
            </w:r>
            <w:r>
              <w:rPr>
                <w:color w:val="000000"/>
                <w:sz w:val="24"/>
              </w:rPr>
              <w:t>日获得</w:t>
            </w:r>
            <w:r>
              <w:rPr>
                <w:rFonts w:hint="eastAsia"/>
                <w:color w:val="000000"/>
                <w:sz w:val="24"/>
              </w:rPr>
              <w:t>邯郸市生态环境局魏县分局审批</w:t>
            </w:r>
            <w:r>
              <w:rPr>
                <w:color w:val="000000"/>
                <w:sz w:val="24"/>
              </w:rPr>
              <w:t>（魏</w:t>
            </w:r>
            <w:r>
              <w:rPr>
                <w:rFonts w:hint="eastAsia"/>
                <w:color w:val="000000"/>
                <w:sz w:val="24"/>
              </w:rPr>
              <w:t>环审</w:t>
            </w:r>
            <w:r>
              <w:rPr>
                <w:color w:val="000000"/>
                <w:sz w:val="24"/>
              </w:rPr>
              <w:t>[20</w:t>
            </w:r>
            <w:r>
              <w:rPr>
                <w:rFonts w:hint="eastAsia"/>
                <w:color w:val="000000"/>
                <w:sz w:val="24"/>
              </w:rPr>
              <w:t>19</w:t>
            </w:r>
            <w:r>
              <w:rPr>
                <w:color w:val="000000"/>
                <w:sz w:val="24"/>
              </w:rPr>
              <w:t>]</w:t>
            </w:r>
            <w:r>
              <w:rPr>
                <w:rFonts w:hint="eastAsia"/>
                <w:color w:val="000000"/>
                <w:sz w:val="24"/>
              </w:rPr>
              <w:t>008</w:t>
            </w:r>
            <w:r>
              <w:rPr>
                <w:color w:val="000000"/>
                <w:sz w:val="24"/>
              </w:rPr>
              <w:t>号）</w:t>
            </w:r>
            <w:r>
              <w:rPr>
                <w:rFonts w:hint="eastAsia"/>
                <w:color w:val="000000"/>
                <w:sz w:val="24"/>
              </w:rPr>
              <w:t>；2019年10月8日</w:t>
            </w:r>
            <w:r>
              <w:rPr>
                <w:rFonts w:hint="eastAsia"/>
                <w:sz w:val="24"/>
              </w:rPr>
              <w:t>河北琪发商砼有限公司组织专家、环评单位、监测单位对本项目进行了（第一次）阶段性竣工验收工作；2021年5月26日河北琪发商砼有限公司组织专家、环评单位、监测单位对本项目进行了（第二次）阶段性竣工验收工作</w:t>
            </w:r>
            <w:r>
              <w:rPr>
                <w:rFonts w:hint="eastAsia"/>
                <w:sz w:val="24"/>
                <w:szCs w:val="32"/>
              </w:rPr>
              <w:t>。目前除了预制构件生产线未建以外，其他均已完成验收。企业于2020年4月7日取得了固定污染源排污登记回执，登记编号：91130434MA08T05L68001Y。</w:t>
            </w:r>
          </w:p>
          <w:p>
            <w:pPr>
              <w:spacing w:line="500" w:lineRule="exact"/>
              <w:ind w:firstLine="480" w:firstLineChars="200"/>
              <w:rPr>
                <w:rFonts w:hint="eastAsia"/>
                <w:sz w:val="24"/>
                <w:szCs w:val="32"/>
              </w:rPr>
            </w:pPr>
            <w:r>
              <w:rPr>
                <w:rFonts w:hint="eastAsia"/>
                <w:sz w:val="24"/>
                <w:szCs w:val="32"/>
              </w:rPr>
              <w:t>现有项目生产工艺流程如下图：</w:t>
            </w:r>
          </w:p>
          <w:p>
            <w:pPr>
              <w:rPr>
                <w:rFonts w:hint="eastAsia"/>
              </w:rPr>
            </w:pPr>
            <w:r>
              <mc:AlternateContent>
                <mc:Choice Requires="wps">
                  <w:drawing>
                    <wp:anchor distT="0" distB="0" distL="114300" distR="114300" simplePos="0" relativeHeight="251662336" behindDoc="0" locked="0" layoutInCell="1" allowOverlap="1">
                      <wp:simplePos x="0" y="0"/>
                      <wp:positionH relativeFrom="column">
                        <wp:posOffset>276225</wp:posOffset>
                      </wp:positionH>
                      <wp:positionV relativeFrom="paragraph">
                        <wp:posOffset>4573905</wp:posOffset>
                      </wp:positionV>
                      <wp:extent cx="1438275" cy="295910"/>
                      <wp:effectExtent l="4445" t="4445" r="5080" b="17145"/>
                      <wp:wrapNone/>
                      <wp:docPr id="16" name="矩形 69"/>
                      <wp:cNvGraphicFramePr/>
                      <a:graphic xmlns:a="http://schemas.openxmlformats.org/drawingml/2006/main">
                        <a:graphicData uri="http://schemas.microsoft.com/office/word/2010/wordprocessingShape">
                          <wps:wsp>
                            <wps:cNvSpPr/>
                            <wps:spPr>
                              <a:xfrm>
                                <a:off x="0" y="0"/>
                                <a:ext cx="1438275" cy="295910"/>
                              </a:xfrm>
                              <a:prstGeom prst="rect">
                                <a:avLst/>
                              </a:prstGeom>
                              <a:noFill/>
                              <a:ln w="9525" cap="flat" cmpd="sng">
                                <a:solidFill>
                                  <a:srgbClr val="00B050"/>
                                </a:solidFill>
                                <a:prstDash val="solid"/>
                                <a:miter/>
                                <a:headEnd type="none" w="med" len="med"/>
                                <a:tailEnd type="none" w="med" len="med"/>
                              </a:ln>
                            </wps:spPr>
                            <wps:txbx>
                              <w:txbxContent>
                                <w:p>
                                  <w:r>
                                    <w:rPr>
                                      <w:rFonts w:hint="eastAsia"/>
                                    </w:rPr>
                                    <w:t>第二次阶段验收内容</w:t>
                                  </w:r>
                                </w:p>
                              </w:txbxContent>
                            </wps:txbx>
                            <wps:bodyPr upright="1"/>
                          </wps:wsp>
                        </a:graphicData>
                      </a:graphic>
                    </wp:anchor>
                  </w:drawing>
                </mc:Choice>
                <mc:Fallback>
                  <w:pict>
                    <v:rect id="矩形 69" o:spid="_x0000_s1026" o:spt="1" style="position:absolute;left:0pt;margin-left:21.75pt;margin-top:360.15pt;height:23.3pt;width:113.25pt;z-index:251662336;mso-width-relative:page;mso-height-relative:page;" filled="f" stroked="t" coordsize="21600,21600" o:gfxdata="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4EvJ9YAAAAKAQAADwAAAAAAAAABACAAAAAiAAAAZHJzL2Rvd25y&#10;ZXYueG1sUEsBAhQAFAAAAAgAh07iQN07bbwAAgAAAgQAAA4AAAAAAAAAAQAgAAAAJQEAAGRycy9l&#10;Mm9Eb2MueG1sUEsFBgAAAAAGAAYAWQEAAJcFAAAAAA==&#10;">
                      <v:fill on="f" focussize="0,0"/>
                      <v:stroke color="#00B050" joinstyle="miter"/>
                      <v:imagedata o:title=""/>
                      <o:lock v:ext="edit" aspectratio="f"/>
                      <v:textbox>
                        <w:txbxContent>
                          <w:p>
                            <w:r>
                              <w:rPr>
                                <w:rFonts w:hint="eastAsia"/>
                              </w:rPr>
                              <w:t>第二次阶段验收内容</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4221480</wp:posOffset>
                      </wp:positionV>
                      <wp:extent cx="1438275" cy="295910"/>
                      <wp:effectExtent l="4445" t="4445" r="5080" b="17145"/>
                      <wp:wrapNone/>
                      <wp:docPr id="14" name="矩形 68"/>
                      <wp:cNvGraphicFramePr/>
                      <a:graphic xmlns:a="http://schemas.openxmlformats.org/drawingml/2006/main">
                        <a:graphicData uri="http://schemas.microsoft.com/office/word/2010/wordprocessingShape">
                          <wps:wsp>
                            <wps:cNvSpPr/>
                            <wps:spPr>
                              <a:xfrm>
                                <a:off x="0" y="0"/>
                                <a:ext cx="1438275" cy="295910"/>
                              </a:xfrm>
                              <a:prstGeom prst="rect">
                                <a:avLst/>
                              </a:prstGeom>
                              <a:noFill/>
                              <a:ln w="9525" cap="flat" cmpd="sng">
                                <a:solidFill>
                                  <a:srgbClr val="FF0000"/>
                                </a:solidFill>
                                <a:prstDash val="solid"/>
                                <a:miter/>
                                <a:headEnd type="none" w="med" len="med"/>
                                <a:tailEnd type="none" w="med" len="med"/>
                              </a:ln>
                            </wps:spPr>
                            <wps:txbx>
                              <w:txbxContent>
                                <w:p>
                                  <w:r>
                                    <w:rPr>
                                      <w:rFonts w:hint="eastAsia"/>
                                    </w:rPr>
                                    <w:t>第一次阶段验收内容</w:t>
                                  </w:r>
                                </w:p>
                              </w:txbxContent>
                            </wps:txbx>
                            <wps:bodyPr upright="1"/>
                          </wps:wsp>
                        </a:graphicData>
                      </a:graphic>
                    </wp:anchor>
                  </w:drawing>
                </mc:Choice>
                <mc:Fallback>
                  <w:pict>
                    <v:rect id="矩形 68" o:spid="_x0000_s1026" o:spt="1" style="position:absolute;left:0pt;margin-left:21pt;margin-top:332.4pt;height:23.3pt;width:113.25pt;z-index:251661312;mso-width-relative:page;mso-height-relative:page;" filled="f" stroked="t" coordsize="21600,21600" o:gfxdata="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7Pte2gAAAAoBAAAPAAAAAAAAAAEAIAAAACIAAABkcnMv&#10;ZG93bnJldi54bWxQSwECFAAUAAAACACHTuJA6TyuQwECAAACBAAADgAAAAAAAAABACAAAAApAQAA&#10;ZHJzL2Uyb0RvYy54bWxQSwUGAAAAAAYABgBZAQAAnAUAAAAA&#10;">
                      <v:fill on="f" focussize="0,0"/>
                      <v:stroke color="#FF0000" joinstyle="miter"/>
                      <v:imagedata o:title=""/>
                      <o:lock v:ext="edit" aspectratio="f"/>
                      <v:textbox>
                        <w:txbxContent>
                          <w:p>
                            <w:r>
                              <w:rPr>
                                <w:rFonts w:hint="eastAsia"/>
                              </w:rPr>
                              <w:t>第一次阶段验收内容</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2047875</wp:posOffset>
                      </wp:positionH>
                      <wp:positionV relativeFrom="paragraph">
                        <wp:posOffset>393065</wp:posOffset>
                      </wp:positionV>
                      <wp:extent cx="1571625" cy="857885"/>
                      <wp:effectExtent l="5080" t="4445" r="10795" b="13970"/>
                      <wp:wrapNone/>
                      <wp:docPr id="15" name="矩形 66"/>
                      <wp:cNvGraphicFramePr/>
                      <a:graphic xmlns:a="http://schemas.openxmlformats.org/drawingml/2006/main">
                        <a:graphicData uri="http://schemas.microsoft.com/office/word/2010/wordprocessingShape">
                          <wps:wsp>
                            <wps:cNvSpPr/>
                            <wps:spPr>
                              <a:xfrm>
                                <a:off x="0" y="0"/>
                                <a:ext cx="1571625" cy="857885"/>
                              </a:xfrm>
                              <a:prstGeom prst="rect">
                                <a:avLst/>
                              </a:prstGeom>
                              <a:noFill/>
                              <a:ln w="9525" cap="flat" cmpd="sng">
                                <a:solidFill>
                                  <a:srgbClr val="00B050"/>
                                </a:solidFill>
                                <a:prstDash val="solid"/>
                                <a:miter/>
                                <a:headEnd type="none" w="med" len="med"/>
                                <a:tailEnd type="none" w="med" len="med"/>
                              </a:ln>
                            </wps:spPr>
                            <wps:bodyPr upright="1"/>
                          </wps:wsp>
                        </a:graphicData>
                      </a:graphic>
                    </wp:anchor>
                  </w:drawing>
                </mc:Choice>
                <mc:Fallback>
                  <w:pict>
                    <v:rect id="矩形 66" o:spid="_x0000_s1026" o:spt="1" style="position:absolute;left:0pt;margin-left:161.25pt;margin-top:30.95pt;height:67.55pt;width:123.75pt;z-index:251661312;mso-width-relative:page;mso-height-relative:page;" filled="f" stroked="t" coordsize="21600,21600" o:gfxdata="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ai7adcAAAAKAQAADwAAAAAAAAABACAAAAAiAAAAZHJzL2Rvd25yZXYueG1s&#10;UEsBAhQAFAAAAAgAh07iQI1hjZf5AQAA9wMAAA4AAAAAAAAAAQAgAAAAJgEAAGRycy9lMm9Eb2Mu&#10;eG1sUEsFBgAAAAAGAAYAWQEAAJEFAAAAAA==&#10;">
                      <v:fill on="f" focussize="0,0"/>
                      <v:stroke color="#00B05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2238375</wp:posOffset>
                      </wp:positionH>
                      <wp:positionV relativeFrom="paragraph">
                        <wp:posOffset>1288415</wp:posOffset>
                      </wp:positionV>
                      <wp:extent cx="1238885" cy="1638300"/>
                      <wp:effectExtent l="4445" t="4445" r="13970" b="8255"/>
                      <wp:wrapNone/>
                      <wp:docPr id="13" name="矩形 65"/>
                      <wp:cNvGraphicFramePr/>
                      <a:graphic xmlns:a="http://schemas.openxmlformats.org/drawingml/2006/main">
                        <a:graphicData uri="http://schemas.microsoft.com/office/word/2010/wordprocessingShape">
                          <wps:wsp>
                            <wps:cNvSpPr/>
                            <wps:spPr>
                              <a:xfrm>
                                <a:off x="0" y="0"/>
                                <a:ext cx="1238885" cy="1638300"/>
                              </a:xfrm>
                              <a:prstGeom prst="rect">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rect id="矩形 65" o:spid="_x0000_s1026" o:spt="1" style="position:absolute;left:0pt;margin-left:176.25pt;margin-top:101.45pt;height:129pt;width:97.55pt;z-index:251660288;mso-width-relative:page;mso-height-relative:page;" filled="f" stroked="t" coordsize="21600,21600" o:gfxdata="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5k7EvcAAAACwEAAA8AAAAAAAAAAQAgAAAAIgAAAGRycy9kb3du&#10;cmV2LnhtbFBLAQIUABQAAAAIAIdO4kBLOAB8+wEAAPgDAAAOAAAAAAAAAAEAIAAAACsBAABkcnMv&#10;ZTJvRG9jLnhtbFBLBQYAAAAABgAGAFkBAACYBQAAAAA=&#10;">
                      <v:fill on="f" focussize="0,0"/>
                      <v:stroke color="#FF0000" joinstyle="miter"/>
                      <v:imagedata o:title=""/>
                      <o:lock v:ext="edit" aspectratio="f"/>
                    </v:rect>
                  </w:pict>
                </mc:Fallback>
              </mc:AlternateContent>
            </w:r>
            <w:r>
              <w:drawing>
                <wp:inline distT="0" distB="0" distL="0" distR="0">
                  <wp:extent cx="5219700" cy="4524375"/>
                  <wp:effectExtent l="19050" t="0" r="0" b="0"/>
                  <wp:docPr id="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8"/>
                          <pic:cNvPicPr>
                            <a:picLocks noChangeAspect="1" noChangeArrowheads="1"/>
                          </pic:cNvPicPr>
                        </pic:nvPicPr>
                        <pic:blipFill>
                          <a:blip r:embed="rId14" cstate="print"/>
                          <a:srcRect/>
                          <a:stretch>
                            <a:fillRect/>
                          </a:stretch>
                        </pic:blipFill>
                        <pic:spPr>
                          <a:xfrm>
                            <a:off x="0" y="0"/>
                            <a:ext cx="5219700" cy="4524375"/>
                          </a:xfrm>
                          <a:prstGeom prst="rect">
                            <a:avLst/>
                          </a:prstGeom>
                          <a:noFill/>
                          <a:ln w="9525" cmpd="sng">
                            <a:noFill/>
                            <a:miter lim="800000"/>
                            <a:headEnd/>
                            <a:tailEnd/>
                          </a:ln>
                        </pic:spPr>
                      </pic:pic>
                    </a:graphicData>
                  </a:graphic>
                </wp:inline>
              </w:drawing>
            </w:r>
          </w:p>
          <w:p>
            <w:pPr>
              <w:ind w:firstLine="420"/>
              <w:jc w:val="center"/>
              <w:rPr>
                <w:rFonts w:hint="eastAsia" w:ascii="宋体" w:hAnsi="宋体" w:cs="宋体"/>
                <w:b/>
                <w:bCs/>
                <w:sz w:val="24"/>
              </w:rPr>
            </w:pPr>
          </w:p>
          <w:p>
            <w:pPr>
              <w:ind w:firstLine="420"/>
              <w:jc w:val="center"/>
              <w:rPr>
                <w:rFonts w:hint="eastAsia" w:ascii="宋体" w:hAnsi="宋体" w:cs="宋体"/>
                <w:sz w:val="21"/>
                <w:szCs w:val="21"/>
              </w:rPr>
            </w:pPr>
            <w:r>
              <w:rPr>
                <w:rFonts w:hint="eastAsia" w:ascii="宋体" w:hAnsi="宋体" w:cs="宋体"/>
                <w:b/>
                <w:bCs/>
                <w:sz w:val="21"/>
                <w:szCs w:val="21"/>
              </w:rPr>
              <w:t>图</w:t>
            </w:r>
            <w:r>
              <w:rPr>
                <w:rFonts w:hint="eastAsia"/>
                <w:b/>
                <w:bCs/>
                <w:sz w:val="21"/>
                <w:szCs w:val="21"/>
                <w:lang w:val="en-US" w:eastAsia="zh-CN"/>
              </w:rPr>
              <w:t>3</w:t>
            </w:r>
            <w:r>
              <w:rPr>
                <w:rFonts w:hint="eastAsia"/>
                <w:b/>
                <w:bCs/>
                <w:sz w:val="21"/>
                <w:szCs w:val="21"/>
              </w:rPr>
              <w:t xml:space="preserve">  现有项目</w:t>
            </w:r>
            <w:r>
              <w:rPr>
                <w:rFonts w:hint="eastAsia" w:ascii="宋体" w:hAnsi="宋体" w:cs="宋体"/>
                <w:b/>
                <w:bCs/>
                <w:sz w:val="21"/>
                <w:szCs w:val="21"/>
              </w:rPr>
              <w:t>工艺流程及产排污节点图</w:t>
            </w:r>
          </w:p>
          <w:p>
            <w:pPr>
              <w:ind w:firstLine="480" w:firstLineChars="200"/>
              <w:rPr>
                <w:rFonts w:hint="eastAsia"/>
                <w:sz w:val="24"/>
                <w:szCs w:val="32"/>
              </w:rPr>
            </w:pPr>
            <w:r>
              <w:rPr>
                <w:rFonts w:hint="eastAsia"/>
                <w:bCs/>
                <w:sz w:val="24"/>
              </w:rPr>
              <w:t>河北恒一检测科技集团有限公司于2019年10月4日对</w:t>
            </w:r>
            <w:r>
              <w:rPr>
                <w:rFonts w:hint="eastAsia"/>
                <w:sz w:val="24"/>
                <w:szCs w:val="32"/>
              </w:rPr>
              <w:t>河北琪发商砼有限公司河北琪发建筑装备生产基地建设项目进行了（第一次）阶段性验收，验收监测报告（恒一（HYS）20191589），检测期间该企业正常生产，生产负荷达到国家75%以上，满足环境保护监测要求。该公司检测结论如下：</w:t>
            </w:r>
          </w:p>
          <w:p>
            <w:pPr>
              <w:numPr>
                <w:ilvl w:val="0"/>
                <w:numId w:val="7"/>
              </w:numPr>
              <w:ind w:firstLine="480" w:firstLineChars="200"/>
              <w:rPr>
                <w:rFonts w:hint="eastAsia"/>
                <w:sz w:val="24"/>
                <w:szCs w:val="32"/>
              </w:rPr>
            </w:pPr>
            <w:r>
              <w:rPr>
                <w:rFonts w:hint="eastAsia"/>
                <w:sz w:val="24"/>
                <w:szCs w:val="32"/>
              </w:rPr>
              <w:t xml:space="preserve">废气 </w:t>
            </w:r>
          </w:p>
          <w:p>
            <w:pPr>
              <w:ind w:firstLine="480" w:firstLineChars="200"/>
              <w:rPr>
                <w:rFonts w:hint="eastAsia" w:ascii="Arial" w:hAnsi="Arial" w:cs="Arial"/>
                <w:sz w:val="24"/>
                <w:szCs w:val="32"/>
              </w:rPr>
            </w:pPr>
            <w:r>
              <w:rPr>
                <w:rFonts w:hint="eastAsia"/>
                <w:sz w:val="24"/>
                <w:szCs w:val="32"/>
              </w:rPr>
              <w:t>项目粉料仓共8个，均为密封进料，每2个粉料仓上方设1套脉冲式袋式除尘器处理上料废气，8个粉料仓共设4套脉冲式袋式除尘器，分别处理后由4根28m高排气筒P2-P5有组织排放，经检测，颗粒物最高排放浓度为0.0304mg/m</w:t>
            </w:r>
            <w:r>
              <w:rPr>
                <w:rFonts w:hint="eastAsia"/>
                <w:sz w:val="24"/>
                <w:szCs w:val="32"/>
                <w:vertAlign w:val="superscript"/>
              </w:rPr>
              <w:t>3</w:t>
            </w:r>
            <w:r>
              <w:rPr>
                <w:rFonts w:hint="eastAsia"/>
                <w:sz w:val="24"/>
                <w:szCs w:val="32"/>
              </w:rPr>
              <w:t>，满足</w:t>
            </w:r>
            <w:r>
              <w:rPr>
                <w:rFonts w:hint="eastAsia"/>
                <w:sz w:val="24"/>
              </w:rPr>
              <w:t>《水泥工业大气污染物排放标准》（DB13/2167-2015</w:t>
            </w:r>
            <w:r>
              <w:rPr>
                <w:sz w:val="24"/>
              </w:rPr>
              <w:t>）表</w:t>
            </w:r>
            <w:r>
              <w:rPr>
                <w:rFonts w:hint="eastAsia"/>
                <w:sz w:val="24"/>
              </w:rPr>
              <w:t>1</w:t>
            </w:r>
            <w:r>
              <w:rPr>
                <w:sz w:val="24"/>
              </w:rPr>
              <w:t>中大气污染物特别排放限值要求</w:t>
            </w:r>
            <w:r>
              <w:rPr>
                <w:rFonts w:hint="eastAsia"/>
                <w:sz w:val="24"/>
                <w:szCs w:val="32"/>
              </w:rPr>
              <w:t>，即颗粒物最高排放浓度</w:t>
            </w:r>
            <w:r>
              <w:rPr>
                <w:rFonts w:ascii="Arial" w:hAnsi="Arial" w:cs="Arial"/>
                <w:sz w:val="24"/>
                <w:szCs w:val="32"/>
              </w:rPr>
              <w:t>≤</w:t>
            </w:r>
            <w:r>
              <w:rPr>
                <w:rFonts w:hint="eastAsia"/>
                <w:sz w:val="24"/>
                <w:szCs w:val="32"/>
              </w:rPr>
              <w:t>10mg/m</w:t>
            </w:r>
            <w:r>
              <w:rPr>
                <w:rFonts w:hint="eastAsia"/>
                <w:sz w:val="24"/>
                <w:szCs w:val="32"/>
                <w:vertAlign w:val="superscript"/>
              </w:rPr>
              <w:t>3</w:t>
            </w:r>
            <w:r>
              <w:rPr>
                <w:rFonts w:hint="eastAsia" w:ascii="Arial" w:hAnsi="Arial" w:cs="Arial"/>
                <w:sz w:val="24"/>
                <w:szCs w:val="32"/>
              </w:rPr>
              <w:t>；</w:t>
            </w:r>
          </w:p>
          <w:p>
            <w:pPr>
              <w:ind w:firstLine="480" w:firstLineChars="200"/>
              <w:rPr>
                <w:rFonts w:hint="eastAsia"/>
                <w:sz w:val="24"/>
                <w:szCs w:val="32"/>
              </w:rPr>
            </w:pPr>
            <w:r>
              <w:rPr>
                <w:rFonts w:hint="eastAsia" w:ascii="Arial" w:hAnsi="Arial" w:cs="Arial"/>
                <w:sz w:val="24"/>
                <w:szCs w:val="32"/>
              </w:rPr>
              <w:t>项目设砂仓</w:t>
            </w:r>
            <w:r>
              <w:rPr>
                <w:sz w:val="24"/>
                <w:szCs w:val="32"/>
              </w:rPr>
              <w:t>2</w:t>
            </w:r>
            <w:r>
              <w:rPr>
                <w:rFonts w:hint="eastAsia" w:ascii="Arial" w:hAnsi="Arial" w:cs="Arial"/>
                <w:sz w:val="24"/>
                <w:szCs w:val="32"/>
              </w:rPr>
              <w:t>座，</w:t>
            </w:r>
            <w:r>
              <w:rPr>
                <w:sz w:val="24"/>
                <w:szCs w:val="32"/>
              </w:rPr>
              <w:t>分别在2座砂仓上方设集气罩收集废气收经2套脉冲式袋式除尘器处理后由1根排气筒P6有组织排放，</w:t>
            </w:r>
            <w:r>
              <w:rPr>
                <w:rFonts w:hint="eastAsia" w:ascii="Arial" w:hAnsi="Arial" w:cs="Arial"/>
                <w:sz w:val="24"/>
                <w:szCs w:val="32"/>
              </w:rPr>
              <w:t>经检测，</w:t>
            </w:r>
            <w:r>
              <w:rPr>
                <w:rFonts w:hint="eastAsia"/>
                <w:sz w:val="24"/>
                <w:szCs w:val="32"/>
              </w:rPr>
              <w:t>颗粒物最高排放浓度为0.0546mg/m</w:t>
            </w:r>
            <w:r>
              <w:rPr>
                <w:rFonts w:hint="eastAsia"/>
                <w:sz w:val="24"/>
                <w:szCs w:val="32"/>
                <w:vertAlign w:val="superscript"/>
              </w:rPr>
              <w:t>3</w:t>
            </w:r>
            <w:r>
              <w:rPr>
                <w:rFonts w:hint="eastAsia"/>
                <w:sz w:val="24"/>
                <w:szCs w:val="32"/>
              </w:rPr>
              <w:t>，满足</w:t>
            </w:r>
            <w:r>
              <w:rPr>
                <w:rFonts w:hint="eastAsia"/>
                <w:sz w:val="24"/>
              </w:rPr>
              <w:t>《水泥工业大气污染物排放标准》（DB13/2167-2015</w:t>
            </w:r>
            <w:r>
              <w:rPr>
                <w:sz w:val="24"/>
              </w:rPr>
              <w:t>）表</w:t>
            </w:r>
            <w:r>
              <w:rPr>
                <w:rFonts w:hint="eastAsia"/>
                <w:sz w:val="24"/>
              </w:rPr>
              <w:t>1</w:t>
            </w:r>
            <w:r>
              <w:rPr>
                <w:sz w:val="24"/>
              </w:rPr>
              <w:t>中大气污染物特别排放限值要求</w:t>
            </w:r>
            <w:r>
              <w:rPr>
                <w:rFonts w:hint="eastAsia"/>
                <w:sz w:val="24"/>
                <w:szCs w:val="32"/>
              </w:rPr>
              <w:t>，即颗粒物最高排放浓度</w:t>
            </w:r>
            <w:r>
              <w:rPr>
                <w:rFonts w:ascii="Arial" w:hAnsi="Arial" w:cs="Arial"/>
                <w:sz w:val="24"/>
                <w:szCs w:val="32"/>
              </w:rPr>
              <w:t>≤</w:t>
            </w:r>
            <w:r>
              <w:rPr>
                <w:rFonts w:hint="eastAsia"/>
                <w:sz w:val="24"/>
                <w:szCs w:val="32"/>
              </w:rPr>
              <w:t>10mg/m</w:t>
            </w:r>
            <w:r>
              <w:rPr>
                <w:rFonts w:hint="eastAsia"/>
                <w:sz w:val="24"/>
                <w:szCs w:val="32"/>
                <w:vertAlign w:val="superscript"/>
              </w:rPr>
              <w:t>3</w:t>
            </w:r>
            <w:r>
              <w:rPr>
                <w:rFonts w:hint="eastAsia"/>
                <w:sz w:val="24"/>
                <w:szCs w:val="32"/>
              </w:rPr>
              <w:t>；</w:t>
            </w:r>
          </w:p>
          <w:p>
            <w:pPr>
              <w:ind w:firstLine="480" w:firstLineChars="200"/>
              <w:rPr>
                <w:rFonts w:hint="eastAsia"/>
                <w:sz w:val="24"/>
                <w:szCs w:val="32"/>
              </w:rPr>
            </w:pPr>
            <w:r>
              <w:rPr>
                <w:rFonts w:hint="eastAsia"/>
                <w:sz w:val="24"/>
                <w:szCs w:val="32"/>
              </w:rPr>
              <w:t>项目设搅拌楼2座，密闭搅拌，搅拌楼分别设1套布袋除尘器收集搅拌废气，共2套布袋除尘器，处理后的废气经1根15m高排气筒P7有组织排放，经检测，颗粒物最高排放浓度为0.0116mg/m</w:t>
            </w:r>
            <w:r>
              <w:rPr>
                <w:rFonts w:hint="eastAsia"/>
                <w:sz w:val="24"/>
                <w:szCs w:val="32"/>
                <w:vertAlign w:val="superscript"/>
              </w:rPr>
              <w:t>3</w:t>
            </w:r>
            <w:r>
              <w:rPr>
                <w:rFonts w:hint="eastAsia"/>
                <w:sz w:val="24"/>
                <w:szCs w:val="32"/>
              </w:rPr>
              <w:t>，满足</w:t>
            </w:r>
            <w:r>
              <w:rPr>
                <w:rFonts w:hint="eastAsia"/>
                <w:sz w:val="24"/>
              </w:rPr>
              <w:t>《水泥工业大气污染物排放标准》（DB13/2167-2015</w:t>
            </w:r>
            <w:r>
              <w:rPr>
                <w:sz w:val="24"/>
              </w:rPr>
              <w:t>）表</w:t>
            </w:r>
            <w:r>
              <w:rPr>
                <w:rFonts w:hint="eastAsia"/>
                <w:sz w:val="24"/>
              </w:rPr>
              <w:t>1</w:t>
            </w:r>
            <w:r>
              <w:rPr>
                <w:sz w:val="24"/>
              </w:rPr>
              <w:t>中大气污染物特别排放限值要求</w:t>
            </w:r>
            <w:r>
              <w:rPr>
                <w:rFonts w:hint="eastAsia"/>
                <w:sz w:val="24"/>
                <w:szCs w:val="32"/>
              </w:rPr>
              <w:t>，即颗粒物最高排放浓度</w:t>
            </w:r>
            <w:r>
              <w:rPr>
                <w:rFonts w:ascii="Arial" w:hAnsi="Arial" w:cs="Arial"/>
                <w:sz w:val="24"/>
                <w:szCs w:val="32"/>
              </w:rPr>
              <w:t>≤</w:t>
            </w:r>
            <w:r>
              <w:rPr>
                <w:rFonts w:hint="eastAsia"/>
                <w:sz w:val="24"/>
                <w:szCs w:val="32"/>
              </w:rPr>
              <w:t>10mg/m</w:t>
            </w:r>
            <w:r>
              <w:rPr>
                <w:rFonts w:hint="eastAsia"/>
                <w:sz w:val="24"/>
                <w:szCs w:val="32"/>
                <w:vertAlign w:val="superscript"/>
              </w:rPr>
              <w:t>3</w:t>
            </w:r>
            <w:r>
              <w:rPr>
                <w:rFonts w:hint="eastAsia"/>
                <w:sz w:val="24"/>
                <w:szCs w:val="32"/>
              </w:rPr>
              <w:t>。</w:t>
            </w:r>
          </w:p>
          <w:p>
            <w:pPr>
              <w:ind w:firstLine="480" w:firstLineChars="200"/>
              <w:rPr>
                <w:sz w:val="24"/>
                <w:szCs w:val="32"/>
              </w:rPr>
            </w:pPr>
            <w:r>
              <w:rPr>
                <w:rFonts w:hint="eastAsia"/>
                <w:sz w:val="24"/>
                <w:szCs w:val="32"/>
              </w:rPr>
              <w:t>项目在卸料过程中产生的粉尘经采取车间密闭，车间内及厂界设喷淋措施后无组织排放，厂界无组织颗粒物排放浓度差值最大值为0.233mg/m</w:t>
            </w:r>
            <w:r>
              <w:rPr>
                <w:rFonts w:hint="eastAsia"/>
                <w:sz w:val="24"/>
                <w:szCs w:val="32"/>
                <w:vertAlign w:val="superscript"/>
              </w:rPr>
              <w:t>3</w:t>
            </w:r>
            <w:r>
              <w:rPr>
                <w:rFonts w:hint="eastAsia"/>
                <w:sz w:val="24"/>
                <w:szCs w:val="32"/>
              </w:rPr>
              <w:t>，满足</w:t>
            </w:r>
            <w:r>
              <w:rPr>
                <w:rFonts w:hint="eastAsia"/>
                <w:sz w:val="24"/>
              </w:rPr>
              <w:t>《水泥工业大气污染物排放标准》（DB13/2167-2015</w:t>
            </w:r>
            <w:r>
              <w:rPr>
                <w:sz w:val="24"/>
              </w:rPr>
              <w:t>）</w:t>
            </w:r>
            <w:r>
              <w:rPr>
                <w:rFonts w:hint="eastAsia"/>
                <w:sz w:val="24"/>
              </w:rPr>
              <w:t>表2中大气污染物无组织排放限值要求，即监控点与参照点总悬浮颗粒物1h浓度值的差值</w:t>
            </w:r>
            <w:r>
              <w:rPr>
                <w:rFonts w:ascii="Arial" w:hAnsi="Arial" w:cs="Arial"/>
                <w:sz w:val="24"/>
                <w:szCs w:val="32"/>
              </w:rPr>
              <w:t>≤</w:t>
            </w:r>
            <w:r>
              <w:rPr>
                <w:rFonts w:hint="eastAsia"/>
                <w:sz w:val="24"/>
                <w:szCs w:val="32"/>
              </w:rPr>
              <w:t>0.5mg/m</w:t>
            </w:r>
            <w:r>
              <w:rPr>
                <w:rFonts w:hint="eastAsia"/>
                <w:sz w:val="24"/>
                <w:szCs w:val="32"/>
                <w:vertAlign w:val="superscript"/>
              </w:rPr>
              <w:t>3</w:t>
            </w:r>
            <w:r>
              <w:rPr>
                <w:rFonts w:hint="eastAsia"/>
                <w:sz w:val="24"/>
                <w:szCs w:val="32"/>
              </w:rPr>
              <w:t>。</w:t>
            </w:r>
          </w:p>
          <w:p>
            <w:pPr>
              <w:numPr>
                <w:ilvl w:val="0"/>
                <w:numId w:val="7"/>
              </w:numPr>
              <w:ind w:firstLine="480" w:firstLineChars="200"/>
              <w:rPr>
                <w:rFonts w:hint="eastAsia"/>
                <w:sz w:val="24"/>
                <w:szCs w:val="32"/>
              </w:rPr>
            </w:pPr>
            <w:r>
              <w:rPr>
                <w:rFonts w:hint="eastAsia"/>
                <w:sz w:val="24"/>
                <w:szCs w:val="32"/>
              </w:rPr>
              <w:t xml:space="preserve">噪声 </w:t>
            </w:r>
          </w:p>
          <w:p>
            <w:pPr>
              <w:ind w:firstLine="480" w:firstLineChars="200"/>
              <w:rPr>
                <w:rFonts w:hint="eastAsia"/>
                <w:sz w:val="24"/>
                <w:szCs w:val="32"/>
              </w:rPr>
            </w:pPr>
            <w:r>
              <w:rPr>
                <w:rFonts w:hint="eastAsia"/>
                <w:sz w:val="24"/>
                <w:szCs w:val="32"/>
              </w:rPr>
              <w:t>项目产生的噪声经合理布局、厂房隔声、基础减震后达标排放；经检测，该公司厂界昼间噪声最高值为58.8dB(A)，夜间不生产，满足《工业企业厂界环境噪声排放标准》(GB12348-2008)表1中3类标准即昼间</w:t>
            </w:r>
            <w:r>
              <w:rPr>
                <w:rFonts w:ascii="Arial" w:hAnsi="Arial" w:cs="Arial"/>
                <w:sz w:val="24"/>
                <w:szCs w:val="32"/>
              </w:rPr>
              <w:t>≤</w:t>
            </w:r>
            <w:r>
              <w:rPr>
                <w:rFonts w:hint="eastAsia"/>
                <w:sz w:val="24"/>
                <w:szCs w:val="32"/>
              </w:rPr>
              <w:t>65dB(A)。</w:t>
            </w:r>
          </w:p>
          <w:p>
            <w:pPr>
              <w:numPr>
                <w:ilvl w:val="0"/>
                <w:numId w:val="7"/>
              </w:numPr>
              <w:ind w:firstLine="480" w:firstLineChars="200"/>
              <w:rPr>
                <w:rFonts w:hint="eastAsia"/>
                <w:sz w:val="24"/>
                <w:szCs w:val="32"/>
              </w:rPr>
            </w:pPr>
            <w:r>
              <w:rPr>
                <w:rFonts w:hint="eastAsia"/>
                <w:sz w:val="24"/>
                <w:szCs w:val="32"/>
              </w:rPr>
              <w:t xml:space="preserve">废水 </w:t>
            </w:r>
          </w:p>
          <w:p>
            <w:pPr>
              <w:ind w:firstLine="480" w:firstLineChars="200"/>
              <w:rPr>
                <w:sz w:val="24"/>
                <w:szCs w:val="32"/>
              </w:rPr>
            </w:pPr>
            <w:r>
              <w:rPr>
                <w:rFonts w:hint="eastAsia"/>
                <w:sz w:val="24"/>
                <w:szCs w:val="32"/>
              </w:rPr>
              <w:t>项目食堂废水经隔油池处理，生活废水经化粪池处理，两处废水一同经园区污水管网排入魏县经济开发区污水处理厂处理。经检测，废水排放量为2747m</w:t>
            </w:r>
            <w:r>
              <w:rPr>
                <w:rFonts w:hint="eastAsia"/>
                <w:sz w:val="24"/>
                <w:szCs w:val="32"/>
                <w:vertAlign w:val="superscript"/>
              </w:rPr>
              <w:t>3</w:t>
            </w:r>
            <w:r>
              <w:rPr>
                <w:rFonts w:hint="eastAsia"/>
                <w:sz w:val="24"/>
                <w:szCs w:val="32"/>
              </w:rPr>
              <w:t>/a，COD排放浓度为80mg/L，氨氮排放浓度为7.87mg/L，均满足《污水综合排放标准》（GB8978-1996）表4中三级标准以及同时满足魏县经济开发区污水处理厂进水水质要求：COD</w:t>
            </w:r>
            <w:r>
              <w:rPr>
                <w:rFonts w:ascii="Arial" w:hAnsi="Arial" w:cs="Arial"/>
                <w:sz w:val="24"/>
                <w:szCs w:val="32"/>
              </w:rPr>
              <w:t>≤</w:t>
            </w:r>
            <w:r>
              <w:rPr>
                <w:rFonts w:hint="eastAsia"/>
                <w:sz w:val="24"/>
                <w:szCs w:val="32"/>
              </w:rPr>
              <w:t>350mg/L；氨氮</w:t>
            </w:r>
            <w:r>
              <w:rPr>
                <w:rFonts w:ascii="Arial" w:hAnsi="Arial" w:cs="Arial"/>
                <w:sz w:val="24"/>
                <w:szCs w:val="32"/>
              </w:rPr>
              <w:t>≤</w:t>
            </w:r>
            <w:r>
              <w:rPr>
                <w:rFonts w:hint="eastAsia"/>
                <w:sz w:val="24"/>
                <w:szCs w:val="32"/>
              </w:rPr>
              <w:t>40mg/L。经计算，外排总量为（COD：0.2198t/a，氨氮：0.0214t/a），满足环评及批复要求的总量控制标准（COD：0.223t/a，氨氮：0.026t/a）</w:t>
            </w:r>
          </w:p>
          <w:p>
            <w:pPr>
              <w:numPr>
                <w:ilvl w:val="0"/>
                <w:numId w:val="7"/>
              </w:numPr>
              <w:ind w:firstLine="480" w:firstLineChars="200"/>
              <w:rPr>
                <w:rFonts w:hint="eastAsia"/>
                <w:sz w:val="24"/>
                <w:szCs w:val="32"/>
              </w:rPr>
            </w:pPr>
            <w:r>
              <w:rPr>
                <w:rFonts w:hint="eastAsia"/>
                <w:sz w:val="24"/>
                <w:szCs w:val="32"/>
              </w:rPr>
              <w:t>固废</w:t>
            </w:r>
          </w:p>
          <w:p>
            <w:pPr>
              <w:ind w:firstLine="480" w:firstLineChars="200"/>
              <w:rPr>
                <w:rFonts w:hint="eastAsia"/>
                <w:sz w:val="24"/>
                <w:szCs w:val="32"/>
              </w:rPr>
            </w:pPr>
            <w:r>
              <w:rPr>
                <w:rFonts w:hint="eastAsia"/>
                <w:sz w:val="24"/>
                <w:szCs w:val="32"/>
              </w:rPr>
              <w:t>项目产生的固废主要为除尘器收集的除尘灰、沉淀池产生的沉淀污泥以及生活垃圾，经核实，企业除尘灰及沉淀污泥回用于生产，生活垃圾由当地环卫部门统一收集处理。</w:t>
            </w:r>
          </w:p>
          <w:p>
            <w:pPr>
              <w:ind w:firstLine="480" w:firstLineChars="200"/>
              <w:rPr>
                <w:rFonts w:hint="eastAsia"/>
                <w:sz w:val="24"/>
                <w:szCs w:val="32"/>
              </w:rPr>
            </w:pPr>
            <w:r>
              <w:rPr>
                <w:rFonts w:hint="eastAsia"/>
                <w:bCs/>
                <w:sz w:val="24"/>
              </w:rPr>
              <w:t>河北恒一检测科技集团有限公司于2021年4月21日对</w:t>
            </w:r>
            <w:r>
              <w:rPr>
                <w:rFonts w:hint="eastAsia"/>
                <w:sz w:val="24"/>
                <w:szCs w:val="32"/>
              </w:rPr>
              <w:t>河北琪发商砼有限公司河北琪发建筑装备生产基地建设项目进行了（第二次）阶段性验收，验收监测报告（恒一（HYS）20211024G），检测期间该企业正常生产，生产负荷达到国家75%以上，满足环境保护监测要求。该公司检测结论如下：</w:t>
            </w:r>
          </w:p>
          <w:p>
            <w:pPr>
              <w:numPr>
                <w:ilvl w:val="0"/>
                <w:numId w:val="8"/>
              </w:numPr>
              <w:ind w:firstLine="480" w:firstLineChars="200"/>
              <w:rPr>
                <w:rFonts w:hint="eastAsia"/>
                <w:bCs/>
                <w:sz w:val="24"/>
              </w:rPr>
            </w:pPr>
            <w:r>
              <w:rPr>
                <w:rFonts w:hint="eastAsia"/>
                <w:bCs/>
                <w:sz w:val="24"/>
              </w:rPr>
              <w:t xml:space="preserve">废气 </w:t>
            </w:r>
          </w:p>
          <w:p>
            <w:pPr>
              <w:ind w:firstLine="480" w:firstLineChars="200"/>
              <w:rPr>
                <w:bCs/>
                <w:sz w:val="24"/>
              </w:rPr>
            </w:pPr>
            <w:r>
              <w:rPr>
                <w:rFonts w:hint="eastAsia"/>
                <w:bCs/>
                <w:sz w:val="24"/>
              </w:rPr>
              <w:t>项目原料破碎、筛分工序产生的</w:t>
            </w:r>
            <w:r>
              <w:rPr>
                <w:rFonts w:hint="eastAsia"/>
                <w:bCs/>
                <w:sz w:val="24"/>
                <w:lang w:val="en-US" w:eastAsia="zh-CN"/>
              </w:rPr>
              <w:t>废气颗粒物经集气罩收集后由1套布袋除尘器处理后经1根15m高排气筒P1有组织排放，未被收集的废气经车间密闭，喷淋抑尘等降尘措施后无组织排放，经检测，</w:t>
            </w:r>
            <w:r>
              <w:rPr>
                <w:rFonts w:hint="eastAsia"/>
                <w:bCs/>
                <w:sz w:val="24"/>
              </w:rPr>
              <w:t>有组织</w:t>
            </w:r>
            <w:r>
              <w:rPr>
                <w:sz w:val="24"/>
              </w:rPr>
              <w:t>废气中颗粒物最高排放浓度为4.8mg/m</w:t>
            </w:r>
            <w:r>
              <w:rPr>
                <w:sz w:val="24"/>
                <w:vertAlign w:val="superscript"/>
              </w:rPr>
              <w:t>3</w:t>
            </w:r>
            <w:r>
              <w:rPr>
                <w:rFonts w:hint="eastAsia"/>
                <w:sz w:val="24"/>
              </w:rPr>
              <w:t>，</w:t>
            </w:r>
            <w:r>
              <w:rPr>
                <w:sz w:val="24"/>
              </w:rPr>
              <w:t>无组织废气中监控点与参照点总悬浮颗粒物1h浓度值得差值最大为0.253mg/m</w:t>
            </w:r>
            <w:r>
              <w:rPr>
                <w:sz w:val="24"/>
                <w:vertAlign w:val="superscript"/>
              </w:rPr>
              <w:t>3</w:t>
            </w:r>
            <w:r>
              <w:rPr>
                <w:sz w:val="24"/>
              </w:rPr>
              <w:t>，满足</w:t>
            </w:r>
            <w:r>
              <w:rPr>
                <w:color w:val="000000"/>
                <w:kern w:val="0"/>
                <w:sz w:val="24"/>
              </w:rPr>
              <w:t>《水泥工业大气污染物超低排放标准》（DB13/2167-2020）表1最高允许排放浓度及表2无组织排放浓度限值要求</w:t>
            </w:r>
            <w:r>
              <w:rPr>
                <w:bCs/>
                <w:sz w:val="24"/>
              </w:rPr>
              <w:t>：有组织颗粒物排放浓度≤10</w:t>
            </w:r>
            <w:r>
              <w:rPr>
                <w:sz w:val="24"/>
              </w:rPr>
              <w:t>mg/m</w:t>
            </w:r>
            <w:r>
              <w:rPr>
                <w:sz w:val="24"/>
                <w:vertAlign w:val="superscript"/>
              </w:rPr>
              <w:t>3</w:t>
            </w:r>
            <w:r>
              <w:rPr>
                <w:sz w:val="24"/>
              </w:rPr>
              <w:t>，监控点与参照点总悬浮颗粒物1h浓度值得差值</w:t>
            </w:r>
            <w:r>
              <w:rPr>
                <w:bCs/>
                <w:sz w:val="24"/>
              </w:rPr>
              <w:t>≤0.5</w:t>
            </w:r>
            <w:r>
              <w:rPr>
                <w:sz w:val="24"/>
              </w:rPr>
              <w:t>mg/m</w:t>
            </w:r>
            <w:r>
              <w:rPr>
                <w:sz w:val="24"/>
                <w:vertAlign w:val="superscript"/>
              </w:rPr>
              <w:t>3</w:t>
            </w:r>
            <w:r>
              <w:rPr>
                <w:rFonts w:hint="eastAsia"/>
                <w:sz w:val="24"/>
              </w:rPr>
              <w:t>。</w:t>
            </w:r>
          </w:p>
          <w:p>
            <w:pPr>
              <w:ind w:firstLine="480" w:firstLineChars="200"/>
              <w:rPr>
                <w:bCs/>
                <w:sz w:val="24"/>
              </w:rPr>
            </w:pPr>
            <w:r>
              <w:rPr>
                <w:rFonts w:hint="eastAsia"/>
                <w:bCs/>
                <w:sz w:val="24"/>
              </w:rPr>
              <w:t>（2）噪声</w:t>
            </w:r>
          </w:p>
          <w:p>
            <w:pPr>
              <w:ind w:firstLine="480" w:firstLineChars="200"/>
              <w:rPr>
                <w:rFonts w:hint="eastAsia"/>
                <w:bCs/>
                <w:sz w:val="24"/>
              </w:rPr>
            </w:pPr>
            <w:r>
              <w:rPr>
                <w:sz w:val="24"/>
              </w:rPr>
              <w:t>项目企业厂界环境昼间噪声最高值为58.2dB(A)，夜间环境噪声最高值为48.1dB(A)，</w:t>
            </w:r>
            <w:r>
              <w:rPr>
                <w:rFonts w:hint="eastAsia"/>
                <w:sz w:val="24"/>
              </w:rPr>
              <w:t>满足</w:t>
            </w:r>
            <w:r>
              <w:rPr>
                <w:sz w:val="24"/>
              </w:rPr>
              <w:t>《工业企业厂界环境噪声排放标准》（GB12348-2008）3类标准（昼间≤65dB(A)，夜间≤55dB(A)）</w:t>
            </w:r>
            <w:r>
              <w:rPr>
                <w:rFonts w:hint="eastAsia"/>
                <w:sz w:val="24"/>
              </w:rPr>
              <w:t>。</w:t>
            </w:r>
          </w:p>
          <w:p>
            <w:pPr>
              <w:ind w:firstLine="480" w:firstLineChars="200"/>
              <w:rPr>
                <w:bCs/>
                <w:sz w:val="24"/>
              </w:rPr>
            </w:pPr>
            <w:r>
              <w:rPr>
                <w:rFonts w:hint="eastAsia"/>
                <w:bCs/>
                <w:sz w:val="24"/>
              </w:rPr>
              <w:t>2、</w:t>
            </w:r>
            <w:r>
              <w:rPr>
                <w:bCs/>
                <w:sz w:val="24"/>
              </w:rPr>
              <w:t>现有工程污染物实际排放总量</w:t>
            </w:r>
          </w:p>
          <w:p>
            <w:pPr>
              <w:ind w:firstLine="480" w:firstLineChars="200"/>
              <w:rPr>
                <w:sz w:val="24"/>
              </w:rPr>
            </w:pPr>
            <w:r>
              <w:rPr>
                <w:sz w:val="24"/>
              </w:rPr>
              <w:t>根据</w:t>
            </w:r>
            <w:r>
              <w:rPr>
                <w:rFonts w:hint="eastAsia"/>
                <w:sz w:val="24"/>
                <w:szCs w:val="32"/>
              </w:rPr>
              <w:t>恒一（HYS）20191589</w:t>
            </w:r>
            <w:r>
              <w:rPr>
                <w:rFonts w:hint="eastAsia"/>
                <w:sz w:val="24"/>
              </w:rPr>
              <w:t>监测报告以及</w:t>
            </w:r>
            <w:r>
              <w:rPr>
                <w:rFonts w:hint="eastAsia"/>
                <w:sz w:val="24"/>
                <w:szCs w:val="32"/>
              </w:rPr>
              <w:t>恒一（HYS）20211024G</w:t>
            </w:r>
            <w:r>
              <w:rPr>
                <w:rFonts w:hint="eastAsia"/>
                <w:sz w:val="24"/>
              </w:rPr>
              <w:t>，</w:t>
            </w:r>
            <w:r>
              <w:rPr>
                <w:sz w:val="24"/>
              </w:rPr>
              <w:t>现有工程污染物实际排放总量如下：SO</w:t>
            </w:r>
            <w:r>
              <w:rPr>
                <w:sz w:val="24"/>
                <w:vertAlign w:val="subscript"/>
              </w:rPr>
              <w:t>2</w:t>
            </w:r>
            <w:r>
              <w:rPr>
                <w:rFonts w:hint="eastAsia"/>
                <w:bCs/>
                <w:szCs w:val="21"/>
              </w:rPr>
              <w:t>：</w:t>
            </w:r>
            <w:r>
              <w:rPr>
                <w:rFonts w:hint="eastAsia"/>
                <w:sz w:val="24"/>
              </w:rPr>
              <w:t>0</w:t>
            </w:r>
            <w:r>
              <w:rPr>
                <w:sz w:val="24"/>
              </w:rPr>
              <w:t>t/a、NO</w:t>
            </w:r>
            <w:r>
              <w:rPr>
                <w:sz w:val="24"/>
                <w:vertAlign w:val="subscript"/>
              </w:rPr>
              <w:t>X</w:t>
            </w:r>
            <w:r>
              <w:rPr>
                <w:rFonts w:hint="eastAsia"/>
                <w:bCs/>
                <w:szCs w:val="21"/>
              </w:rPr>
              <w:t>：</w:t>
            </w:r>
            <w:r>
              <w:rPr>
                <w:rFonts w:hint="eastAsia"/>
                <w:sz w:val="24"/>
              </w:rPr>
              <w:t>0</w:t>
            </w:r>
            <w:r>
              <w:rPr>
                <w:sz w:val="24"/>
              </w:rPr>
              <w:t>t/a、颗粒物</w:t>
            </w:r>
            <w:r>
              <w:rPr>
                <w:rFonts w:hint="eastAsia"/>
                <w:bCs/>
                <w:szCs w:val="21"/>
              </w:rPr>
              <w:t>：</w:t>
            </w:r>
            <w:r>
              <w:rPr>
                <w:rFonts w:hint="eastAsia"/>
                <w:sz w:val="24"/>
              </w:rPr>
              <w:t>0.3736</w:t>
            </w:r>
            <w:r>
              <w:rPr>
                <w:sz w:val="24"/>
              </w:rPr>
              <w:t>t/a、COD</w:t>
            </w:r>
            <w:r>
              <w:rPr>
                <w:rFonts w:hint="eastAsia"/>
                <w:bCs/>
                <w:szCs w:val="21"/>
              </w:rPr>
              <w:t>：</w:t>
            </w:r>
            <w:r>
              <w:rPr>
                <w:rFonts w:hint="eastAsia"/>
                <w:sz w:val="24"/>
              </w:rPr>
              <w:t>0.2198</w:t>
            </w:r>
            <w:r>
              <w:rPr>
                <w:sz w:val="24"/>
              </w:rPr>
              <w:t>t/a、氨氮</w:t>
            </w:r>
            <w:r>
              <w:rPr>
                <w:rFonts w:hint="eastAsia"/>
                <w:bCs/>
                <w:szCs w:val="21"/>
              </w:rPr>
              <w:t>：</w:t>
            </w:r>
            <w:r>
              <w:rPr>
                <w:rFonts w:hint="eastAsia"/>
                <w:sz w:val="24"/>
              </w:rPr>
              <w:t>0.0214</w:t>
            </w:r>
            <w:r>
              <w:rPr>
                <w:sz w:val="24"/>
              </w:rPr>
              <w:t>t/a。</w:t>
            </w:r>
            <w:r>
              <w:rPr>
                <w:rFonts w:hint="eastAsia"/>
                <w:sz w:val="24"/>
              </w:rPr>
              <w:t>现有工程污染物达标排放同时满足总量控制指标要求：</w:t>
            </w:r>
            <w:r>
              <w:rPr>
                <w:sz w:val="24"/>
              </w:rPr>
              <w:t>SO</w:t>
            </w:r>
            <w:r>
              <w:rPr>
                <w:sz w:val="24"/>
                <w:vertAlign w:val="subscript"/>
              </w:rPr>
              <w:t>2</w:t>
            </w:r>
            <w:r>
              <w:rPr>
                <w:rFonts w:hint="eastAsia"/>
                <w:bCs/>
                <w:szCs w:val="21"/>
              </w:rPr>
              <w:t>：</w:t>
            </w:r>
            <w:r>
              <w:rPr>
                <w:rFonts w:hint="eastAsia"/>
                <w:sz w:val="24"/>
              </w:rPr>
              <w:t>0</w:t>
            </w:r>
            <w:r>
              <w:rPr>
                <w:sz w:val="24"/>
              </w:rPr>
              <w:t>t/a、NO</w:t>
            </w:r>
            <w:r>
              <w:rPr>
                <w:sz w:val="24"/>
                <w:vertAlign w:val="subscript"/>
              </w:rPr>
              <w:t>X</w:t>
            </w:r>
            <w:r>
              <w:rPr>
                <w:rFonts w:hint="eastAsia"/>
                <w:bCs/>
                <w:szCs w:val="21"/>
              </w:rPr>
              <w:t>：</w:t>
            </w:r>
            <w:r>
              <w:rPr>
                <w:rFonts w:hint="eastAsia"/>
                <w:sz w:val="24"/>
              </w:rPr>
              <w:t>0</w:t>
            </w:r>
            <w:r>
              <w:rPr>
                <w:sz w:val="24"/>
              </w:rPr>
              <w:t>t/a、COD</w:t>
            </w:r>
            <w:r>
              <w:rPr>
                <w:rFonts w:hint="eastAsia"/>
                <w:bCs/>
                <w:szCs w:val="21"/>
              </w:rPr>
              <w:t>：</w:t>
            </w:r>
            <w:r>
              <w:rPr>
                <w:rFonts w:hint="eastAsia"/>
                <w:sz w:val="24"/>
              </w:rPr>
              <w:t>0.223</w:t>
            </w:r>
            <w:r>
              <w:rPr>
                <w:sz w:val="24"/>
              </w:rPr>
              <w:t>t/a、氨氮</w:t>
            </w:r>
            <w:r>
              <w:rPr>
                <w:rFonts w:hint="eastAsia"/>
                <w:bCs/>
                <w:szCs w:val="21"/>
              </w:rPr>
              <w:t>：</w:t>
            </w:r>
            <w:r>
              <w:rPr>
                <w:rFonts w:hint="eastAsia"/>
                <w:sz w:val="24"/>
              </w:rPr>
              <w:t>0.026</w:t>
            </w:r>
            <w:r>
              <w:rPr>
                <w:sz w:val="24"/>
              </w:rPr>
              <w:t>t/a</w:t>
            </w:r>
            <w:r>
              <w:rPr>
                <w:rFonts w:hint="eastAsia"/>
                <w:sz w:val="24"/>
              </w:rPr>
              <w:t>。</w:t>
            </w:r>
          </w:p>
          <w:p>
            <w:pPr>
              <w:ind w:firstLine="480" w:firstLineChars="200"/>
              <w:rPr>
                <w:sz w:val="24"/>
              </w:rPr>
            </w:pPr>
            <w:r>
              <w:rPr>
                <w:rFonts w:hint="eastAsia"/>
                <w:bCs/>
                <w:sz w:val="24"/>
              </w:rPr>
              <w:t>3、</w:t>
            </w:r>
            <w:r>
              <w:rPr>
                <w:bCs/>
                <w:sz w:val="24"/>
              </w:rPr>
              <w:t>现有工程总量控制指标</w:t>
            </w:r>
          </w:p>
          <w:p>
            <w:pPr>
              <w:ind w:firstLine="480" w:firstLineChars="200"/>
              <w:rPr>
                <w:bCs/>
                <w:sz w:val="24"/>
              </w:rPr>
            </w:pPr>
            <w:r>
              <w:rPr>
                <w:sz w:val="24"/>
              </w:rPr>
              <w:t>现有工程污染物排放总量控制指标如下：</w:t>
            </w:r>
            <w:r>
              <w:rPr>
                <w:bCs/>
                <w:sz w:val="24"/>
              </w:rPr>
              <w:t>SO</w:t>
            </w:r>
            <w:r>
              <w:rPr>
                <w:bCs/>
                <w:sz w:val="24"/>
                <w:vertAlign w:val="subscript"/>
              </w:rPr>
              <w:t>2</w:t>
            </w:r>
            <w:r>
              <w:rPr>
                <w:rFonts w:hint="eastAsia"/>
                <w:bCs/>
                <w:sz w:val="24"/>
              </w:rPr>
              <w:t>：0</w:t>
            </w:r>
            <w:r>
              <w:rPr>
                <w:bCs/>
                <w:sz w:val="24"/>
              </w:rPr>
              <w:t>t/a、NO</w:t>
            </w:r>
            <w:r>
              <w:rPr>
                <w:bCs/>
                <w:sz w:val="24"/>
                <w:vertAlign w:val="subscript"/>
              </w:rPr>
              <w:t>x</w:t>
            </w:r>
            <w:r>
              <w:rPr>
                <w:rFonts w:hint="eastAsia"/>
                <w:bCs/>
                <w:sz w:val="24"/>
              </w:rPr>
              <w:t>：0</w:t>
            </w:r>
            <w:r>
              <w:rPr>
                <w:bCs/>
                <w:sz w:val="24"/>
              </w:rPr>
              <w:t>t/a、COD</w:t>
            </w:r>
            <w:r>
              <w:rPr>
                <w:rFonts w:hint="eastAsia"/>
                <w:bCs/>
                <w:sz w:val="24"/>
              </w:rPr>
              <w:t>：0.223</w:t>
            </w:r>
            <w:r>
              <w:rPr>
                <w:bCs/>
                <w:sz w:val="24"/>
              </w:rPr>
              <w:t>t/a、氨氮</w:t>
            </w:r>
            <w:r>
              <w:rPr>
                <w:rFonts w:hint="eastAsia"/>
                <w:bCs/>
                <w:sz w:val="24"/>
              </w:rPr>
              <w:t>：0.026</w:t>
            </w:r>
            <w:r>
              <w:rPr>
                <w:bCs/>
                <w:sz w:val="24"/>
              </w:rPr>
              <w:t>t/a。</w:t>
            </w:r>
          </w:p>
          <w:p>
            <w:pPr>
              <w:ind w:firstLine="480" w:firstLineChars="200"/>
              <w:rPr>
                <w:bCs/>
                <w:sz w:val="24"/>
              </w:rPr>
            </w:pPr>
            <w:r>
              <w:rPr>
                <w:rFonts w:hint="eastAsia"/>
                <w:bCs/>
                <w:sz w:val="24"/>
              </w:rPr>
              <w:t>4、</w:t>
            </w:r>
            <w:r>
              <w:rPr>
                <w:bCs/>
                <w:sz w:val="24"/>
              </w:rPr>
              <w:t>现有工程主要环境问题</w:t>
            </w:r>
          </w:p>
          <w:p>
            <w:pPr>
              <w:ind w:firstLine="480" w:firstLineChars="200"/>
              <w:rPr>
                <w:rFonts w:hint="eastAsia"/>
                <w:color w:val="000000"/>
                <w:sz w:val="24"/>
              </w:rPr>
            </w:pPr>
            <w:r>
              <w:rPr>
                <w:rFonts w:hint="eastAsia"/>
                <w:color w:val="000000"/>
                <w:sz w:val="24"/>
              </w:rPr>
              <w:t>现有问题：现有项目生产过程中废气排放执行标准为</w:t>
            </w:r>
            <w:r>
              <w:rPr>
                <w:rFonts w:hint="eastAsia"/>
                <w:sz w:val="24"/>
              </w:rPr>
              <w:t>《水泥工业大气污染物排放标准》（</w:t>
            </w:r>
            <w:r>
              <w:rPr>
                <w:sz w:val="24"/>
              </w:rPr>
              <w:t>GB4915-2013）表2中大气污染物特别排放限值要求和表3中</w:t>
            </w:r>
            <w:r>
              <w:rPr>
                <w:rFonts w:hint="eastAsia"/>
                <w:sz w:val="24"/>
              </w:rPr>
              <w:t>排放限值要求</w:t>
            </w:r>
            <w:r>
              <w:rPr>
                <w:rFonts w:hint="eastAsia"/>
                <w:color w:val="000000"/>
                <w:sz w:val="24"/>
              </w:rPr>
              <w:t>。</w:t>
            </w:r>
          </w:p>
          <w:p>
            <w:pPr>
              <w:ind w:firstLine="480" w:firstLineChars="200"/>
              <w:rPr>
                <w:rFonts w:ascii="宋体" w:hAnsi="宋体"/>
                <w:bCs/>
                <w:szCs w:val="21"/>
              </w:rPr>
            </w:pPr>
            <w:r>
              <w:rPr>
                <w:rFonts w:hint="eastAsia"/>
                <w:color w:val="000000"/>
                <w:sz w:val="24"/>
              </w:rPr>
              <w:t>整改措施：在本次</w:t>
            </w:r>
            <w:r>
              <w:rPr>
                <w:rFonts w:hint="eastAsia"/>
                <w:color w:val="000000"/>
                <w:sz w:val="24"/>
                <w:lang w:val="en-US" w:eastAsia="zh-CN"/>
              </w:rPr>
              <w:t>技改</w:t>
            </w:r>
            <w:r>
              <w:rPr>
                <w:rFonts w:hint="eastAsia"/>
                <w:color w:val="000000"/>
                <w:sz w:val="24"/>
              </w:rPr>
              <w:t>项目中将生产过程中产生的废气排放执行标准更改为</w:t>
            </w:r>
            <w:r>
              <w:rPr>
                <w:color w:val="000000"/>
                <w:sz w:val="24"/>
              </w:rPr>
              <w:t>《</w:t>
            </w:r>
            <w:r>
              <w:rPr>
                <w:rFonts w:hint="eastAsia"/>
                <w:color w:val="000000"/>
                <w:sz w:val="24"/>
              </w:rPr>
              <w:t>水泥工业大气污染物超低排放标准</w:t>
            </w:r>
            <w:r>
              <w:rPr>
                <w:color w:val="000000"/>
                <w:sz w:val="24"/>
              </w:rPr>
              <w:t>》（DB13/</w:t>
            </w:r>
            <w:r>
              <w:rPr>
                <w:rFonts w:hint="eastAsia"/>
                <w:color w:val="000000"/>
                <w:sz w:val="24"/>
              </w:rPr>
              <w:t>2167-2020</w:t>
            </w:r>
            <w:r>
              <w:rPr>
                <w:color w:val="000000"/>
                <w:sz w:val="24"/>
              </w:rPr>
              <w:t>）表1、2大气污染物排放限值</w:t>
            </w:r>
            <w:r>
              <w:rPr>
                <w:rFonts w:hint="eastAsia"/>
                <w:color w:val="000000"/>
                <w:sz w:val="24"/>
              </w:rPr>
              <w:t>。</w:t>
            </w:r>
          </w:p>
        </w:tc>
      </w:tr>
    </w:tbl>
    <w:p>
      <w:pPr>
        <w:pStyle w:val="19"/>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38" w:type="dxa"/>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623" w:type="dxa"/>
            <w:vAlign w:val="center"/>
          </w:tcPr>
          <w:p>
            <w:pPr>
              <w:snapToGrid w:val="0"/>
              <w:ind w:firstLine="480" w:firstLineChars="200"/>
              <w:rPr>
                <w:sz w:val="24"/>
              </w:rPr>
            </w:pPr>
            <w:r>
              <w:rPr>
                <w:sz w:val="24"/>
              </w:rPr>
              <w:t>1、环境空气质量现状</w:t>
            </w:r>
          </w:p>
          <w:p>
            <w:pPr>
              <w:ind w:firstLine="480" w:firstLineChars="200"/>
              <w:rPr>
                <w:rFonts w:hint="eastAsia"/>
                <w:sz w:val="24"/>
                <w:szCs w:val="32"/>
              </w:rPr>
            </w:pPr>
            <w:r>
              <w:rPr>
                <w:color w:val="000000"/>
                <w:kern w:val="0"/>
                <w:sz w:val="24"/>
              </w:rPr>
              <w:t>大气环境中常规因子（SO</w:t>
            </w:r>
            <w:r>
              <w:rPr>
                <w:color w:val="000000"/>
                <w:kern w:val="0"/>
                <w:sz w:val="16"/>
                <w:szCs w:val="16"/>
              </w:rPr>
              <w:t>2</w:t>
            </w:r>
            <w:r>
              <w:rPr>
                <w:color w:val="000000"/>
                <w:kern w:val="0"/>
                <w:sz w:val="24"/>
              </w:rPr>
              <w:t>、NO</w:t>
            </w:r>
            <w:r>
              <w:rPr>
                <w:color w:val="000000"/>
                <w:kern w:val="0"/>
                <w:sz w:val="16"/>
                <w:szCs w:val="16"/>
              </w:rPr>
              <w:t>2</w:t>
            </w:r>
            <w:r>
              <w:rPr>
                <w:color w:val="000000"/>
                <w:kern w:val="0"/>
                <w:sz w:val="24"/>
              </w:rPr>
              <w:t>、PM</w:t>
            </w:r>
            <w:r>
              <w:rPr>
                <w:color w:val="000000"/>
                <w:kern w:val="0"/>
                <w:sz w:val="16"/>
                <w:szCs w:val="16"/>
              </w:rPr>
              <w:t>10</w:t>
            </w:r>
            <w:r>
              <w:rPr>
                <w:color w:val="000000"/>
                <w:kern w:val="0"/>
                <w:sz w:val="24"/>
              </w:rPr>
              <w:t>、PM</w:t>
            </w:r>
            <w:r>
              <w:rPr>
                <w:color w:val="000000"/>
                <w:kern w:val="0"/>
                <w:sz w:val="16"/>
                <w:szCs w:val="16"/>
              </w:rPr>
              <w:t>2.5</w:t>
            </w:r>
            <w:r>
              <w:rPr>
                <w:color w:val="000000"/>
                <w:kern w:val="0"/>
                <w:sz w:val="24"/>
              </w:rPr>
              <w:t>、CO、O</w:t>
            </w:r>
            <w:r>
              <w:rPr>
                <w:color w:val="000000"/>
                <w:kern w:val="0"/>
                <w:sz w:val="16"/>
                <w:szCs w:val="16"/>
              </w:rPr>
              <w:t>3</w:t>
            </w:r>
            <w:r>
              <w:rPr>
                <w:color w:val="000000"/>
                <w:kern w:val="0"/>
                <w:sz w:val="24"/>
              </w:rPr>
              <w:t>）引用《</w:t>
            </w:r>
            <w:r>
              <w:rPr>
                <w:sz w:val="24"/>
              </w:rPr>
              <w:t>20</w:t>
            </w:r>
            <w:r>
              <w:rPr>
                <w:rFonts w:hint="eastAsia"/>
                <w:sz w:val="24"/>
                <w:lang w:val="en-US" w:eastAsia="zh-CN"/>
              </w:rPr>
              <w:t>20</w:t>
            </w:r>
            <w:r>
              <w:rPr>
                <w:sz w:val="24"/>
              </w:rPr>
              <w:t>年度邯郸市环境质量公报</w:t>
            </w:r>
            <w:r>
              <w:rPr>
                <w:color w:val="000000"/>
                <w:kern w:val="0"/>
                <w:sz w:val="24"/>
              </w:rPr>
              <w:t>》</w:t>
            </w:r>
            <w:r>
              <w:rPr>
                <w:rFonts w:hint="eastAsia"/>
                <w:kern w:val="0"/>
                <w:sz w:val="24"/>
              </w:rPr>
              <w:t>。</w:t>
            </w:r>
          </w:p>
          <w:p>
            <w:pPr>
              <w:ind w:firstLine="480" w:firstLineChars="200"/>
              <w:rPr>
                <w:sz w:val="24"/>
                <w:szCs w:val="32"/>
              </w:rPr>
            </w:pPr>
            <w:r>
              <w:rPr>
                <w:rFonts w:hint="eastAsia"/>
                <w:sz w:val="24"/>
                <w:szCs w:val="32"/>
              </w:rPr>
              <w:t>（1）根据中国环境影响评价网环境空气质量模型技术支持服务系统达标判定，邯郸市20</w:t>
            </w:r>
            <w:r>
              <w:rPr>
                <w:rFonts w:hint="eastAsia"/>
                <w:sz w:val="24"/>
                <w:szCs w:val="32"/>
                <w:lang w:val="en-US" w:eastAsia="zh-CN"/>
              </w:rPr>
              <w:t>20</w:t>
            </w:r>
            <w:r>
              <w:rPr>
                <w:rFonts w:hint="eastAsia"/>
                <w:sz w:val="24"/>
                <w:szCs w:val="32"/>
              </w:rPr>
              <w:t>年SO</w:t>
            </w:r>
            <w:r>
              <w:rPr>
                <w:rFonts w:hint="eastAsia"/>
                <w:sz w:val="24"/>
                <w:szCs w:val="32"/>
                <w:vertAlign w:val="subscript"/>
              </w:rPr>
              <w:t>2</w:t>
            </w:r>
            <w:r>
              <w:rPr>
                <w:rFonts w:hint="eastAsia"/>
                <w:sz w:val="24"/>
                <w:szCs w:val="32"/>
              </w:rPr>
              <w:t>、NO</w:t>
            </w:r>
            <w:r>
              <w:rPr>
                <w:rFonts w:hint="eastAsia"/>
                <w:sz w:val="24"/>
                <w:szCs w:val="32"/>
                <w:vertAlign w:val="subscript"/>
              </w:rPr>
              <w:t>2</w:t>
            </w:r>
            <w:r>
              <w:rPr>
                <w:rFonts w:hint="eastAsia"/>
                <w:sz w:val="24"/>
                <w:szCs w:val="32"/>
              </w:rPr>
              <w:t>、PM</w:t>
            </w:r>
            <w:r>
              <w:rPr>
                <w:rFonts w:hint="eastAsia"/>
                <w:sz w:val="24"/>
                <w:szCs w:val="32"/>
                <w:vertAlign w:val="subscript"/>
              </w:rPr>
              <w:t>10</w:t>
            </w:r>
            <w:r>
              <w:rPr>
                <w:rFonts w:hint="eastAsia"/>
                <w:sz w:val="24"/>
                <w:szCs w:val="32"/>
              </w:rPr>
              <w:t>、PM</w:t>
            </w:r>
            <w:r>
              <w:rPr>
                <w:rFonts w:hint="eastAsia"/>
                <w:sz w:val="24"/>
                <w:szCs w:val="32"/>
                <w:vertAlign w:val="subscript"/>
              </w:rPr>
              <w:t>2.5</w:t>
            </w:r>
            <w:r>
              <w:rPr>
                <w:rFonts w:hint="eastAsia"/>
                <w:sz w:val="24"/>
                <w:szCs w:val="32"/>
              </w:rPr>
              <w:t>年均浓度为</w:t>
            </w:r>
            <w:r>
              <w:rPr>
                <w:rFonts w:hint="eastAsia"/>
                <w:sz w:val="24"/>
                <w:szCs w:val="32"/>
                <w:lang w:val="en-US" w:eastAsia="zh-CN"/>
              </w:rPr>
              <w:t>14</w:t>
            </w:r>
            <w:r>
              <w:rPr>
                <w:sz w:val="24"/>
                <w:szCs w:val="32"/>
              </w:rPr>
              <w:t>μg</w:t>
            </w:r>
            <w:r>
              <w:rPr>
                <w:rFonts w:hint="eastAsia"/>
                <w:sz w:val="24"/>
                <w:szCs w:val="32"/>
              </w:rPr>
              <w:t>/m</w:t>
            </w:r>
            <w:r>
              <w:rPr>
                <w:rFonts w:hint="eastAsia"/>
                <w:sz w:val="24"/>
                <w:szCs w:val="32"/>
                <w:vertAlign w:val="superscript"/>
              </w:rPr>
              <w:t>3</w:t>
            </w:r>
            <w:r>
              <w:rPr>
                <w:rFonts w:hint="eastAsia"/>
                <w:sz w:val="24"/>
                <w:szCs w:val="32"/>
              </w:rPr>
              <w:t>、</w:t>
            </w:r>
            <w:r>
              <w:rPr>
                <w:rFonts w:hint="eastAsia"/>
                <w:sz w:val="24"/>
                <w:szCs w:val="32"/>
                <w:lang w:val="en-US" w:eastAsia="zh-CN"/>
              </w:rPr>
              <w:t>35</w:t>
            </w:r>
            <w:r>
              <w:rPr>
                <w:sz w:val="24"/>
                <w:szCs w:val="32"/>
              </w:rPr>
              <w:t>μg</w:t>
            </w:r>
            <w:r>
              <w:rPr>
                <w:rFonts w:hint="eastAsia"/>
                <w:sz w:val="24"/>
                <w:szCs w:val="32"/>
              </w:rPr>
              <w:t>/m</w:t>
            </w:r>
            <w:r>
              <w:rPr>
                <w:rFonts w:hint="eastAsia"/>
                <w:sz w:val="24"/>
                <w:szCs w:val="32"/>
                <w:vertAlign w:val="superscript"/>
              </w:rPr>
              <w:t>3</w:t>
            </w:r>
            <w:r>
              <w:rPr>
                <w:rFonts w:hint="eastAsia"/>
                <w:sz w:val="24"/>
                <w:szCs w:val="32"/>
              </w:rPr>
              <w:t>、</w:t>
            </w:r>
            <w:r>
              <w:rPr>
                <w:rFonts w:hint="eastAsia"/>
                <w:sz w:val="24"/>
                <w:szCs w:val="32"/>
                <w:lang w:val="en-US" w:eastAsia="zh-CN"/>
              </w:rPr>
              <w:t>102</w:t>
            </w:r>
            <w:r>
              <w:rPr>
                <w:sz w:val="24"/>
                <w:szCs w:val="32"/>
              </w:rPr>
              <w:t>μg</w:t>
            </w:r>
            <w:r>
              <w:rPr>
                <w:rFonts w:hint="eastAsia"/>
                <w:sz w:val="24"/>
                <w:szCs w:val="32"/>
              </w:rPr>
              <w:t>/m</w:t>
            </w:r>
            <w:r>
              <w:rPr>
                <w:rFonts w:hint="eastAsia"/>
                <w:sz w:val="24"/>
                <w:szCs w:val="32"/>
                <w:vertAlign w:val="superscript"/>
              </w:rPr>
              <w:t>3</w:t>
            </w:r>
            <w:r>
              <w:rPr>
                <w:rFonts w:hint="eastAsia"/>
                <w:sz w:val="24"/>
                <w:szCs w:val="32"/>
              </w:rPr>
              <w:t>、</w:t>
            </w:r>
            <w:r>
              <w:rPr>
                <w:rFonts w:hint="eastAsia"/>
                <w:sz w:val="24"/>
                <w:szCs w:val="32"/>
                <w:lang w:val="en-US" w:eastAsia="zh-CN"/>
              </w:rPr>
              <w:t>57</w:t>
            </w:r>
            <w:r>
              <w:rPr>
                <w:sz w:val="24"/>
                <w:szCs w:val="32"/>
              </w:rPr>
              <w:t>μg</w:t>
            </w:r>
            <w:r>
              <w:rPr>
                <w:rFonts w:hint="eastAsia"/>
                <w:sz w:val="24"/>
                <w:szCs w:val="32"/>
              </w:rPr>
              <w:t>/m</w:t>
            </w:r>
            <w:r>
              <w:rPr>
                <w:rFonts w:hint="eastAsia"/>
                <w:sz w:val="24"/>
                <w:szCs w:val="32"/>
                <w:vertAlign w:val="superscript"/>
              </w:rPr>
              <w:t>3</w:t>
            </w:r>
            <w:r>
              <w:rPr>
                <w:rFonts w:hint="eastAsia"/>
                <w:color w:val="333333"/>
                <w:sz w:val="19"/>
                <w:szCs w:val="19"/>
                <w:shd w:val="clear" w:color="auto" w:fill="FFFFFF"/>
              </w:rPr>
              <w:t>；</w:t>
            </w:r>
            <w:r>
              <w:rPr>
                <w:sz w:val="24"/>
              </w:rPr>
              <w:t>CO 24h平均第95百分位数</w:t>
            </w:r>
            <w:r>
              <w:rPr>
                <w:rFonts w:hint="eastAsia"/>
                <w:sz w:val="24"/>
              </w:rPr>
              <w:t>为2.</w:t>
            </w:r>
            <w:r>
              <w:rPr>
                <w:rFonts w:hint="eastAsia"/>
                <w:sz w:val="24"/>
                <w:lang w:val="en-US" w:eastAsia="zh-CN"/>
              </w:rPr>
              <w:t>1</w:t>
            </w:r>
            <w:r>
              <w:rPr>
                <w:rFonts w:hint="eastAsia"/>
                <w:sz w:val="24"/>
              </w:rPr>
              <w:t>mg/</w:t>
            </w:r>
            <w:r>
              <w:rPr>
                <w:rFonts w:hint="eastAsia"/>
                <w:sz w:val="24"/>
                <w:szCs w:val="32"/>
              </w:rPr>
              <w:t>m</w:t>
            </w:r>
            <w:r>
              <w:rPr>
                <w:rFonts w:hint="eastAsia"/>
                <w:sz w:val="24"/>
                <w:szCs w:val="32"/>
                <w:vertAlign w:val="superscript"/>
              </w:rPr>
              <w:t>3</w:t>
            </w:r>
            <w:r>
              <w:rPr>
                <w:rFonts w:hint="eastAsia"/>
                <w:sz w:val="24"/>
              </w:rPr>
              <w:t>，O</w:t>
            </w:r>
            <w:r>
              <w:rPr>
                <w:rFonts w:hint="eastAsia"/>
                <w:sz w:val="24"/>
                <w:vertAlign w:val="subscript"/>
              </w:rPr>
              <w:t>3</w:t>
            </w:r>
            <w:r>
              <w:rPr>
                <w:rFonts w:hint="eastAsia"/>
                <w:sz w:val="24"/>
              </w:rPr>
              <w:t>日最大8小时平均第90百分位数为</w:t>
            </w:r>
            <w:r>
              <w:rPr>
                <w:rFonts w:hint="eastAsia"/>
                <w:sz w:val="24"/>
                <w:lang w:val="en-US" w:eastAsia="zh-CN"/>
              </w:rPr>
              <w:t>182</w:t>
            </w:r>
            <w:r>
              <w:rPr>
                <w:sz w:val="24"/>
                <w:szCs w:val="32"/>
              </w:rPr>
              <w:t>μg</w:t>
            </w:r>
            <w:r>
              <w:rPr>
                <w:rFonts w:hint="eastAsia"/>
                <w:sz w:val="24"/>
                <w:szCs w:val="32"/>
              </w:rPr>
              <w:t>/m</w:t>
            </w:r>
            <w:r>
              <w:rPr>
                <w:rFonts w:hint="eastAsia"/>
                <w:sz w:val="24"/>
                <w:szCs w:val="32"/>
                <w:vertAlign w:val="superscript"/>
              </w:rPr>
              <w:t>3</w:t>
            </w:r>
            <w:r>
              <w:rPr>
                <w:rFonts w:hint="eastAsia"/>
                <w:sz w:val="24"/>
              </w:rPr>
              <w:t>；超过《环境空气质量标准》（GB3095-2012）中二级标准限值的污染物为PM</w:t>
            </w:r>
            <w:r>
              <w:rPr>
                <w:rFonts w:hint="eastAsia"/>
                <w:sz w:val="24"/>
                <w:vertAlign w:val="subscript"/>
              </w:rPr>
              <w:t>10</w:t>
            </w:r>
            <w:r>
              <w:rPr>
                <w:rFonts w:hint="eastAsia"/>
                <w:sz w:val="24"/>
              </w:rPr>
              <w:t>、O</w:t>
            </w:r>
            <w:r>
              <w:rPr>
                <w:rFonts w:hint="eastAsia"/>
                <w:sz w:val="24"/>
                <w:vertAlign w:val="subscript"/>
              </w:rPr>
              <w:t>3</w:t>
            </w:r>
            <w:r>
              <w:rPr>
                <w:rFonts w:hint="eastAsia"/>
                <w:sz w:val="24"/>
              </w:rPr>
              <w:t>、PM</w:t>
            </w:r>
            <w:r>
              <w:rPr>
                <w:rFonts w:hint="eastAsia"/>
                <w:sz w:val="24"/>
                <w:vertAlign w:val="subscript"/>
              </w:rPr>
              <w:t>2.5</w:t>
            </w:r>
            <w:r>
              <w:rPr>
                <w:sz w:val="24"/>
                <w:szCs w:val="32"/>
              </w:rPr>
              <w:t>。</w:t>
            </w:r>
          </w:p>
          <w:p>
            <w:pPr>
              <w:ind w:firstLine="480" w:firstLineChars="200"/>
              <w:rPr>
                <w:rFonts w:hint="eastAsia"/>
                <w:sz w:val="24"/>
                <w:szCs w:val="32"/>
              </w:rPr>
            </w:pPr>
            <w:r>
              <w:rPr>
                <w:rFonts w:hint="eastAsia"/>
                <w:sz w:val="24"/>
                <w:szCs w:val="32"/>
              </w:rPr>
              <w:t>环境空气质量数据筛选结果</w:t>
            </w:r>
          </w:p>
          <w:p>
            <w:pPr>
              <w:jc w:val="center"/>
              <w:rPr>
                <w:rFonts w:hint="eastAsia"/>
                <w:b/>
                <w:bCs/>
                <w:sz w:val="24"/>
                <w:szCs w:val="32"/>
              </w:rPr>
            </w:pPr>
            <w:r>
              <w:rPr>
                <w:b/>
                <w:bCs/>
                <w:sz w:val="21"/>
                <w:szCs w:val="21"/>
              </w:rPr>
              <w:t>表</w:t>
            </w:r>
            <w:r>
              <w:rPr>
                <w:rFonts w:hint="eastAsia"/>
                <w:b/>
                <w:bCs/>
                <w:sz w:val="21"/>
                <w:szCs w:val="21"/>
              </w:rPr>
              <w:t>11 达标区判定</w:t>
            </w:r>
          </w:p>
          <w:tbl>
            <w:tblPr>
              <w:tblStyle w:val="2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1478"/>
              <w:gridCol w:w="986"/>
              <w:gridCol w:w="985"/>
              <w:gridCol w:w="744"/>
              <w:gridCol w:w="1482"/>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443" w:type="pct"/>
                  <w:vAlign w:val="center"/>
                </w:tcPr>
                <w:p>
                  <w:pPr>
                    <w:adjustRightInd w:val="0"/>
                    <w:snapToGrid w:val="0"/>
                    <w:jc w:val="center"/>
                    <w:rPr>
                      <w:b/>
                      <w:szCs w:val="21"/>
                    </w:rPr>
                  </w:pPr>
                  <w:r>
                    <w:rPr>
                      <w:rFonts w:hint="eastAsia"/>
                      <w:b/>
                      <w:szCs w:val="21"/>
                    </w:rPr>
                    <w:t>序号</w:t>
                  </w:r>
                </w:p>
              </w:tc>
              <w:tc>
                <w:tcPr>
                  <w:tcW w:w="879" w:type="pct"/>
                  <w:vAlign w:val="center"/>
                </w:tcPr>
                <w:p>
                  <w:pPr>
                    <w:adjustRightInd w:val="0"/>
                    <w:snapToGrid w:val="0"/>
                    <w:jc w:val="center"/>
                    <w:rPr>
                      <w:rFonts w:hint="eastAsia"/>
                      <w:b/>
                      <w:szCs w:val="21"/>
                    </w:rPr>
                  </w:pPr>
                  <w:r>
                    <w:rPr>
                      <w:rFonts w:hint="eastAsia"/>
                      <w:b/>
                      <w:szCs w:val="21"/>
                    </w:rPr>
                    <w:t>文件类型</w:t>
                  </w:r>
                </w:p>
              </w:tc>
              <w:tc>
                <w:tcPr>
                  <w:tcW w:w="587" w:type="pct"/>
                  <w:vAlign w:val="center"/>
                </w:tcPr>
                <w:p>
                  <w:pPr>
                    <w:adjustRightInd w:val="0"/>
                    <w:snapToGrid w:val="0"/>
                    <w:jc w:val="center"/>
                    <w:rPr>
                      <w:rFonts w:hint="eastAsia"/>
                      <w:b/>
                      <w:szCs w:val="21"/>
                    </w:rPr>
                  </w:pPr>
                  <w:r>
                    <w:rPr>
                      <w:rFonts w:hint="eastAsia"/>
                      <w:b/>
                      <w:szCs w:val="21"/>
                    </w:rPr>
                    <w:t>省份</w:t>
                  </w:r>
                </w:p>
              </w:tc>
              <w:tc>
                <w:tcPr>
                  <w:tcW w:w="587" w:type="pct"/>
                  <w:vAlign w:val="center"/>
                </w:tcPr>
                <w:p>
                  <w:pPr>
                    <w:adjustRightInd w:val="0"/>
                    <w:snapToGrid w:val="0"/>
                    <w:jc w:val="center"/>
                    <w:rPr>
                      <w:rFonts w:hint="eastAsia"/>
                      <w:b/>
                      <w:szCs w:val="21"/>
                    </w:rPr>
                  </w:pPr>
                  <w:r>
                    <w:rPr>
                      <w:rFonts w:hint="eastAsia"/>
                      <w:b/>
                      <w:szCs w:val="21"/>
                    </w:rPr>
                    <w:t>市</w:t>
                  </w:r>
                </w:p>
              </w:tc>
              <w:tc>
                <w:tcPr>
                  <w:tcW w:w="443" w:type="pct"/>
                  <w:vAlign w:val="center"/>
                </w:tcPr>
                <w:p>
                  <w:pPr>
                    <w:adjustRightInd w:val="0"/>
                    <w:snapToGrid w:val="0"/>
                    <w:jc w:val="center"/>
                    <w:rPr>
                      <w:rFonts w:hint="eastAsia"/>
                      <w:b/>
                      <w:szCs w:val="21"/>
                    </w:rPr>
                  </w:pPr>
                  <w:r>
                    <w:rPr>
                      <w:rFonts w:hint="eastAsia"/>
                      <w:b/>
                      <w:szCs w:val="21"/>
                    </w:rPr>
                    <w:t>年份</w:t>
                  </w:r>
                </w:p>
              </w:tc>
              <w:tc>
                <w:tcPr>
                  <w:tcW w:w="882" w:type="pct"/>
                  <w:vAlign w:val="center"/>
                </w:tcPr>
                <w:p>
                  <w:pPr>
                    <w:adjustRightInd w:val="0"/>
                    <w:snapToGrid w:val="0"/>
                    <w:jc w:val="center"/>
                    <w:rPr>
                      <w:rFonts w:hint="eastAsia"/>
                      <w:b/>
                      <w:szCs w:val="21"/>
                    </w:rPr>
                  </w:pPr>
                  <w:r>
                    <w:rPr>
                      <w:rFonts w:hint="eastAsia"/>
                      <w:b/>
                      <w:szCs w:val="21"/>
                    </w:rPr>
                    <w:t>国控点数量</w:t>
                  </w:r>
                </w:p>
              </w:tc>
              <w:tc>
                <w:tcPr>
                  <w:tcW w:w="1175" w:type="pct"/>
                  <w:vAlign w:val="center"/>
                </w:tcPr>
                <w:p>
                  <w:pPr>
                    <w:adjustRightInd w:val="0"/>
                    <w:snapToGrid w:val="0"/>
                    <w:jc w:val="center"/>
                    <w:rPr>
                      <w:rFonts w:hint="eastAsia"/>
                      <w:b/>
                      <w:szCs w:val="21"/>
                    </w:rPr>
                  </w:pPr>
                  <w:r>
                    <w:rPr>
                      <w:rFonts w:hint="eastAsia"/>
                      <w:b/>
                      <w:szCs w:val="21"/>
                    </w:rPr>
                    <w:t>判定结果及详情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43" w:type="pct"/>
                  <w:vAlign w:val="center"/>
                </w:tcPr>
                <w:p>
                  <w:pPr>
                    <w:adjustRightInd w:val="0"/>
                    <w:snapToGrid w:val="0"/>
                    <w:jc w:val="center"/>
                    <w:rPr>
                      <w:rFonts w:hint="eastAsia"/>
                      <w:szCs w:val="21"/>
                    </w:rPr>
                  </w:pPr>
                  <w:r>
                    <w:rPr>
                      <w:rFonts w:hint="eastAsia"/>
                      <w:szCs w:val="21"/>
                    </w:rPr>
                    <w:t>1</w:t>
                  </w:r>
                </w:p>
              </w:tc>
              <w:tc>
                <w:tcPr>
                  <w:tcW w:w="879" w:type="pct"/>
                  <w:vAlign w:val="center"/>
                </w:tcPr>
                <w:p>
                  <w:pPr>
                    <w:adjustRightInd w:val="0"/>
                    <w:snapToGrid w:val="0"/>
                    <w:jc w:val="center"/>
                    <w:rPr>
                      <w:rFonts w:hint="eastAsia"/>
                      <w:szCs w:val="21"/>
                    </w:rPr>
                  </w:pPr>
                  <w:r>
                    <w:rPr>
                      <w:rFonts w:hint="eastAsia"/>
                      <w:szCs w:val="21"/>
                    </w:rPr>
                    <w:t>达标区判定</w:t>
                  </w:r>
                </w:p>
              </w:tc>
              <w:tc>
                <w:tcPr>
                  <w:tcW w:w="587" w:type="pct"/>
                  <w:vAlign w:val="center"/>
                </w:tcPr>
                <w:p>
                  <w:pPr>
                    <w:adjustRightInd w:val="0"/>
                    <w:snapToGrid w:val="0"/>
                    <w:jc w:val="center"/>
                    <w:rPr>
                      <w:rFonts w:hint="eastAsia"/>
                      <w:szCs w:val="21"/>
                    </w:rPr>
                  </w:pPr>
                  <w:r>
                    <w:rPr>
                      <w:rFonts w:hint="eastAsia"/>
                      <w:szCs w:val="21"/>
                    </w:rPr>
                    <w:t>河北省</w:t>
                  </w:r>
                </w:p>
              </w:tc>
              <w:tc>
                <w:tcPr>
                  <w:tcW w:w="587" w:type="pct"/>
                  <w:vAlign w:val="center"/>
                </w:tcPr>
                <w:p>
                  <w:pPr>
                    <w:adjustRightInd w:val="0"/>
                    <w:snapToGrid w:val="0"/>
                    <w:jc w:val="center"/>
                    <w:rPr>
                      <w:rFonts w:hint="eastAsia"/>
                      <w:szCs w:val="21"/>
                    </w:rPr>
                  </w:pPr>
                  <w:r>
                    <w:rPr>
                      <w:rFonts w:hint="eastAsia"/>
                      <w:szCs w:val="21"/>
                    </w:rPr>
                    <w:t>邯郸市</w:t>
                  </w:r>
                </w:p>
              </w:tc>
              <w:tc>
                <w:tcPr>
                  <w:tcW w:w="443" w:type="pct"/>
                  <w:vAlign w:val="center"/>
                </w:tcPr>
                <w:p>
                  <w:pPr>
                    <w:adjustRightInd w:val="0"/>
                    <w:snapToGrid w:val="0"/>
                    <w:jc w:val="center"/>
                    <w:rPr>
                      <w:rFonts w:hint="default" w:eastAsia="宋体"/>
                      <w:szCs w:val="21"/>
                      <w:lang w:val="en-US" w:eastAsia="zh-CN"/>
                    </w:rPr>
                  </w:pPr>
                  <w:r>
                    <w:rPr>
                      <w:rFonts w:hint="eastAsia"/>
                      <w:szCs w:val="21"/>
                    </w:rPr>
                    <w:t>20</w:t>
                  </w:r>
                  <w:r>
                    <w:rPr>
                      <w:rFonts w:hint="eastAsia"/>
                      <w:szCs w:val="21"/>
                      <w:lang w:val="en-US" w:eastAsia="zh-CN"/>
                    </w:rPr>
                    <w:t>20</w:t>
                  </w:r>
                </w:p>
              </w:tc>
              <w:tc>
                <w:tcPr>
                  <w:tcW w:w="882" w:type="pct"/>
                  <w:vAlign w:val="center"/>
                </w:tcPr>
                <w:p>
                  <w:pPr>
                    <w:adjustRightInd w:val="0"/>
                    <w:snapToGrid w:val="0"/>
                    <w:jc w:val="center"/>
                    <w:rPr>
                      <w:rFonts w:hint="eastAsia"/>
                      <w:szCs w:val="21"/>
                    </w:rPr>
                  </w:pPr>
                  <w:r>
                    <w:rPr>
                      <w:rFonts w:hint="eastAsia"/>
                      <w:szCs w:val="21"/>
                    </w:rPr>
                    <w:t>4</w:t>
                  </w:r>
                </w:p>
              </w:tc>
              <w:tc>
                <w:tcPr>
                  <w:tcW w:w="1175" w:type="pct"/>
                  <w:vAlign w:val="center"/>
                </w:tcPr>
                <w:p>
                  <w:pPr>
                    <w:adjustRightInd w:val="0"/>
                    <w:snapToGrid w:val="0"/>
                    <w:jc w:val="center"/>
                    <w:rPr>
                      <w:rFonts w:hint="eastAsia"/>
                      <w:szCs w:val="21"/>
                    </w:rPr>
                  </w:pPr>
                  <w:r>
                    <w:rPr>
                      <w:rFonts w:hint="eastAsia"/>
                      <w:szCs w:val="21"/>
                    </w:rPr>
                    <w:t>不达标区</w:t>
                  </w:r>
                </w:p>
              </w:tc>
            </w:tr>
          </w:tbl>
          <w:p>
            <w:pPr>
              <w:adjustRightInd w:val="0"/>
              <w:snapToGrid w:val="0"/>
              <w:ind w:firstLine="480" w:firstLineChars="200"/>
              <w:rPr>
                <w:sz w:val="24"/>
              </w:rPr>
            </w:pPr>
            <w:r>
              <w:rPr>
                <w:sz w:val="24"/>
              </w:rPr>
              <w:t>根据环境质量公报的结果，项目所在区域为不达标区，SO</w:t>
            </w:r>
            <w:r>
              <w:rPr>
                <w:sz w:val="24"/>
                <w:vertAlign w:val="subscript"/>
              </w:rPr>
              <w:t>2</w:t>
            </w:r>
            <w:r>
              <w:rPr>
                <w:sz w:val="24"/>
              </w:rPr>
              <w:t>年评价指标、NO</w:t>
            </w:r>
            <w:r>
              <w:rPr>
                <w:sz w:val="24"/>
                <w:vertAlign w:val="subscript"/>
              </w:rPr>
              <w:t>2</w:t>
            </w:r>
            <w:r>
              <w:rPr>
                <w:sz w:val="24"/>
              </w:rPr>
              <w:t>年评价指标、CO 24h平均第95百分位数满足《环境空气质量标准》（GB3095-2012）及其修改单中二级标准要求。PM</w:t>
            </w:r>
            <w:r>
              <w:rPr>
                <w:sz w:val="24"/>
                <w:vertAlign w:val="subscript"/>
              </w:rPr>
              <w:t>10</w:t>
            </w:r>
            <w:r>
              <w:rPr>
                <w:sz w:val="24"/>
              </w:rPr>
              <w:t>、PM</w:t>
            </w:r>
            <w:r>
              <w:rPr>
                <w:sz w:val="24"/>
                <w:vertAlign w:val="subscript"/>
              </w:rPr>
              <w:t>2.5</w:t>
            </w:r>
            <w:r>
              <w:rPr>
                <w:sz w:val="24"/>
              </w:rPr>
              <w:t>年平均浓度、O</w:t>
            </w:r>
            <w:r>
              <w:rPr>
                <w:sz w:val="24"/>
                <w:vertAlign w:val="subscript"/>
              </w:rPr>
              <w:t>3</w:t>
            </w:r>
            <w:r>
              <w:rPr>
                <w:sz w:val="24"/>
              </w:rPr>
              <w:t>日最大8h滑动平均质量浓度第90百分位数不满足《环境空气质量标准》（GB3095-2012）及其修改单中二级标准要求。</w:t>
            </w:r>
          </w:p>
          <w:p>
            <w:pPr>
              <w:adjustRightInd w:val="0"/>
              <w:snapToGrid w:val="0"/>
              <w:ind w:firstLine="480" w:firstLineChars="200"/>
              <w:rPr>
                <w:rFonts w:hint="eastAsia"/>
                <w:sz w:val="24"/>
              </w:rPr>
            </w:pPr>
            <w:r>
              <w:rPr>
                <w:rFonts w:hint="eastAsia"/>
                <w:sz w:val="24"/>
              </w:rPr>
              <w:t>本项目基本污染物引用《20</w:t>
            </w:r>
            <w:r>
              <w:rPr>
                <w:rFonts w:hint="eastAsia"/>
                <w:sz w:val="24"/>
                <w:lang w:val="en-US" w:eastAsia="zh-CN"/>
              </w:rPr>
              <w:t>20</w:t>
            </w:r>
            <w:r>
              <w:rPr>
                <w:rFonts w:hint="eastAsia"/>
                <w:sz w:val="24"/>
              </w:rPr>
              <w:t>年度邯郸市环境质量公报》</w:t>
            </w:r>
            <w:r>
              <w:rPr>
                <w:sz w:val="24"/>
              </w:rPr>
              <w:t>。根据《环境空气质量评价技术规范（试行）》（HJ663-2013），统计分析SO</w:t>
            </w:r>
            <w:r>
              <w:rPr>
                <w:sz w:val="24"/>
                <w:vertAlign w:val="subscript"/>
              </w:rPr>
              <w:t>2</w:t>
            </w:r>
            <w:r>
              <w:rPr>
                <w:sz w:val="24"/>
              </w:rPr>
              <w:t>、NO</w:t>
            </w:r>
            <w:r>
              <w:rPr>
                <w:sz w:val="24"/>
                <w:vertAlign w:val="subscript"/>
              </w:rPr>
              <w:t>2</w:t>
            </w:r>
            <w:r>
              <w:rPr>
                <w:sz w:val="24"/>
              </w:rPr>
              <w:t>、PM</w:t>
            </w:r>
            <w:r>
              <w:rPr>
                <w:sz w:val="24"/>
                <w:vertAlign w:val="subscript"/>
              </w:rPr>
              <w:t>10</w:t>
            </w:r>
            <w:r>
              <w:rPr>
                <w:sz w:val="24"/>
              </w:rPr>
              <w:t>、PM</w:t>
            </w:r>
            <w:r>
              <w:rPr>
                <w:sz w:val="24"/>
                <w:vertAlign w:val="subscript"/>
              </w:rPr>
              <w:t>2.5</w:t>
            </w:r>
            <w:r>
              <w:rPr>
                <w:sz w:val="24"/>
              </w:rPr>
              <w:t>、CO和O</w:t>
            </w:r>
            <w:r>
              <w:rPr>
                <w:sz w:val="24"/>
                <w:vertAlign w:val="subscript"/>
              </w:rPr>
              <w:t>3</w:t>
            </w:r>
            <w:r>
              <w:rPr>
                <w:sz w:val="24"/>
              </w:rPr>
              <w:t>六项基本污染物20</w:t>
            </w:r>
            <w:r>
              <w:rPr>
                <w:rFonts w:hint="eastAsia"/>
                <w:sz w:val="24"/>
                <w:lang w:val="en-US" w:eastAsia="zh-CN"/>
              </w:rPr>
              <w:t>20</w:t>
            </w:r>
            <w:r>
              <w:rPr>
                <w:sz w:val="24"/>
              </w:rPr>
              <w:t>年连续1年的监测数据，判定环境质量达标情况</w:t>
            </w:r>
            <w:r>
              <w:rPr>
                <w:rFonts w:hint="eastAsia"/>
                <w:sz w:val="24"/>
              </w:rPr>
              <w:t>。</w:t>
            </w:r>
          </w:p>
          <w:p>
            <w:pPr>
              <w:adjustRightInd w:val="0"/>
              <w:snapToGrid w:val="0"/>
              <w:jc w:val="center"/>
              <w:rPr>
                <w:rFonts w:hint="eastAsia"/>
                <w:sz w:val="24"/>
                <w:szCs w:val="32"/>
              </w:rPr>
            </w:pPr>
            <w:r>
              <w:rPr>
                <w:rFonts w:hint="eastAsia"/>
                <w:b/>
                <w:bCs/>
                <w:sz w:val="21"/>
                <w:szCs w:val="21"/>
              </w:rPr>
              <w:t>表12 区域环境空气质量现状评价表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2305"/>
              <w:gridCol w:w="1280"/>
              <w:gridCol w:w="1296"/>
              <w:gridCol w:w="1330"/>
              <w:gridCol w:w="1033"/>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686" w:type="pct"/>
                  <w:vAlign w:val="center"/>
                </w:tcPr>
                <w:p>
                  <w:pPr>
                    <w:adjustRightInd w:val="0"/>
                    <w:snapToGrid w:val="0"/>
                    <w:spacing w:line="240" w:lineRule="auto"/>
                    <w:ind w:firstLine="211" w:firstLineChars="100"/>
                    <w:rPr>
                      <w:b/>
                      <w:szCs w:val="21"/>
                    </w:rPr>
                  </w:pPr>
                  <w:r>
                    <w:rPr>
                      <w:b/>
                      <w:szCs w:val="21"/>
                    </w:rPr>
                    <w:t>污染物</w:t>
                  </w:r>
                </w:p>
              </w:tc>
              <w:tc>
                <w:tcPr>
                  <w:tcW w:w="1372" w:type="pct"/>
                  <w:vAlign w:val="center"/>
                </w:tcPr>
                <w:p>
                  <w:pPr>
                    <w:adjustRightInd w:val="0"/>
                    <w:snapToGrid w:val="0"/>
                    <w:spacing w:line="240" w:lineRule="auto"/>
                    <w:jc w:val="center"/>
                    <w:rPr>
                      <w:b/>
                      <w:szCs w:val="21"/>
                    </w:rPr>
                  </w:pPr>
                  <w:r>
                    <w:rPr>
                      <w:b/>
                      <w:szCs w:val="21"/>
                    </w:rPr>
                    <w:t>年评价指标</w:t>
                  </w:r>
                </w:p>
              </w:tc>
              <w:tc>
                <w:tcPr>
                  <w:tcW w:w="761" w:type="pct"/>
                  <w:vAlign w:val="center"/>
                </w:tcPr>
                <w:p>
                  <w:pPr>
                    <w:adjustRightInd w:val="0"/>
                    <w:snapToGrid w:val="0"/>
                    <w:spacing w:line="240" w:lineRule="auto"/>
                    <w:jc w:val="center"/>
                    <w:rPr>
                      <w:b/>
                      <w:szCs w:val="21"/>
                    </w:rPr>
                  </w:pPr>
                  <w:r>
                    <w:rPr>
                      <w:b/>
                      <w:szCs w:val="21"/>
                    </w:rPr>
                    <w:t>现状浓度</w:t>
                  </w:r>
                </w:p>
                <w:p>
                  <w:pPr>
                    <w:adjustRightInd w:val="0"/>
                    <w:snapToGrid w:val="0"/>
                    <w:spacing w:line="240" w:lineRule="auto"/>
                    <w:jc w:val="center"/>
                    <w:rPr>
                      <w:b/>
                      <w:szCs w:val="21"/>
                    </w:rPr>
                  </w:pPr>
                  <w:r>
                    <w:rPr>
                      <w:b/>
                      <w:szCs w:val="21"/>
                    </w:rPr>
                    <w:t>μg/m</w:t>
                  </w:r>
                  <w:r>
                    <w:rPr>
                      <w:b/>
                      <w:szCs w:val="21"/>
                      <w:vertAlign w:val="superscript"/>
                    </w:rPr>
                    <w:t>3</w:t>
                  </w:r>
                </w:p>
              </w:tc>
              <w:tc>
                <w:tcPr>
                  <w:tcW w:w="771" w:type="pct"/>
                  <w:vAlign w:val="center"/>
                </w:tcPr>
                <w:p>
                  <w:pPr>
                    <w:adjustRightInd w:val="0"/>
                    <w:snapToGrid w:val="0"/>
                    <w:spacing w:line="240" w:lineRule="auto"/>
                    <w:jc w:val="center"/>
                    <w:rPr>
                      <w:b/>
                      <w:szCs w:val="21"/>
                    </w:rPr>
                  </w:pPr>
                  <w:r>
                    <w:rPr>
                      <w:b/>
                      <w:szCs w:val="21"/>
                    </w:rPr>
                    <w:t>标准限值</w:t>
                  </w:r>
                </w:p>
                <w:p>
                  <w:pPr>
                    <w:adjustRightInd w:val="0"/>
                    <w:snapToGrid w:val="0"/>
                    <w:spacing w:line="240" w:lineRule="auto"/>
                    <w:jc w:val="center"/>
                    <w:rPr>
                      <w:b/>
                      <w:szCs w:val="21"/>
                    </w:rPr>
                  </w:pPr>
                  <w:r>
                    <w:rPr>
                      <w:b/>
                      <w:szCs w:val="21"/>
                    </w:rPr>
                    <w:t>μg/m</w:t>
                  </w:r>
                  <w:r>
                    <w:rPr>
                      <w:b/>
                      <w:szCs w:val="21"/>
                      <w:vertAlign w:val="superscript"/>
                    </w:rPr>
                    <w:t>3</w:t>
                  </w:r>
                </w:p>
              </w:tc>
              <w:tc>
                <w:tcPr>
                  <w:tcW w:w="791" w:type="pct"/>
                  <w:vAlign w:val="center"/>
                </w:tcPr>
                <w:p>
                  <w:pPr>
                    <w:adjustRightInd w:val="0"/>
                    <w:snapToGrid w:val="0"/>
                    <w:spacing w:line="240" w:lineRule="auto"/>
                    <w:jc w:val="center"/>
                    <w:rPr>
                      <w:b/>
                      <w:szCs w:val="21"/>
                    </w:rPr>
                  </w:pPr>
                  <w:r>
                    <w:rPr>
                      <w:b/>
                      <w:szCs w:val="21"/>
                    </w:rPr>
                    <w:t>占标率%</w:t>
                  </w:r>
                </w:p>
              </w:tc>
              <w:tc>
                <w:tcPr>
                  <w:tcW w:w="615" w:type="pct"/>
                  <w:vAlign w:val="center"/>
                </w:tcPr>
                <w:p>
                  <w:pPr>
                    <w:adjustRightInd w:val="0"/>
                    <w:snapToGrid w:val="0"/>
                    <w:spacing w:line="240" w:lineRule="auto"/>
                    <w:jc w:val="center"/>
                    <w:rPr>
                      <w:b/>
                      <w:szCs w:val="21"/>
                    </w:rPr>
                  </w:pPr>
                  <w:r>
                    <w:rPr>
                      <w:b/>
                      <w:szCs w:val="21"/>
                    </w:rPr>
                    <w:t>达标</w:t>
                  </w:r>
                </w:p>
                <w:p>
                  <w:pPr>
                    <w:adjustRightInd w:val="0"/>
                    <w:snapToGrid w:val="0"/>
                    <w:spacing w:line="240" w:lineRule="auto"/>
                    <w:jc w:val="center"/>
                    <w:rPr>
                      <w:b/>
                      <w:szCs w:val="21"/>
                    </w:rPr>
                  </w:pPr>
                  <w:r>
                    <w:rPr>
                      <w:b/>
                      <w:szCs w:val="21"/>
                    </w:rPr>
                    <w:t>情况</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6" w:type="pct"/>
                  <w:vAlign w:val="center"/>
                </w:tcPr>
                <w:p>
                  <w:pPr>
                    <w:adjustRightInd w:val="0"/>
                    <w:snapToGrid w:val="0"/>
                    <w:spacing w:line="240" w:lineRule="auto"/>
                    <w:jc w:val="center"/>
                    <w:rPr>
                      <w:szCs w:val="21"/>
                    </w:rPr>
                  </w:pPr>
                  <w:r>
                    <w:rPr>
                      <w:szCs w:val="21"/>
                    </w:rPr>
                    <w:t>SO</w:t>
                  </w:r>
                  <w:r>
                    <w:rPr>
                      <w:szCs w:val="21"/>
                      <w:vertAlign w:val="subscript"/>
                    </w:rPr>
                    <w:t>2</w:t>
                  </w:r>
                </w:p>
              </w:tc>
              <w:tc>
                <w:tcPr>
                  <w:tcW w:w="1372" w:type="pct"/>
                  <w:vAlign w:val="center"/>
                </w:tcPr>
                <w:p>
                  <w:pPr>
                    <w:adjustRightInd w:val="0"/>
                    <w:snapToGrid w:val="0"/>
                    <w:spacing w:line="240" w:lineRule="auto"/>
                    <w:jc w:val="center"/>
                    <w:rPr>
                      <w:szCs w:val="21"/>
                    </w:rPr>
                  </w:pPr>
                  <w:r>
                    <w:rPr>
                      <w:szCs w:val="21"/>
                    </w:rPr>
                    <w:t>年评价指标</w:t>
                  </w:r>
                </w:p>
              </w:tc>
              <w:tc>
                <w:tcPr>
                  <w:tcW w:w="761" w:type="pct"/>
                  <w:vAlign w:val="center"/>
                </w:tcPr>
                <w:p>
                  <w:pPr>
                    <w:spacing w:line="240" w:lineRule="auto"/>
                    <w:jc w:val="center"/>
                    <w:rPr>
                      <w:rFonts w:hint="default" w:eastAsia="宋体"/>
                      <w:szCs w:val="21"/>
                      <w:lang w:val="en-US" w:eastAsia="zh-CN"/>
                    </w:rPr>
                  </w:pPr>
                  <w:r>
                    <w:rPr>
                      <w:rFonts w:hint="eastAsia"/>
                      <w:szCs w:val="21"/>
                      <w:lang w:val="en-US" w:eastAsia="zh-CN"/>
                    </w:rPr>
                    <w:t>14</w:t>
                  </w:r>
                </w:p>
              </w:tc>
              <w:tc>
                <w:tcPr>
                  <w:tcW w:w="771" w:type="pct"/>
                  <w:vAlign w:val="center"/>
                </w:tcPr>
                <w:p>
                  <w:pPr>
                    <w:spacing w:line="240" w:lineRule="auto"/>
                    <w:jc w:val="center"/>
                    <w:rPr>
                      <w:szCs w:val="21"/>
                    </w:rPr>
                  </w:pPr>
                  <w:r>
                    <w:rPr>
                      <w:szCs w:val="21"/>
                    </w:rPr>
                    <w:t>60</w:t>
                  </w:r>
                </w:p>
              </w:tc>
              <w:tc>
                <w:tcPr>
                  <w:tcW w:w="791" w:type="pct"/>
                  <w:vAlign w:val="center"/>
                </w:tcPr>
                <w:p>
                  <w:pPr>
                    <w:spacing w:line="240" w:lineRule="auto"/>
                    <w:jc w:val="center"/>
                    <w:rPr>
                      <w:rFonts w:hint="default" w:eastAsia="宋体"/>
                      <w:szCs w:val="21"/>
                      <w:lang w:val="en-US" w:eastAsia="zh-CN"/>
                    </w:rPr>
                  </w:pPr>
                  <w:r>
                    <w:rPr>
                      <w:rFonts w:hint="eastAsia"/>
                      <w:szCs w:val="21"/>
                      <w:lang w:val="en-US" w:eastAsia="zh-CN"/>
                    </w:rPr>
                    <w:t>23.3</w:t>
                  </w:r>
                </w:p>
              </w:tc>
              <w:tc>
                <w:tcPr>
                  <w:tcW w:w="615" w:type="pct"/>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6" w:type="pct"/>
                  <w:vAlign w:val="center"/>
                </w:tcPr>
                <w:p>
                  <w:pPr>
                    <w:adjustRightInd w:val="0"/>
                    <w:snapToGrid w:val="0"/>
                    <w:spacing w:line="240" w:lineRule="auto"/>
                    <w:jc w:val="center"/>
                    <w:rPr>
                      <w:szCs w:val="21"/>
                    </w:rPr>
                  </w:pPr>
                  <w:r>
                    <w:rPr>
                      <w:szCs w:val="21"/>
                    </w:rPr>
                    <w:t>NO</w:t>
                  </w:r>
                  <w:r>
                    <w:rPr>
                      <w:szCs w:val="21"/>
                      <w:vertAlign w:val="subscript"/>
                    </w:rPr>
                    <w:t>2</w:t>
                  </w:r>
                </w:p>
              </w:tc>
              <w:tc>
                <w:tcPr>
                  <w:tcW w:w="1372" w:type="pct"/>
                  <w:vAlign w:val="center"/>
                </w:tcPr>
                <w:p>
                  <w:pPr>
                    <w:adjustRightInd w:val="0"/>
                    <w:snapToGrid w:val="0"/>
                    <w:spacing w:line="240" w:lineRule="auto"/>
                    <w:jc w:val="center"/>
                    <w:rPr>
                      <w:szCs w:val="21"/>
                    </w:rPr>
                  </w:pPr>
                  <w:r>
                    <w:rPr>
                      <w:szCs w:val="21"/>
                    </w:rPr>
                    <w:t>年平均浓度</w:t>
                  </w:r>
                </w:p>
              </w:tc>
              <w:tc>
                <w:tcPr>
                  <w:tcW w:w="761" w:type="pct"/>
                  <w:vAlign w:val="center"/>
                </w:tcPr>
                <w:p>
                  <w:pPr>
                    <w:spacing w:line="240" w:lineRule="auto"/>
                    <w:jc w:val="center"/>
                    <w:rPr>
                      <w:rFonts w:hint="default" w:eastAsia="宋体"/>
                      <w:szCs w:val="21"/>
                      <w:lang w:val="en-US" w:eastAsia="zh-CN"/>
                    </w:rPr>
                  </w:pPr>
                  <w:r>
                    <w:rPr>
                      <w:rFonts w:hint="eastAsia"/>
                      <w:szCs w:val="21"/>
                      <w:lang w:val="en-US" w:eastAsia="zh-CN"/>
                    </w:rPr>
                    <w:t>35</w:t>
                  </w:r>
                </w:p>
              </w:tc>
              <w:tc>
                <w:tcPr>
                  <w:tcW w:w="771" w:type="pct"/>
                  <w:vAlign w:val="center"/>
                </w:tcPr>
                <w:p>
                  <w:pPr>
                    <w:spacing w:line="240" w:lineRule="auto"/>
                    <w:jc w:val="center"/>
                    <w:rPr>
                      <w:szCs w:val="21"/>
                    </w:rPr>
                  </w:pPr>
                  <w:r>
                    <w:rPr>
                      <w:szCs w:val="21"/>
                    </w:rPr>
                    <w:t>40</w:t>
                  </w:r>
                </w:p>
              </w:tc>
              <w:tc>
                <w:tcPr>
                  <w:tcW w:w="791" w:type="pct"/>
                  <w:vAlign w:val="center"/>
                </w:tcPr>
                <w:p>
                  <w:pPr>
                    <w:spacing w:line="240" w:lineRule="auto"/>
                    <w:jc w:val="center"/>
                    <w:rPr>
                      <w:rFonts w:hint="default" w:eastAsia="宋体"/>
                      <w:szCs w:val="21"/>
                      <w:lang w:val="en-US" w:eastAsia="zh-CN"/>
                    </w:rPr>
                  </w:pPr>
                  <w:r>
                    <w:rPr>
                      <w:rFonts w:hint="eastAsia"/>
                      <w:szCs w:val="21"/>
                      <w:lang w:val="en-US" w:eastAsia="zh-CN"/>
                    </w:rPr>
                    <w:t>87.5</w:t>
                  </w:r>
                </w:p>
              </w:tc>
              <w:tc>
                <w:tcPr>
                  <w:tcW w:w="615" w:type="pct"/>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686" w:type="pct"/>
                  <w:vAlign w:val="center"/>
                </w:tcPr>
                <w:p>
                  <w:pPr>
                    <w:adjustRightInd w:val="0"/>
                    <w:snapToGrid w:val="0"/>
                    <w:spacing w:line="240" w:lineRule="auto"/>
                    <w:jc w:val="center"/>
                    <w:rPr>
                      <w:szCs w:val="21"/>
                    </w:rPr>
                  </w:pPr>
                  <w:r>
                    <w:rPr>
                      <w:szCs w:val="21"/>
                    </w:rPr>
                    <w:t>PM</w:t>
                  </w:r>
                  <w:r>
                    <w:rPr>
                      <w:szCs w:val="21"/>
                      <w:vertAlign w:val="subscript"/>
                    </w:rPr>
                    <w:t>2.5</w:t>
                  </w:r>
                </w:p>
              </w:tc>
              <w:tc>
                <w:tcPr>
                  <w:tcW w:w="1372" w:type="pct"/>
                  <w:vAlign w:val="center"/>
                </w:tcPr>
                <w:p>
                  <w:pPr>
                    <w:adjustRightInd w:val="0"/>
                    <w:snapToGrid w:val="0"/>
                    <w:spacing w:line="240" w:lineRule="auto"/>
                    <w:jc w:val="center"/>
                    <w:rPr>
                      <w:szCs w:val="21"/>
                    </w:rPr>
                  </w:pPr>
                  <w:r>
                    <w:rPr>
                      <w:szCs w:val="21"/>
                    </w:rPr>
                    <w:t>年平均浓度</w:t>
                  </w:r>
                </w:p>
              </w:tc>
              <w:tc>
                <w:tcPr>
                  <w:tcW w:w="761" w:type="pct"/>
                  <w:vAlign w:val="center"/>
                </w:tcPr>
                <w:p>
                  <w:pPr>
                    <w:spacing w:line="240" w:lineRule="auto"/>
                    <w:jc w:val="center"/>
                    <w:rPr>
                      <w:rFonts w:hint="default" w:eastAsia="宋体"/>
                      <w:szCs w:val="21"/>
                      <w:lang w:val="en-US" w:eastAsia="zh-CN"/>
                    </w:rPr>
                  </w:pPr>
                  <w:r>
                    <w:rPr>
                      <w:rFonts w:hint="eastAsia"/>
                      <w:szCs w:val="21"/>
                      <w:lang w:val="en-US" w:eastAsia="zh-CN"/>
                    </w:rPr>
                    <w:t>57</w:t>
                  </w:r>
                </w:p>
              </w:tc>
              <w:tc>
                <w:tcPr>
                  <w:tcW w:w="771" w:type="pct"/>
                  <w:vAlign w:val="center"/>
                </w:tcPr>
                <w:p>
                  <w:pPr>
                    <w:spacing w:line="240" w:lineRule="auto"/>
                    <w:jc w:val="center"/>
                    <w:rPr>
                      <w:szCs w:val="21"/>
                    </w:rPr>
                  </w:pPr>
                  <w:r>
                    <w:rPr>
                      <w:szCs w:val="21"/>
                    </w:rPr>
                    <w:t>35</w:t>
                  </w:r>
                </w:p>
              </w:tc>
              <w:tc>
                <w:tcPr>
                  <w:tcW w:w="791" w:type="pct"/>
                  <w:vAlign w:val="center"/>
                </w:tcPr>
                <w:p>
                  <w:pPr>
                    <w:spacing w:line="240" w:lineRule="auto"/>
                    <w:jc w:val="center"/>
                    <w:rPr>
                      <w:rFonts w:hint="default" w:eastAsia="宋体"/>
                      <w:szCs w:val="21"/>
                      <w:lang w:val="en-US" w:eastAsia="zh-CN"/>
                    </w:rPr>
                  </w:pPr>
                  <w:r>
                    <w:rPr>
                      <w:rFonts w:hint="eastAsia"/>
                      <w:szCs w:val="21"/>
                      <w:lang w:val="en-US" w:eastAsia="zh-CN"/>
                    </w:rPr>
                    <w:t>162.9</w:t>
                  </w:r>
                </w:p>
              </w:tc>
              <w:tc>
                <w:tcPr>
                  <w:tcW w:w="615" w:type="pct"/>
                  <w:vAlign w:val="center"/>
                </w:tcPr>
                <w:p>
                  <w:pPr>
                    <w:spacing w:line="240" w:lineRule="auto"/>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686" w:type="pct"/>
                  <w:vAlign w:val="center"/>
                </w:tcPr>
                <w:p>
                  <w:pPr>
                    <w:adjustRightInd w:val="0"/>
                    <w:snapToGrid w:val="0"/>
                    <w:spacing w:line="240" w:lineRule="auto"/>
                    <w:jc w:val="center"/>
                    <w:rPr>
                      <w:szCs w:val="21"/>
                    </w:rPr>
                  </w:pPr>
                  <w:r>
                    <w:rPr>
                      <w:szCs w:val="21"/>
                    </w:rPr>
                    <w:t>PM</w:t>
                  </w:r>
                  <w:r>
                    <w:rPr>
                      <w:szCs w:val="21"/>
                      <w:vertAlign w:val="subscript"/>
                    </w:rPr>
                    <w:t>10</w:t>
                  </w:r>
                </w:p>
              </w:tc>
              <w:tc>
                <w:tcPr>
                  <w:tcW w:w="1372" w:type="pct"/>
                  <w:vAlign w:val="center"/>
                </w:tcPr>
                <w:p>
                  <w:pPr>
                    <w:adjustRightInd w:val="0"/>
                    <w:snapToGrid w:val="0"/>
                    <w:spacing w:line="240" w:lineRule="auto"/>
                    <w:jc w:val="center"/>
                    <w:rPr>
                      <w:szCs w:val="21"/>
                    </w:rPr>
                  </w:pPr>
                  <w:r>
                    <w:rPr>
                      <w:szCs w:val="21"/>
                    </w:rPr>
                    <w:t>年平均浓度</w:t>
                  </w:r>
                </w:p>
              </w:tc>
              <w:tc>
                <w:tcPr>
                  <w:tcW w:w="761" w:type="pct"/>
                  <w:vAlign w:val="center"/>
                </w:tcPr>
                <w:p>
                  <w:pPr>
                    <w:spacing w:line="240" w:lineRule="auto"/>
                    <w:jc w:val="center"/>
                    <w:rPr>
                      <w:rFonts w:hint="default" w:eastAsia="宋体"/>
                      <w:szCs w:val="21"/>
                      <w:lang w:val="en-US" w:eastAsia="zh-CN"/>
                    </w:rPr>
                  </w:pPr>
                  <w:r>
                    <w:rPr>
                      <w:rFonts w:hint="eastAsia"/>
                      <w:szCs w:val="21"/>
                      <w:lang w:val="en-US" w:eastAsia="zh-CN"/>
                    </w:rPr>
                    <w:t>102</w:t>
                  </w:r>
                </w:p>
              </w:tc>
              <w:tc>
                <w:tcPr>
                  <w:tcW w:w="771" w:type="pct"/>
                  <w:vAlign w:val="center"/>
                </w:tcPr>
                <w:p>
                  <w:pPr>
                    <w:spacing w:line="240" w:lineRule="auto"/>
                    <w:jc w:val="center"/>
                    <w:rPr>
                      <w:szCs w:val="21"/>
                    </w:rPr>
                  </w:pPr>
                  <w:r>
                    <w:rPr>
                      <w:szCs w:val="21"/>
                    </w:rPr>
                    <w:t>70</w:t>
                  </w:r>
                </w:p>
              </w:tc>
              <w:tc>
                <w:tcPr>
                  <w:tcW w:w="791" w:type="pct"/>
                  <w:vAlign w:val="center"/>
                </w:tcPr>
                <w:p>
                  <w:pPr>
                    <w:spacing w:line="240" w:lineRule="auto"/>
                    <w:jc w:val="center"/>
                    <w:rPr>
                      <w:rFonts w:hint="default" w:eastAsia="宋体"/>
                      <w:szCs w:val="21"/>
                      <w:lang w:val="en-US" w:eastAsia="zh-CN"/>
                    </w:rPr>
                  </w:pPr>
                  <w:r>
                    <w:rPr>
                      <w:rFonts w:hint="eastAsia"/>
                      <w:szCs w:val="21"/>
                      <w:lang w:val="en-US" w:eastAsia="zh-CN"/>
                    </w:rPr>
                    <w:t>145.7</w:t>
                  </w:r>
                </w:p>
              </w:tc>
              <w:tc>
                <w:tcPr>
                  <w:tcW w:w="615" w:type="pct"/>
                  <w:vAlign w:val="center"/>
                </w:tcPr>
                <w:p>
                  <w:pPr>
                    <w:spacing w:line="240" w:lineRule="auto"/>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6" w:type="pct"/>
                  <w:vAlign w:val="center"/>
                </w:tcPr>
                <w:p>
                  <w:pPr>
                    <w:adjustRightInd w:val="0"/>
                    <w:snapToGrid w:val="0"/>
                    <w:spacing w:line="240" w:lineRule="auto"/>
                    <w:jc w:val="center"/>
                    <w:rPr>
                      <w:szCs w:val="21"/>
                    </w:rPr>
                  </w:pPr>
                  <w:r>
                    <w:rPr>
                      <w:szCs w:val="21"/>
                    </w:rPr>
                    <w:t>CO</w:t>
                  </w:r>
                </w:p>
              </w:tc>
              <w:tc>
                <w:tcPr>
                  <w:tcW w:w="1372" w:type="pct"/>
                  <w:vAlign w:val="center"/>
                </w:tcPr>
                <w:p>
                  <w:pPr>
                    <w:adjustRightInd w:val="0"/>
                    <w:snapToGrid w:val="0"/>
                    <w:spacing w:line="240" w:lineRule="auto"/>
                    <w:rPr>
                      <w:szCs w:val="21"/>
                    </w:rPr>
                  </w:pPr>
                  <w:r>
                    <w:rPr>
                      <w:szCs w:val="21"/>
                    </w:rPr>
                    <w:t>24h平均第95百分位数</w:t>
                  </w:r>
                </w:p>
              </w:tc>
              <w:tc>
                <w:tcPr>
                  <w:tcW w:w="761" w:type="pct"/>
                  <w:vAlign w:val="center"/>
                </w:tcPr>
                <w:p>
                  <w:pPr>
                    <w:spacing w:line="240" w:lineRule="auto"/>
                    <w:jc w:val="center"/>
                    <w:rPr>
                      <w:rFonts w:hint="default" w:eastAsia="宋体"/>
                      <w:szCs w:val="21"/>
                      <w:lang w:val="en-US" w:eastAsia="zh-CN"/>
                    </w:rPr>
                  </w:pPr>
                  <w:r>
                    <w:rPr>
                      <w:rFonts w:hint="eastAsia"/>
                      <w:szCs w:val="21"/>
                      <w:lang w:val="en-US" w:eastAsia="zh-CN"/>
                    </w:rPr>
                    <w:t>2100</w:t>
                  </w:r>
                </w:p>
              </w:tc>
              <w:tc>
                <w:tcPr>
                  <w:tcW w:w="771" w:type="pct"/>
                  <w:vAlign w:val="center"/>
                </w:tcPr>
                <w:p>
                  <w:pPr>
                    <w:spacing w:line="240" w:lineRule="auto"/>
                    <w:jc w:val="center"/>
                    <w:rPr>
                      <w:szCs w:val="21"/>
                    </w:rPr>
                  </w:pPr>
                  <w:r>
                    <w:rPr>
                      <w:szCs w:val="21"/>
                    </w:rPr>
                    <w:t>4000</w:t>
                  </w:r>
                </w:p>
              </w:tc>
              <w:tc>
                <w:tcPr>
                  <w:tcW w:w="791" w:type="pct"/>
                  <w:vAlign w:val="center"/>
                </w:tcPr>
                <w:p>
                  <w:pPr>
                    <w:spacing w:line="240" w:lineRule="auto"/>
                    <w:jc w:val="center"/>
                    <w:rPr>
                      <w:rFonts w:hint="default" w:eastAsia="宋体"/>
                      <w:szCs w:val="21"/>
                      <w:lang w:val="en-US" w:eastAsia="zh-CN"/>
                    </w:rPr>
                  </w:pPr>
                  <w:r>
                    <w:rPr>
                      <w:rFonts w:hint="eastAsia"/>
                      <w:szCs w:val="21"/>
                      <w:lang w:val="en-US" w:eastAsia="zh-CN"/>
                    </w:rPr>
                    <w:t>52.5</w:t>
                  </w:r>
                </w:p>
              </w:tc>
              <w:tc>
                <w:tcPr>
                  <w:tcW w:w="615" w:type="pct"/>
                  <w:vAlign w:val="center"/>
                </w:tcPr>
                <w:p>
                  <w:pPr>
                    <w:spacing w:line="240" w:lineRule="auto"/>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86" w:type="pct"/>
                  <w:vAlign w:val="center"/>
                </w:tcPr>
                <w:p>
                  <w:pPr>
                    <w:adjustRightInd w:val="0"/>
                    <w:snapToGrid w:val="0"/>
                    <w:spacing w:line="240" w:lineRule="auto"/>
                    <w:jc w:val="center"/>
                    <w:rPr>
                      <w:szCs w:val="21"/>
                    </w:rPr>
                  </w:pPr>
                  <w:r>
                    <w:rPr>
                      <w:szCs w:val="21"/>
                    </w:rPr>
                    <w:t>O</w:t>
                  </w:r>
                  <w:r>
                    <w:rPr>
                      <w:szCs w:val="21"/>
                      <w:vertAlign w:val="subscript"/>
                    </w:rPr>
                    <w:t>3</w:t>
                  </w:r>
                </w:p>
              </w:tc>
              <w:tc>
                <w:tcPr>
                  <w:tcW w:w="1372" w:type="pct"/>
                  <w:vAlign w:val="center"/>
                </w:tcPr>
                <w:p>
                  <w:pPr>
                    <w:adjustRightInd w:val="0"/>
                    <w:snapToGrid w:val="0"/>
                    <w:spacing w:line="240" w:lineRule="auto"/>
                    <w:rPr>
                      <w:szCs w:val="21"/>
                    </w:rPr>
                  </w:pPr>
                  <w:r>
                    <w:rPr>
                      <w:szCs w:val="21"/>
                    </w:rPr>
                    <w:t>日最大8h滑动平均质量浓度第90百分位数</w:t>
                  </w:r>
                </w:p>
              </w:tc>
              <w:tc>
                <w:tcPr>
                  <w:tcW w:w="761" w:type="pct"/>
                  <w:vAlign w:val="center"/>
                </w:tcPr>
                <w:p>
                  <w:pPr>
                    <w:spacing w:line="240" w:lineRule="auto"/>
                    <w:jc w:val="center"/>
                    <w:rPr>
                      <w:rFonts w:hint="default" w:eastAsia="宋体"/>
                      <w:szCs w:val="21"/>
                      <w:lang w:val="en-US" w:eastAsia="zh-CN"/>
                    </w:rPr>
                  </w:pPr>
                  <w:r>
                    <w:rPr>
                      <w:rFonts w:hint="eastAsia"/>
                      <w:szCs w:val="21"/>
                      <w:lang w:val="en-US" w:eastAsia="zh-CN"/>
                    </w:rPr>
                    <w:t>182</w:t>
                  </w:r>
                </w:p>
              </w:tc>
              <w:tc>
                <w:tcPr>
                  <w:tcW w:w="771" w:type="pct"/>
                  <w:vAlign w:val="center"/>
                </w:tcPr>
                <w:p>
                  <w:pPr>
                    <w:spacing w:line="240" w:lineRule="auto"/>
                    <w:jc w:val="center"/>
                    <w:rPr>
                      <w:szCs w:val="21"/>
                    </w:rPr>
                  </w:pPr>
                  <w:r>
                    <w:rPr>
                      <w:szCs w:val="21"/>
                    </w:rPr>
                    <w:t>160</w:t>
                  </w:r>
                </w:p>
              </w:tc>
              <w:tc>
                <w:tcPr>
                  <w:tcW w:w="791" w:type="pct"/>
                  <w:vAlign w:val="center"/>
                </w:tcPr>
                <w:p>
                  <w:pPr>
                    <w:spacing w:line="240" w:lineRule="auto"/>
                    <w:jc w:val="center"/>
                    <w:rPr>
                      <w:rFonts w:hint="default" w:eastAsia="宋体"/>
                      <w:szCs w:val="21"/>
                      <w:lang w:val="en-US" w:eastAsia="zh-CN"/>
                    </w:rPr>
                  </w:pPr>
                  <w:r>
                    <w:rPr>
                      <w:rFonts w:hint="eastAsia"/>
                      <w:szCs w:val="21"/>
                      <w:lang w:val="en-US" w:eastAsia="zh-CN"/>
                    </w:rPr>
                    <w:t>113.8</w:t>
                  </w:r>
                </w:p>
              </w:tc>
              <w:tc>
                <w:tcPr>
                  <w:tcW w:w="615" w:type="pct"/>
                  <w:vAlign w:val="center"/>
                </w:tcPr>
                <w:p>
                  <w:pPr>
                    <w:spacing w:line="240" w:lineRule="auto"/>
                    <w:jc w:val="center"/>
                    <w:rPr>
                      <w:szCs w:val="21"/>
                    </w:rPr>
                  </w:pPr>
                  <w:r>
                    <w:rPr>
                      <w:szCs w:val="21"/>
                    </w:rPr>
                    <w:t>不达标</w:t>
                  </w:r>
                </w:p>
              </w:tc>
            </w:tr>
          </w:tbl>
          <w:p>
            <w:pPr>
              <w:ind w:firstLine="480" w:firstLineChars="200"/>
              <w:rPr>
                <w:sz w:val="24"/>
              </w:rPr>
            </w:pPr>
            <w:r>
              <w:rPr>
                <w:rFonts w:hint="eastAsia"/>
                <w:sz w:val="24"/>
                <w:szCs w:val="32"/>
              </w:rPr>
              <w:t>由上表可知，</w:t>
            </w:r>
            <w:r>
              <w:rPr>
                <w:sz w:val="24"/>
              </w:rPr>
              <w:t>项目所在区域除</w:t>
            </w:r>
            <w:r>
              <w:rPr>
                <w:bCs/>
                <w:sz w:val="24"/>
              </w:rPr>
              <w:t>SO</w:t>
            </w:r>
            <w:r>
              <w:rPr>
                <w:bCs/>
                <w:sz w:val="24"/>
                <w:vertAlign w:val="subscript"/>
              </w:rPr>
              <w:t>2</w:t>
            </w:r>
            <w:r>
              <w:rPr>
                <w:rFonts w:hint="eastAsia" w:cs="宋体"/>
                <w:bCs/>
                <w:sz w:val="24"/>
              </w:rPr>
              <w:t>、</w:t>
            </w:r>
            <w:r>
              <w:rPr>
                <w:bCs/>
                <w:sz w:val="24"/>
              </w:rPr>
              <w:t>NO</w:t>
            </w:r>
            <w:r>
              <w:rPr>
                <w:bCs/>
                <w:sz w:val="24"/>
                <w:vertAlign w:val="subscript"/>
              </w:rPr>
              <w:t>2</w:t>
            </w:r>
            <w:r>
              <w:rPr>
                <w:rFonts w:hint="eastAsia"/>
                <w:bCs/>
                <w:sz w:val="24"/>
                <w:vertAlign w:val="subscript"/>
              </w:rPr>
              <w:t>、</w:t>
            </w:r>
            <w:r>
              <w:rPr>
                <w:rFonts w:hint="eastAsia"/>
                <w:bCs/>
                <w:sz w:val="24"/>
              </w:rPr>
              <w:t>CO</w:t>
            </w:r>
            <w:r>
              <w:rPr>
                <w:sz w:val="24"/>
              </w:rPr>
              <w:t>外，其他因子年评价指标均不满足《环境空气质量标准》（GB3095-2012）的二级标准及修改单要求</w:t>
            </w:r>
            <w:r>
              <w:rPr>
                <w:rFonts w:hint="eastAsia"/>
                <w:sz w:val="24"/>
              </w:rPr>
              <w:t>。因此本项目区域属于不达标区。</w:t>
            </w:r>
          </w:p>
          <w:p>
            <w:pPr>
              <w:ind w:firstLine="480" w:firstLineChars="200"/>
              <w:rPr>
                <w:rFonts w:hint="eastAsia"/>
                <w:bCs/>
                <w:sz w:val="24"/>
              </w:rPr>
            </w:pPr>
            <w:r>
              <w:rPr>
                <w:rFonts w:hint="eastAsia"/>
                <w:bCs/>
                <w:sz w:val="24"/>
              </w:rPr>
              <w:t>2</w:t>
            </w:r>
            <w:r>
              <w:rPr>
                <w:bCs/>
                <w:sz w:val="24"/>
              </w:rPr>
              <w:t>、</w:t>
            </w:r>
            <w:r>
              <w:rPr>
                <w:rFonts w:hint="eastAsia"/>
                <w:bCs/>
                <w:sz w:val="24"/>
              </w:rPr>
              <w:t>地表水环境质量现状</w:t>
            </w:r>
          </w:p>
          <w:p>
            <w:pPr>
              <w:ind w:firstLine="482"/>
              <w:jc w:val="left"/>
              <w:rPr>
                <w:sz w:val="24"/>
              </w:rPr>
            </w:pPr>
            <w:r>
              <w:rPr>
                <w:sz w:val="24"/>
              </w:rPr>
              <w:t>项目废水主要为车辆冲洗废水、</w:t>
            </w:r>
            <w:r>
              <w:rPr>
                <w:rFonts w:hint="eastAsia"/>
                <w:sz w:val="24"/>
              </w:rPr>
              <w:t>洗砂废水、</w:t>
            </w:r>
            <w:r>
              <w:rPr>
                <w:sz w:val="24"/>
              </w:rPr>
              <w:t>职工生活废水</w:t>
            </w:r>
            <w:r>
              <w:rPr>
                <w:rFonts w:hint="eastAsia"/>
                <w:sz w:val="24"/>
              </w:rPr>
              <w:t>。其中车辆冲洗废水、洗砂废水直接进入沉淀池，经沉淀池沉淀后回用于生产补水，不外排。职工生活废水经化粪池处理后排入园区污水管网最后进入魏县经济开发区污水处理站处理。因此，本项目无需开展地表水环境质量现状评价。</w:t>
            </w:r>
          </w:p>
          <w:p>
            <w:pPr>
              <w:ind w:left="420" w:leftChars="200"/>
              <w:jc w:val="left"/>
              <w:rPr>
                <w:rFonts w:hint="eastAsia"/>
                <w:sz w:val="24"/>
              </w:rPr>
            </w:pPr>
            <w:r>
              <w:rPr>
                <w:rFonts w:hint="eastAsia"/>
                <w:sz w:val="24"/>
              </w:rPr>
              <w:t>3、地下水质量现状</w:t>
            </w:r>
          </w:p>
          <w:p>
            <w:pPr>
              <w:ind w:firstLine="480" w:firstLineChars="200"/>
              <w:jc w:val="left"/>
              <w:rPr>
                <w:rFonts w:hint="eastAsia"/>
                <w:sz w:val="24"/>
              </w:rPr>
            </w:pPr>
            <w:r>
              <w:rPr>
                <w:sz w:val="24"/>
              </w:rPr>
              <w:t>评价区域内地下水</w:t>
            </w:r>
            <w:r>
              <w:rPr>
                <w:rFonts w:hint="eastAsia"/>
                <w:sz w:val="24"/>
              </w:rPr>
              <w:t>水质满足</w:t>
            </w:r>
            <w:r>
              <w:rPr>
                <w:sz w:val="24"/>
              </w:rPr>
              <w:t>《地下水质量标准》（GB/T14848-2017）Ⅲ类标准，地下水环境质量较好</w:t>
            </w:r>
            <w:r>
              <w:rPr>
                <w:rFonts w:hint="eastAsia"/>
                <w:sz w:val="24"/>
              </w:rPr>
              <w:t>。</w:t>
            </w:r>
          </w:p>
          <w:p>
            <w:pPr>
              <w:snapToGrid w:val="0"/>
              <w:ind w:firstLine="480" w:firstLineChars="200"/>
              <w:rPr>
                <w:rFonts w:hint="eastAsia"/>
                <w:color w:val="000000"/>
                <w:sz w:val="24"/>
              </w:rPr>
            </w:pPr>
            <w:r>
              <w:rPr>
                <w:rFonts w:hint="eastAsia"/>
                <w:color w:val="000000"/>
                <w:sz w:val="24"/>
              </w:rPr>
              <w:t>4、</w:t>
            </w:r>
            <w:r>
              <w:rPr>
                <w:color w:val="000000"/>
                <w:sz w:val="24"/>
              </w:rPr>
              <w:t>声环境质量现状</w:t>
            </w:r>
            <w:r>
              <w:rPr>
                <w:rFonts w:hint="eastAsia"/>
                <w:color w:val="000000"/>
                <w:sz w:val="24"/>
              </w:rPr>
              <w:t xml:space="preserve"> </w:t>
            </w:r>
          </w:p>
          <w:p>
            <w:pPr>
              <w:ind w:firstLine="480" w:firstLineChars="200"/>
              <w:rPr>
                <w:color w:val="000000"/>
                <w:sz w:val="24"/>
              </w:rPr>
            </w:pPr>
            <w:r>
              <w:rPr>
                <w:rFonts w:hint="eastAsia"/>
                <w:color w:val="000000"/>
                <w:sz w:val="24"/>
              </w:rPr>
              <w:t>厂界外周边50m范围内不存在声环境保护目标，无需开展声环境质量现状评价。</w:t>
            </w:r>
          </w:p>
          <w:p>
            <w:pPr>
              <w:adjustRightInd w:val="0"/>
              <w:snapToGrid w:val="0"/>
              <w:ind w:firstLine="480" w:firstLineChars="200"/>
              <w:rPr>
                <w:rFonts w:hint="eastAsia"/>
                <w:sz w:val="24"/>
              </w:rPr>
            </w:pPr>
            <w:r>
              <w:rPr>
                <w:rFonts w:hint="eastAsia"/>
                <w:sz w:val="24"/>
              </w:rPr>
              <w:t>5、</w:t>
            </w:r>
            <w:r>
              <w:rPr>
                <w:sz w:val="24"/>
              </w:rPr>
              <w:t>生态环境</w:t>
            </w:r>
            <w:r>
              <w:rPr>
                <w:rFonts w:hint="eastAsia"/>
                <w:sz w:val="24"/>
              </w:rPr>
              <w:t>质量现状</w:t>
            </w:r>
          </w:p>
          <w:p>
            <w:pPr>
              <w:snapToGrid w:val="0"/>
              <w:ind w:firstLine="480" w:firstLineChars="200"/>
              <w:rPr>
                <w:rFonts w:ascii="宋体" w:hAnsi="宋体" w:cs="宋体"/>
                <w:kern w:val="0"/>
                <w:szCs w:val="21"/>
              </w:rPr>
            </w:pPr>
            <w:r>
              <w:rPr>
                <w:sz w:val="24"/>
              </w:rPr>
              <w:t>本</w:t>
            </w:r>
            <w:r>
              <w:rPr>
                <w:rFonts w:hint="eastAsia"/>
                <w:sz w:val="24"/>
              </w:rPr>
              <w:t>项目为</w:t>
            </w:r>
            <w:r>
              <w:rPr>
                <w:rFonts w:hint="eastAsia"/>
                <w:sz w:val="24"/>
                <w:lang w:eastAsia="zh-CN"/>
              </w:rPr>
              <w:t>技改</w:t>
            </w:r>
            <w:r>
              <w:rPr>
                <w:rFonts w:hint="eastAsia"/>
                <w:sz w:val="24"/>
              </w:rPr>
              <w:t>项目，不新</w:t>
            </w:r>
            <w:r>
              <w:rPr>
                <w:rFonts w:hint="eastAsia"/>
                <w:sz w:val="24"/>
                <w:lang w:val="en-US" w:eastAsia="zh-CN"/>
              </w:rPr>
              <w:t>增</w:t>
            </w:r>
            <w:r>
              <w:rPr>
                <w:rFonts w:hint="eastAsia"/>
                <w:sz w:val="24"/>
              </w:rPr>
              <w:t>土地，项目周边无自然保护区、文物保护单位、集中式供水水源地和珍稀濒危野生动植物等敏感目标。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38" w:type="dxa"/>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623" w:type="dxa"/>
            <w:vAlign w:val="center"/>
          </w:tcPr>
          <w:p>
            <w:pPr>
              <w:spacing w:line="500" w:lineRule="exact"/>
              <w:ind w:firstLine="480" w:firstLineChars="200"/>
              <w:rPr>
                <w:rFonts w:hint="eastAsia"/>
                <w:sz w:val="24"/>
              </w:rPr>
            </w:pPr>
            <w:r>
              <w:rPr>
                <w:rFonts w:hint="eastAsia"/>
                <w:sz w:val="24"/>
              </w:rPr>
              <w:t>1、大气环境保护目标</w:t>
            </w:r>
          </w:p>
          <w:p>
            <w:pPr>
              <w:spacing w:line="500" w:lineRule="exact"/>
              <w:ind w:firstLine="480" w:firstLineChars="200"/>
              <w:rPr>
                <w:rFonts w:hint="default"/>
                <w:sz w:val="24"/>
                <w:lang w:val="en-US"/>
              </w:rPr>
            </w:pPr>
            <w:r>
              <w:rPr>
                <w:rFonts w:hint="eastAsia"/>
                <w:sz w:val="24"/>
              </w:rPr>
              <w:t>根据项目周边现场踏勘，本项目大气环境500m范围内无环境保护目标。</w:t>
            </w:r>
            <w:r>
              <w:rPr>
                <w:rFonts w:hint="eastAsia"/>
                <w:sz w:val="24"/>
                <w:lang w:val="en-US" w:eastAsia="zh-CN"/>
              </w:rPr>
              <w:t>离项目最近的环境敏感点为项目西边580m的安上村。</w:t>
            </w:r>
          </w:p>
          <w:p>
            <w:pPr>
              <w:spacing w:line="500" w:lineRule="exact"/>
              <w:ind w:firstLine="480" w:firstLineChars="200"/>
              <w:rPr>
                <w:rFonts w:hint="eastAsia"/>
                <w:sz w:val="24"/>
              </w:rPr>
            </w:pPr>
            <w:r>
              <w:rPr>
                <w:rFonts w:hint="eastAsia"/>
                <w:sz w:val="24"/>
              </w:rPr>
              <w:t>2、声环境保护目标</w:t>
            </w:r>
          </w:p>
          <w:p>
            <w:pPr>
              <w:spacing w:line="500" w:lineRule="exact"/>
              <w:ind w:firstLine="480" w:firstLineChars="200"/>
              <w:rPr>
                <w:rFonts w:hint="eastAsia"/>
                <w:sz w:val="24"/>
              </w:rPr>
            </w:pPr>
            <w:r>
              <w:rPr>
                <w:rFonts w:hint="eastAsia"/>
                <w:sz w:val="24"/>
              </w:rPr>
              <w:t>本项目厂界外50m范围内无声环境敏感目标。</w:t>
            </w:r>
          </w:p>
          <w:p>
            <w:pPr>
              <w:spacing w:line="500" w:lineRule="exact"/>
              <w:ind w:firstLine="480" w:firstLineChars="200"/>
              <w:rPr>
                <w:rFonts w:hint="eastAsia"/>
                <w:sz w:val="24"/>
              </w:rPr>
            </w:pPr>
            <w:r>
              <w:rPr>
                <w:rFonts w:hint="eastAsia"/>
                <w:sz w:val="24"/>
              </w:rPr>
              <w:t>3、地下水环境保护目标</w:t>
            </w:r>
          </w:p>
          <w:p>
            <w:pPr>
              <w:spacing w:line="500" w:lineRule="exact"/>
              <w:ind w:firstLine="480" w:firstLineChars="200"/>
              <w:rPr>
                <w:rFonts w:hint="eastAsia"/>
                <w:sz w:val="24"/>
              </w:rPr>
            </w:pPr>
            <w:r>
              <w:rPr>
                <w:rFonts w:hint="eastAsia"/>
                <w:sz w:val="24"/>
              </w:rPr>
              <w:t>本项目厂界外500m范围内不涉及地下水集中式饮用水水源和热水、矿泉水、温泉等特殊地下水资源。</w:t>
            </w:r>
          </w:p>
          <w:p>
            <w:pPr>
              <w:spacing w:line="500" w:lineRule="exact"/>
              <w:ind w:firstLine="480" w:firstLineChars="200"/>
              <w:rPr>
                <w:rFonts w:hint="eastAsia"/>
                <w:sz w:val="24"/>
              </w:rPr>
            </w:pPr>
            <w:r>
              <w:rPr>
                <w:rFonts w:hint="eastAsia"/>
                <w:sz w:val="24"/>
              </w:rPr>
              <w:t>4、生态环境保护目标</w:t>
            </w:r>
          </w:p>
          <w:p>
            <w:pPr>
              <w:spacing w:line="500" w:lineRule="exact"/>
              <w:ind w:firstLine="480" w:firstLineChars="200"/>
              <w:rPr>
                <w:sz w:val="24"/>
              </w:rPr>
            </w:pPr>
            <w:r>
              <w:rPr>
                <w:rFonts w:hint="eastAsia"/>
                <w:sz w:val="24"/>
              </w:rPr>
              <w:t>本项目位于魏县经济开发区平安大街北段西侧，不涉及新增用地，项目占地范围内无生态环境保护目标。</w:t>
            </w:r>
          </w:p>
          <w:p>
            <w:pPr>
              <w:spacing w:line="500" w:lineRule="exact"/>
              <w:ind w:firstLine="422" w:firstLineChars="200"/>
              <w:jc w:val="center"/>
              <w:rPr>
                <w:sz w:val="21"/>
                <w:szCs w:val="21"/>
              </w:rPr>
            </w:pPr>
            <w:r>
              <w:rPr>
                <w:rFonts w:hint="eastAsia"/>
                <w:b/>
                <w:bCs/>
                <w:sz w:val="21"/>
                <w:szCs w:val="21"/>
              </w:rPr>
              <w:t>表</w:t>
            </w:r>
            <w:r>
              <w:rPr>
                <w:rFonts w:hint="eastAsia"/>
                <w:b/>
                <w:bCs/>
                <w:sz w:val="21"/>
                <w:szCs w:val="21"/>
                <w:lang w:val="en-US" w:eastAsia="zh-CN"/>
              </w:rPr>
              <w:t>13</w:t>
            </w:r>
            <w:r>
              <w:rPr>
                <w:rFonts w:hint="eastAsia"/>
                <w:b/>
                <w:bCs/>
                <w:sz w:val="21"/>
                <w:szCs w:val="21"/>
              </w:rPr>
              <w:t xml:space="preserve"> 主要环境保护目标一览表</w:t>
            </w:r>
          </w:p>
          <w:tbl>
            <w:tblPr>
              <w:tblStyle w:val="2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23"/>
              <w:gridCol w:w="1482"/>
              <w:gridCol w:w="893"/>
              <w:gridCol w:w="893"/>
              <w:gridCol w:w="14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2" w:type="pct"/>
                  <w:tcBorders>
                    <w:top w:val="single" w:color="auto" w:sz="4" w:space="0"/>
                    <w:left w:val="single" w:color="auto" w:sz="4" w:space="0"/>
                    <w:bottom w:val="single" w:color="auto" w:sz="6" w:space="0"/>
                  </w:tcBorders>
                  <w:vAlign w:val="center"/>
                </w:tcPr>
                <w:p>
                  <w:pPr>
                    <w:jc w:val="center"/>
                    <w:rPr>
                      <w:rFonts w:hint="eastAsia"/>
                      <w:szCs w:val="21"/>
                    </w:rPr>
                  </w:pPr>
                  <w:r>
                    <w:rPr>
                      <w:rFonts w:hint="eastAsia"/>
                      <w:szCs w:val="21"/>
                    </w:rPr>
                    <w:t>环境要素</w:t>
                  </w:r>
                </w:p>
              </w:tc>
              <w:tc>
                <w:tcPr>
                  <w:tcW w:w="885" w:type="pct"/>
                  <w:tcBorders>
                    <w:top w:val="single" w:color="auto" w:sz="4" w:space="0"/>
                    <w:bottom w:val="single" w:color="auto" w:sz="6" w:space="0"/>
                  </w:tcBorders>
                  <w:vAlign w:val="center"/>
                </w:tcPr>
                <w:p>
                  <w:pPr>
                    <w:jc w:val="center"/>
                    <w:rPr>
                      <w:szCs w:val="21"/>
                    </w:rPr>
                  </w:pPr>
                  <w:r>
                    <w:rPr>
                      <w:szCs w:val="21"/>
                    </w:rPr>
                    <w:t>保护目标</w:t>
                  </w:r>
                </w:p>
              </w:tc>
              <w:tc>
                <w:tcPr>
                  <w:tcW w:w="533" w:type="pct"/>
                  <w:tcBorders>
                    <w:top w:val="single" w:color="auto" w:sz="4" w:space="0"/>
                    <w:bottom w:val="single" w:color="auto" w:sz="6" w:space="0"/>
                  </w:tcBorders>
                  <w:vAlign w:val="center"/>
                </w:tcPr>
                <w:p>
                  <w:pPr>
                    <w:jc w:val="center"/>
                    <w:rPr>
                      <w:szCs w:val="21"/>
                    </w:rPr>
                  </w:pPr>
                  <w:r>
                    <w:rPr>
                      <w:szCs w:val="21"/>
                    </w:rPr>
                    <w:t>方位</w:t>
                  </w:r>
                </w:p>
              </w:tc>
              <w:tc>
                <w:tcPr>
                  <w:tcW w:w="533" w:type="pct"/>
                  <w:tcBorders>
                    <w:top w:val="single" w:color="auto" w:sz="4" w:space="0"/>
                    <w:bottom w:val="single" w:color="auto" w:sz="6" w:space="0"/>
                  </w:tcBorders>
                  <w:vAlign w:val="center"/>
                </w:tcPr>
                <w:p>
                  <w:pPr>
                    <w:jc w:val="center"/>
                    <w:rPr>
                      <w:szCs w:val="21"/>
                    </w:rPr>
                  </w:pPr>
                  <w:r>
                    <w:rPr>
                      <w:szCs w:val="21"/>
                    </w:rPr>
                    <w:t>距离</w:t>
                  </w:r>
                </w:p>
              </w:tc>
              <w:tc>
                <w:tcPr>
                  <w:tcW w:w="885" w:type="pct"/>
                  <w:tcBorders>
                    <w:top w:val="single" w:color="auto" w:sz="4" w:space="0"/>
                    <w:bottom w:val="single" w:color="auto" w:sz="6" w:space="0"/>
                    <w:right w:val="single" w:color="auto" w:sz="4" w:space="0"/>
                  </w:tcBorders>
                  <w:vAlign w:val="center"/>
                </w:tcPr>
                <w:p>
                  <w:pPr>
                    <w:jc w:val="center"/>
                    <w:rPr>
                      <w:szCs w:val="21"/>
                    </w:rPr>
                  </w:pPr>
                  <w:r>
                    <w:rPr>
                      <w:szCs w:val="21"/>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2" w:type="pct"/>
                  <w:tcBorders>
                    <w:top w:val="single" w:color="auto" w:sz="6" w:space="0"/>
                    <w:left w:val="single" w:color="auto" w:sz="4" w:space="0"/>
                  </w:tcBorders>
                  <w:vAlign w:val="center"/>
                </w:tcPr>
                <w:p>
                  <w:pPr>
                    <w:rPr>
                      <w:szCs w:val="21"/>
                    </w:rPr>
                  </w:pPr>
                  <w:r>
                    <w:rPr>
                      <w:rFonts w:hint="eastAsia"/>
                      <w:szCs w:val="21"/>
                    </w:rPr>
                    <w:t>大气</w:t>
                  </w:r>
                  <w:r>
                    <w:rPr>
                      <w:szCs w:val="21"/>
                    </w:rPr>
                    <w:t>环境（厂界外500 米范围）</w:t>
                  </w:r>
                </w:p>
              </w:tc>
              <w:tc>
                <w:tcPr>
                  <w:tcW w:w="885" w:type="pct"/>
                  <w:tcBorders>
                    <w:top w:val="single" w:color="auto" w:sz="6" w:space="0"/>
                    <w:bottom w:val="single" w:color="auto" w:sz="6" w:space="0"/>
                  </w:tcBorders>
                  <w:vAlign w:val="center"/>
                </w:tcPr>
                <w:p>
                  <w:pPr>
                    <w:jc w:val="center"/>
                    <w:rPr>
                      <w:rFonts w:hint="eastAsia"/>
                    </w:rPr>
                  </w:pPr>
                  <w:r>
                    <w:rPr>
                      <w:rFonts w:hint="eastAsia"/>
                    </w:rPr>
                    <w:t>无</w:t>
                  </w:r>
                </w:p>
              </w:tc>
              <w:tc>
                <w:tcPr>
                  <w:tcW w:w="533" w:type="pct"/>
                  <w:tcBorders>
                    <w:top w:val="single" w:color="auto" w:sz="6" w:space="0"/>
                    <w:bottom w:val="single" w:color="auto" w:sz="6" w:space="0"/>
                  </w:tcBorders>
                  <w:vAlign w:val="center"/>
                </w:tcPr>
                <w:p>
                  <w:pPr>
                    <w:snapToGrid w:val="0"/>
                    <w:jc w:val="center"/>
                    <w:rPr>
                      <w:rFonts w:hint="eastAsia"/>
                      <w:szCs w:val="21"/>
                    </w:rPr>
                  </w:pPr>
                  <w:r>
                    <w:rPr>
                      <w:rFonts w:hint="eastAsia"/>
                      <w:szCs w:val="21"/>
                    </w:rPr>
                    <w:t>/</w:t>
                  </w:r>
                </w:p>
              </w:tc>
              <w:tc>
                <w:tcPr>
                  <w:tcW w:w="533" w:type="pct"/>
                  <w:tcBorders>
                    <w:top w:val="single" w:color="auto" w:sz="6" w:space="0"/>
                    <w:bottom w:val="single" w:color="auto" w:sz="6" w:space="0"/>
                  </w:tcBorders>
                  <w:vAlign w:val="center"/>
                </w:tcPr>
                <w:p>
                  <w:pPr>
                    <w:snapToGrid w:val="0"/>
                    <w:jc w:val="center"/>
                    <w:rPr>
                      <w:rFonts w:hint="eastAsia"/>
                      <w:szCs w:val="21"/>
                    </w:rPr>
                  </w:pPr>
                  <w:r>
                    <w:rPr>
                      <w:rFonts w:hint="eastAsia"/>
                      <w:szCs w:val="21"/>
                    </w:rPr>
                    <w:t>/</w:t>
                  </w:r>
                </w:p>
              </w:tc>
              <w:tc>
                <w:tcPr>
                  <w:tcW w:w="885" w:type="pct"/>
                  <w:tcBorders>
                    <w:top w:val="single" w:color="auto" w:sz="6" w:space="0"/>
                    <w:right w:val="single" w:color="auto" w:sz="4" w:space="0"/>
                  </w:tcBorders>
                  <w:vAlign w:val="center"/>
                </w:tcPr>
                <w:p>
                  <w:pPr>
                    <w:keepLines/>
                    <w:jc w:val="center"/>
                    <w:rPr>
                      <w:rFonts w:hint="eastAsia"/>
                      <w:szCs w:val="21"/>
                    </w:rPr>
                  </w:pPr>
                  <w:r>
                    <w:rPr>
                      <w:rFonts w:hint="eastAsia"/>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2" w:type="pct"/>
                  <w:tcBorders>
                    <w:top w:val="single" w:color="auto" w:sz="6" w:space="0"/>
                    <w:left w:val="single" w:color="auto" w:sz="4" w:space="0"/>
                    <w:bottom w:val="single" w:color="auto" w:sz="6" w:space="0"/>
                  </w:tcBorders>
                  <w:vAlign w:val="center"/>
                </w:tcPr>
                <w:p>
                  <w:pPr>
                    <w:rPr>
                      <w:szCs w:val="21"/>
                    </w:rPr>
                  </w:pPr>
                  <w:r>
                    <w:rPr>
                      <w:szCs w:val="21"/>
                      <w:lang w:val="zh-CN"/>
                    </w:rPr>
                    <w:t>声环境（厂界外50 米范围）</w:t>
                  </w:r>
                </w:p>
              </w:tc>
              <w:tc>
                <w:tcPr>
                  <w:tcW w:w="1951" w:type="pct"/>
                  <w:gridSpan w:val="3"/>
                  <w:tcBorders>
                    <w:top w:val="single" w:color="auto" w:sz="6" w:space="0"/>
                    <w:bottom w:val="single" w:color="auto" w:sz="6" w:space="0"/>
                  </w:tcBorders>
                  <w:vAlign w:val="center"/>
                </w:tcPr>
                <w:p>
                  <w:pPr>
                    <w:snapToGrid w:val="0"/>
                    <w:jc w:val="center"/>
                    <w:rPr>
                      <w:szCs w:val="21"/>
                    </w:rPr>
                  </w:pPr>
                  <w:r>
                    <w:rPr>
                      <w:rFonts w:hint="eastAsia"/>
                      <w:szCs w:val="21"/>
                    </w:rPr>
                    <w:t>无</w:t>
                  </w:r>
                </w:p>
              </w:tc>
              <w:tc>
                <w:tcPr>
                  <w:tcW w:w="885" w:type="pct"/>
                  <w:tcBorders>
                    <w:top w:val="single" w:color="auto" w:sz="6" w:space="0"/>
                    <w:bottom w:val="single" w:color="auto" w:sz="6" w:space="0"/>
                    <w:right w:val="single" w:color="auto" w:sz="4" w:space="0"/>
                  </w:tcBorders>
                  <w:vAlign w:val="center"/>
                </w:tcPr>
                <w:p>
                  <w:pPr>
                    <w:snapToGrid w:val="0"/>
                    <w:jc w:val="center"/>
                    <w:rPr>
                      <w:rFonts w:hint="eastAsia"/>
                      <w:szCs w:val="21"/>
                    </w:rPr>
                  </w:pPr>
                  <w:r>
                    <w:rPr>
                      <w:rFonts w:hint="eastAsia" w:ascii="宋体" w:hAnsi="宋体"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435" w:type="dxa"/>
                  <w:tcBorders>
                    <w:top w:val="single" w:color="auto" w:sz="6" w:space="0"/>
                    <w:left w:val="single" w:color="auto" w:sz="4" w:space="0"/>
                    <w:bottom w:val="single" w:color="auto" w:sz="6" w:space="0"/>
                  </w:tcBorders>
                  <w:vAlign w:val="center"/>
                </w:tcPr>
                <w:p>
                  <w:pPr>
                    <w:rPr>
                      <w:szCs w:val="21"/>
                      <w:lang w:val="zh-CN"/>
                    </w:rPr>
                  </w:pPr>
                  <w:r>
                    <w:rPr>
                      <w:rFonts w:hint="eastAsia"/>
                      <w:szCs w:val="21"/>
                      <w:lang w:val="zh-CN"/>
                    </w:rPr>
                    <w:t>地下水环境（厂界外</w:t>
                  </w:r>
                  <w:r>
                    <w:rPr>
                      <w:rFonts w:hint="eastAsia"/>
                      <w:szCs w:val="21"/>
                    </w:rPr>
                    <w:t>500米范围</w:t>
                  </w:r>
                  <w:r>
                    <w:rPr>
                      <w:rFonts w:hint="eastAsia"/>
                      <w:szCs w:val="21"/>
                      <w:lang w:val="zh-CN"/>
                    </w:rPr>
                    <w:t>）</w:t>
                  </w:r>
                </w:p>
              </w:tc>
              <w:tc>
                <w:tcPr>
                  <w:tcW w:w="3100" w:type="dxa"/>
                  <w:gridSpan w:val="3"/>
                  <w:tcBorders>
                    <w:top w:val="single" w:color="auto" w:sz="6" w:space="0"/>
                    <w:bottom w:val="single" w:color="auto" w:sz="6" w:space="0"/>
                  </w:tcBorders>
                  <w:vAlign w:val="center"/>
                </w:tcPr>
                <w:p>
                  <w:pPr>
                    <w:snapToGrid w:val="0"/>
                    <w:jc w:val="center"/>
                    <w:rPr>
                      <w:rFonts w:hint="eastAsia"/>
                      <w:szCs w:val="21"/>
                    </w:rPr>
                  </w:pPr>
                  <w:r>
                    <w:rPr>
                      <w:rFonts w:hint="eastAsia"/>
                      <w:szCs w:val="21"/>
                    </w:rPr>
                    <w:t>无</w:t>
                  </w:r>
                </w:p>
              </w:tc>
              <w:tc>
                <w:tcPr>
                  <w:tcW w:w="1406" w:type="dxa"/>
                  <w:tcBorders>
                    <w:top w:val="single" w:color="auto" w:sz="6" w:space="0"/>
                    <w:bottom w:val="single" w:color="auto" w:sz="6" w:space="0"/>
                    <w:right w:val="single" w:color="auto" w:sz="4" w:space="0"/>
                  </w:tcBorders>
                  <w:vAlign w:val="center"/>
                </w:tcPr>
                <w:p>
                  <w:pPr>
                    <w:snapToGrid w:val="0"/>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162" w:type="pct"/>
                  <w:tcBorders>
                    <w:top w:val="single" w:color="auto" w:sz="6" w:space="0"/>
                    <w:left w:val="single" w:color="auto" w:sz="4" w:space="0"/>
                    <w:bottom w:val="single" w:color="auto" w:sz="6" w:space="0"/>
                  </w:tcBorders>
                  <w:vAlign w:val="center"/>
                </w:tcPr>
                <w:p>
                  <w:pPr>
                    <w:snapToGrid w:val="0"/>
                    <w:jc w:val="center"/>
                    <w:rPr>
                      <w:szCs w:val="21"/>
                    </w:rPr>
                  </w:pPr>
                  <w:r>
                    <w:rPr>
                      <w:szCs w:val="21"/>
                      <w:lang w:val="zh-CN"/>
                    </w:rPr>
                    <w:t>生态环境目标</w:t>
                  </w:r>
                </w:p>
              </w:tc>
              <w:tc>
                <w:tcPr>
                  <w:tcW w:w="1951" w:type="pct"/>
                  <w:gridSpan w:val="3"/>
                  <w:tcBorders>
                    <w:top w:val="single" w:color="auto" w:sz="6" w:space="0"/>
                    <w:bottom w:val="single" w:color="auto" w:sz="6" w:space="0"/>
                  </w:tcBorders>
                  <w:vAlign w:val="center"/>
                </w:tcPr>
                <w:p>
                  <w:pPr>
                    <w:snapToGrid w:val="0"/>
                    <w:jc w:val="center"/>
                    <w:rPr>
                      <w:szCs w:val="21"/>
                    </w:rPr>
                  </w:pPr>
                  <w:r>
                    <w:rPr>
                      <w:rFonts w:hint="eastAsia"/>
                      <w:szCs w:val="21"/>
                    </w:rPr>
                    <w:t>无</w:t>
                  </w:r>
                </w:p>
              </w:tc>
              <w:tc>
                <w:tcPr>
                  <w:tcW w:w="885" w:type="pct"/>
                  <w:tcBorders>
                    <w:top w:val="single" w:color="auto" w:sz="6" w:space="0"/>
                    <w:bottom w:val="single" w:color="auto" w:sz="6" w:space="0"/>
                    <w:right w:val="single" w:color="auto" w:sz="4" w:space="0"/>
                  </w:tcBorders>
                  <w:vAlign w:val="center"/>
                </w:tcPr>
                <w:p>
                  <w:pPr>
                    <w:snapToGrid w:val="0"/>
                    <w:jc w:val="center"/>
                    <w:rPr>
                      <w:rFonts w:hint="eastAsia"/>
                      <w:szCs w:val="21"/>
                    </w:rPr>
                  </w:pPr>
                  <w:r>
                    <w:rPr>
                      <w:rFonts w:hint="eastAsia"/>
                      <w:szCs w:val="21"/>
                    </w:rPr>
                    <w:t>/</w:t>
                  </w:r>
                </w:p>
              </w:tc>
            </w:tr>
          </w:tbl>
          <w:p>
            <w:pPr>
              <w:adjustRightInd w:val="0"/>
              <w:snapToGrid w:val="0"/>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38" w:type="dxa"/>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623" w:type="dxa"/>
            <w:vAlign w:val="center"/>
          </w:tcPr>
          <w:p>
            <w:pPr>
              <w:spacing w:line="500" w:lineRule="exact"/>
              <w:ind w:firstLine="480" w:firstLineChars="200"/>
              <w:rPr>
                <w:rFonts w:hint="eastAsia"/>
                <w:sz w:val="24"/>
              </w:rPr>
            </w:pPr>
            <w:r>
              <w:rPr>
                <w:rFonts w:hint="eastAsia"/>
                <w:sz w:val="24"/>
              </w:rPr>
              <w:t>1、</w:t>
            </w:r>
            <w:r>
              <w:rPr>
                <w:sz w:val="24"/>
              </w:rPr>
              <w:t>废气</w:t>
            </w:r>
            <w:r>
              <w:rPr>
                <w:rFonts w:hint="eastAsia"/>
                <w:sz w:val="24"/>
              </w:rPr>
              <w:t>排放标准</w:t>
            </w:r>
          </w:p>
          <w:p>
            <w:pPr>
              <w:spacing w:line="500" w:lineRule="exact"/>
              <w:ind w:firstLine="480" w:firstLineChars="200"/>
              <w:rPr>
                <w:sz w:val="24"/>
              </w:rPr>
            </w:pPr>
            <w:r>
              <w:rPr>
                <w:rFonts w:hint="eastAsia"/>
                <w:sz w:val="24"/>
              </w:rPr>
              <w:t>施工期扬尘执行《施工场地扬尘排放标准》（DB13/2934-2019）中表1扬尘监测点浓度限值，即颗粒物</w:t>
            </w:r>
            <w:r>
              <w:rPr>
                <w:rFonts w:hint="default" w:ascii="Arial" w:hAnsi="Arial" w:cs="Arial"/>
                <w:sz w:val="24"/>
              </w:rPr>
              <w:t>≤</w:t>
            </w:r>
            <w:r>
              <w:rPr>
                <w:rFonts w:hint="eastAsia"/>
                <w:sz w:val="24"/>
              </w:rPr>
              <w:t>80μg/m</w:t>
            </w:r>
            <w:r>
              <w:rPr>
                <w:rFonts w:hint="eastAsia"/>
                <w:sz w:val="24"/>
                <w:vertAlign w:val="superscript"/>
                <w:lang w:val="en-US" w:eastAsia="zh-CN"/>
              </w:rPr>
              <w:t>3</w:t>
            </w:r>
            <w:r>
              <w:rPr>
                <w:rFonts w:hint="eastAsia"/>
                <w:sz w:val="24"/>
              </w:rPr>
              <w:t>。</w:t>
            </w:r>
          </w:p>
          <w:p>
            <w:pPr>
              <w:spacing w:line="500" w:lineRule="exact"/>
              <w:ind w:firstLine="480" w:firstLineChars="200"/>
              <w:rPr>
                <w:rFonts w:hint="eastAsia"/>
                <w:bCs/>
                <w:sz w:val="24"/>
              </w:rPr>
            </w:pPr>
            <w:r>
              <w:rPr>
                <w:rFonts w:hint="eastAsia"/>
                <w:sz w:val="24"/>
              </w:rPr>
              <w:t>本项目运营期</w:t>
            </w:r>
            <w:r>
              <w:rPr>
                <w:rFonts w:hint="eastAsia"/>
                <w:sz w:val="24"/>
                <w:lang w:val="en-US" w:eastAsia="zh-CN"/>
              </w:rPr>
              <w:t>废气主要为骨料破碎、筛分过程中产生的粉尘，</w:t>
            </w:r>
            <w:r>
              <w:rPr>
                <w:rFonts w:hint="eastAsia"/>
                <w:sz w:val="24"/>
              </w:rPr>
              <w:t>粉料仓</w:t>
            </w:r>
            <w:r>
              <w:rPr>
                <w:rFonts w:hint="eastAsia"/>
                <w:sz w:val="24"/>
                <w:lang w:val="en-US" w:eastAsia="zh-CN"/>
              </w:rPr>
              <w:t>呼吸</w:t>
            </w:r>
            <w:r>
              <w:rPr>
                <w:rFonts w:hint="eastAsia"/>
                <w:sz w:val="24"/>
              </w:rPr>
              <w:t>、砂仓</w:t>
            </w:r>
            <w:r>
              <w:rPr>
                <w:rFonts w:hint="eastAsia"/>
                <w:sz w:val="24"/>
                <w:lang w:val="en-US" w:eastAsia="zh-CN"/>
              </w:rPr>
              <w:t>产尘</w:t>
            </w:r>
            <w:r>
              <w:rPr>
                <w:rFonts w:hint="eastAsia"/>
                <w:sz w:val="24"/>
              </w:rPr>
              <w:t>、搅拌</w:t>
            </w:r>
            <w:r>
              <w:rPr>
                <w:rFonts w:hint="eastAsia"/>
                <w:sz w:val="24"/>
                <w:lang w:val="en-US" w:eastAsia="zh-CN"/>
              </w:rPr>
              <w:t>机排气口产尘，物料装卸过程中产生的扬尘。</w:t>
            </w:r>
            <w:r>
              <w:rPr>
                <w:rFonts w:hint="eastAsia"/>
                <w:sz w:val="24"/>
              </w:rPr>
              <w:t>有组织颗粒物执行</w:t>
            </w:r>
            <w:r>
              <w:rPr>
                <w:rFonts w:hint="eastAsia"/>
                <w:bCs/>
                <w:sz w:val="24"/>
              </w:rPr>
              <w:t>《水泥工业大气污染物超低排放标准》（DB13/2167-2020）表1中散装水泥中转站及水泥制品生产过程中颗粒物有组织排放限值，即颗粒物</w:t>
            </w:r>
            <w:r>
              <w:rPr>
                <w:rFonts w:ascii="Arial" w:hAnsi="Arial" w:cs="Arial"/>
                <w:bCs/>
                <w:sz w:val="24"/>
              </w:rPr>
              <w:t>≤</w:t>
            </w:r>
            <w:r>
              <w:rPr>
                <w:rFonts w:hint="eastAsia"/>
                <w:bCs/>
                <w:sz w:val="24"/>
              </w:rPr>
              <w:t>10mg/m</w:t>
            </w:r>
            <w:r>
              <w:rPr>
                <w:rFonts w:hint="eastAsia"/>
                <w:bCs/>
                <w:sz w:val="24"/>
                <w:vertAlign w:val="superscript"/>
              </w:rPr>
              <w:t>3</w:t>
            </w:r>
            <w:r>
              <w:rPr>
                <w:rFonts w:hint="eastAsia"/>
                <w:bCs/>
                <w:sz w:val="24"/>
              </w:rPr>
              <w:t>；无组织颗粒物执行《水泥工业大气污染物超低排放标准》（DB13/2167-2020）表2大气污染物无组织排放限值监控点与参照点总悬浮颗粒物（TSP）1h浓度值的差值，即颗粒物</w:t>
            </w:r>
            <w:r>
              <w:rPr>
                <w:rFonts w:ascii="Arial" w:hAnsi="Arial" w:cs="Arial"/>
                <w:bCs/>
                <w:sz w:val="24"/>
              </w:rPr>
              <w:t>≤</w:t>
            </w:r>
            <w:r>
              <w:rPr>
                <w:rFonts w:hint="eastAsia"/>
                <w:bCs/>
                <w:sz w:val="24"/>
              </w:rPr>
              <w:t>0.5mg/m</w:t>
            </w:r>
            <w:r>
              <w:rPr>
                <w:rFonts w:hint="eastAsia"/>
                <w:bCs/>
                <w:sz w:val="24"/>
                <w:vertAlign w:val="superscript"/>
              </w:rPr>
              <w:t>3</w:t>
            </w:r>
            <w:r>
              <w:rPr>
                <w:rFonts w:hint="eastAsia"/>
                <w:bCs/>
                <w:sz w:val="24"/>
              </w:rPr>
              <w:t>。</w:t>
            </w:r>
          </w:p>
          <w:p>
            <w:pPr>
              <w:adjustRightInd w:val="0"/>
              <w:snapToGrid w:val="0"/>
              <w:spacing w:line="500" w:lineRule="exact"/>
              <w:ind w:firstLine="480" w:firstLineChars="200"/>
              <w:textAlignment w:val="baseline"/>
              <w:rPr>
                <w:rFonts w:hint="eastAsia"/>
                <w:bCs/>
                <w:sz w:val="24"/>
              </w:rPr>
            </w:pPr>
            <w:r>
              <w:rPr>
                <w:bCs/>
                <w:sz w:val="24"/>
              </w:rPr>
              <w:t>2、噪声</w:t>
            </w:r>
            <w:r>
              <w:rPr>
                <w:rFonts w:hint="eastAsia"/>
                <w:bCs/>
                <w:sz w:val="24"/>
              </w:rPr>
              <w:t>排放标准</w:t>
            </w:r>
          </w:p>
          <w:p>
            <w:pPr>
              <w:adjustRightInd w:val="0"/>
              <w:snapToGrid w:val="0"/>
              <w:spacing w:line="500" w:lineRule="exact"/>
              <w:ind w:firstLine="480" w:firstLineChars="200"/>
              <w:textAlignment w:val="baseline"/>
              <w:rPr>
                <w:sz w:val="24"/>
              </w:rPr>
            </w:pPr>
            <w:r>
              <w:rPr>
                <w:rFonts w:hint="eastAsia"/>
                <w:sz w:val="24"/>
              </w:rPr>
              <w:t>施工期噪声执行《建筑施工厂界环境噪声排放标准》（12523-2011）表1标准，即</w:t>
            </w:r>
            <w:r>
              <w:rPr>
                <w:sz w:val="24"/>
              </w:rPr>
              <w:t>昼间≤</w:t>
            </w:r>
            <w:r>
              <w:rPr>
                <w:rFonts w:hint="eastAsia"/>
                <w:sz w:val="24"/>
              </w:rPr>
              <w:t>7</w:t>
            </w:r>
            <w:r>
              <w:rPr>
                <w:sz w:val="24"/>
              </w:rPr>
              <w:t>0dB(A)、夜间≤5</w:t>
            </w:r>
            <w:r>
              <w:rPr>
                <w:rFonts w:hint="eastAsia"/>
                <w:sz w:val="24"/>
              </w:rPr>
              <w:t>5</w:t>
            </w:r>
            <w:r>
              <w:rPr>
                <w:sz w:val="24"/>
              </w:rPr>
              <w:t>dB(A)。</w:t>
            </w:r>
          </w:p>
          <w:p>
            <w:pPr>
              <w:adjustRightInd w:val="0"/>
              <w:snapToGrid w:val="0"/>
              <w:spacing w:line="500" w:lineRule="exact"/>
              <w:ind w:firstLine="480" w:firstLineChars="200"/>
              <w:textAlignment w:val="baseline"/>
              <w:rPr>
                <w:rFonts w:hint="eastAsia"/>
                <w:sz w:val="24"/>
              </w:rPr>
            </w:pPr>
            <w:r>
              <w:rPr>
                <w:sz w:val="24"/>
              </w:rPr>
              <w:t>运营期</w:t>
            </w:r>
            <w:r>
              <w:rPr>
                <w:rFonts w:hint="eastAsia"/>
                <w:sz w:val="24"/>
              </w:rPr>
              <w:t>厂界</w:t>
            </w:r>
            <w:r>
              <w:rPr>
                <w:sz w:val="24"/>
              </w:rPr>
              <w:t>噪声排放执行《工业企业厂界环境噪声排放标准》(GB12348-2008)</w:t>
            </w:r>
            <w:r>
              <w:rPr>
                <w:rFonts w:hint="eastAsia"/>
                <w:sz w:val="24"/>
              </w:rPr>
              <w:t>表1</w:t>
            </w:r>
            <w:r>
              <w:rPr>
                <w:sz w:val="24"/>
              </w:rPr>
              <w:t>中</w:t>
            </w:r>
            <w:r>
              <w:rPr>
                <w:rFonts w:hint="eastAsia"/>
                <w:sz w:val="24"/>
              </w:rPr>
              <w:t>3</w:t>
            </w:r>
            <w:r>
              <w:rPr>
                <w:sz w:val="24"/>
              </w:rPr>
              <w:t>类标准</w:t>
            </w:r>
            <w:r>
              <w:rPr>
                <w:rFonts w:hint="eastAsia"/>
                <w:sz w:val="24"/>
              </w:rPr>
              <w:t>，即</w:t>
            </w:r>
            <w:r>
              <w:rPr>
                <w:sz w:val="24"/>
              </w:rPr>
              <w:t>昼间≤</w:t>
            </w:r>
            <w:r>
              <w:rPr>
                <w:rFonts w:hint="eastAsia"/>
                <w:sz w:val="24"/>
              </w:rPr>
              <w:t>65</w:t>
            </w:r>
            <w:r>
              <w:rPr>
                <w:sz w:val="24"/>
              </w:rPr>
              <w:t>dB(A)、夜间≤5</w:t>
            </w:r>
            <w:r>
              <w:rPr>
                <w:rFonts w:hint="eastAsia"/>
                <w:sz w:val="24"/>
              </w:rPr>
              <w:t>5</w:t>
            </w:r>
            <w:r>
              <w:rPr>
                <w:sz w:val="24"/>
              </w:rPr>
              <w:t>dB(A)。</w:t>
            </w:r>
          </w:p>
          <w:p>
            <w:pPr>
              <w:adjustRightInd w:val="0"/>
              <w:snapToGrid w:val="0"/>
              <w:spacing w:line="500" w:lineRule="exact"/>
              <w:ind w:firstLine="480" w:firstLineChars="200"/>
              <w:rPr>
                <w:rFonts w:hint="eastAsia"/>
                <w:bCs/>
                <w:sz w:val="24"/>
              </w:rPr>
            </w:pPr>
            <w:r>
              <w:rPr>
                <w:rFonts w:hint="eastAsia"/>
                <w:bCs/>
                <w:sz w:val="24"/>
              </w:rPr>
              <w:t>3、废水排放标准</w:t>
            </w:r>
          </w:p>
          <w:p>
            <w:pPr>
              <w:adjustRightInd w:val="0"/>
              <w:snapToGrid w:val="0"/>
              <w:spacing w:line="500" w:lineRule="exact"/>
              <w:ind w:firstLine="480" w:firstLineChars="200"/>
              <w:rPr>
                <w:rFonts w:hint="eastAsia"/>
                <w:bCs/>
                <w:sz w:val="24"/>
              </w:rPr>
            </w:pPr>
            <w:r>
              <w:rPr>
                <w:rFonts w:hint="eastAsia"/>
                <w:bCs/>
                <w:sz w:val="24"/>
              </w:rPr>
              <w:t>本项目不涉及生产废水外排，生活污水依托现有项目，现有项目生活废水经化粪池处理后需同时达到</w:t>
            </w:r>
            <w:r>
              <w:rPr>
                <w:rFonts w:hint="eastAsia"/>
                <w:sz w:val="24"/>
              </w:rPr>
              <w:t>《污水综合排放标准》（</w:t>
            </w:r>
            <w:r>
              <w:rPr>
                <w:sz w:val="24"/>
              </w:rPr>
              <w:t>GB</w:t>
            </w:r>
            <w:r>
              <w:rPr>
                <w:rFonts w:hint="eastAsia"/>
                <w:sz w:val="24"/>
              </w:rPr>
              <w:t>8978</w:t>
            </w:r>
            <w:r>
              <w:rPr>
                <w:sz w:val="24"/>
              </w:rPr>
              <w:t>-</w:t>
            </w:r>
            <w:r>
              <w:rPr>
                <w:rFonts w:hint="eastAsia"/>
                <w:sz w:val="24"/>
              </w:rPr>
              <w:t>1996</w:t>
            </w:r>
            <w:r>
              <w:rPr>
                <w:sz w:val="24"/>
              </w:rPr>
              <w:t>）</w:t>
            </w:r>
            <w:r>
              <w:rPr>
                <w:rFonts w:hint="eastAsia"/>
                <w:sz w:val="24"/>
              </w:rPr>
              <w:t>表4中三级标准以及魏县经济开发区污水处理厂进水水质要求</w:t>
            </w:r>
            <w:r>
              <w:rPr>
                <w:rFonts w:hint="eastAsia"/>
                <w:bCs/>
                <w:sz w:val="24"/>
              </w:rPr>
              <w:t>。</w:t>
            </w:r>
          </w:p>
          <w:p>
            <w:pPr>
              <w:adjustRightInd w:val="0"/>
              <w:snapToGrid w:val="0"/>
              <w:spacing w:line="500" w:lineRule="exact"/>
              <w:ind w:firstLine="480" w:firstLineChars="200"/>
              <w:rPr>
                <w:rFonts w:hint="eastAsia"/>
                <w:bCs/>
                <w:sz w:val="24"/>
              </w:rPr>
            </w:pPr>
            <w:r>
              <w:rPr>
                <w:rFonts w:hint="eastAsia"/>
                <w:bCs/>
                <w:sz w:val="24"/>
              </w:rPr>
              <w:t>4</w:t>
            </w:r>
            <w:r>
              <w:rPr>
                <w:bCs/>
                <w:sz w:val="24"/>
              </w:rPr>
              <w:t>、固废</w:t>
            </w:r>
            <w:r>
              <w:rPr>
                <w:rFonts w:hint="eastAsia"/>
                <w:bCs/>
                <w:sz w:val="24"/>
              </w:rPr>
              <w:t>排放标准</w:t>
            </w:r>
          </w:p>
          <w:p>
            <w:pPr>
              <w:spacing w:line="500" w:lineRule="exact"/>
              <w:ind w:firstLine="480" w:firstLineChars="200"/>
              <w:jc w:val="left"/>
              <w:rPr>
                <w:bCs/>
                <w:sz w:val="24"/>
              </w:rPr>
            </w:pPr>
            <w:r>
              <w:rPr>
                <w:sz w:val="24"/>
              </w:rPr>
              <w:t>施工期建筑垃圾及运营期产生的一般工业固废处置参照执行《一般工业固体废物贮存</w:t>
            </w:r>
            <w:r>
              <w:rPr>
                <w:rFonts w:hint="eastAsia"/>
                <w:sz w:val="24"/>
              </w:rPr>
              <w:t>和填埋</w:t>
            </w:r>
            <w:r>
              <w:rPr>
                <w:sz w:val="24"/>
              </w:rPr>
              <w:t>污染控制标准》（GB18599-20</w:t>
            </w:r>
            <w:r>
              <w:rPr>
                <w:rFonts w:hint="eastAsia"/>
                <w:sz w:val="24"/>
              </w:rPr>
              <w:t>20</w:t>
            </w:r>
            <w:r>
              <w:rPr>
                <w:sz w:val="24"/>
              </w:rPr>
              <w:t>）。</w:t>
            </w:r>
          </w:p>
          <w:p>
            <w:pPr>
              <w:spacing w:line="500" w:lineRule="exact"/>
              <w:jc w:val="center"/>
            </w:pPr>
            <w:r>
              <w:rPr>
                <w:b/>
                <w:bCs/>
                <w:sz w:val="21"/>
                <w:szCs w:val="21"/>
              </w:rPr>
              <w:t>表</w:t>
            </w:r>
            <w:r>
              <w:rPr>
                <w:rFonts w:hint="eastAsia"/>
                <w:b/>
                <w:bCs/>
                <w:sz w:val="21"/>
                <w:szCs w:val="21"/>
              </w:rPr>
              <w:t xml:space="preserve"> </w:t>
            </w:r>
            <w:r>
              <w:rPr>
                <w:rFonts w:hint="eastAsia"/>
                <w:b/>
                <w:bCs/>
                <w:sz w:val="21"/>
                <w:szCs w:val="21"/>
                <w:lang w:val="en-US" w:eastAsia="zh-CN"/>
              </w:rPr>
              <w:t>14</w:t>
            </w:r>
            <w:r>
              <w:rPr>
                <w:rFonts w:hint="eastAsia"/>
                <w:b/>
                <w:bCs/>
                <w:sz w:val="21"/>
                <w:szCs w:val="21"/>
              </w:rPr>
              <w:t xml:space="preserve"> </w:t>
            </w:r>
            <w:r>
              <w:rPr>
                <w:b/>
                <w:bCs/>
                <w:sz w:val="21"/>
                <w:szCs w:val="21"/>
              </w:rPr>
              <w:t>本项目</w:t>
            </w:r>
            <w:r>
              <w:rPr>
                <w:rFonts w:hint="eastAsia"/>
                <w:b/>
                <w:bCs/>
                <w:sz w:val="21"/>
                <w:szCs w:val="21"/>
              </w:rPr>
              <w:t>运营期</w:t>
            </w:r>
            <w:r>
              <w:rPr>
                <w:b/>
                <w:bCs/>
                <w:sz w:val="21"/>
                <w:szCs w:val="21"/>
              </w:rPr>
              <w:t>污染物排放标准一览表</w:t>
            </w:r>
          </w:p>
          <w:tbl>
            <w:tblPr>
              <w:tblStyle w:val="24"/>
              <w:tblW w:w="494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8"/>
              <w:gridCol w:w="858"/>
              <w:gridCol w:w="984"/>
              <w:gridCol w:w="757"/>
              <w:gridCol w:w="631"/>
              <w:gridCol w:w="825"/>
              <w:gridCol w:w="38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756" w:type="pct"/>
                  <w:gridSpan w:val="2"/>
                  <w:vAlign w:val="center"/>
                </w:tcPr>
                <w:p>
                  <w:pPr>
                    <w:snapToGrid w:val="0"/>
                    <w:spacing w:line="320" w:lineRule="exact"/>
                    <w:jc w:val="center"/>
                    <w:rPr>
                      <w:color w:val="000000"/>
                      <w:szCs w:val="21"/>
                    </w:rPr>
                  </w:pPr>
                  <w:r>
                    <w:rPr>
                      <w:color w:val="000000"/>
                      <w:szCs w:val="21"/>
                    </w:rPr>
                    <w:t>污染源</w:t>
                  </w:r>
                </w:p>
              </w:tc>
              <w:tc>
                <w:tcPr>
                  <w:tcW w:w="593" w:type="pct"/>
                  <w:vAlign w:val="center"/>
                </w:tcPr>
                <w:p>
                  <w:pPr>
                    <w:snapToGrid w:val="0"/>
                    <w:spacing w:line="320" w:lineRule="exact"/>
                    <w:jc w:val="center"/>
                    <w:rPr>
                      <w:color w:val="000000"/>
                      <w:szCs w:val="21"/>
                    </w:rPr>
                  </w:pPr>
                  <w:r>
                    <w:rPr>
                      <w:color w:val="000000"/>
                      <w:szCs w:val="21"/>
                    </w:rPr>
                    <w:t>污染物</w:t>
                  </w:r>
                </w:p>
              </w:tc>
              <w:tc>
                <w:tcPr>
                  <w:tcW w:w="836" w:type="pct"/>
                  <w:gridSpan w:val="2"/>
                  <w:vAlign w:val="center"/>
                </w:tcPr>
                <w:p>
                  <w:pPr>
                    <w:snapToGrid w:val="0"/>
                    <w:spacing w:line="320" w:lineRule="exact"/>
                    <w:jc w:val="center"/>
                    <w:rPr>
                      <w:color w:val="000000"/>
                      <w:szCs w:val="21"/>
                    </w:rPr>
                  </w:pPr>
                  <w:r>
                    <w:rPr>
                      <w:color w:val="000000"/>
                      <w:szCs w:val="21"/>
                    </w:rPr>
                    <w:t>标准值</w:t>
                  </w:r>
                </w:p>
              </w:tc>
              <w:tc>
                <w:tcPr>
                  <w:tcW w:w="497" w:type="pct"/>
                  <w:vAlign w:val="center"/>
                </w:tcPr>
                <w:p>
                  <w:pPr>
                    <w:snapToGrid w:val="0"/>
                    <w:spacing w:line="320" w:lineRule="exact"/>
                    <w:jc w:val="center"/>
                    <w:rPr>
                      <w:color w:val="000000"/>
                      <w:szCs w:val="21"/>
                    </w:rPr>
                  </w:pPr>
                  <w:r>
                    <w:rPr>
                      <w:color w:val="000000"/>
                      <w:szCs w:val="21"/>
                    </w:rPr>
                    <w:t>单位</w:t>
                  </w:r>
                </w:p>
              </w:tc>
              <w:tc>
                <w:tcPr>
                  <w:tcW w:w="2316" w:type="pct"/>
                  <w:vAlign w:val="center"/>
                </w:tcPr>
                <w:p>
                  <w:pPr>
                    <w:snapToGrid w:val="0"/>
                    <w:spacing w:line="320" w:lineRule="exact"/>
                    <w:jc w:val="center"/>
                    <w:rPr>
                      <w:color w:val="000000"/>
                      <w:szCs w:val="21"/>
                    </w:rPr>
                  </w:pPr>
                  <w:r>
                    <w:rPr>
                      <w:color w:val="000000"/>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jc w:val="center"/>
              </w:trPr>
              <w:tc>
                <w:tcPr>
                  <w:tcW w:w="239" w:type="pct"/>
                  <w:vMerge w:val="restart"/>
                  <w:vAlign w:val="center"/>
                </w:tcPr>
                <w:p>
                  <w:pPr>
                    <w:spacing w:line="320" w:lineRule="exact"/>
                    <w:jc w:val="center"/>
                    <w:rPr>
                      <w:rFonts w:hint="eastAsia"/>
                    </w:rPr>
                  </w:pPr>
                  <w:r>
                    <w:rPr>
                      <w:rFonts w:hint="eastAsia"/>
                    </w:rPr>
                    <w:t>有组织废气</w:t>
                  </w:r>
                </w:p>
              </w:tc>
              <w:tc>
                <w:tcPr>
                  <w:tcW w:w="517" w:type="pct"/>
                  <w:vAlign w:val="center"/>
                </w:tcPr>
                <w:p>
                  <w:pPr>
                    <w:spacing w:line="320" w:lineRule="exact"/>
                    <w:jc w:val="center"/>
                    <w:rPr>
                      <w:rFonts w:hint="default" w:eastAsia="宋体"/>
                      <w:lang w:val="en-US" w:eastAsia="zh-CN"/>
                    </w:rPr>
                  </w:pPr>
                  <w:r>
                    <w:rPr>
                      <w:rFonts w:hint="eastAsia"/>
                      <w:lang w:val="en-US" w:eastAsia="zh-CN"/>
                    </w:rPr>
                    <w:t>骨料破碎、筛分</w:t>
                  </w:r>
                </w:p>
              </w:tc>
              <w:tc>
                <w:tcPr>
                  <w:tcW w:w="593" w:type="pct"/>
                  <w:vAlign w:val="center"/>
                </w:tcPr>
                <w:p>
                  <w:pPr>
                    <w:spacing w:line="320" w:lineRule="exact"/>
                    <w:jc w:val="center"/>
                    <w:rPr>
                      <w:rFonts w:hint="eastAsia"/>
                      <w:szCs w:val="21"/>
                    </w:rPr>
                  </w:pPr>
                  <w:r>
                    <w:rPr>
                      <w:rFonts w:hint="eastAsia"/>
                      <w:szCs w:val="21"/>
                    </w:rPr>
                    <w:t>颗粒物</w:t>
                  </w:r>
                </w:p>
              </w:tc>
              <w:tc>
                <w:tcPr>
                  <w:tcW w:w="456" w:type="pct"/>
                  <w:vMerge w:val="restart"/>
                  <w:vAlign w:val="center"/>
                </w:tcPr>
                <w:p>
                  <w:pPr>
                    <w:spacing w:line="320" w:lineRule="exact"/>
                    <w:jc w:val="center"/>
                    <w:rPr>
                      <w:rFonts w:hint="eastAsia"/>
                      <w:szCs w:val="21"/>
                    </w:rPr>
                  </w:pPr>
                  <w:r>
                    <w:rPr>
                      <w:rFonts w:hint="eastAsia"/>
                      <w:szCs w:val="21"/>
                    </w:rPr>
                    <w:t>排放浓度</w:t>
                  </w:r>
                </w:p>
              </w:tc>
              <w:tc>
                <w:tcPr>
                  <w:tcW w:w="380" w:type="pct"/>
                  <w:vMerge w:val="restart"/>
                  <w:vAlign w:val="center"/>
                </w:tcPr>
                <w:p>
                  <w:pPr>
                    <w:spacing w:line="320" w:lineRule="exact"/>
                    <w:jc w:val="center"/>
                    <w:rPr>
                      <w:szCs w:val="21"/>
                    </w:rPr>
                  </w:pPr>
                  <w:r>
                    <w:rPr>
                      <w:sz w:val="24"/>
                    </w:rPr>
                    <w:t>≤</w:t>
                  </w:r>
                  <w:r>
                    <w:rPr>
                      <w:rFonts w:hint="eastAsia"/>
                      <w:szCs w:val="21"/>
                    </w:rPr>
                    <w:t>10</w:t>
                  </w:r>
                </w:p>
              </w:tc>
              <w:tc>
                <w:tcPr>
                  <w:tcW w:w="497" w:type="pct"/>
                  <w:vMerge w:val="restart"/>
                  <w:vAlign w:val="center"/>
                </w:tcPr>
                <w:p>
                  <w:pPr>
                    <w:spacing w:line="320" w:lineRule="exact"/>
                    <w:jc w:val="center"/>
                    <w:rPr>
                      <w:szCs w:val="21"/>
                    </w:rPr>
                  </w:pPr>
                  <w:r>
                    <w:rPr>
                      <w:szCs w:val="21"/>
                    </w:rPr>
                    <w:t>mg/m</w:t>
                  </w:r>
                  <w:r>
                    <w:rPr>
                      <w:szCs w:val="21"/>
                      <w:vertAlign w:val="superscript"/>
                    </w:rPr>
                    <w:t>3</w:t>
                  </w:r>
                </w:p>
              </w:tc>
              <w:tc>
                <w:tcPr>
                  <w:tcW w:w="2316" w:type="pct"/>
                  <w:vMerge w:val="restart"/>
                  <w:vAlign w:val="center"/>
                </w:tcPr>
                <w:p>
                  <w:pPr>
                    <w:spacing w:line="320" w:lineRule="exact"/>
                    <w:jc w:val="center"/>
                    <w:rPr>
                      <w:szCs w:val="21"/>
                    </w:rPr>
                  </w:pPr>
                  <w:r>
                    <w:rPr>
                      <w:rFonts w:hint="eastAsia"/>
                      <w:bCs/>
                      <w:szCs w:val="21"/>
                    </w:rPr>
                    <w:t>《水泥工业大气污染物超低排放标准》（DB13/2167-2020）表1中散装水泥中转站及水泥制品生产过程中颗粒物有组织排放限值，即颗粒物</w:t>
                  </w:r>
                  <w:r>
                    <w:rPr>
                      <w:rFonts w:ascii="Arial" w:hAnsi="Arial" w:cs="Arial"/>
                      <w:bCs/>
                      <w:szCs w:val="21"/>
                    </w:rPr>
                    <w:t>≤</w:t>
                  </w:r>
                  <w:r>
                    <w:rPr>
                      <w:rFonts w:hint="eastAsia"/>
                      <w:bCs/>
                      <w:szCs w:val="21"/>
                    </w:rPr>
                    <w:t>10mg/m</w:t>
                  </w:r>
                  <w:r>
                    <w:rPr>
                      <w:rFonts w:hint="eastAsia"/>
                      <w:bCs/>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2" w:hRule="atLeast"/>
                <w:jc w:val="center"/>
              </w:trPr>
              <w:tc>
                <w:tcPr>
                  <w:tcW w:w="239" w:type="pct"/>
                  <w:vMerge w:val="continue"/>
                  <w:vAlign w:val="center"/>
                </w:tcPr>
                <w:p>
                  <w:pPr>
                    <w:spacing w:line="320" w:lineRule="exact"/>
                    <w:jc w:val="center"/>
                    <w:rPr>
                      <w:rFonts w:hint="eastAsia"/>
                    </w:rPr>
                  </w:pPr>
                </w:p>
              </w:tc>
              <w:tc>
                <w:tcPr>
                  <w:tcW w:w="517" w:type="pct"/>
                  <w:vAlign w:val="center"/>
                </w:tcPr>
                <w:p>
                  <w:pPr>
                    <w:spacing w:line="320" w:lineRule="exact"/>
                    <w:jc w:val="center"/>
                    <w:rPr>
                      <w:rFonts w:hint="eastAsia" w:eastAsia="宋体"/>
                      <w:lang w:eastAsia="zh-CN"/>
                    </w:rPr>
                  </w:pPr>
                  <w:r>
                    <w:rPr>
                      <w:rFonts w:hint="eastAsia"/>
                    </w:rPr>
                    <w:t>粉料仓</w:t>
                  </w:r>
                  <w:r>
                    <w:rPr>
                      <w:rFonts w:hint="eastAsia"/>
                      <w:lang w:val="en-US" w:eastAsia="zh-CN"/>
                    </w:rPr>
                    <w:t>呼吸</w:t>
                  </w:r>
                </w:p>
              </w:tc>
              <w:tc>
                <w:tcPr>
                  <w:tcW w:w="593" w:type="pct"/>
                  <w:vAlign w:val="center"/>
                </w:tcPr>
                <w:p>
                  <w:pPr>
                    <w:spacing w:line="320" w:lineRule="exact"/>
                    <w:jc w:val="center"/>
                    <w:rPr>
                      <w:rFonts w:hint="eastAsia"/>
                      <w:szCs w:val="21"/>
                    </w:rPr>
                  </w:pPr>
                  <w:r>
                    <w:rPr>
                      <w:rFonts w:hint="eastAsia"/>
                      <w:szCs w:val="21"/>
                    </w:rPr>
                    <w:t>颗粒物</w:t>
                  </w:r>
                </w:p>
              </w:tc>
              <w:tc>
                <w:tcPr>
                  <w:tcW w:w="456" w:type="pct"/>
                  <w:vMerge w:val="continue"/>
                  <w:vAlign w:val="center"/>
                </w:tcPr>
                <w:p>
                  <w:pPr>
                    <w:spacing w:line="320" w:lineRule="exact"/>
                    <w:jc w:val="center"/>
                    <w:rPr>
                      <w:rFonts w:hint="eastAsia"/>
                      <w:szCs w:val="21"/>
                    </w:rPr>
                  </w:pPr>
                </w:p>
              </w:tc>
              <w:tc>
                <w:tcPr>
                  <w:tcW w:w="380" w:type="pct"/>
                  <w:vMerge w:val="continue"/>
                  <w:vAlign w:val="center"/>
                </w:tcPr>
                <w:p>
                  <w:pPr>
                    <w:spacing w:line="320" w:lineRule="exact"/>
                    <w:jc w:val="center"/>
                    <w:rPr>
                      <w:szCs w:val="21"/>
                    </w:rPr>
                  </w:pPr>
                </w:p>
              </w:tc>
              <w:tc>
                <w:tcPr>
                  <w:tcW w:w="497" w:type="pct"/>
                  <w:vMerge w:val="continue"/>
                  <w:vAlign w:val="center"/>
                </w:tcPr>
                <w:p>
                  <w:pPr>
                    <w:spacing w:line="320" w:lineRule="exact"/>
                    <w:jc w:val="center"/>
                    <w:rPr>
                      <w:szCs w:val="21"/>
                    </w:rPr>
                  </w:pPr>
                </w:p>
              </w:tc>
              <w:tc>
                <w:tcPr>
                  <w:tcW w:w="2316" w:type="pct"/>
                  <w:vMerge w:val="continue"/>
                  <w:vAlign w:val="center"/>
                </w:tcPr>
                <w:p>
                  <w:pPr>
                    <w:spacing w:line="32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239" w:type="pct"/>
                  <w:vMerge w:val="continue"/>
                  <w:vAlign w:val="center"/>
                </w:tcPr>
                <w:p>
                  <w:pPr>
                    <w:spacing w:line="320" w:lineRule="exact"/>
                    <w:jc w:val="center"/>
                    <w:rPr>
                      <w:rFonts w:hint="eastAsia"/>
                    </w:rPr>
                  </w:pPr>
                </w:p>
              </w:tc>
              <w:tc>
                <w:tcPr>
                  <w:tcW w:w="517" w:type="pct"/>
                  <w:vAlign w:val="center"/>
                </w:tcPr>
                <w:p>
                  <w:pPr>
                    <w:spacing w:line="320" w:lineRule="exact"/>
                    <w:jc w:val="center"/>
                    <w:rPr>
                      <w:rFonts w:hint="eastAsia" w:eastAsia="宋体"/>
                      <w:lang w:eastAsia="zh-CN"/>
                    </w:rPr>
                  </w:pPr>
                  <w:r>
                    <w:rPr>
                      <w:rFonts w:hint="eastAsia"/>
                    </w:rPr>
                    <w:t>砂仓</w:t>
                  </w:r>
                  <w:r>
                    <w:rPr>
                      <w:rFonts w:hint="eastAsia"/>
                      <w:lang w:val="en-US" w:eastAsia="zh-CN"/>
                    </w:rPr>
                    <w:t>产尘</w:t>
                  </w:r>
                </w:p>
              </w:tc>
              <w:tc>
                <w:tcPr>
                  <w:tcW w:w="593" w:type="pct"/>
                  <w:vAlign w:val="center"/>
                </w:tcPr>
                <w:p>
                  <w:pPr>
                    <w:spacing w:line="320" w:lineRule="exact"/>
                    <w:jc w:val="center"/>
                    <w:rPr>
                      <w:rFonts w:hint="eastAsia"/>
                      <w:szCs w:val="21"/>
                    </w:rPr>
                  </w:pPr>
                  <w:r>
                    <w:rPr>
                      <w:rFonts w:hint="eastAsia"/>
                      <w:szCs w:val="21"/>
                    </w:rPr>
                    <w:t>颗粒物</w:t>
                  </w:r>
                </w:p>
              </w:tc>
              <w:tc>
                <w:tcPr>
                  <w:tcW w:w="456" w:type="pct"/>
                  <w:vMerge w:val="continue"/>
                  <w:vAlign w:val="center"/>
                </w:tcPr>
                <w:p>
                  <w:pPr>
                    <w:spacing w:line="320" w:lineRule="exact"/>
                    <w:jc w:val="center"/>
                    <w:rPr>
                      <w:rFonts w:hint="eastAsia"/>
                      <w:szCs w:val="21"/>
                    </w:rPr>
                  </w:pPr>
                </w:p>
              </w:tc>
              <w:tc>
                <w:tcPr>
                  <w:tcW w:w="380" w:type="pct"/>
                  <w:vMerge w:val="continue"/>
                  <w:vAlign w:val="center"/>
                </w:tcPr>
                <w:p>
                  <w:pPr>
                    <w:spacing w:line="320" w:lineRule="exact"/>
                    <w:jc w:val="center"/>
                    <w:rPr>
                      <w:szCs w:val="21"/>
                    </w:rPr>
                  </w:pPr>
                </w:p>
              </w:tc>
              <w:tc>
                <w:tcPr>
                  <w:tcW w:w="497" w:type="pct"/>
                  <w:vMerge w:val="continue"/>
                  <w:vAlign w:val="center"/>
                </w:tcPr>
                <w:p>
                  <w:pPr>
                    <w:spacing w:line="320" w:lineRule="exact"/>
                    <w:jc w:val="center"/>
                    <w:rPr>
                      <w:szCs w:val="21"/>
                    </w:rPr>
                  </w:pPr>
                </w:p>
              </w:tc>
              <w:tc>
                <w:tcPr>
                  <w:tcW w:w="2316" w:type="pct"/>
                  <w:vMerge w:val="continue"/>
                  <w:vAlign w:val="center"/>
                </w:tcPr>
                <w:p>
                  <w:pPr>
                    <w:spacing w:line="320" w:lineRule="exact"/>
                    <w:jc w:val="center"/>
                    <w:rPr>
                      <w:rFonts w:hint="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239" w:type="pct"/>
                  <w:vMerge w:val="continue"/>
                  <w:vAlign w:val="center"/>
                </w:tcPr>
                <w:p>
                  <w:pPr>
                    <w:spacing w:line="320" w:lineRule="exact"/>
                    <w:jc w:val="center"/>
                    <w:rPr>
                      <w:rFonts w:hint="eastAsia"/>
                    </w:rPr>
                  </w:pPr>
                </w:p>
              </w:tc>
              <w:tc>
                <w:tcPr>
                  <w:tcW w:w="517" w:type="pct"/>
                  <w:vAlign w:val="center"/>
                </w:tcPr>
                <w:p>
                  <w:pPr>
                    <w:spacing w:line="320" w:lineRule="exact"/>
                    <w:jc w:val="center"/>
                  </w:pPr>
                  <w:r>
                    <w:rPr>
                      <w:rFonts w:hint="eastAsia"/>
                    </w:rPr>
                    <w:t>搅拌工序</w:t>
                  </w:r>
                </w:p>
              </w:tc>
              <w:tc>
                <w:tcPr>
                  <w:tcW w:w="593" w:type="pct"/>
                  <w:vAlign w:val="center"/>
                </w:tcPr>
                <w:p>
                  <w:pPr>
                    <w:spacing w:line="320" w:lineRule="exact"/>
                    <w:jc w:val="center"/>
                    <w:rPr>
                      <w:rFonts w:hint="eastAsia"/>
                      <w:szCs w:val="21"/>
                    </w:rPr>
                  </w:pPr>
                  <w:r>
                    <w:rPr>
                      <w:rFonts w:hint="eastAsia"/>
                      <w:szCs w:val="21"/>
                    </w:rPr>
                    <w:t>颗粒物</w:t>
                  </w:r>
                </w:p>
              </w:tc>
              <w:tc>
                <w:tcPr>
                  <w:tcW w:w="456" w:type="pct"/>
                  <w:vMerge w:val="continue"/>
                  <w:vAlign w:val="center"/>
                </w:tcPr>
                <w:p>
                  <w:pPr>
                    <w:spacing w:line="320" w:lineRule="exact"/>
                    <w:jc w:val="center"/>
                    <w:rPr>
                      <w:rFonts w:hint="eastAsia"/>
                      <w:szCs w:val="21"/>
                    </w:rPr>
                  </w:pPr>
                </w:p>
              </w:tc>
              <w:tc>
                <w:tcPr>
                  <w:tcW w:w="380" w:type="pct"/>
                  <w:vMerge w:val="continue"/>
                  <w:vAlign w:val="center"/>
                </w:tcPr>
                <w:p>
                  <w:pPr>
                    <w:spacing w:line="320" w:lineRule="exact"/>
                    <w:jc w:val="center"/>
                    <w:rPr>
                      <w:szCs w:val="21"/>
                    </w:rPr>
                  </w:pPr>
                </w:p>
              </w:tc>
              <w:tc>
                <w:tcPr>
                  <w:tcW w:w="497" w:type="pct"/>
                  <w:vMerge w:val="continue"/>
                  <w:vAlign w:val="center"/>
                </w:tcPr>
                <w:p>
                  <w:pPr>
                    <w:spacing w:line="320" w:lineRule="exact"/>
                    <w:jc w:val="center"/>
                    <w:rPr>
                      <w:szCs w:val="21"/>
                    </w:rPr>
                  </w:pPr>
                </w:p>
              </w:tc>
              <w:tc>
                <w:tcPr>
                  <w:tcW w:w="2316" w:type="pct"/>
                  <w:vMerge w:val="continue"/>
                  <w:vAlign w:val="center"/>
                </w:tcPr>
                <w:p>
                  <w:pPr>
                    <w:spacing w:line="320" w:lineRule="exact"/>
                    <w:jc w:val="center"/>
                    <w:rPr>
                      <w:rFonts w:hint="eastAsia"/>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756" w:type="pct"/>
                  <w:gridSpan w:val="2"/>
                  <w:vAlign w:val="center"/>
                </w:tcPr>
                <w:p>
                  <w:pPr>
                    <w:spacing w:line="240" w:lineRule="auto"/>
                    <w:jc w:val="center"/>
                    <w:rPr>
                      <w:rFonts w:hint="eastAsia"/>
                      <w:kern w:val="24"/>
                      <w:szCs w:val="21"/>
                    </w:rPr>
                  </w:pPr>
                  <w:r>
                    <w:rPr>
                      <w:rFonts w:hint="eastAsia"/>
                      <w:kern w:val="24"/>
                      <w:szCs w:val="21"/>
                    </w:rPr>
                    <w:t>无组织废气</w:t>
                  </w:r>
                </w:p>
              </w:tc>
              <w:tc>
                <w:tcPr>
                  <w:tcW w:w="593" w:type="pct"/>
                  <w:vAlign w:val="center"/>
                </w:tcPr>
                <w:p>
                  <w:pPr>
                    <w:jc w:val="center"/>
                    <w:rPr>
                      <w:rFonts w:hint="eastAsia"/>
                      <w:kern w:val="24"/>
                      <w:szCs w:val="21"/>
                    </w:rPr>
                  </w:pPr>
                  <w:r>
                    <w:rPr>
                      <w:rFonts w:hint="eastAsia"/>
                      <w:kern w:val="24"/>
                      <w:szCs w:val="21"/>
                    </w:rPr>
                    <w:t>颗粒物</w:t>
                  </w:r>
                </w:p>
              </w:tc>
              <w:tc>
                <w:tcPr>
                  <w:tcW w:w="456" w:type="pct"/>
                  <w:vAlign w:val="center"/>
                </w:tcPr>
                <w:p>
                  <w:pPr>
                    <w:jc w:val="center"/>
                    <w:rPr>
                      <w:rFonts w:hint="eastAsia"/>
                      <w:kern w:val="24"/>
                      <w:szCs w:val="21"/>
                    </w:rPr>
                  </w:pPr>
                  <w:r>
                    <w:rPr>
                      <w:szCs w:val="21"/>
                    </w:rPr>
                    <w:t>排放</w:t>
                  </w:r>
                  <w:r>
                    <w:rPr>
                      <w:rFonts w:hint="eastAsia"/>
                      <w:kern w:val="24"/>
                      <w:szCs w:val="21"/>
                    </w:rPr>
                    <w:t>浓度</w:t>
                  </w:r>
                </w:p>
              </w:tc>
              <w:tc>
                <w:tcPr>
                  <w:tcW w:w="380" w:type="pct"/>
                  <w:vAlign w:val="center"/>
                </w:tcPr>
                <w:p>
                  <w:pPr>
                    <w:jc w:val="center"/>
                    <w:rPr>
                      <w:kern w:val="24"/>
                      <w:szCs w:val="21"/>
                    </w:rPr>
                  </w:pPr>
                  <w:r>
                    <w:rPr>
                      <w:sz w:val="24"/>
                    </w:rPr>
                    <w:t>≤</w:t>
                  </w:r>
                  <w:r>
                    <w:rPr>
                      <w:rFonts w:hint="eastAsia"/>
                      <w:kern w:val="24"/>
                      <w:szCs w:val="21"/>
                    </w:rPr>
                    <w:t>0.5</w:t>
                  </w:r>
                </w:p>
              </w:tc>
              <w:tc>
                <w:tcPr>
                  <w:tcW w:w="497" w:type="pct"/>
                  <w:vAlign w:val="center"/>
                </w:tcPr>
                <w:p>
                  <w:pPr>
                    <w:jc w:val="center"/>
                    <w:rPr>
                      <w:kern w:val="24"/>
                      <w:szCs w:val="21"/>
                    </w:rPr>
                  </w:pPr>
                  <w:r>
                    <w:rPr>
                      <w:color w:val="000000"/>
                      <w:szCs w:val="21"/>
                    </w:rPr>
                    <w:t>mg/m</w:t>
                  </w:r>
                  <w:r>
                    <w:rPr>
                      <w:color w:val="000000"/>
                      <w:szCs w:val="21"/>
                      <w:vertAlign w:val="superscript"/>
                    </w:rPr>
                    <w:t>3</w:t>
                  </w:r>
                </w:p>
              </w:tc>
              <w:tc>
                <w:tcPr>
                  <w:tcW w:w="2316" w:type="pct"/>
                  <w:vAlign w:val="center"/>
                </w:tcPr>
                <w:p>
                  <w:pPr>
                    <w:spacing w:line="240" w:lineRule="auto"/>
                    <w:jc w:val="center"/>
                    <w:rPr>
                      <w:kern w:val="24"/>
                      <w:szCs w:val="21"/>
                    </w:rPr>
                  </w:pPr>
                  <w:r>
                    <w:rPr>
                      <w:rFonts w:hint="eastAsia"/>
                      <w:bCs/>
                      <w:szCs w:val="21"/>
                    </w:rPr>
                    <w:t>《水泥工业大气污染物超低排放标准》（DB13/2167-2020）表2大气污染物无组织排放限值监控点与参照点总悬浮颗粒物（TSP）1h浓度值的差值，即颗粒物</w:t>
                  </w:r>
                  <w:r>
                    <w:rPr>
                      <w:rFonts w:ascii="Arial" w:hAnsi="Arial" w:cs="Arial"/>
                      <w:bCs/>
                      <w:szCs w:val="21"/>
                    </w:rPr>
                    <w:t>≤</w:t>
                  </w:r>
                  <w:r>
                    <w:rPr>
                      <w:rFonts w:hint="eastAsia"/>
                      <w:bCs/>
                      <w:szCs w:val="21"/>
                    </w:rPr>
                    <w:t>0.5mg/m</w:t>
                  </w:r>
                  <w:r>
                    <w:rPr>
                      <w:rFonts w:hint="eastAsia"/>
                      <w:bCs/>
                      <w:szCs w:val="21"/>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 w:hRule="atLeast"/>
                <w:jc w:val="center"/>
              </w:trPr>
              <w:tc>
                <w:tcPr>
                  <w:tcW w:w="756" w:type="pct"/>
                  <w:gridSpan w:val="2"/>
                  <w:vAlign w:val="center"/>
                </w:tcPr>
                <w:p>
                  <w:pPr>
                    <w:jc w:val="center"/>
                    <w:rPr>
                      <w:rFonts w:hint="eastAsia"/>
                      <w:kern w:val="24"/>
                      <w:szCs w:val="21"/>
                    </w:rPr>
                  </w:pPr>
                  <w:r>
                    <w:rPr>
                      <w:rFonts w:hint="eastAsia"/>
                      <w:kern w:val="24"/>
                      <w:szCs w:val="21"/>
                    </w:rPr>
                    <w:t>废水</w:t>
                  </w:r>
                </w:p>
              </w:tc>
              <w:tc>
                <w:tcPr>
                  <w:tcW w:w="4243" w:type="pct"/>
                  <w:gridSpan w:val="5"/>
                  <w:vAlign w:val="center"/>
                </w:tcPr>
                <w:p>
                  <w:pPr>
                    <w:jc w:val="center"/>
                    <w:rPr>
                      <w:kern w:val="24"/>
                      <w:szCs w:val="21"/>
                    </w:rPr>
                  </w:pPr>
                  <w:r>
                    <w:rPr>
                      <w:rFonts w:hint="eastAsia"/>
                      <w:kern w:val="24"/>
                      <w:szCs w:val="21"/>
                    </w:rPr>
                    <w:t>本项目无生产废水外排，生活污水、车辆清洗废水依托现有工程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756" w:type="pct"/>
                  <w:gridSpan w:val="2"/>
                  <w:vAlign w:val="center"/>
                </w:tcPr>
                <w:p>
                  <w:pPr>
                    <w:jc w:val="center"/>
                    <w:rPr>
                      <w:kern w:val="24"/>
                      <w:szCs w:val="21"/>
                    </w:rPr>
                  </w:pPr>
                  <w:r>
                    <w:rPr>
                      <w:rFonts w:hint="eastAsia"/>
                      <w:kern w:val="24"/>
                      <w:szCs w:val="21"/>
                    </w:rPr>
                    <w:t>厂界</w:t>
                  </w:r>
                  <w:r>
                    <w:rPr>
                      <w:kern w:val="24"/>
                      <w:szCs w:val="21"/>
                    </w:rPr>
                    <w:t>噪声</w:t>
                  </w:r>
                </w:p>
              </w:tc>
              <w:tc>
                <w:tcPr>
                  <w:tcW w:w="593" w:type="pct"/>
                  <w:vAlign w:val="center"/>
                </w:tcPr>
                <w:p>
                  <w:pPr>
                    <w:jc w:val="center"/>
                    <w:rPr>
                      <w:rFonts w:hint="eastAsia"/>
                      <w:kern w:val="24"/>
                      <w:szCs w:val="21"/>
                    </w:rPr>
                  </w:pPr>
                  <w:r>
                    <w:rPr>
                      <w:kern w:val="24"/>
                      <w:szCs w:val="21"/>
                    </w:rPr>
                    <w:t>Leq</w:t>
                  </w:r>
                </w:p>
              </w:tc>
              <w:tc>
                <w:tcPr>
                  <w:tcW w:w="1333" w:type="pct"/>
                  <w:gridSpan w:val="3"/>
                  <w:vAlign w:val="center"/>
                </w:tcPr>
                <w:p>
                  <w:pPr>
                    <w:jc w:val="center"/>
                    <w:rPr>
                      <w:kern w:val="24"/>
                      <w:szCs w:val="21"/>
                    </w:rPr>
                  </w:pPr>
                  <w:r>
                    <w:rPr>
                      <w:kern w:val="24"/>
                      <w:szCs w:val="21"/>
                    </w:rPr>
                    <w:t>昼间</w:t>
                  </w:r>
                  <w:r>
                    <w:rPr>
                      <w:rFonts w:hint="eastAsia"/>
                      <w:kern w:val="24"/>
                      <w:szCs w:val="21"/>
                    </w:rPr>
                    <w:t>65</w:t>
                  </w:r>
                  <w:r>
                    <w:rPr>
                      <w:kern w:val="24"/>
                      <w:szCs w:val="21"/>
                    </w:rPr>
                    <w:t>dB（A）</w:t>
                  </w:r>
                </w:p>
                <w:p>
                  <w:pPr>
                    <w:spacing w:line="240" w:lineRule="auto"/>
                    <w:jc w:val="center"/>
                    <w:rPr>
                      <w:kern w:val="24"/>
                      <w:szCs w:val="21"/>
                    </w:rPr>
                  </w:pPr>
                  <w:r>
                    <w:rPr>
                      <w:kern w:val="24"/>
                      <w:szCs w:val="21"/>
                    </w:rPr>
                    <w:t>夜间</w:t>
                  </w:r>
                  <w:r>
                    <w:rPr>
                      <w:rFonts w:hint="eastAsia"/>
                      <w:kern w:val="24"/>
                      <w:szCs w:val="21"/>
                    </w:rPr>
                    <w:t>55</w:t>
                  </w:r>
                  <w:r>
                    <w:rPr>
                      <w:kern w:val="24"/>
                      <w:szCs w:val="21"/>
                    </w:rPr>
                    <w:t>dB（A）</w:t>
                  </w:r>
                </w:p>
              </w:tc>
              <w:tc>
                <w:tcPr>
                  <w:tcW w:w="2316" w:type="pct"/>
                  <w:vAlign w:val="center"/>
                </w:tcPr>
                <w:p>
                  <w:pPr>
                    <w:spacing w:line="240" w:lineRule="auto"/>
                    <w:jc w:val="center"/>
                    <w:rPr>
                      <w:kern w:val="24"/>
                      <w:szCs w:val="21"/>
                    </w:rPr>
                  </w:pPr>
                  <w:r>
                    <w:rPr>
                      <w:kern w:val="24"/>
                      <w:szCs w:val="21"/>
                    </w:rPr>
                    <w:t>《工业企业厂界环境噪声排放标准》(GB12348-2008)</w:t>
                  </w:r>
                  <w:r>
                    <w:rPr>
                      <w:rFonts w:hint="eastAsia"/>
                      <w:kern w:val="24"/>
                      <w:szCs w:val="21"/>
                    </w:rPr>
                    <w:t>3</w:t>
                  </w:r>
                  <w:r>
                    <w:rPr>
                      <w:kern w:val="24"/>
                      <w:szCs w:val="21"/>
                    </w:rPr>
                    <w:t>类标准</w:t>
                  </w:r>
                </w:p>
              </w:tc>
            </w:tr>
          </w:tbl>
          <w:p>
            <w:pPr>
              <w:adjustRightInd w:val="0"/>
              <w:snapToGrid w:val="0"/>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438" w:type="dxa"/>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623" w:type="dxa"/>
            <w:vAlign w:val="center"/>
          </w:tcPr>
          <w:p>
            <w:pPr>
              <w:spacing w:line="500" w:lineRule="exact"/>
              <w:ind w:firstLine="480" w:firstLineChars="200"/>
              <w:rPr>
                <w:sz w:val="24"/>
                <w:szCs w:val="32"/>
              </w:rPr>
            </w:pPr>
            <w:r>
              <w:rPr>
                <w:sz w:val="24"/>
                <w:szCs w:val="32"/>
              </w:rPr>
              <w:t>根据</w:t>
            </w:r>
            <w:r>
              <w:rPr>
                <w:rFonts w:hint="eastAsia" w:ascii="宋体" w:hAnsi="宋体" w:cs="宋体"/>
                <w:sz w:val="24"/>
                <w:szCs w:val="32"/>
              </w:rPr>
              <w:t>“十三五”</w:t>
            </w:r>
            <w:r>
              <w:rPr>
                <w:sz w:val="24"/>
                <w:szCs w:val="32"/>
              </w:rPr>
              <w:t>期间污染物排放总量控制指标，并结合本项目排污染物特征，确定以下污染物为本项目总量控制因子为：COD、NH</w:t>
            </w:r>
            <w:r>
              <w:rPr>
                <w:sz w:val="24"/>
                <w:szCs w:val="32"/>
                <w:vertAlign w:val="subscript"/>
              </w:rPr>
              <w:t>3</w:t>
            </w:r>
            <w:r>
              <w:rPr>
                <w:sz w:val="24"/>
                <w:szCs w:val="32"/>
              </w:rPr>
              <w:t>-N、SO</w:t>
            </w:r>
            <w:r>
              <w:rPr>
                <w:sz w:val="24"/>
                <w:szCs w:val="32"/>
                <w:vertAlign w:val="subscript"/>
              </w:rPr>
              <w:t>2</w:t>
            </w:r>
            <w:r>
              <w:rPr>
                <w:sz w:val="24"/>
                <w:szCs w:val="32"/>
              </w:rPr>
              <w:t>、NOx。</w:t>
            </w:r>
          </w:p>
          <w:p>
            <w:pPr>
              <w:spacing w:line="500" w:lineRule="exact"/>
              <w:ind w:firstLine="480" w:firstLineChars="200"/>
              <w:rPr>
                <w:rFonts w:hint="eastAsia"/>
                <w:sz w:val="24"/>
                <w:szCs w:val="32"/>
              </w:rPr>
            </w:pPr>
            <w:r>
              <w:rPr>
                <w:rFonts w:hint="eastAsia"/>
                <w:sz w:val="24"/>
                <w:szCs w:val="32"/>
              </w:rPr>
              <w:t>本项目无废水外排。</w:t>
            </w:r>
          </w:p>
          <w:p>
            <w:pPr>
              <w:spacing w:line="500" w:lineRule="exact"/>
              <w:ind w:firstLine="480" w:firstLineChars="200"/>
              <w:rPr>
                <w:rFonts w:hint="eastAsia"/>
                <w:color w:val="000000"/>
                <w:sz w:val="24"/>
                <w:szCs w:val="32"/>
              </w:rPr>
            </w:pPr>
            <w:r>
              <w:rPr>
                <w:rFonts w:hint="eastAsia"/>
                <w:color w:val="000000"/>
                <w:sz w:val="24"/>
                <w:szCs w:val="32"/>
              </w:rPr>
              <w:t>本项目污染物排放总量控制指标达标排放值为：SO</w:t>
            </w:r>
            <w:r>
              <w:rPr>
                <w:rFonts w:hint="eastAsia"/>
                <w:color w:val="000000"/>
                <w:sz w:val="24"/>
                <w:szCs w:val="32"/>
                <w:vertAlign w:val="subscript"/>
              </w:rPr>
              <w:t>2</w:t>
            </w:r>
            <w:r>
              <w:rPr>
                <w:rFonts w:hint="eastAsia"/>
                <w:color w:val="000000"/>
                <w:sz w:val="24"/>
                <w:szCs w:val="32"/>
              </w:rPr>
              <w:t>：0t/a、NOx：0t/a、COD：0t/a、NH</w:t>
            </w:r>
            <w:r>
              <w:rPr>
                <w:rFonts w:hint="eastAsia"/>
                <w:color w:val="000000"/>
                <w:sz w:val="24"/>
                <w:szCs w:val="32"/>
                <w:vertAlign w:val="subscript"/>
              </w:rPr>
              <w:t>3</w:t>
            </w:r>
            <w:r>
              <w:rPr>
                <w:rFonts w:hint="eastAsia"/>
                <w:color w:val="000000"/>
                <w:sz w:val="24"/>
                <w:szCs w:val="32"/>
              </w:rPr>
              <w:t>-N：0t/a。</w:t>
            </w:r>
          </w:p>
          <w:p>
            <w:pPr>
              <w:pStyle w:val="49"/>
              <w:spacing w:line="480" w:lineRule="exact"/>
              <w:ind w:firstLine="480" w:firstLineChars="200"/>
              <w:jc w:val="left"/>
              <w:rPr>
                <w:rFonts w:ascii="Times New Roman" w:hAnsi="Times New Roman" w:cs="Times New Roman"/>
                <w:color w:val="000000"/>
                <w:sz w:val="24"/>
              </w:rPr>
            </w:pPr>
            <w:r>
              <w:rPr>
                <w:rFonts w:ascii="Times New Roman" w:hAnsi="Times New Roman" w:cs="Times New Roman"/>
                <w:color w:val="000000"/>
                <w:sz w:val="24"/>
              </w:rPr>
              <w:t>根据《邯郸市建设项目主要污染物总量指标确认书（试行）》（邯总量确认（201</w:t>
            </w:r>
            <w:r>
              <w:rPr>
                <w:rFonts w:hint="eastAsia" w:ascii="Times New Roman" w:hAnsi="Times New Roman" w:cs="Times New Roman"/>
                <w:color w:val="000000"/>
                <w:sz w:val="24"/>
              </w:rPr>
              <w:t>9</w:t>
            </w:r>
            <w:r>
              <w:rPr>
                <w:rFonts w:ascii="Times New Roman" w:hAnsi="Times New Roman" w:cs="Times New Roman"/>
                <w:color w:val="000000"/>
                <w:sz w:val="24"/>
              </w:rPr>
              <w:t>/0</w:t>
            </w:r>
            <w:r>
              <w:rPr>
                <w:rFonts w:hint="eastAsia" w:ascii="Times New Roman" w:hAnsi="Times New Roman" w:cs="Times New Roman"/>
                <w:color w:val="000000"/>
                <w:sz w:val="24"/>
              </w:rPr>
              <w:t>051</w:t>
            </w:r>
            <w:r>
              <w:rPr>
                <w:rFonts w:ascii="Times New Roman" w:hAnsi="Times New Roman" w:cs="Times New Roman"/>
                <w:color w:val="000000"/>
                <w:sz w:val="24"/>
              </w:rPr>
              <w:t>号））内容显示，</w:t>
            </w:r>
            <w:r>
              <w:rPr>
                <w:rFonts w:hint="eastAsia" w:ascii="Times New Roman" w:hAnsi="Times New Roman" w:cs="Times New Roman"/>
                <w:color w:val="000000"/>
                <w:sz w:val="24"/>
              </w:rPr>
              <w:t>河北琪发商砼有限公司</w:t>
            </w:r>
            <w:r>
              <w:rPr>
                <w:rFonts w:ascii="Times New Roman" w:hAnsi="Times New Roman" w:cs="Times New Roman"/>
                <w:color w:val="000000"/>
                <w:sz w:val="24"/>
              </w:rPr>
              <w:t>现有工程污染物总量控制指标为COD：</w:t>
            </w:r>
            <w:r>
              <w:rPr>
                <w:rFonts w:hint="eastAsia" w:ascii="Times New Roman" w:hAnsi="Times New Roman" w:cs="Times New Roman"/>
                <w:color w:val="000000"/>
                <w:sz w:val="24"/>
              </w:rPr>
              <w:t>0.223t/a</w:t>
            </w:r>
            <w:r>
              <w:rPr>
                <w:rFonts w:ascii="Times New Roman" w:hAnsi="Times New Roman" w:cs="Times New Roman"/>
                <w:color w:val="000000"/>
                <w:sz w:val="24"/>
              </w:rPr>
              <w:t>t/a；NH</w:t>
            </w:r>
            <w:r>
              <w:rPr>
                <w:rFonts w:ascii="Times New Roman" w:hAnsi="Times New Roman" w:cs="Times New Roman"/>
                <w:color w:val="000000"/>
                <w:sz w:val="24"/>
                <w:vertAlign w:val="subscript"/>
              </w:rPr>
              <w:t>3</w:t>
            </w:r>
            <w:r>
              <w:rPr>
                <w:rFonts w:ascii="Times New Roman" w:hAnsi="Times New Roman" w:cs="Times New Roman"/>
                <w:color w:val="000000"/>
                <w:sz w:val="24"/>
              </w:rPr>
              <w:t>-N：</w:t>
            </w:r>
            <w:r>
              <w:rPr>
                <w:rFonts w:hint="eastAsia" w:ascii="Times New Roman" w:hAnsi="Times New Roman" w:cs="Times New Roman"/>
                <w:color w:val="000000"/>
                <w:sz w:val="24"/>
              </w:rPr>
              <w:t>0.026</w:t>
            </w:r>
            <w:r>
              <w:rPr>
                <w:rFonts w:ascii="Times New Roman" w:hAnsi="Times New Roman" w:cs="Times New Roman"/>
                <w:color w:val="000000"/>
                <w:sz w:val="24"/>
              </w:rPr>
              <w:t>t/a；SO</w:t>
            </w:r>
            <w:r>
              <w:rPr>
                <w:rFonts w:ascii="Times New Roman" w:hAnsi="Times New Roman" w:cs="Times New Roman"/>
                <w:color w:val="000000"/>
                <w:sz w:val="24"/>
                <w:vertAlign w:val="subscript"/>
              </w:rPr>
              <w:t>2</w:t>
            </w:r>
            <w:r>
              <w:rPr>
                <w:rFonts w:ascii="Times New Roman" w:hAnsi="Times New Roman" w:cs="Times New Roman"/>
                <w:color w:val="000000"/>
                <w:sz w:val="24"/>
              </w:rPr>
              <w:t>：</w:t>
            </w:r>
            <w:r>
              <w:rPr>
                <w:rFonts w:hint="eastAsia" w:ascii="Times New Roman" w:hAnsi="Times New Roman" w:cs="Times New Roman"/>
                <w:color w:val="000000"/>
                <w:sz w:val="24"/>
              </w:rPr>
              <w:t>0</w:t>
            </w:r>
            <w:r>
              <w:rPr>
                <w:rFonts w:ascii="Times New Roman" w:hAnsi="Times New Roman" w:cs="Times New Roman"/>
                <w:color w:val="000000"/>
                <w:sz w:val="24"/>
              </w:rPr>
              <w:t>t/a；NO</w:t>
            </w:r>
            <w:r>
              <w:rPr>
                <w:rFonts w:ascii="Times New Roman" w:hAnsi="Times New Roman" w:cs="Times New Roman"/>
                <w:color w:val="000000"/>
                <w:sz w:val="24"/>
                <w:vertAlign w:val="subscript"/>
              </w:rPr>
              <w:t>x</w:t>
            </w:r>
            <w:r>
              <w:rPr>
                <w:rFonts w:ascii="Times New Roman" w:hAnsi="Times New Roman" w:cs="Times New Roman"/>
                <w:color w:val="000000"/>
                <w:sz w:val="24"/>
              </w:rPr>
              <w:t>：</w:t>
            </w:r>
            <w:r>
              <w:rPr>
                <w:rFonts w:hint="eastAsia" w:ascii="Times New Roman" w:hAnsi="Times New Roman" w:cs="Times New Roman"/>
                <w:color w:val="000000"/>
                <w:sz w:val="24"/>
              </w:rPr>
              <w:t>0</w:t>
            </w:r>
            <w:r>
              <w:rPr>
                <w:rFonts w:ascii="Times New Roman" w:hAnsi="Times New Roman" w:cs="Times New Roman"/>
                <w:color w:val="000000"/>
                <w:sz w:val="24"/>
              </w:rPr>
              <w:t>t/a。</w:t>
            </w:r>
          </w:p>
          <w:p>
            <w:pPr>
              <w:pStyle w:val="2"/>
              <w:spacing w:line="480" w:lineRule="exact"/>
              <w:ind w:firstLine="480" w:firstLineChars="200"/>
              <w:rPr>
                <w:rFonts w:hint="eastAsia"/>
                <w:color w:val="000000"/>
                <w:sz w:val="24"/>
              </w:rPr>
            </w:pPr>
            <w:r>
              <w:rPr>
                <w:rFonts w:hint="eastAsia"/>
                <w:color w:val="000000"/>
                <w:sz w:val="24"/>
              </w:rPr>
              <w:t>本项目完成后，全厂</w:t>
            </w:r>
            <w:r>
              <w:rPr>
                <w:color w:val="000000"/>
                <w:sz w:val="24"/>
              </w:rPr>
              <w:t>污染物排放总量控制指标为</w:t>
            </w:r>
            <w:r>
              <w:rPr>
                <w:rFonts w:hint="eastAsia"/>
                <w:color w:val="000000"/>
                <w:sz w:val="24"/>
              </w:rPr>
              <w:t>：</w:t>
            </w:r>
          </w:p>
          <w:p>
            <w:pPr>
              <w:pStyle w:val="2"/>
              <w:spacing w:line="480" w:lineRule="exact"/>
              <w:ind w:firstLine="480" w:firstLineChars="200"/>
              <w:rPr>
                <w:rFonts w:hint="eastAsia"/>
                <w:color w:val="000000"/>
                <w:sz w:val="24"/>
                <w:szCs w:val="32"/>
              </w:rPr>
            </w:pPr>
            <w:r>
              <w:rPr>
                <w:color w:val="000000"/>
                <w:sz w:val="24"/>
              </w:rPr>
              <w:t>COD：</w:t>
            </w:r>
            <w:r>
              <w:rPr>
                <w:rFonts w:hint="eastAsia"/>
                <w:color w:val="000000"/>
                <w:sz w:val="24"/>
              </w:rPr>
              <w:t>0.223t/a</w:t>
            </w:r>
            <w:r>
              <w:rPr>
                <w:color w:val="000000"/>
                <w:sz w:val="24"/>
              </w:rPr>
              <w:t>t/a</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0.026</w:t>
            </w:r>
            <w:r>
              <w:rPr>
                <w:color w:val="000000"/>
                <w:sz w:val="24"/>
              </w:rPr>
              <w:t>t/a</w:t>
            </w:r>
            <w:r>
              <w:rPr>
                <w:rFonts w:hint="eastAsia"/>
                <w:color w:val="000000"/>
                <w:sz w:val="24"/>
              </w:rPr>
              <w:t>、</w:t>
            </w:r>
            <w:r>
              <w:rPr>
                <w:color w:val="000000"/>
                <w:sz w:val="24"/>
              </w:rPr>
              <w:t>SO</w:t>
            </w:r>
            <w:r>
              <w:rPr>
                <w:color w:val="000000"/>
                <w:sz w:val="24"/>
                <w:vertAlign w:val="subscript"/>
              </w:rPr>
              <w:t>2</w:t>
            </w:r>
            <w:r>
              <w:rPr>
                <w:rFonts w:hint="eastAsia"/>
                <w:color w:val="000000"/>
                <w:sz w:val="24"/>
              </w:rPr>
              <w:t>0</w:t>
            </w:r>
            <w:r>
              <w:rPr>
                <w:color w:val="000000"/>
                <w:sz w:val="24"/>
              </w:rPr>
              <w:t>t/a</w:t>
            </w:r>
            <w:r>
              <w:rPr>
                <w:rFonts w:hint="eastAsia"/>
                <w:color w:val="000000"/>
                <w:sz w:val="24"/>
              </w:rPr>
              <w:t>、</w:t>
            </w:r>
            <w:r>
              <w:rPr>
                <w:color w:val="000000"/>
                <w:sz w:val="24"/>
              </w:rPr>
              <w:t>NOx</w:t>
            </w:r>
            <w:r>
              <w:rPr>
                <w:rFonts w:hint="eastAsia"/>
                <w:color w:val="000000"/>
                <w:sz w:val="24"/>
              </w:rPr>
              <w:t>0</w:t>
            </w:r>
            <w:r>
              <w:rPr>
                <w:color w:val="000000"/>
                <w:sz w:val="24"/>
              </w:rPr>
              <w:t>t/a</w:t>
            </w:r>
            <w:r>
              <w:rPr>
                <w:rFonts w:hint="eastAsia"/>
                <w:color w:val="000000"/>
                <w:sz w:val="24"/>
              </w:rPr>
              <w:t>。</w:t>
            </w:r>
          </w:p>
        </w:tc>
      </w:tr>
    </w:tbl>
    <w:p>
      <w:pPr>
        <w:pStyle w:val="19"/>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9" w:hRule="atLeast"/>
          <w:jc w:val="center"/>
        </w:trPr>
        <w:tc>
          <w:tcPr>
            <w:tcW w:w="746" w:type="dxa"/>
            <w:tcMar>
              <w:left w:w="28" w:type="dxa"/>
              <w:right w:w="28" w:type="dxa"/>
            </w:tcMar>
            <w:vAlign w:val="center"/>
          </w:tcPr>
          <w:p>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19"/>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62" w:type="dxa"/>
            <w:vAlign w:val="center"/>
          </w:tcPr>
          <w:p>
            <w:pPr>
              <w:ind w:firstLine="480" w:firstLineChars="200"/>
              <w:jc w:val="left"/>
              <w:rPr>
                <w:sz w:val="24"/>
              </w:rPr>
            </w:pPr>
            <w:r>
              <w:rPr>
                <w:sz w:val="24"/>
              </w:rPr>
              <w:t>本</w:t>
            </w:r>
            <w:r>
              <w:rPr>
                <w:rFonts w:hint="eastAsia"/>
                <w:sz w:val="24"/>
              </w:rPr>
              <w:t>次</w:t>
            </w:r>
            <w:r>
              <w:rPr>
                <w:rFonts w:hint="eastAsia"/>
                <w:sz w:val="24"/>
                <w:lang w:eastAsia="zh-CN"/>
              </w:rPr>
              <w:t>技改</w:t>
            </w:r>
            <w:r>
              <w:rPr>
                <w:rFonts w:hint="eastAsia"/>
                <w:sz w:val="24"/>
              </w:rPr>
              <w:t>工程不新增用地，在现有项目中现有厂房内建设，施工期主要为设备的安装和调试，</w:t>
            </w:r>
            <w:r>
              <w:rPr>
                <w:sz w:val="24"/>
              </w:rPr>
              <w:t>主要是厂房内进行设备安装，不涉及土建施工，因此，对周围环境影响较小，主要表现为</w:t>
            </w:r>
            <w:r>
              <w:rPr>
                <w:rFonts w:hint="eastAsia"/>
                <w:sz w:val="24"/>
              </w:rPr>
              <w:t>设备安装调试</w:t>
            </w:r>
            <w:r>
              <w:rPr>
                <w:sz w:val="24"/>
              </w:rPr>
              <w:t>过程产生的噪声对环境影响。</w:t>
            </w:r>
          </w:p>
          <w:p>
            <w:pPr>
              <w:ind w:firstLine="480" w:firstLineChars="200"/>
              <w:jc w:val="left"/>
              <w:rPr>
                <w:sz w:val="24"/>
              </w:rPr>
            </w:pPr>
            <w:r>
              <w:rPr>
                <w:sz w:val="24"/>
              </w:rPr>
              <w:t>施工中应注意以下事项：</w:t>
            </w:r>
          </w:p>
          <w:p>
            <w:pPr>
              <w:ind w:firstLine="480" w:firstLineChars="200"/>
              <w:jc w:val="left"/>
              <w:rPr>
                <w:sz w:val="24"/>
              </w:rPr>
            </w:pPr>
            <w:r>
              <w:rPr>
                <w:rFonts w:hint="eastAsia" w:ascii="宋体" w:hAnsi="宋体" w:cs="宋体"/>
                <w:sz w:val="24"/>
              </w:rPr>
              <w:t>①</w:t>
            </w:r>
            <w:r>
              <w:rPr>
                <w:sz w:val="24"/>
              </w:rPr>
              <w:t>提倡文明施工，建立健全控制人为噪声的管理制度，增强施工人员的环保意识，提高防止噪声扰民的自觉性，减少人为噪声污染。</w:t>
            </w:r>
          </w:p>
          <w:p>
            <w:pPr>
              <w:ind w:firstLine="480" w:firstLineChars="200"/>
              <w:jc w:val="left"/>
              <w:rPr>
                <w:sz w:val="24"/>
              </w:rPr>
            </w:pPr>
            <w:r>
              <w:rPr>
                <w:rFonts w:hint="eastAsia" w:ascii="宋体" w:hAnsi="宋体" w:cs="宋体"/>
                <w:sz w:val="24"/>
              </w:rPr>
              <w:t>②</w:t>
            </w:r>
            <w:r>
              <w:rPr>
                <w:sz w:val="24"/>
              </w:rPr>
              <w:t>在施工现场，禁止大声喧哗吵闹、高声唱歌或敲击工具等。</w:t>
            </w:r>
          </w:p>
          <w:p>
            <w:pPr>
              <w:ind w:firstLine="480" w:firstLineChars="200"/>
            </w:pPr>
            <w:r>
              <w:rPr>
                <w:rFonts w:hint="eastAsia" w:ascii="宋体" w:hAnsi="宋体" w:cs="宋体"/>
                <w:sz w:val="24"/>
              </w:rPr>
              <w:t>③</w:t>
            </w:r>
            <w:r>
              <w:rPr>
                <w:sz w:val="24"/>
              </w:rPr>
              <w:t>作业中搬运物件，必须轻拿轻放，钢铁件堆放不发出大的声响，严禁抛掷物件而造成噪声</w:t>
            </w:r>
            <w:r>
              <w:rPr>
                <w:rFonts w:hint="eastAsia"/>
                <w:sz w:val="24"/>
                <w:szCs w:val="3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hint="eastAsia" w:ascii="宋体" w:hAnsi="宋体" w:cs="宋体"/>
                <w:bCs/>
                <w:szCs w:val="21"/>
              </w:rPr>
            </w:pPr>
            <w:r>
              <w:rPr>
                <w:rFonts w:hint="eastAsia" w:ascii="宋体" w:hAnsi="宋体" w:cs="宋体"/>
                <w:bCs/>
                <w:szCs w:val="21"/>
              </w:rPr>
              <w:t>运营</w:t>
            </w:r>
          </w:p>
          <w:p>
            <w:pPr>
              <w:adjustRightInd w:val="0"/>
              <w:snapToGrid w:val="0"/>
              <w:jc w:val="center"/>
              <w:rPr>
                <w:rFonts w:hint="eastAsia" w:ascii="宋体" w:hAnsi="宋体" w:cs="宋体"/>
                <w:bCs/>
                <w:szCs w:val="21"/>
              </w:rPr>
            </w:pPr>
            <w:r>
              <w:rPr>
                <w:rFonts w:hint="eastAsia" w:ascii="宋体" w:hAnsi="宋体" w:cs="宋体"/>
                <w:bCs/>
                <w:szCs w:val="21"/>
              </w:rPr>
              <w:t>期环</w:t>
            </w:r>
          </w:p>
          <w:p>
            <w:pPr>
              <w:adjustRightInd w:val="0"/>
              <w:snapToGrid w:val="0"/>
              <w:jc w:val="center"/>
              <w:rPr>
                <w:rFonts w:hint="eastAsia" w:ascii="宋体" w:hAnsi="宋体" w:cs="宋体"/>
                <w:bCs/>
                <w:szCs w:val="21"/>
              </w:rPr>
            </w:pPr>
            <w:r>
              <w:rPr>
                <w:rFonts w:hint="eastAsia" w:ascii="宋体" w:hAnsi="宋体" w:cs="宋体"/>
                <w:bCs/>
                <w:szCs w:val="21"/>
              </w:rPr>
              <w:t>境影</w:t>
            </w:r>
          </w:p>
          <w:p>
            <w:pPr>
              <w:adjustRightInd w:val="0"/>
              <w:snapToGrid w:val="0"/>
              <w:jc w:val="center"/>
              <w:rPr>
                <w:rFonts w:hint="eastAsia" w:ascii="宋体" w:hAnsi="宋体" w:cs="宋体"/>
                <w:bCs/>
                <w:szCs w:val="21"/>
              </w:rPr>
            </w:pPr>
            <w:r>
              <w:rPr>
                <w:rFonts w:hint="eastAsia" w:ascii="宋体" w:hAnsi="宋体" w:cs="宋体"/>
                <w:bCs/>
                <w:szCs w:val="21"/>
              </w:rPr>
              <w:t>响和</w:t>
            </w:r>
          </w:p>
          <w:p>
            <w:pPr>
              <w:adjustRightInd w:val="0"/>
              <w:snapToGrid w:val="0"/>
              <w:jc w:val="center"/>
              <w:rPr>
                <w:rFonts w:hint="eastAsia"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vAlign w:val="center"/>
          </w:tcPr>
          <w:p>
            <w:pPr>
              <w:adjustRightInd w:val="0"/>
              <w:snapToGrid w:val="0"/>
              <w:ind w:firstLine="480" w:firstLineChars="200"/>
              <w:rPr>
                <w:rFonts w:hint="eastAsia"/>
                <w:sz w:val="24"/>
                <w:szCs w:val="32"/>
              </w:rPr>
            </w:pPr>
            <w:r>
              <w:rPr>
                <w:rFonts w:hint="eastAsia"/>
                <w:sz w:val="24"/>
                <w:szCs w:val="32"/>
              </w:rPr>
              <w:t>一、废气</w:t>
            </w:r>
          </w:p>
          <w:p>
            <w:pPr>
              <w:ind w:firstLine="480" w:firstLineChars="200"/>
              <w:rPr>
                <w:rFonts w:hint="eastAsia"/>
                <w:sz w:val="24"/>
                <w:szCs w:val="32"/>
              </w:rPr>
            </w:pPr>
            <w:r>
              <w:rPr>
                <w:rFonts w:hint="eastAsia"/>
                <w:sz w:val="24"/>
                <w:szCs w:val="32"/>
              </w:rPr>
              <w:t>1、污染源分析</w:t>
            </w:r>
          </w:p>
          <w:p>
            <w:pPr>
              <w:ind w:firstLine="480" w:firstLineChars="200"/>
              <w:rPr>
                <w:rFonts w:hint="eastAsia"/>
                <w:sz w:val="24"/>
                <w:szCs w:val="32"/>
              </w:rPr>
            </w:pPr>
            <w:r>
              <w:rPr>
                <w:rFonts w:hint="eastAsia"/>
                <w:sz w:val="24"/>
                <w:szCs w:val="32"/>
              </w:rPr>
              <w:t>本项目大气污染物主要为骨料破碎、筛分过程中产生的粉尘，粉料仓呼吸、砂仓产尘、搅拌机排气口产尘，物料装卸过程中产生的扬尘。</w:t>
            </w:r>
          </w:p>
          <w:p>
            <w:pPr>
              <w:ind w:firstLine="480" w:firstLineChars="200"/>
              <w:rPr>
                <w:rFonts w:hint="eastAsia"/>
                <w:sz w:val="24"/>
                <w:szCs w:val="32"/>
              </w:rPr>
            </w:pPr>
            <w:r>
              <w:rPr>
                <w:rFonts w:hint="eastAsia"/>
                <w:sz w:val="24"/>
                <w:szCs w:val="32"/>
              </w:rPr>
              <w:t>粉料仓呼吸、砂仓产尘、搅拌机排气口产尘，物料装卸过程中产生的扬尘产污系数参照执行《第二次全国污染源普查工业污染源--水泥制品制造行业系数手册》，系数情况如下：</w:t>
            </w:r>
          </w:p>
          <w:p>
            <w:pPr>
              <w:pStyle w:val="8"/>
              <w:jc w:val="center"/>
              <w:rPr>
                <w:b/>
                <w:bCs/>
                <w:sz w:val="21"/>
                <w:szCs w:val="21"/>
              </w:rPr>
            </w:pPr>
            <w:r>
              <w:rPr>
                <w:rFonts w:hint="eastAsia"/>
                <w:b/>
                <w:bCs/>
                <w:sz w:val="21"/>
                <w:szCs w:val="21"/>
              </w:rPr>
              <w:t>表</w:t>
            </w:r>
            <w:r>
              <w:rPr>
                <w:rFonts w:hint="eastAsia"/>
                <w:b/>
                <w:bCs/>
                <w:sz w:val="21"/>
                <w:szCs w:val="21"/>
                <w:lang w:val="en-US" w:eastAsia="zh-CN"/>
              </w:rPr>
              <w:t>15</w:t>
            </w:r>
            <w:r>
              <w:rPr>
                <w:rFonts w:hint="eastAsia"/>
                <w:b/>
                <w:bCs/>
                <w:sz w:val="21"/>
                <w:szCs w:val="21"/>
              </w:rPr>
              <w:t xml:space="preserve"> 产污系数表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050"/>
              <w:gridCol w:w="736"/>
              <w:gridCol w:w="930"/>
              <w:gridCol w:w="1170"/>
              <w:gridCol w:w="1094"/>
              <w:gridCol w:w="12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pPr>
                    <w:spacing w:line="0" w:lineRule="atLeast"/>
                    <w:jc w:val="center"/>
                  </w:pPr>
                  <w:r>
                    <w:rPr>
                      <w:rFonts w:hint="eastAsia"/>
                    </w:rPr>
                    <w:t>原料名称</w:t>
                  </w:r>
                </w:p>
              </w:tc>
              <w:tc>
                <w:tcPr>
                  <w:tcW w:w="661" w:type="pct"/>
                  <w:vAlign w:val="center"/>
                </w:tcPr>
                <w:p>
                  <w:pPr>
                    <w:spacing w:line="0" w:lineRule="atLeast"/>
                    <w:jc w:val="center"/>
                  </w:pPr>
                  <w:r>
                    <w:rPr>
                      <w:rFonts w:hint="eastAsia"/>
                    </w:rPr>
                    <w:t>工艺名称</w:t>
                  </w:r>
                </w:p>
              </w:tc>
              <w:tc>
                <w:tcPr>
                  <w:tcW w:w="463" w:type="pct"/>
                  <w:vAlign w:val="center"/>
                </w:tcPr>
                <w:p>
                  <w:pPr>
                    <w:spacing w:line="0" w:lineRule="atLeast"/>
                    <w:jc w:val="center"/>
                  </w:pPr>
                  <w:r>
                    <w:rPr>
                      <w:rFonts w:hint="eastAsia"/>
                    </w:rPr>
                    <w:t>规模等级</w:t>
                  </w:r>
                </w:p>
              </w:tc>
              <w:tc>
                <w:tcPr>
                  <w:tcW w:w="585" w:type="pct"/>
                  <w:vAlign w:val="center"/>
                </w:tcPr>
                <w:p>
                  <w:pPr>
                    <w:spacing w:line="0" w:lineRule="atLeast"/>
                    <w:jc w:val="center"/>
                  </w:pPr>
                  <w:r>
                    <w:rPr>
                      <w:rFonts w:hint="eastAsia"/>
                    </w:rPr>
                    <w:t>污染物指标</w:t>
                  </w:r>
                </w:p>
              </w:tc>
              <w:tc>
                <w:tcPr>
                  <w:tcW w:w="737" w:type="pct"/>
                  <w:vAlign w:val="center"/>
                </w:tcPr>
                <w:p>
                  <w:pPr>
                    <w:spacing w:line="0" w:lineRule="atLeast"/>
                    <w:jc w:val="center"/>
                  </w:pPr>
                  <w:r>
                    <w:rPr>
                      <w:rFonts w:hint="eastAsia"/>
                    </w:rPr>
                    <w:t>单位</w:t>
                  </w:r>
                </w:p>
              </w:tc>
              <w:tc>
                <w:tcPr>
                  <w:tcW w:w="689" w:type="pct"/>
                  <w:vAlign w:val="center"/>
                </w:tcPr>
                <w:p>
                  <w:pPr>
                    <w:spacing w:line="0" w:lineRule="atLeast"/>
                    <w:jc w:val="center"/>
                  </w:pPr>
                  <w:r>
                    <w:rPr>
                      <w:rFonts w:hint="eastAsia"/>
                    </w:rPr>
                    <w:t>产污系数</w:t>
                  </w:r>
                </w:p>
              </w:tc>
              <w:tc>
                <w:tcPr>
                  <w:tcW w:w="756" w:type="pct"/>
                  <w:vAlign w:val="center"/>
                </w:tcPr>
                <w:p>
                  <w:pPr>
                    <w:spacing w:line="0" w:lineRule="atLeast"/>
                    <w:jc w:val="center"/>
                  </w:pPr>
                  <w:r>
                    <w:rPr>
                      <w:rFonts w:hint="eastAsia"/>
                    </w:rPr>
                    <w:t>末端治理技术</w:t>
                  </w:r>
                </w:p>
              </w:tc>
              <w:tc>
                <w:tcPr>
                  <w:tcW w:w="625" w:type="pct"/>
                  <w:vAlign w:val="center"/>
                </w:tcPr>
                <w:p>
                  <w:pPr>
                    <w:spacing w:line="0" w:lineRule="atLeast"/>
                    <w:jc w:val="center"/>
                  </w:pPr>
                  <w:r>
                    <w:rPr>
                      <w:rFonts w:hint="eastAsia"/>
                    </w:rPr>
                    <w:t>治理效率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pPr>
                    <w:spacing w:line="0" w:lineRule="atLeast"/>
                    <w:jc w:val="center"/>
                  </w:pPr>
                  <w:r>
                    <w:rPr>
                      <w:rFonts w:hint="eastAsia"/>
                    </w:rPr>
                    <w:t>水泥、砂子、石子等</w:t>
                  </w:r>
                </w:p>
              </w:tc>
              <w:tc>
                <w:tcPr>
                  <w:tcW w:w="661" w:type="pct"/>
                  <w:vMerge w:val="restart"/>
                  <w:vAlign w:val="center"/>
                </w:tcPr>
                <w:p>
                  <w:pPr>
                    <w:spacing w:line="0" w:lineRule="atLeast"/>
                    <w:jc w:val="center"/>
                  </w:pPr>
                  <w:r>
                    <w:rPr>
                      <w:rFonts w:hint="eastAsia"/>
                    </w:rPr>
                    <w:t>物料输送储存</w:t>
                  </w:r>
                </w:p>
              </w:tc>
              <w:tc>
                <w:tcPr>
                  <w:tcW w:w="463" w:type="pct"/>
                  <w:vMerge w:val="restart"/>
                  <w:vAlign w:val="center"/>
                </w:tcPr>
                <w:p>
                  <w:pPr>
                    <w:spacing w:line="0" w:lineRule="atLeast"/>
                    <w:jc w:val="center"/>
                  </w:pPr>
                  <w:r>
                    <w:rPr>
                      <w:rFonts w:hint="eastAsia"/>
                    </w:rPr>
                    <w:t>所有规模</w:t>
                  </w:r>
                </w:p>
              </w:tc>
              <w:tc>
                <w:tcPr>
                  <w:tcW w:w="585" w:type="pct"/>
                  <w:vAlign w:val="center"/>
                </w:tcPr>
                <w:p>
                  <w:pPr>
                    <w:spacing w:line="0" w:lineRule="atLeast"/>
                    <w:jc w:val="center"/>
                  </w:pPr>
                  <w:r>
                    <w:rPr>
                      <w:rFonts w:hint="eastAsia"/>
                    </w:rPr>
                    <w:t>废气量</w:t>
                  </w:r>
                </w:p>
              </w:tc>
              <w:tc>
                <w:tcPr>
                  <w:tcW w:w="737" w:type="pct"/>
                  <w:vAlign w:val="center"/>
                </w:tcPr>
                <w:p>
                  <w:pPr>
                    <w:spacing w:line="0" w:lineRule="atLeast"/>
                    <w:jc w:val="center"/>
                    <w:rPr>
                      <w:rFonts w:hint="eastAsia"/>
                    </w:rPr>
                  </w:pPr>
                  <w:r>
                    <w:rPr>
                      <w:rFonts w:hint="eastAsia"/>
                    </w:rPr>
                    <w:t>标立方米/吨-产品</w:t>
                  </w:r>
                </w:p>
              </w:tc>
              <w:tc>
                <w:tcPr>
                  <w:tcW w:w="689" w:type="pct"/>
                  <w:vAlign w:val="center"/>
                </w:tcPr>
                <w:p>
                  <w:pPr>
                    <w:spacing w:line="0" w:lineRule="atLeast"/>
                    <w:jc w:val="center"/>
                  </w:pPr>
                  <w:r>
                    <w:rPr>
                      <w:rFonts w:hint="eastAsia"/>
                    </w:rPr>
                    <w:t>20</w:t>
                  </w:r>
                </w:p>
              </w:tc>
              <w:tc>
                <w:tcPr>
                  <w:tcW w:w="756" w:type="pct"/>
                  <w:vAlign w:val="center"/>
                </w:tcPr>
                <w:p>
                  <w:pPr>
                    <w:spacing w:line="0" w:lineRule="atLeast"/>
                    <w:jc w:val="center"/>
                  </w:pPr>
                  <w:r>
                    <w:rPr>
                      <w:rFonts w:hint="eastAsia"/>
                    </w:rPr>
                    <w:t>/</w:t>
                  </w:r>
                </w:p>
              </w:tc>
              <w:tc>
                <w:tcPr>
                  <w:tcW w:w="625" w:type="pct"/>
                  <w:vAlign w:val="center"/>
                </w:tcPr>
                <w:p>
                  <w:pPr>
                    <w:spacing w:line="0" w:lineRule="atLeas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pPr>
                    <w:spacing w:line="0" w:lineRule="atLeast"/>
                    <w:jc w:val="center"/>
                  </w:pPr>
                </w:p>
              </w:tc>
              <w:tc>
                <w:tcPr>
                  <w:tcW w:w="661" w:type="pct"/>
                  <w:vMerge w:val="continue"/>
                  <w:vAlign w:val="center"/>
                </w:tcPr>
                <w:p>
                  <w:pPr>
                    <w:spacing w:line="0" w:lineRule="atLeast"/>
                    <w:jc w:val="center"/>
                  </w:pPr>
                </w:p>
              </w:tc>
              <w:tc>
                <w:tcPr>
                  <w:tcW w:w="463" w:type="pct"/>
                  <w:vMerge w:val="continue"/>
                  <w:vAlign w:val="center"/>
                </w:tcPr>
                <w:p>
                  <w:pPr>
                    <w:spacing w:line="0" w:lineRule="atLeast"/>
                    <w:jc w:val="center"/>
                  </w:pPr>
                </w:p>
              </w:tc>
              <w:tc>
                <w:tcPr>
                  <w:tcW w:w="585" w:type="pct"/>
                  <w:vAlign w:val="center"/>
                </w:tcPr>
                <w:p>
                  <w:pPr>
                    <w:spacing w:line="0" w:lineRule="atLeast"/>
                    <w:jc w:val="center"/>
                    <w:rPr>
                      <w:rFonts w:hint="eastAsia"/>
                    </w:rPr>
                  </w:pPr>
                  <w:r>
                    <w:rPr>
                      <w:rFonts w:hint="eastAsia"/>
                    </w:rPr>
                    <w:t>颗粒物</w:t>
                  </w:r>
                </w:p>
              </w:tc>
              <w:tc>
                <w:tcPr>
                  <w:tcW w:w="737" w:type="pct"/>
                  <w:vAlign w:val="center"/>
                </w:tcPr>
                <w:p>
                  <w:pPr>
                    <w:spacing w:line="0" w:lineRule="atLeast"/>
                    <w:jc w:val="center"/>
                    <w:rPr>
                      <w:rFonts w:hint="eastAsia"/>
                    </w:rPr>
                  </w:pPr>
                  <w:r>
                    <w:rPr>
                      <w:rFonts w:hint="eastAsia"/>
                    </w:rPr>
                    <w:t>千克/吨-产品</w:t>
                  </w:r>
                </w:p>
              </w:tc>
              <w:tc>
                <w:tcPr>
                  <w:tcW w:w="689" w:type="pct"/>
                  <w:vAlign w:val="center"/>
                </w:tcPr>
                <w:p>
                  <w:pPr>
                    <w:spacing w:line="0" w:lineRule="atLeast"/>
                    <w:jc w:val="center"/>
                  </w:pPr>
                  <w:r>
                    <w:rPr>
                      <w:rFonts w:hint="eastAsia"/>
                    </w:rPr>
                    <w:t>0.13</w:t>
                  </w:r>
                </w:p>
              </w:tc>
              <w:tc>
                <w:tcPr>
                  <w:tcW w:w="756" w:type="pct"/>
                  <w:vAlign w:val="center"/>
                </w:tcPr>
                <w:p>
                  <w:pPr>
                    <w:spacing w:line="0" w:lineRule="atLeast"/>
                    <w:jc w:val="center"/>
                  </w:pPr>
                  <w:r>
                    <w:rPr>
                      <w:rFonts w:hint="eastAsia"/>
                    </w:rPr>
                    <w:t>袋式除尘</w:t>
                  </w:r>
                </w:p>
              </w:tc>
              <w:tc>
                <w:tcPr>
                  <w:tcW w:w="625" w:type="pct"/>
                  <w:vAlign w:val="center"/>
                </w:tcPr>
                <w:p>
                  <w:pPr>
                    <w:spacing w:line="0" w:lineRule="atLeast"/>
                    <w:jc w:val="center"/>
                  </w:pPr>
                  <w:r>
                    <w:rPr>
                      <w:rFonts w:hint="eastAsia"/>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81" w:type="pct"/>
                  <w:vMerge w:val="continue"/>
                  <w:vAlign w:val="center"/>
                </w:tcPr>
                <w:p>
                  <w:pPr>
                    <w:spacing w:line="0" w:lineRule="atLeast"/>
                    <w:jc w:val="center"/>
                  </w:pPr>
                </w:p>
              </w:tc>
              <w:tc>
                <w:tcPr>
                  <w:tcW w:w="661" w:type="pct"/>
                  <w:vMerge w:val="restart"/>
                  <w:vAlign w:val="center"/>
                </w:tcPr>
                <w:p>
                  <w:pPr>
                    <w:spacing w:line="0" w:lineRule="atLeast"/>
                    <w:jc w:val="center"/>
                  </w:pPr>
                  <w:r>
                    <w:rPr>
                      <w:rFonts w:hint="eastAsia"/>
                    </w:rPr>
                    <w:t>物料混合搅拌</w:t>
                  </w:r>
                </w:p>
              </w:tc>
              <w:tc>
                <w:tcPr>
                  <w:tcW w:w="463" w:type="pct"/>
                  <w:vMerge w:val="continue"/>
                  <w:vAlign w:val="center"/>
                </w:tcPr>
                <w:p>
                  <w:pPr>
                    <w:spacing w:line="0" w:lineRule="atLeast"/>
                    <w:jc w:val="center"/>
                  </w:pPr>
                </w:p>
              </w:tc>
              <w:tc>
                <w:tcPr>
                  <w:tcW w:w="585" w:type="pct"/>
                  <w:vAlign w:val="center"/>
                </w:tcPr>
                <w:p>
                  <w:pPr>
                    <w:spacing w:line="0" w:lineRule="atLeast"/>
                    <w:jc w:val="center"/>
                    <w:rPr>
                      <w:rFonts w:hint="eastAsia"/>
                    </w:rPr>
                  </w:pPr>
                  <w:r>
                    <w:rPr>
                      <w:rFonts w:hint="eastAsia"/>
                    </w:rPr>
                    <w:t>废气量</w:t>
                  </w:r>
                </w:p>
              </w:tc>
              <w:tc>
                <w:tcPr>
                  <w:tcW w:w="737" w:type="pct"/>
                  <w:vAlign w:val="center"/>
                </w:tcPr>
                <w:p>
                  <w:pPr>
                    <w:spacing w:line="0" w:lineRule="atLeast"/>
                    <w:jc w:val="center"/>
                    <w:rPr>
                      <w:rFonts w:hint="eastAsia"/>
                    </w:rPr>
                  </w:pPr>
                  <w:r>
                    <w:rPr>
                      <w:rFonts w:hint="eastAsia"/>
                    </w:rPr>
                    <w:t>标立方米/吨-产品</w:t>
                  </w:r>
                </w:p>
              </w:tc>
              <w:tc>
                <w:tcPr>
                  <w:tcW w:w="689" w:type="pct"/>
                  <w:vAlign w:val="center"/>
                </w:tcPr>
                <w:p>
                  <w:pPr>
                    <w:spacing w:line="0" w:lineRule="atLeast"/>
                    <w:jc w:val="center"/>
                  </w:pPr>
                  <w:r>
                    <w:rPr>
                      <w:rFonts w:hint="eastAsia"/>
                    </w:rPr>
                    <w:t>25</w:t>
                  </w:r>
                </w:p>
              </w:tc>
              <w:tc>
                <w:tcPr>
                  <w:tcW w:w="1200" w:type="dxa"/>
                  <w:vAlign w:val="center"/>
                </w:tcPr>
                <w:p>
                  <w:pPr>
                    <w:spacing w:line="0" w:lineRule="atLeast"/>
                    <w:jc w:val="center"/>
                    <w:rPr>
                      <w:rFonts w:hint="eastAsia"/>
                    </w:rPr>
                  </w:pPr>
                  <w:r>
                    <w:rPr>
                      <w:rFonts w:hint="eastAsia"/>
                    </w:rPr>
                    <w:t>/</w:t>
                  </w:r>
                </w:p>
              </w:tc>
              <w:tc>
                <w:tcPr>
                  <w:tcW w:w="625" w:type="pct"/>
                  <w:vAlign w:val="center"/>
                </w:tcPr>
                <w:p>
                  <w:pPr>
                    <w:spacing w:line="0" w:lineRule="atLeas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81" w:type="pct"/>
                  <w:vMerge w:val="continue"/>
                  <w:vAlign w:val="center"/>
                </w:tcPr>
                <w:p>
                  <w:pPr>
                    <w:spacing w:line="0" w:lineRule="atLeast"/>
                    <w:jc w:val="center"/>
                  </w:pPr>
                </w:p>
              </w:tc>
              <w:tc>
                <w:tcPr>
                  <w:tcW w:w="661" w:type="pct"/>
                  <w:vMerge w:val="continue"/>
                  <w:vAlign w:val="center"/>
                </w:tcPr>
                <w:p>
                  <w:pPr>
                    <w:spacing w:line="0" w:lineRule="atLeast"/>
                    <w:jc w:val="center"/>
                  </w:pPr>
                </w:p>
              </w:tc>
              <w:tc>
                <w:tcPr>
                  <w:tcW w:w="463" w:type="pct"/>
                  <w:vMerge w:val="continue"/>
                  <w:vAlign w:val="center"/>
                </w:tcPr>
                <w:p>
                  <w:pPr>
                    <w:spacing w:line="0" w:lineRule="atLeast"/>
                    <w:jc w:val="center"/>
                  </w:pPr>
                </w:p>
              </w:tc>
              <w:tc>
                <w:tcPr>
                  <w:tcW w:w="585" w:type="pct"/>
                  <w:vAlign w:val="center"/>
                </w:tcPr>
                <w:p>
                  <w:pPr>
                    <w:spacing w:line="0" w:lineRule="atLeast"/>
                    <w:jc w:val="center"/>
                    <w:rPr>
                      <w:rFonts w:hint="eastAsia"/>
                    </w:rPr>
                  </w:pPr>
                  <w:r>
                    <w:rPr>
                      <w:rFonts w:hint="eastAsia"/>
                    </w:rPr>
                    <w:t>颗粒物</w:t>
                  </w:r>
                </w:p>
              </w:tc>
              <w:tc>
                <w:tcPr>
                  <w:tcW w:w="737" w:type="pct"/>
                  <w:vAlign w:val="center"/>
                </w:tcPr>
                <w:p>
                  <w:pPr>
                    <w:spacing w:line="0" w:lineRule="atLeast"/>
                    <w:jc w:val="center"/>
                    <w:rPr>
                      <w:rFonts w:hint="eastAsia"/>
                    </w:rPr>
                  </w:pPr>
                  <w:r>
                    <w:rPr>
                      <w:rFonts w:hint="eastAsia"/>
                    </w:rPr>
                    <w:t>千克/吨-产品</w:t>
                  </w:r>
                </w:p>
              </w:tc>
              <w:tc>
                <w:tcPr>
                  <w:tcW w:w="689" w:type="pct"/>
                  <w:vAlign w:val="center"/>
                </w:tcPr>
                <w:p>
                  <w:pPr>
                    <w:spacing w:line="0" w:lineRule="atLeast"/>
                    <w:jc w:val="center"/>
                  </w:pPr>
                  <w:r>
                    <w:rPr>
                      <w:rFonts w:hint="eastAsia"/>
                    </w:rPr>
                    <w:t>0.166</w:t>
                  </w:r>
                </w:p>
              </w:tc>
              <w:tc>
                <w:tcPr>
                  <w:tcW w:w="1200" w:type="dxa"/>
                  <w:vAlign w:val="center"/>
                </w:tcPr>
                <w:p>
                  <w:pPr>
                    <w:spacing w:line="0" w:lineRule="atLeast"/>
                    <w:jc w:val="center"/>
                    <w:rPr>
                      <w:rFonts w:hint="eastAsia"/>
                    </w:rPr>
                  </w:pPr>
                  <w:r>
                    <w:rPr>
                      <w:rFonts w:hint="eastAsia"/>
                    </w:rPr>
                    <w:t>袋式除尘</w:t>
                  </w:r>
                </w:p>
              </w:tc>
              <w:tc>
                <w:tcPr>
                  <w:tcW w:w="625" w:type="pct"/>
                  <w:vAlign w:val="center"/>
                </w:tcPr>
                <w:p>
                  <w:pPr>
                    <w:spacing w:line="0" w:lineRule="atLeast"/>
                    <w:jc w:val="center"/>
                    <w:rPr>
                      <w:rFonts w:hint="eastAsia"/>
                    </w:rPr>
                  </w:pPr>
                  <w:r>
                    <w:rPr>
                      <w:rFonts w:hint="eastAsia"/>
                    </w:rPr>
                    <w:t>99.7</w:t>
                  </w:r>
                </w:p>
              </w:tc>
            </w:tr>
          </w:tbl>
          <w:p>
            <w:pPr>
              <w:ind w:firstLine="480" w:firstLineChars="200"/>
              <w:rPr>
                <w:rFonts w:hint="eastAsia"/>
                <w:sz w:val="24"/>
                <w:szCs w:val="32"/>
              </w:rPr>
            </w:pPr>
          </w:p>
          <w:p>
            <w:pPr>
              <w:ind w:firstLine="480" w:firstLineChars="200"/>
              <w:rPr>
                <w:rFonts w:hint="eastAsia"/>
                <w:sz w:val="24"/>
                <w:szCs w:val="32"/>
              </w:rPr>
            </w:pPr>
          </w:p>
          <w:p>
            <w:pPr>
              <w:ind w:firstLine="480" w:firstLineChars="200"/>
              <w:rPr>
                <w:rFonts w:hint="default" w:eastAsia="宋体"/>
                <w:sz w:val="24"/>
                <w:szCs w:val="32"/>
                <w:lang w:val="en-US" w:eastAsia="zh-CN"/>
              </w:rPr>
            </w:pPr>
            <w:r>
              <w:rPr>
                <w:rFonts w:hint="eastAsia"/>
                <w:sz w:val="24"/>
                <w:szCs w:val="32"/>
                <w:lang w:val="en-US" w:eastAsia="zh-CN"/>
              </w:rPr>
              <w:t>①骨料破碎、筛分</w:t>
            </w:r>
          </w:p>
          <w:p>
            <w:pPr>
              <w:ind w:firstLine="480" w:firstLineChars="200"/>
              <w:rPr>
                <w:rFonts w:hint="default" w:eastAsia="宋体"/>
                <w:sz w:val="24"/>
                <w:szCs w:val="32"/>
                <w:lang w:val="en-US" w:eastAsia="zh-CN"/>
              </w:rPr>
            </w:pPr>
            <w:r>
              <w:rPr>
                <w:rFonts w:hint="eastAsia"/>
                <w:sz w:val="24"/>
                <w:szCs w:val="32"/>
                <w:lang w:val="en-US" w:eastAsia="zh-CN"/>
              </w:rPr>
              <w:t>项目破碎、筛分工序在密闭车间内进行，破碎、筛分过程中产生的粉尘经脉冲式布袋除尘器处理后经1根15m高排气筒P1有组织排放。</w:t>
            </w:r>
            <w:r>
              <w:rPr>
                <w:rFonts w:hint="default" w:ascii="Times New Roman" w:hAnsi="Times New Roman" w:cs="Times New Roman"/>
                <w:color w:val="000000"/>
                <w:sz w:val="24"/>
                <w:lang w:val="en-US" w:eastAsia="zh-CN"/>
              </w:rPr>
              <w:t>风机风量为20000m³/h，脉冲除尘器除尘效率为99.5%。类比同类型企业，粉尘产生浓度为1500mg/m</w:t>
            </w:r>
            <w:r>
              <w:rPr>
                <w:rFonts w:hint="eastAsia" w:cs="Times New Roman"/>
                <w:color w:val="000000"/>
                <w:sz w:val="24"/>
                <w:vertAlign w:val="superscript"/>
                <w:lang w:val="en-US" w:eastAsia="zh-CN"/>
              </w:rPr>
              <w:t>3</w:t>
            </w:r>
            <w:r>
              <w:rPr>
                <w:rFonts w:hint="default" w:ascii="Times New Roman" w:hAnsi="Times New Roman" w:cs="Times New Roman"/>
                <w:color w:val="000000"/>
                <w:sz w:val="24"/>
                <w:lang w:val="en-US" w:eastAsia="zh-CN"/>
              </w:rPr>
              <w:t>，产生速率为30kg/h，经除尘器处理后，粉尘排放浓度为7.5mg/m</w:t>
            </w:r>
            <w:r>
              <w:rPr>
                <w:rFonts w:hint="eastAsia" w:cs="Times New Roman"/>
                <w:color w:val="000000"/>
                <w:sz w:val="24"/>
                <w:vertAlign w:val="superscript"/>
                <w:lang w:val="en-US" w:eastAsia="zh-CN"/>
              </w:rPr>
              <w:t>3</w:t>
            </w:r>
            <w:r>
              <w:rPr>
                <w:rFonts w:hint="default" w:ascii="Times New Roman" w:hAnsi="Times New Roman" w:cs="Times New Roman"/>
                <w:color w:val="000000"/>
                <w:sz w:val="24"/>
                <w:lang w:val="en-US" w:eastAsia="zh-CN"/>
              </w:rPr>
              <w:t>，排放速率为0.15kg/h，排放量为0.36t/a，能够满足</w:t>
            </w:r>
            <w:r>
              <w:rPr>
                <w:rFonts w:hint="default" w:ascii="Times New Roman" w:hAnsi="Times New Roman" w:cs="Times New Roman"/>
                <w:color w:val="auto"/>
                <w:sz w:val="24"/>
                <w:szCs w:val="24"/>
                <w:lang w:val="en-US" w:eastAsia="zh-CN"/>
              </w:rPr>
              <w:t>《水泥工业大气污染物</w:t>
            </w:r>
            <w:r>
              <w:rPr>
                <w:rFonts w:hint="eastAsia" w:ascii="Times New Roman" w:hAnsi="Times New Roman" w:cs="Times New Roman"/>
                <w:color w:val="auto"/>
                <w:sz w:val="24"/>
                <w:szCs w:val="24"/>
                <w:lang w:val="en-US" w:eastAsia="zh-CN"/>
              </w:rPr>
              <w:t>超低</w:t>
            </w:r>
            <w:r>
              <w:rPr>
                <w:rFonts w:hint="default" w:ascii="Times New Roman" w:hAnsi="Times New Roman" w:cs="Times New Roman"/>
                <w:color w:val="auto"/>
                <w:sz w:val="24"/>
                <w:szCs w:val="24"/>
                <w:lang w:val="en-US" w:eastAsia="zh-CN"/>
              </w:rPr>
              <w:t>排放标准》（DB13/2167-2020）表1中散装水泥中转站及水泥制品生产过程中颗粒物有组织排放限值，即颗粒物≤10mg/m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lang w:val="en-US" w:eastAsia="zh-CN"/>
              </w:rPr>
              <w:t>。</w:t>
            </w:r>
          </w:p>
          <w:p>
            <w:pPr>
              <w:ind w:firstLine="480" w:firstLineChars="200"/>
              <w:rPr>
                <w:sz w:val="24"/>
                <w:szCs w:val="32"/>
              </w:rPr>
            </w:pPr>
            <w:r>
              <w:rPr>
                <w:rFonts w:hint="eastAsia"/>
                <w:sz w:val="24"/>
                <w:szCs w:val="32"/>
                <w:lang w:val="en-US" w:eastAsia="zh-CN"/>
              </w:rPr>
              <w:t>②</w:t>
            </w:r>
            <w:r>
              <w:rPr>
                <w:rFonts w:hint="eastAsia"/>
                <w:sz w:val="24"/>
                <w:szCs w:val="32"/>
              </w:rPr>
              <w:t>粉料仓上料废气</w:t>
            </w:r>
          </w:p>
          <w:p>
            <w:pPr>
              <w:ind w:firstLine="480" w:firstLineChars="200"/>
              <w:rPr>
                <w:rFonts w:hint="eastAsia"/>
                <w:sz w:val="24"/>
                <w:szCs w:val="32"/>
              </w:rPr>
            </w:pPr>
            <w:r>
              <w:rPr>
                <w:rFonts w:hint="eastAsia"/>
                <w:color w:val="000000"/>
                <w:sz w:val="24"/>
              </w:rPr>
              <w:t>本项目水泥、粉煤灰采用全封闭式进仓方式，罐车空气加压后通过密闭吹灰管压入密闭粉料仓，再由螺旋输送机输送至计量称斗进入搅拌机。</w:t>
            </w:r>
            <w:r>
              <w:rPr>
                <w:rFonts w:hint="eastAsia"/>
                <w:sz w:val="24"/>
                <w:szCs w:val="32"/>
              </w:rPr>
              <w:t>粉料仓上料工序粉尘产生系数取0.13kg/t产品，本项目</w:t>
            </w:r>
            <w:r>
              <w:rPr>
                <w:rFonts w:hint="eastAsia"/>
                <w:sz w:val="24"/>
                <w:szCs w:val="32"/>
                <w:lang w:val="en-US" w:eastAsia="zh-CN"/>
              </w:rPr>
              <w:t>粉料仓合计水泥、粉煤灰用量为48.37万t/a</w:t>
            </w:r>
            <w:r>
              <w:rPr>
                <w:rFonts w:hint="eastAsia"/>
                <w:sz w:val="24"/>
                <w:szCs w:val="32"/>
              </w:rPr>
              <w:t>，</w:t>
            </w:r>
            <w:r>
              <w:rPr>
                <w:rFonts w:hint="eastAsia"/>
                <w:color w:val="000000" w:themeColor="text1"/>
                <w:sz w:val="24"/>
                <w:szCs w:val="32"/>
                <w14:textFill>
                  <w14:solidFill>
                    <w14:schemeClr w14:val="tx1"/>
                  </w14:solidFill>
                </w14:textFill>
              </w:rPr>
              <w:t>粉料仓上料过程中产生的颗粒物为</w:t>
            </w:r>
            <w:r>
              <w:rPr>
                <w:rFonts w:hint="eastAsia"/>
                <w:color w:val="000000" w:themeColor="text1"/>
                <w:sz w:val="24"/>
                <w:szCs w:val="32"/>
                <w:lang w:val="en-US" w:eastAsia="zh-CN"/>
                <w14:textFill>
                  <w14:solidFill>
                    <w14:schemeClr w14:val="tx1"/>
                  </w14:solidFill>
                </w14:textFill>
              </w:rPr>
              <w:t>62.881</w:t>
            </w:r>
            <w:r>
              <w:rPr>
                <w:rFonts w:hint="eastAsia"/>
                <w:color w:val="000000" w:themeColor="text1"/>
                <w:sz w:val="24"/>
                <w:szCs w:val="32"/>
                <w14:textFill>
                  <w14:solidFill>
                    <w14:schemeClr w14:val="tx1"/>
                  </w14:solidFill>
                </w14:textFill>
              </w:rPr>
              <w:t>t/a，粉料仓共8个，两两组合成1套，共4套粉料仓，每套粉料仓由1套脉冲式袋式除尘器处理后经1根28m高排气筒有组织排放。拟设定粉料仓上料粉尘平均分配给8个料仓，因此，每2个料仓产生的颗</w:t>
            </w:r>
            <w:r>
              <w:rPr>
                <w:rFonts w:hint="eastAsia"/>
                <w:sz w:val="24"/>
                <w:szCs w:val="32"/>
              </w:rPr>
              <w:t>粒物的量为</w:t>
            </w:r>
            <w:r>
              <w:rPr>
                <w:rFonts w:hint="eastAsia"/>
                <w:sz w:val="24"/>
                <w:szCs w:val="32"/>
                <w:lang w:val="en-US" w:eastAsia="zh-CN"/>
              </w:rPr>
              <w:t>15.72</w:t>
            </w:r>
            <w:r>
              <w:rPr>
                <w:rFonts w:hint="eastAsia"/>
                <w:sz w:val="24"/>
                <w:szCs w:val="32"/>
              </w:rPr>
              <w:t>t/a，粉料仓上料工序年工作时间为2400h，1套脉冲式袋式除尘器风机风量为5000m</w:t>
            </w:r>
            <w:r>
              <w:rPr>
                <w:rFonts w:hint="eastAsia"/>
                <w:sz w:val="24"/>
                <w:szCs w:val="32"/>
                <w:vertAlign w:val="superscript"/>
              </w:rPr>
              <w:t>3</w:t>
            </w:r>
            <w:r>
              <w:rPr>
                <w:rFonts w:hint="eastAsia"/>
                <w:sz w:val="24"/>
                <w:szCs w:val="32"/>
              </w:rPr>
              <w:t>/h，则颗粒物的产生速率为</w:t>
            </w:r>
            <w:r>
              <w:rPr>
                <w:rFonts w:hint="eastAsia"/>
                <w:sz w:val="24"/>
                <w:szCs w:val="32"/>
                <w:lang w:val="en-US" w:eastAsia="zh-CN"/>
              </w:rPr>
              <w:t>6.55</w:t>
            </w:r>
            <w:r>
              <w:rPr>
                <w:rFonts w:hint="eastAsia"/>
                <w:sz w:val="24"/>
                <w:szCs w:val="32"/>
              </w:rPr>
              <w:t>kg/h，颗粒物的产生浓度为</w:t>
            </w:r>
            <w:r>
              <w:rPr>
                <w:rFonts w:hint="eastAsia"/>
                <w:sz w:val="24"/>
                <w:szCs w:val="32"/>
                <w:lang w:val="en-US" w:eastAsia="zh-CN"/>
              </w:rPr>
              <w:t>1310</w:t>
            </w:r>
            <w:r>
              <w:rPr>
                <w:rFonts w:hint="eastAsia"/>
                <w:sz w:val="24"/>
                <w:szCs w:val="32"/>
              </w:rPr>
              <w:t>mg/m</w:t>
            </w:r>
            <w:r>
              <w:rPr>
                <w:rFonts w:hint="eastAsia"/>
                <w:sz w:val="24"/>
                <w:szCs w:val="32"/>
                <w:vertAlign w:val="superscript"/>
              </w:rPr>
              <w:t>3</w:t>
            </w:r>
            <w:r>
              <w:rPr>
                <w:rFonts w:hint="eastAsia"/>
                <w:sz w:val="24"/>
                <w:szCs w:val="32"/>
              </w:rPr>
              <w:t>，粉料仓密闭上料，除尘效率为99.7%，则</w:t>
            </w:r>
            <w:r>
              <w:rPr>
                <w:rFonts w:hint="eastAsia"/>
                <w:sz w:val="24"/>
                <w:szCs w:val="32"/>
                <w:lang w:val="en-US" w:eastAsia="zh-CN"/>
              </w:rPr>
              <w:t>每根排气筒</w:t>
            </w:r>
            <w:r>
              <w:rPr>
                <w:rFonts w:hint="eastAsia"/>
                <w:sz w:val="24"/>
                <w:szCs w:val="32"/>
              </w:rPr>
              <w:t>颗粒物的排放量为</w:t>
            </w:r>
            <w:r>
              <w:rPr>
                <w:rFonts w:hint="eastAsia"/>
                <w:sz w:val="24"/>
                <w:szCs w:val="32"/>
                <w:lang w:val="en-US" w:eastAsia="zh-CN"/>
              </w:rPr>
              <w:t>0.047</w:t>
            </w:r>
            <w:r>
              <w:rPr>
                <w:rFonts w:hint="eastAsia"/>
                <w:sz w:val="24"/>
                <w:szCs w:val="32"/>
              </w:rPr>
              <w:t>t/a，排放速率为</w:t>
            </w:r>
            <w:r>
              <w:rPr>
                <w:rFonts w:hint="eastAsia"/>
                <w:sz w:val="24"/>
                <w:szCs w:val="32"/>
                <w:lang w:val="en-US" w:eastAsia="zh-CN"/>
              </w:rPr>
              <w:t>0.02</w:t>
            </w:r>
            <w:r>
              <w:rPr>
                <w:rFonts w:hint="eastAsia"/>
                <w:sz w:val="24"/>
                <w:szCs w:val="32"/>
              </w:rPr>
              <w:t>kg/h，排放浓度为</w:t>
            </w:r>
            <w:r>
              <w:rPr>
                <w:rFonts w:hint="eastAsia"/>
                <w:sz w:val="24"/>
                <w:szCs w:val="32"/>
                <w:lang w:val="en-US" w:eastAsia="zh-CN"/>
              </w:rPr>
              <w:t>3.93</w:t>
            </w:r>
            <w:r>
              <w:rPr>
                <w:rFonts w:hint="eastAsia"/>
                <w:sz w:val="24"/>
                <w:szCs w:val="32"/>
              </w:rPr>
              <w:t>mg/m</w:t>
            </w:r>
            <w:r>
              <w:rPr>
                <w:rFonts w:hint="eastAsia"/>
                <w:sz w:val="24"/>
                <w:szCs w:val="32"/>
                <w:vertAlign w:val="superscript"/>
              </w:rPr>
              <w:t>3</w:t>
            </w:r>
            <w:r>
              <w:rPr>
                <w:rFonts w:hint="eastAsia"/>
                <w:sz w:val="24"/>
                <w:szCs w:val="32"/>
              </w:rPr>
              <w:t>，因此，排气筒P2-P5排放的废气颗粒物均满足《</w:t>
            </w:r>
            <w:r>
              <w:rPr>
                <w:rFonts w:hint="eastAsia"/>
                <w:sz w:val="24"/>
              </w:rPr>
              <w:t>水泥工业大气污染物超低排放标准</w:t>
            </w:r>
            <w:r>
              <w:rPr>
                <w:rFonts w:hint="eastAsia"/>
                <w:sz w:val="24"/>
                <w:szCs w:val="32"/>
              </w:rPr>
              <w:t>》（DB13/2167-2020）表1中散装水泥中转站及水泥制品生产中颗粒物有组织排放限值即颗粒物</w:t>
            </w:r>
            <w:r>
              <w:rPr>
                <w:rFonts w:ascii="Arial" w:hAnsi="Arial" w:cs="Arial"/>
                <w:sz w:val="24"/>
                <w:szCs w:val="32"/>
              </w:rPr>
              <w:t>≤</w:t>
            </w:r>
            <w:r>
              <w:rPr>
                <w:rFonts w:hint="eastAsia"/>
                <w:sz w:val="24"/>
                <w:szCs w:val="32"/>
              </w:rPr>
              <w:t>10mg/m</w:t>
            </w:r>
            <w:r>
              <w:rPr>
                <w:rFonts w:hint="eastAsia"/>
                <w:sz w:val="24"/>
                <w:szCs w:val="32"/>
                <w:vertAlign w:val="superscript"/>
              </w:rPr>
              <w:t>3</w:t>
            </w:r>
            <w:r>
              <w:rPr>
                <w:rFonts w:hint="eastAsia"/>
                <w:sz w:val="24"/>
                <w:szCs w:val="32"/>
              </w:rPr>
              <w:t>。</w:t>
            </w:r>
          </w:p>
          <w:p>
            <w:pPr>
              <w:ind w:firstLine="480" w:firstLineChars="200"/>
              <w:rPr>
                <w:rFonts w:hint="eastAsia"/>
                <w:sz w:val="24"/>
                <w:szCs w:val="32"/>
              </w:rPr>
            </w:pPr>
            <w:r>
              <w:rPr>
                <w:rFonts w:hint="eastAsia"/>
                <w:sz w:val="24"/>
                <w:szCs w:val="32"/>
                <w:lang w:val="en-US" w:eastAsia="zh-CN"/>
              </w:rPr>
              <w:t>③</w:t>
            </w:r>
            <w:r>
              <w:rPr>
                <w:rFonts w:hint="eastAsia"/>
                <w:sz w:val="24"/>
                <w:szCs w:val="32"/>
              </w:rPr>
              <w:t xml:space="preserve">砂仓产尘 </w:t>
            </w:r>
          </w:p>
          <w:p>
            <w:pPr>
              <w:ind w:firstLine="480" w:firstLineChars="200"/>
              <w:rPr>
                <w:rFonts w:hint="eastAsia" w:ascii="宋体" w:hAnsi="宋体" w:cs="宋体"/>
                <w:color w:val="000000"/>
                <w:sz w:val="24"/>
                <w:szCs w:val="32"/>
              </w:rPr>
            </w:pPr>
            <w:r>
              <w:rPr>
                <w:rFonts w:hint="eastAsia"/>
                <w:sz w:val="24"/>
                <w:szCs w:val="32"/>
              </w:rPr>
              <w:t>项目设2个砂仓，粉尘产生系数同上表13 产污系数表，砂仓粉尘产生系数取0.13kg/t产品，本项目</w:t>
            </w:r>
            <w:r>
              <w:rPr>
                <w:rFonts w:hint="eastAsia"/>
                <w:sz w:val="24"/>
                <w:szCs w:val="32"/>
                <w:lang w:val="en-US" w:eastAsia="zh-CN"/>
              </w:rPr>
              <w:t>合计砂子用量为141.43万t/a</w:t>
            </w:r>
            <w:r>
              <w:rPr>
                <w:rFonts w:hint="eastAsia"/>
                <w:sz w:val="24"/>
                <w:szCs w:val="32"/>
              </w:rPr>
              <w:t>，砂仓</w:t>
            </w:r>
            <w:r>
              <w:rPr>
                <w:rFonts w:hint="eastAsia"/>
                <w:sz w:val="24"/>
                <w:szCs w:val="32"/>
                <w:lang w:val="en-US" w:eastAsia="zh-CN"/>
              </w:rPr>
              <w:t>上料、落料过程中</w:t>
            </w:r>
            <w:r>
              <w:rPr>
                <w:rFonts w:hint="eastAsia"/>
                <w:sz w:val="24"/>
                <w:szCs w:val="32"/>
              </w:rPr>
              <w:t>产生的颗粒物为</w:t>
            </w:r>
            <w:r>
              <w:rPr>
                <w:rFonts w:hint="eastAsia"/>
                <w:sz w:val="24"/>
                <w:szCs w:val="32"/>
                <w:lang w:val="en-US" w:eastAsia="zh-CN"/>
              </w:rPr>
              <w:t>183.859</w:t>
            </w:r>
            <w:r>
              <w:rPr>
                <w:rFonts w:hint="eastAsia"/>
                <w:sz w:val="24"/>
                <w:szCs w:val="32"/>
              </w:rPr>
              <w:t>t/a，砂仓工作时间为2400h，由2套脉冲式袋式除尘器分别处理后经1根15m高排气筒P6有组织排放，每套脉冲式袋式除尘器风机风量为20000m</w:t>
            </w:r>
            <w:r>
              <w:rPr>
                <w:rFonts w:hint="eastAsia"/>
                <w:sz w:val="24"/>
                <w:szCs w:val="32"/>
                <w:vertAlign w:val="superscript"/>
              </w:rPr>
              <w:t>3</w:t>
            </w:r>
            <w:r>
              <w:rPr>
                <w:rFonts w:hint="eastAsia"/>
                <w:sz w:val="24"/>
                <w:szCs w:val="32"/>
              </w:rPr>
              <w:t>/h，2套合计风量40000m</w:t>
            </w:r>
            <w:r>
              <w:rPr>
                <w:rFonts w:hint="eastAsia"/>
                <w:sz w:val="24"/>
                <w:szCs w:val="32"/>
                <w:vertAlign w:val="superscript"/>
              </w:rPr>
              <w:t>3</w:t>
            </w:r>
            <w:r>
              <w:rPr>
                <w:rFonts w:hint="eastAsia"/>
                <w:sz w:val="24"/>
                <w:szCs w:val="32"/>
              </w:rPr>
              <w:t>/h，则颗粒物的产生速率为</w:t>
            </w:r>
            <w:r>
              <w:rPr>
                <w:rFonts w:hint="eastAsia"/>
                <w:sz w:val="24"/>
                <w:szCs w:val="32"/>
                <w:lang w:val="en-US" w:eastAsia="zh-CN"/>
              </w:rPr>
              <w:t>76.608</w:t>
            </w:r>
            <w:r>
              <w:rPr>
                <w:rFonts w:hint="eastAsia"/>
                <w:sz w:val="24"/>
                <w:szCs w:val="32"/>
              </w:rPr>
              <w:t>kg/h，产生浓度为</w:t>
            </w:r>
            <w:r>
              <w:rPr>
                <w:rFonts w:hint="eastAsia"/>
                <w:sz w:val="24"/>
                <w:szCs w:val="32"/>
                <w:lang w:val="en-US" w:eastAsia="zh-CN"/>
              </w:rPr>
              <w:t>1915.198</w:t>
            </w:r>
            <w:r>
              <w:rPr>
                <w:rFonts w:hint="eastAsia"/>
                <w:sz w:val="24"/>
                <w:szCs w:val="32"/>
              </w:rPr>
              <w:t>mg/m</w:t>
            </w:r>
            <w:r>
              <w:rPr>
                <w:rFonts w:hint="eastAsia"/>
                <w:sz w:val="24"/>
                <w:szCs w:val="32"/>
                <w:vertAlign w:val="superscript"/>
              </w:rPr>
              <w:t>3</w:t>
            </w:r>
            <w:r>
              <w:rPr>
                <w:rFonts w:hint="eastAsia"/>
                <w:sz w:val="24"/>
                <w:szCs w:val="32"/>
              </w:rPr>
              <w:t>，砂仓集气罩收集效率为95%，除尘器除尘效率为99.7%，则颗粒物的排放量为</w:t>
            </w:r>
            <w:r>
              <w:rPr>
                <w:rFonts w:hint="eastAsia"/>
                <w:sz w:val="24"/>
                <w:szCs w:val="32"/>
                <w:lang w:val="en-US" w:eastAsia="zh-CN"/>
              </w:rPr>
              <w:t>0.524</w:t>
            </w:r>
            <w:r>
              <w:rPr>
                <w:rFonts w:hint="eastAsia"/>
                <w:sz w:val="24"/>
                <w:szCs w:val="32"/>
              </w:rPr>
              <w:t>t/a，排放速率为</w:t>
            </w:r>
            <w:r>
              <w:rPr>
                <w:rFonts w:hint="eastAsia"/>
                <w:sz w:val="24"/>
                <w:szCs w:val="32"/>
                <w:lang w:val="en-US" w:eastAsia="zh-CN"/>
              </w:rPr>
              <w:t>0.218</w:t>
            </w:r>
            <w:r>
              <w:rPr>
                <w:rFonts w:hint="eastAsia"/>
                <w:sz w:val="24"/>
                <w:szCs w:val="32"/>
              </w:rPr>
              <w:t>kg/h，排放浓度为</w:t>
            </w:r>
            <w:r>
              <w:rPr>
                <w:rFonts w:hint="eastAsia"/>
                <w:sz w:val="24"/>
                <w:szCs w:val="32"/>
                <w:lang w:val="en-US" w:eastAsia="zh-CN"/>
              </w:rPr>
              <w:t>5.458</w:t>
            </w:r>
            <w:r>
              <w:rPr>
                <w:rFonts w:hint="eastAsia"/>
                <w:sz w:val="24"/>
                <w:szCs w:val="32"/>
              </w:rPr>
              <w:t>mg/m</w:t>
            </w:r>
            <w:r>
              <w:rPr>
                <w:rFonts w:hint="eastAsia"/>
                <w:sz w:val="24"/>
                <w:szCs w:val="32"/>
                <w:vertAlign w:val="superscript"/>
              </w:rPr>
              <w:t>3</w:t>
            </w:r>
            <w:r>
              <w:rPr>
                <w:rFonts w:hint="eastAsia"/>
                <w:sz w:val="24"/>
                <w:szCs w:val="32"/>
              </w:rPr>
              <w:t>，因此，排气筒P6排放的废气颗粒物满足《</w:t>
            </w:r>
            <w:r>
              <w:rPr>
                <w:rFonts w:hint="eastAsia"/>
                <w:sz w:val="24"/>
              </w:rPr>
              <w:t>水泥工业大气污染物超低排放标准</w:t>
            </w:r>
            <w:r>
              <w:rPr>
                <w:rFonts w:hint="eastAsia"/>
                <w:sz w:val="24"/>
                <w:szCs w:val="32"/>
              </w:rPr>
              <w:t>》（DB13/2167-2020）表1中散装水泥中转站及水泥制品生产中颗粒物有组织排放限值即颗粒物</w:t>
            </w:r>
            <w:r>
              <w:rPr>
                <w:rFonts w:ascii="Arial" w:hAnsi="Arial" w:cs="Arial"/>
                <w:sz w:val="24"/>
                <w:szCs w:val="32"/>
              </w:rPr>
              <w:t>≤</w:t>
            </w:r>
            <w:r>
              <w:rPr>
                <w:rFonts w:hint="eastAsia"/>
                <w:sz w:val="24"/>
                <w:szCs w:val="32"/>
              </w:rPr>
              <w:t>10mg/m</w:t>
            </w:r>
            <w:r>
              <w:rPr>
                <w:rFonts w:hint="eastAsia"/>
                <w:sz w:val="24"/>
                <w:szCs w:val="32"/>
                <w:vertAlign w:val="superscript"/>
              </w:rPr>
              <w:t>3</w:t>
            </w:r>
            <w:r>
              <w:rPr>
                <w:rFonts w:hint="eastAsia" w:ascii="宋体" w:hAnsi="宋体" w:cs="宋体"/>
                <w:color w:val="000000"/>
                <w:sz w:val="24"/>
                <w:szCs w:val="32"/>
              </w:rPr>
              <w:t>。</w:t>
            </w:r>
          </w:p>
          <w:p>
            <w:pPr>
              <w:ind w:firstLine="480" w:firstLineChars="200"/>
              <w:rPr>
                <w:rFonts w:hint="eastAsia"/>
                <w:sz w:val="24"/>
                <w:szCs w:val="32"/>
              </w:rPr>
            </w:pPr>
            <w:r>
              <w:rPr>
                <w:rFonts w:hint="eastAsia"/>
                <w:sz w:val="24"/>
                <w:szCs w:val="32"/>
                <w:lang w:val="en-US" w:eastAsia="zh-CN"/>
              </w:rPr>
              <w:t>④</w:t>
            </w:r>
            <w:r>
              <w:rPr>
                <w:rFonts w:hint="eastAsia"/>
                <w:sz w:val="24"/>
                <w:szCs w:val="32"/>
              </w:rPr>
              <w:t xml:space="preserve">搅拌工序产生的颗粒物 </w:t>
            </w:r>
          </w:p>
          <w:p>
            <w:pPr>
              <w:ind w:firstLine="480" w:firstLineChars="200"/>
              <w:rPr>
                <w:rFonts w:hint="eastAsia"/>
                <w:sz w:val="24"/>
                <w:szCs w:val="32"/>
              </w:rPr>
            </w:pPr>
            <w:r>
              <w:rPr>
                <w:rFonts w:hint="eastAsia"/>
                <w:color w:val="000000"/>
                <w:sz w:val="24"/>
                <w:szCs w:val="32"/>
              </w:rPr>
              <w:t>项目设预拌砂浆搅拌楼1座</w:t>
            </w:r>
            <w:r>
              <w:rPr>
                <w:rFonts w:hint="eastAsia"/>
                <w:color w:val="000000"/>
                <w:sz w:val="24"/>
                <w:szCs w:val="32"/>
                <w:lang w:eastAsia="zh-CN"/>
              </w:rPr>
              <w:t>、</w:t>
            </w:r>
            <w:r>
              <w:rPr>
                <w:rFonts w:hint="eastAsia"/>
                <w:color w:val="000000"/>
                <w:sz w:val="24"/>
                <w:szCs w:val="32"/>
                <w:lang w:val="en-US" w:eastAsia="zh-CN"/>
              </w:rPr>
              <w:t>商品混凝土搅拌楼1座</w:t>
            </w:r>
            <w:r>
              <w:rPr>
                <w:rFonts w:hint="eastAsia"/>
                <w:color w:val="000000"/>
                <w:sz w:val="24"/>
                <w:szCs w:val="32"/>
              </w:rPr>
              <w:t>，搅拌工序粉尘产生系数同上表13产污系数表，搅拌工序粉尘产生系数取0.166kg/t产品，</w:t>
            </w:r>
            <w:r>
              <w:rPr>
                <w:rFonts w:hint="eastAsia"/>
                <w:sz w:val="24"/>
                <w:szCs w:val="32"/>
              </w:rPr>
              <w:t>本项目</w:t>
            </w:r>
            <w:r>
              <w:rPr>
                <w:rFonts w:hint="eastAsia"/>
                <w:sz w:val="24"/>
                <w:szCs w:val="32"/>
                <w:lang w:val="en-US" w:eastAsia="zh-CN"/>
              </w:rPr>
              <w:t>砂子、水泥合计用量为189.8万t/a</w:t>
            </w:r>
            <w:r>
              <w:rPr>
                <w:rFonts w:hint="eastAsia"/>
                <w:sz w:val="24"/>
                <w:szCs w:val="32"/>
              </w:rPr>
              <w:t>，则搅拌工序产生的颗粒物为</w:t>
            </w:r>
            <w:r>
              <w:rPr>
                <w:rFonts w:hint="eastAsia"/>
                <w:sz w:val="24"/>
                <w:szCs w:val="32"/>
                <w:lang w:val="en-US" w:eastAsia="zh-CN"/>
              </w:rPr>
              <w:t>313.74</w:t>
            </w:r>
            <w:r>
              <w:rPr>
                <w:rFonts w:hint="eastAsia"/>
                <w:sz w:val="24"/>
                <w:szCs w:val="32"/>
              </w:rPr>
              <w:t>t/a，搅拌工序生产时间为2400h，由</w:t>
            </w:r>
            <w:r>
              <w:rPr>
                <w:rFonts w:hint="eastAsia"/>
                <w:sz w:val="24"/>
                <w:szCs w:val="32"/>
                <w:lang w:val="en-US" w:eastAsia="zh-CN"/>
              </w:rPr>
              <w:t>2</w:t>
            </w:r>
            <w:r>
              <w:rPr>
                <w:rFonts w:hint="eastAsia"/>
                <w:sz w:val="24"/>
                <w:szCs w:val="32"/>
              </w:rPr>
              <w:t>套脉冲式袋式除尘器处理后经1根15m高排气筒P7有组织排放，除尘器风机风量为20000m</w:t>
            </w:r>
            <w:r>
              <w:rPr>
                <w:rFonts w:hint="eastAsia"/>
                <w:sz w:val="24"/>
                <w:szCs w:val="32"/>
                <w:vertAlign w:val="superscript"/>
              </w:rPr>
              <w:t>3</w:t>
            </w:r>
            <w:r>
              <w:rPr>
                <w:rFonts w:hint="eastAsia"/>
                <w:sz w:val="24"/>
                <w:szCs w:val="32"/>
              </w:rPr>
              <w:t>/h，搅拌工序在密闭搅拌楼内进行，则颗粒物的产生速率</w:t>
            </w:r>
            <w:r>
              <w:rPr>
                <w:rFonts w:hint="eastAsia"/>
                <w:sz w:val="24"/>
                <w:szCs w:val="32"/>
                <w:lang w:val="en-US" w:eastAsia="zh-CN"/>
              </w:rPr>
              <w:t>130.725</w:t>
            </w:r>
            <w:r>
              <w:rPr>
                <w:rFonts w:hint="eastAsia"/>
                <w:sz w:val="24"/>
                <w:szCs w:val="32"/>
              </w:rPr>
              <w:t>kg/h，产生浓度为</w:t>
            </w:r>
            <w:r>
              <w:rPr>
                <w:rFonts w:hint="eastAsia"/>
                <w:sz w:val="24"/>
                <w:szCs w:val="32"/>
                <w:lang w:val="en-US" w:eastAsia="zh-CN"/>
              </w:rPr>
              <w:t>3268.125</w:t>
            </w:r>
            <w:r>
              <w:rPr>
                <w:rFonts w:hint="eastAsia"/>
                <w:sz w:val="24"/>
                <w:szCs w:val="32"/>
              </w:rPr>
              <w:t>mg/m</w:t>
            </w:r>
            <w:r>
              <w:rPr>
                <w:rFonts w:hint="eastAsia"/>
                <w:sz w:val="24"/>
                <w:szCs w:val="32"/>
                <w:vertAlign w:val="superscript"/>
              </w:rPr>
              <w:t>3</w:t>
            </w:r>
            <w:r>
              <w:rPr>
                <w:rFonts w:hint="eastAsia"/>
                <w:sz w:val="24"/>
                <w:szCs w:val="32"/>
              </w:rPr>
              <w:t>，除尘器除尘效率为99.7%，则颗粒物的排放量为</w:t>
            </w:r>
            <w:r>
              <w:rPr>
                <w:rFonts w:hint="eastAsia"/>
                <w:sz w:val="24"/>
                <w:szCs w:val="32"/>
                <w:lang w:val="en-US" w:eastAsia="zh-CN"/>
              </w:rPr>
              <w:t>0.941</w:t>
            </w:r>
            <w:r>
              <w:rPr>
                <w:rFonts w:hint="eastAsia"/>
                <w:sz w:val="24"/>
                <w:szCs w:val="32"/>
              </w:rPr>
              <w:t>t/a，排放速率为</w:t>
            </w:r>
            <w:r>
              <w:rPr>
                <w:rFonts w:hint="eastAsia"/>
                <w:sz w:val="24"/>
                <w:szCs w:val="32"/>
                <w:lang w:val="en-US" w:eastAsia="zh-CN"/>
              </w:rPr>
              <w:t>0.392</w:t>
            </w:r>
            <w:r>
              <w:rPr>
                <w:rFonts w:hint="eastAsia"/>
                <w:sz w:val="24"/>
                <w:szCs w:val="32"/>
              </w:rPr>
              <w:t>kg/h，排放浓度为</w:t>
            </w:r>
            <w:r>
              <w:rPr>
                <w:rFonts w:hint="eastAsia"/>
                <w:sz w:val="24"/>
                <w:szCs w:val="32"/>
                <w:lang w:val="en-US" w:eastAsia="zh-CN"/>
              </w:rPr>
              <w:t>9.804</w:t>
            </w:r>
            <w:r>
              <w:rPr>
                <w:rFonts w:hint="eastAsia"/>
                <w:sz w:val="24"/>
                <w:szCs w:val="32"/>
              </w:rPr>
              <w:t>mg/m</w:t>
            </w:r>
            <w:r>
              <w:rPr>
                <w:rFonts w:hint="eastAsia"/>
                <w:sz w:val="24"/>
                <w:szCs w:val="32"/>
                <w:vertAlign w:val="superscript"/>
              </w:rPr>
              <w:t>3</w:t>
            </w:r>
            <w:r>
              <w:rPr>
                <w:rFonts w:hint="eastAsia"/>
                <w:sz w:val="24"/>
                <w:szCs w:val="32"/>
              </w:rPr>
              <w:t>，因此，排气筒P7排放的废气颗粒物满足《</w:t>
            </w:r>
            <w:r>
              <w:rPr>
                <w:rFonts w:hint="eastAsia"/>
                <w:sz w:val="24"/>
              </w:rPr>
              <w:t>水泥工业大气污染物超低排放标准</w:t>
            </w:r>
            <w:r>
              <w:rPr>
                <w:rFonts w:hint="eastAsia"/>
                <w:sz w:val="24"/>
                <w:szCs w:val="32"/>
              </w:rPr>
              <w:t>》（DB13/2167-2020）表1中散装水泥中转站及水泥制品生产中颗粒物有组织排放限值即颗粒物</w:t>
            </w:r>
            <w:r>
              <w:rPr>
                <w:rFonts w:ascii="Arial" w:hAnsi="Arial" w:cs="Arial"/>
                <w:sz w:val="24"/>
                <w:szCs w:val="32"/>
              </w:rPr>
              <w:t>≤</w:t>
            </w:r>
            <w:r>
              <w:rPr>
                <w:rFonts w:hint="eastAsia"/>
                <w:sz w:val="24"/>
                <w:szCs w:val="32"/>
              </w:rPr>
              <w:t>10mg/m</w:t>
            </w:r>
            <w:r>
              <w:rPr>
                <w:rFonts w:hint="eastAsia"/>
                <w:sz w:val="24"/>
                <w:szCs w:val="32"/>
                <w:vertAlign w:val="superscript"/>
              </w:rPr>
              <w:t>3</w:t>
            </w:r>
            <w:r>
              <w:rPr>
                <w:rFonts w:hint="eastAsia"/>
                <w:sz w:val="24"/>
                <w:szCs w:val="32"/>
              </w:rPr>
              <w:t>。</w:t>
            </w:r>
          </w:p>
          <w:p>
            <w:pPr>
              <w:ind w:firstLine="480" w:firstLineChars="200"/>
              <w:rPr>
                <w:color w:val="000000" w:themeColor="text1"/>
                <w:sz w:val="24"/>
                <w:szCs w:val="32"/>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⑤</w:t>
            </w:r>
            <w:r>
              <w:rPr>
                <w:rFonts w:hint="eastAsia"/>
                <w:color w:val="000000" w:themeColor="text1"/>
                <w:sz w:val="24"/>
                <w:szCs w:val="32"/>
                <w14:textFill>
                  <w14:solidFill>
                    <w14:schemeClr w14:val="tx1"/>
                  </w14:solidFill>
                </w14:textFill>
              </w:rPr>
              <w:t>无组织废气颗粒物</w:t>
            </w:r>
          </w:p>
          <w:p>
            <w:pPr>
              <w:ind w:firstLine="480" w:firstLineChars="200"/>
              <w:rPr>
                <w:rFonts w:hint="eastAsia"/>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项目无组织废气主要为</w:t>
            </w:r>
            <w:r>
              <w:rPr>
                <w:rFonts w:hint="eastAsia"/>
                <w:color w:val="000000" w:themeColor="text1"/>
                <w:sz w:val="24"/>
                <w:szCs w:val="32"/>
                <w:lang w:val="en-US" w:eastAsia="zh-CN"/>
                <w14:textFill>
                  <w14:solidFill>
                    <w14:schemeClr w14:val="tx1"/>
                  </w14:solidFill>
                </w14:textFill>
              </w:rPr>
              <w:t>未被收集的颗粒物</w:t>
            </w:r>
            <w:r>
              <w:rPr>
                <w:rFonts w:hint="eastAsia"/>
                <w:color w:val="000000" w:themeColor="text1"/>
                <w:sz w:val="24"/>
                <w:szCs w:val="32"/>
                <w14:textFill>
                  <w14:solidFill>
                    <w14:schemeClr w14:val="tx1"/>
                  </w14:solidFill>
                </w14:textFill>
              </w:rPr>
              <w:t>砂仓产生的颗粒物5%未被收集，无组织颗粒物的排放量为</w:t>
            </w:r>
            <w:r>
              <w:rPr>
                <w:rFonts w:hint="eastAsia"/>
                <w:color w:val="000000" w:themeColor="text1"/>
                <w:sz w:val="24"/>
                <w:szCs w:val="32"/>
                <w:lang w:val="en-US" w:eastAsia="zh-CN"/>
                <w14:textFill>
                  <w14:solidFill>
                    <w14:schemeClr w14:val="tx1"/>
                  </w14:solidFill>
                </w14:textFill>
              </w:rPr>
              <w:t>9.193</w:t>
            </w:r>
            <w:r>
              <w:rPr>
                <w:rFonts w:hint="eastAsia"/>
                <w:color w:val="000000" w:themeColor="text1"/>
                <w:sz w:val="24"/>
                <w:szCs w:val="32"/>
                <w14:textFill>
                  <w14:solidFill>
                    <w14:schemeClr w14:val="tx1"/>
                  </w14:solidFill>
                </w14:textFill>
              </w:rPr>
              <w:t>t/a，排放速率为</w:t>
            </w:r>
            <w:r>
              <w:rPr>
                <w:rFonts w:hint="eastAsia"/>
                <w:color w:val="000000" w:themeColor="text1"/>
                <w:sz w:val="24"/>
                <w:szCs w:val="32"/>
                <w:lang w:val="en-US" w:eastAsia="zh-CN"/>
                <w14:textFill>
                  <w14:solidFill>
                    <w14:schemeClr w14:val="tx1"/>
                  </w14:solidFill>
                </w14:textFill>
              </w:rPr>
              <w:t>3.83</w:t>
            </w:r>
            <w:r>
              <w:rPr>
                <w:rFonts w:hint="eastAsia"/>
                <w:color w:val="000000" w:themeColor="text1"/>
                <w:sz w:val="24"/>
                <w:szCs w:val="32"/>
                <w14:textFill>
                  <w14:solidFill>
                    <w14:schemeClr w14:val="tx1"/>
                  </w14:solidFill>
                </w14:textFill>
              </w:rPr>
              <w:t>kg/h，未被收集的颗粒物经重力沉降、厂房密闭作业、车间喷雾抑尘等措施，逸散至厂界外的无组织颗粒物的量按1%计，因此，厂界外颗粒物排放量为</w:t>
            </w:r>
            <w:r>
              <w:rPr>
                <w:rFonts w:hint="eastAsia"/>
                <w:color w:val="000000" w:themeColor="text1"/>
                <w:sz w:val="24"/>
                <w:szCs w:val="32"/>
                <w:lang w:val="en-US" w:eastAsia="zh-CN"/>
                <w14:textFill>
                  <w14:solidFill>
                    <w14:schemeClr w14:val="tx1"/>
                  </w14:solidFill>
                </w14:textFill>
              </w:rPr>
              <w:t>0.092</w:t>
            </w:r>
            <w:r>
              <w:rPr>
                <w:rFonts w:hint="eastAsia"/>
                <w:color w:val="000000" w:themeColor="text1"/>
                <w:sz w:val="24"/>
                <w:szCs w:val="32"/>
                <w14:textFill>
                  <w14:solidFill>
                    <w14:schemeClr w14:val="tx1"/>
                  </w14:solidFill>
                </w14:textFill>
              </w:rPr>
              <w:t>t/a，满足《</w:t>
            </w:r>
            <w:r>
              <w:rPr>
                <w:rFonts w:hint="eastAsia"/>
                <w:color w:val="000000" w:themeColor="text1"/>
                <w:sz w:val="24"/>
                <w14:textFill>
                  <w14:solidFill>
                    <w14:schemeClr w14:val="tx1"/>
                  </w14:solidFill>
                </w14:textFill>
              </w:rPr>
              <w:t>水泥工业大气污染物超低排放标准</w:t>
            </w:r>
            <w:r>
              <w:rPr>
                <w:rFonts w:hint="eastAsia"/>
                <w:color w:val="000000" w:themeColor="text1"/>
                <w:sz w:val="24"/>
                <w:szCs w:val="32"/>
                <w14:textFill>
                  <w14:solidFill>
                    <w14:schemeClr w14:val="tx1"/>
                  </w14:solidFill>
                </w14:textFill>
              </w:rPr>
              <w:t>》（DB13/2167-2020）表2中颗粒物监控点与参照点总悬浮颗粒物1h浓度值的差值，即颗粒物</w:t>
            </w:r>
            <w:r>
              <w:rPr>
                <w:rFonts w:ascii="Arial" w:hAnsi="Arial" w:cs="Arial"/>
                <w:color w:val="000000" w:themeColor="text1"/>
                <w:sz w:val="24"/>
                <w:szCs w:val="32"/>
                <w14:textFill>
                  <w14:solidFill>
                    <w14:schemeClr w14:val="tx1"/>
                  </w14:solidFill>
                </w14:textFill>
              </w:rPr>
              <w:t>≤</w:t>
            </w:r>
            <w:r>
              <w:rPr>
                <w:rFonts w:hint="eastAsia"/>
                <w:color w:val="000000" w:themeColor="text1"/>
                <w:sz w:val="24"/>
                <w:szCs w:val="32"/>
                <w14:textFill>
                  <w14:solidFill>
                    <w14:schemeClr w14:val="tx1"/>
                  </w14:solidFill>
                </w14:textFill>
              </w:rPr>
              <w:t>0.5mg/m</w:t>
            </w:r>
            <w:r>
              <w:rPr>
                <w:rFonts w:hint="eastAsia"/>
                <w:color w:val="000000" w:themeColor="text1"/>
                <w:sz w:val="24"/>
                <w:szCs w:val="32"/>
                <w:vertAlign w:val="superscript"/>
                <w14:textFill>
                  <w14:solidFill>
                    <w14:schemeClr w14:val="tx1"/>
                  </w14:solidFill>
                </w14:textFill>
              </w:rPr>
              <w:t>3</w:t>
            </w:r>
            <w:r>
              <w:rPr>
                <w:rFonts w:hint="eastAsia"/>
                <w:color w:val="000000" w:themeColor="text1"/>
                <w:sz w:val="24"/>
                <w:szCs w:val="32"/>
                <w14:textFill>
                  <w14:solidFill>
                    <w14:schemeClr w14:val="tx1"/>
                  </w14:solidFill>
                </w14:textFill>
              </w:rPr>
              <w:t>。</w:t>
            </w:r>
          </w:p>
          <w:p>
            <w:pPr>
              <w:ind w:firstLine="480" w:firstLineChars="200"/>
              <w:rPr>
                <w:rFonts w:hint="eastAsia"/>
                <w:sz w:val="24"/>
                <w:szCs w:val="32"/>
              </w:rPr>
            </w:pPr>
            <w:r>
              <w:rPr>
                <w:rFonts w:hint="eastAsia"/>
                <w:sz w:val="24"/>
                <w:szCs w:val="32"/>
              </w:rPr>
              <w:t>本项目废气产生及处理、排放情况详见表</w:t>
            </w:r>
            <w:r>
              <w:rPr>
                <w:rFonts w:hint="eastAsia"/>
                <w:sz w:val="24"/>
                <w:szCs w:val="32"/>
                <w:lang w:val="en-US" w:eastAsia="zh-CN"/>
              </w:rPr>
              <w:t>16</w:t>
            </w:r>
            <w:r>
              <w:rPr>
                <w:rFonts w:hint="eastAsia"/>
                <w:sz w:val="24"/>
                <w:szCs w:val="32"/>
              </w:rPr>
              <w:t>。</w:t>
            </w:r>
          </w:p>
          <w:p>
            <w:pPr>
              <w:ind w:firstLine="422" w:firstLineChars="200"/>
              <w:jc w:val="center"/>
              <w:rPr>
                <w:rFonts w:hint="eastAsia"/>
                <w:b/>
                <w:bCs/>
                <w:sz w:val="24"/>
                <w:szCs w:val="32"/>
              </w:rPr>
            </w:pPr>
            <w:r>
              <w:rPr>
                <w:rFonts w:hint="eastAsia"/>
                <w:b/>
                <w:bCs/>
                <w:sz w:val="21"/>
                <w:szCs w:val="21"/>
              </w:rPr>
              <w:t>表</w:t>
            </w:r>
            <w:r>
              <w:rPr>
                <w:rFonts w:hint="eastAsia"/>
                <w:b/>
                <w:bCs/>
                <w:sz w:val="21"/>
                <w:szCs w:val="21"/>
                <w:lang w:val="en-US" w:eastAsia="zh-CN"/>
              </w:rPr>
              <w:t>16</w:t>
            </w:r>
            <w:r>
              <w:rPr>
                <w:rFonts w:hint="eastAsia"/>
                <w:b/>
                <w:bCs/>
                <w:sz w:val="21"/>
                <w:szCs w:val="21"/>
              </w:rPr>
              <w:t xml:space="preserve">  项目废气产生排放情况一览表</w:t>
            </w:r>
          </w:p>
          <w:tbl>
            <w:tblPr>
              <w:tblStyle w:val="24"/>
              <w:tblW w:w="497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19"/>
              <w:gridCol w:w="460"/>
              <w:gridCol w:w="501"/>
              <w:gridCol w:w="1209"/>
              <w:gridCol w:w="1441"/>
              <w:gridCol w:w="952"/>
              <w:gridCol w:w="714"/>
              <w:gridCol w:w="1275"/>
              <w:gridCol w:w="5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90" w:hRule="atLeast"/>
                <w:jc w:val="center"/>
              </w:trPr>
              <w:tc>
                <w:tcPr>
                  <w:tcW w:w="519" w:type="pct"/>
                  <w:vAlign w:val="center"/>
                </w:tcPr>
                <w:p>
                  <w:pPr>
                    <w:snapToGrid w:val="0"/>
                    <w:spacing w:line="240" w:lineRule="auto"/>
                    <w:jc w:val="center"/>
                  </w:pPr>
                  <w:r>
                    <w:t>产污工序</w:t>
                  </w:r>
                </w:p>
              </w:tc>
              <w:tc>
                <w:tcPr>
                  <w:tcW w:w="291" w:type="pct"/>
                  <w:vAlign w:val="center"/>
                </w:tcPr>
                <w:p>
                  <w:pPr>
                    <w:snapToGrid w:val="0"/>
                    <w:spacing w:line="240" w:lineRule="auto"/>
                    <w:jc w:val="center"/>
                  </w:pPr>
                  <w:r>
                    <w:t>污染物</w:t>
                  </w:r>
                </w:p>
              </w:tc>
              <w:tc>
                <w:tcPr>
                  <w:tcW w:w="317" w:type="pct"/>
                  <w:vAlign w:val="center"/>
                </w:tcPr>
                <w:p>
                  <w:pPr>
                    <w:snapToGrid w:val="0"/>
                    <w:spacing w:line="240" w:lineRule="auto"/>
                    <w:jc w:val="center"/>
                  </w:pPr>
                  <w:r>
                    <w:t>排放形式</w:t>
                  </w:r>
                </w:p>
              </w:tc>
              <w:tc>
                <w:tcPr>
                  <w:tcW w:w="767" w:type="pct"/>
                  <w:vAlign w:val="center"/>
                </w:tcPr>
                <w:p>
                  <w:pPr>
                    <w:snapToGrid w:val="0"/>
                    <w:spacing w:line="240" w:lineRule="auto"/>
                    <w:jc w:val="center"/>
                    <w:rPr>
                      <w:rFonts w:hint="eastAsia"/>
                    </w:rPr>
                  </w:pPr>
                  <w:r>
                    <w:rPr>
                      <w:rFonts w:hint="eastAsia"/>
                    </w:rPr>
                    <w:t>产生量、</w:t>
                  </w:r>
                  <w:r>
                    <w:t>产生</w:t>
                  </w:r>
                  <w:r>
                    <w:rPr>
                      <w:rFonts w:hint="eastAsia"/>
                    </w:rPr>
                    <w:t>浓度</w:t>
                  </w:r>
                </w:p>
                <w:p>
                  <w:pPr>
                    <w:snapToGrid w:val="0"/>
                    <w:spacing w:line="240" w:lineRule="auto"/>
                    <w:jc w:val="center"/>
                    <w:rPr>
                      <w:rFonts w:hint="eastAsia"/>
                    </w:rPr>
                  </w:pPr>
                </w:p>
              </w:tc>
              <w:tc>
                <w:tcPr>
                  <w:tcW w:w="913" w:type="pct"/>
                  <w:vAlign w:val="center"/>
                </w:tcPr>
                <w:p>
                  <w:pPr>
                    <w:snapToGrid w:val="0"/>
                    <w:spacing w:line="240" w:lineRule="auto"/>
                    <w:jc w:val="center"/>
                  </w:pPr>
                  <w:r>
                    <w:t>治理设施</w:t>
                  </w:r>
                </w:p>
              </w:tc>
              <w:tc>
                <w:tcPr>
                  <w:tcW w:w="604" w:type="pct"/>
                  <w:vAlign w:val="center"/>
                </w:tcPr>
                <w:p>
                  <w:pPr>
                    <w:snapToGrid w:val="0"/>
                    <w:spacing w:line="240" w:lineRule="auto"/>
                    <w:jc w:val="center"/>
                  </w:pPr>
                  <w:r>
                    <w:t>处理能力</w:t>
                  </w:r>
                </w:p>
              </w:tc>
              <w:tc>
                <w:tcPr>
                  <w:tcW w:w="453" w:type="pct"/>
                  <w:vAlign w:val="center"/>
                </w:tcPr>
                <w:p>
                  <w:pPr>
                    <w:snapToGrid w:val="0"/>
                    <w:spacing w:line="240" w:lineRule="auto"/>
                    <w:jc w:val="center"/>
                  </w:pPr>
                  <w:r>
                    <w:t>收集效率、去除率</w:t>
                  </w:r>
                </w:p>
              </w:tc>
              <w:tc>
                <w:tcPr>
                  <w:tcW w:w="809" w:type="pct"/>
                  <w:vAlign w:val="center"/>
                </w:tcPr>
                <w:p>
                  <w:pPr>
                    <w:snapToGrid w:val="0"/>
                    <w:spacing w:line="240" w:lineRule="auto"/>
                    <w:jc w:val="center"/>
                  </w:pPr>
                  <w:r>
                    <w:t>排放量和排放浓度</w:t>
                  </w:r>
                </w:p>
              </w:tc>
              <w:tc>
                <w:tcPr>
                  <w:tcW w:w="324" w:type="pct"/>
                  <w:vAlign w:val="center"/>
                </w:tcPr>
                <w:p>
                  <w:pPr>
                    <w:snapToGrid w:val="0"/>
                    <w:spacing w:line="240" w:lineRule="auto"/>
                    <w:jc w:val="center"/>
                  </w:pPr>
                  <w:r>
                    <w:t>是否为可行技术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rPr>
                      <w:rFonts w:hint="default" w:eastAsia="宋体"/>
                      <w:lang w:val="en-US" w:eastAsia="zh-CN"/>
                    </w:rPr>
                  </w:pPr>
                  <w:r>
                    <w:rPr>
                      <w:rFonts w:hint="eastAsia"/>
                      <w:lang w:val="en-US" w:eastAsia="zh-CN"/>
                    </w:rPr>
                    <w:t>骨料破碎、筛分</w:t>
                  </w:r>
                </w:p>
              </w:tc>
              <w:tc>
                <w:tcPr>
                  <w:tcW w:w="291" w:type="pct"/>
                  <w:vAlign w:val="center"/>
                </w:tcPr>
                <w:p>
                  <w:pPr>
                    <w:snapToGrid w:val="0"/>
                    <w:spacing w:line="240" w:lineRule="auto"/>
                    <w:jc w:val="center"/>
                    <w:rPr>
                      <w:rFonts w:hint="eastAsia" w:eastAsia="宋体"/>
                      <w:lang w:val="en-US" w:eastAsia="zh-CN"/>
                    </w:rPr>
                  </w:pPr>
                  <w:r>
                    <w:rPr>
                      <w:rFonts w:hint="eastAsia"/>
                      <w:lang w:val="en-US" w:eastAsia="zh-CN"/>
                    </w:rPr>
                    <w:t>颗粒物</w:t>
                  </w:r>
                </w:p>
              </w:tc>
              <w:tc>
                <w:tcPr>
                  <w:tcW w:w="317" w:type="pct"/>
                  <w:vAlign w:val="center"/>
                </w:tcPr>
                <w:p>
                  <w:pPr>
                    <w:snapToGrid w:val="0"/>
                    <w:spacing w:line="240" w:lineRule="auto"/>
                    <w:jc w:val="center"/>
                    <w:rPr>
                      <w:rFonts w:hint="eastAsia" w:eastAsia="宋体"/>
                      <w:lang w:val="en-US" w:eastAsia="zh-CN"/>
                    </w:rPr>
                  </w:pPr>
                  <w:r>
                    <w:rPr>
                      <w:rFonts w:hint="eastAsia"/>
                      <w:lang w:val="en-US" w:eastAsia="zh-CN"/>
                    </w:rPr>
                    <w:t>有组织</w:t>
                  </w:r>
                </w:p>
              </w:tc>
              <w:tc>
                <w:tcPr>
                  <w:tcW w:w="767" w:type="pct"/>
                  <w:vAlign w:val="center"/>
                </w:tcPr>
                <w:p>
                  <w:pPr>
                    <w:snapToGrid w:val="0"/>
                    <w:spacing w:line="240" w:lineRule="auto"/>
                    <w:jc w:val="center"/>
                    <w:rPr>
                      <w:rFonts w:hint="default" w:eastAsia="宋体"/>
                      <w:lang w:val="en-US" w:eastAsia="zh-CN"/>
                    </w:rPr>
                  </w:pPr>
                  <w:r>
                    <w:rPr>
                      <w:rFonts w:hint="eastAsia"/>
                      <w:lang w:val="en-US" w:eastAsia="zh-CN"/>
                    </w:rPr>
                    <w:t>72t/a 1500mg/m</w:t>
                  </w:r>
                  <w:r>
                    <w:rPr>
                      <w:rFonts w:hint="eastAsia"/>
                      <w:vertAlign w:val="superscript"/>
                      <w:lang w:val="en-US" w:eastAsia="zh-CN"/>
                    </w:rPr>
                    <w:t>3</w:t>
                  </w:r>
                </w:p>
              </w:tc>
              <w:tc>
                <w:tcPr>
                  <w:tcW w:w="913" w:type="pct"/>
                  <w:vAlign w:val="center"/>
                </w:tcPr>
                <w:p>
                  <w:pPr>
                    <w:snapToGrid w:val="0"/>
                    <w:spacing w:line="240" w:lineRule="auto"/>
                    <w:jc w:val="center"/>
                    <w:rPr>
                      <w:rFonts w:hint="default" w:eastAsia="宋体"/>
                      <w:lang w:val="en-US" w:eastAsia="zh-CN"/>
                    </w:rPr>
                  </w:pPr>
                  <w:r>
                    <w:rPr>
                      <w:rFonts w:hint="eastAsia"/>
                      <w:lang w:val="en-US" w:eastAsia="zh-CN"/>
                    </w:rPr>
                    <w:t>密闭车间+1套脉冲式袋式除尘器+1根15m高排气筒P1排放</w:t>
                  </w:r>
                </w:p>
              </w:tc>
              <w:tc>
                <w:tcPr>
                  <w:tcW w:w="604" w:type="pct"/>
                  <w:vAlign w:val="center"/>
                </w:tcPr>
                <w:p>
                  <w:pPr>
                    <w:spacing w:line="240" w:lineRule="auto"/>
                    <w:jc w:val="center"/>
                    <w:rPr>
                      <w:rFonts w:hint="default" w:eastAsia="宋体"/>
                      <w:lang w:val="en-US" w:eastAsia="zh-CN"/>
                    </w:rPr>
                  </w:pPr>
                  <w:r>
                    <w:rPr>
                      <w:rFonts w:hint="eastAsia"/>
                      <w:lang w:val="en-US" w:eastAsia="zh-CN"/>
                    </w:rPr>
                    <w:t>20000</w:t>
                  </w:r>
                  <w:r>
                    <w:t>m</w:t>
                  </w:r>
                  <w:r>
                    <w:rPr>
                      <w:vertAlign w:val="superscript"/>
                    </w:rPr>
                    <w:t>3</w:t>
                  </w:r>
                  <w:r>
                    <w:t>/h</w:t>
                  </w:r>
                </w:p>
              </w:tc>
              <w:tc>
                <w:tcPr>
                  <w:tcW w:w="453" w:type="pct"/>
                  <w:vAlign w:val="center"/>
                </w:tcPr>
                <w:p>
                  <w:pPr>
                    <w:spacing w:line="240" w:lineRule="auto"/>
                    <w:jc w:val="center"/>
                    <w:rPr>
                      <w:rFonts w:hint="default" w:eastAsia="宋体"/>
                      <w:lang w:val="en-US" w:eastAsia="zh-CN"/>
                    </w:rPr>
                  </w:pPr>
                  <w:r>
                    <w:rPr>
                      <w:rFonts w:hint="eastAsia"/>
                      <w:lang w:val="en-US" w:eastAsia="zh-CN"/>
                    </w:rPr>
                    <w:t>100% 99.7%</w:t>
                  </w:r>
                </w:p>
              </w:tc>
              <w:tc>
                <w:tcPr>
                  <w:tcW w:w="809" w:type="pct"/>
                  <w:vAlign w:val="center"/>
                </w:tcPr>
                <w:p>
                  <w:pPr>
                    <w:spacing w:line="240" w:lineRule="auto"/>
                    <w:jc w:val="center"/>
                    <w:rPr>
                      <w:rFonts w:hint="eastAsia"/>
                    </w:rPr>
                  </w:pPr>
                  <w:r>
                    <w:rPr>
                      <w:rFonts w:hint="eastAsia"/>
                      <w:lang w:val="en-US" w:eastAsia="zh-CN"/>
                    </w:rPr>
                    <w:t>0.36</w:t>
                  </w:r>
                  <w:r>
                    <w:rPr>
                      <w:rFonts w:hint="eastAsia"/>
                    </w:rPr>
                    <w:t>t/a</w:t>
                  </w:r>
                </w:p>
                <w:p>
                  <w:pPr>
                    <w:spacing w:line="240" w:lineRule="auto"/>
                    <w:jc w:val="center"/>
                    <w:rPr>
                      <w:rFonts w:hint="default" w:eastAsia="宋体"/>
                      <w:lang w:val="en-US" w:eastAsia="zh-CN"/>
                    </w:rPr>
                  </w:pPr>
                  <w:r>
                    <w:rPr>
                      <w:rFonts w:hint="eastAsia"/>
                      <w:lang w:val="en-US" w:eastAsia="zh-CN"/>
                    </w:rPr>
                    <w:t>7.5</w:t>
                  </w:r>
                  <w:r>
                    <w:rPr>
                      <w:rFonts w:hint="eastAsia"/>
                    </w:rPr>
                    <w:t>mg/m</w:t>
                  </w:r>
                  <w:r>
                    <w:rPr>
                      <w:rFonts w:hint="eastAsia"/>
                      <w:vertAlign w:val="superscript"/>
                    </w:rPr>
                    <w:t>3</w:t>
                  </w:r>
                </w:p>
              </w:tc>
              <w:tc>
                <w:tcPr>
                  <w:tcW w:w="324" w:type="pct"/>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pPr>
                  <w:r>
                    <w:rPr>
                      <w:rFonts w:hint="eastAsia"/>
                    </w:rPr>
                    <w:t>1#、2#粉料仓上料工序</w:t>
                  </w:r>
                </w:p>
              </w:tc>
              <w:tc>
                <w:tcPr>
                  <w:tcW w:w="291" w:type="pct"/>
                  <w:vAlign w:val="center"/>
                </w:tcPr>
                <w:p>
                  <w:pPr>
                    <w:snapToGrid w:val="0"/>
                    <w:spacing w:line="240" w:lineRule="auto"/>
                    <w:jc w:val="center"/>
                    <w:rPr>
                      <w:rFonts w:hint="eastAsia"/>
                    </w:rPr>
                  </w:pPr>
                  <w:r>
                    <w:rPr>
                      <w:rFonts w:hint="eastAsia"/>
                    </w:rPr>
                    <w:t>颗粒物</w:t>
                  </w:r>
                </w:p>
              </w:tc>
              <w:tc>
                <w:tcPr>
                  <w:tcW w:w="317" w:type="pct"/>
                  <w:vAlign w:val="center"/>
                </w:tcPr>
                <w:p>
                  <w:pPr>
                    <w:snapToGrid w:val="0"/>
                    <w:spacing w:line="240" w:lineRule="auto"/>
                    <w:jc w:val="center"/>
                  </w:pPr>
                  <w:r>
                    <w:t>有组织</w:t>
                  </w:r>
                </w:p>
              </w:tc>
              <w:tc>
                <w:tcPr>
                  <w:tcW w:w="767" w:type="pct"/>
                  <w:vAlign w:val="center"/>
                </w:tcPr>
                <w:p>
                  <w:pPr>
                    <w:snapToGrid w:val="0"/>
                    <w:spacing w:line="240" w:lineRule="auto"/>
                    <w:jc w:val="center"/>
                    <w:rPr>
                      <w:rFonts w:hint="eastAsia"/>
                    </w:rPr>
                  </w:pPr>
                  <w:r>
                    <w:rPr>
                      <w:rFonts w:hint="eastAsia"/>
                      <w:lang w:val="en-US" w:eastAsia="zh-CN"/>
                    </w:rPr>
                    <w:t>15.72</w:t>
                  </w:r>
                  <w:r>
                    <w:rPr>
                      <w:rFonts w:hint="eastAsia"/>
                    </w:rPr>
                    <w:t>t/a</w:t>
                  </w:r>
                </w:p>
                <w:p>
                  <w:pPr>
                    <w:snapToGrid w:val="0"/>
                    <w:spacing w:line="240" w:lineRule="auto"/>
                    <w:jc w:val="center"/>
                  </w:pPr>
                  <w:r>
                    <w:rPr>
                      <w:rFonts w:hint="eastAsia"/>
                      <w:lang w:val="en-US" w:eastAsia="zh-CN"/>
                    </w:rPr>
                    <w:t>1310</w:t>
                  </w:r>
                  <w:r>
                    <w:rPr>
                      <w:rFonts w:hint="eastAsia"/>
                    </w:rPr>
                    <w:t>mg/m</w:t>
                  </w:r>
                  <w:r>
                    <w:rPr>
                      <w:rFonts w:hint="eastAsia"/>
                      <w:vertAlign w:val="superscript"/>
                    </w:rPr>
                    <w:t>3</w:t>
                  </w:r>
                </w:p>
              </w:tc>
              <w:tc>
                <w:tcPr>
                  <w:tcW w:w="913" w:type="pct"/>
                  <w:vAlign w:val="center"/>
                </w:tcPr>
                <w:p>
                  <w:pPr>
                    <w:snapToGrid w:val="0"/>
                    <w:spacing w:line="240" w:lineRule="auto"/>
                    <w:jc w:val="center"/>
                  </w:pPr>
                  <w:r>
                    <w:rPr>
                      <w:rFonts w:hint="eastAsia"/>
                    </w:rPr>
                    <w:t>封闭式进仓+1套脉冲式袋式除尘器+28m排气筒P2排放</w:t>
                  </w:r>
                </w:p>
              </w:tc>
              <w:tc>
                <w:tcPr>
                  <w:tcW w:w="604" w:type="pct"/>
                  <w:vAlign w:val="center"/>
                </w:tcPr>
                <w:p>
                  <w:pPr>
                    <w:spacing w:line="240" w:lineRule="auto"/>
                    <w:jc w:val="center"/>
                  </w:pPr>
                  <w:r>
                    <w:rPr>
                      <w:rFonts w:hint="eastAsia"/>
                    </w:rPr>
                    <w:t>5000</w:t>
                  </w:r>
                  <w:r>
                    <w:t>m</w:t>
                  </w:r>
                  <w:r>
                    <w:rPr>
                      <w:vertAlign w:val="superscript"/>
                    </w:rPr>
                    <w:t>3</w:t>
                  </w:r>
                  <w:r>
                    <w:t>/h</w:t>
                  </w:r>
                </w:p>
              </w:tc>
              <w:tc>
                <w:tcPr>
                  <w:tcW w:w="453" w:type="pct"/>
                  <w:vAlign w:val="center"/>
                </w:tcPr>
                <w:p>
                  <w:pPr>
                    <w:spacing w:line="240" w:lineRule="auto"/>
                    <w:jc w:val="center"/>
                  </w:pPr>
                  <w:r>
                    <w:rPr>
                      <w:rFonts w:hint="eastAsia"/>
                    </w:rPr>
                    <w:t>100</w:t>
                  </w:r>
                  <w:r>
                    <w:t>%</w:t>
                  </w:r>
                </w:p>
                <w:p>
                  <w:pPr>
                    <w:spacing w:line="240" w:lineRule="auto"/>
                    <w:jc w:val="center"/>
                  </w:pPr>
                  <w:r>
                    <w:rPr>
                      <w:rFonts w:hint="eastAsia"/>
                    </w:rPr>
                    <w:t>99.7</w:t>
                  </w:r>
                  <w:r>
                    <w:t>%</w:t>
                  </w:r>
                </w:p>
              </w:tc>
              <w:tc>
                <w:tcPr>
                  <w:tcW w:w="809" w:type="pct"/>
                  <w:vAlign w:val="center"/>
                </w:tcPr>
                <w:p>
                  <w:pPr>
                    <w:spacing w:line="240" w:lineRule="auto"/>
                    <w:jc w:val="center"/>
                    <w:rPr>
                      <w:rFonts w:hint="eastAsia"/>
                    </w:rPr>
                  </w:pPr>
                  <w:r>
                    <w:rPr>
                      <w:rFonts w:hint="eastAsia"/>
                      <w:lang w:val="en-US" w:eastAsia="zh-CN"/>
                    </w:rPr>
                    <w:t>0.047</w:t>
                  </w:r>
                  <w:r>
                    <w:rPr>
                      <w:rFonts w:hint="eastAsia"/>
                    </w:rPr>
                    <w:t>t/a</w:t>
                  </w:r>
                </w:p>
                <w:p>
                  <w:pPr>
                    <w:spacing w:line="240" w:lineRule="auto"/>
                    <w:jc w:val="center"/>
                    <w:rPr>
                      <w:rFonts w:hint="eastAsia"/>
                    </w:rPr>
                  </w:pPr>
                  <w:r>
                    <w:rPr>
                      <w:rFonts w:hint="eastAsia"/>
                      <w:lang w:val="en-US" w:eastAsia="zh-CN"/>
                    </w:rPr>
                    <w:t>3.93</w:t>
                  </w:r>
                  <w:r>
                    <w:rPr>
                      <w:rFonts w:hint="eastAsia"/>
                    </w:rPr>
                    <w:t>mg/m</w:t>
                  </w:r>
                  <w:r>
                    <w:rPr>
                      <w:rFonts w:hint="eastAsia"/>
                      <w:vertAlign w:val="superscript"/>
                    </w:rPr>
                    <w:t>3</w:t>
                  </w:r>
                </w:p>
              </w:tc>
              <w:tc>
                <w:tcPr>
                  <w:tcW w:w="324" w:type="pct"/>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rPr>
                      <w:rFonts w:hint="eastAsia"/>
                    </w:rPr>
                  </w:pPr>
                  <w:r>
                    <w:rPr>
                      <w:rFonts w:hint="eastAsia"/>
                    </w:rPr>
                    <w:t>3#、4#粉料仓上料工序</w:t>
                  </w:r>
                </w:p>
              </w:tc>
              <w:tc>
                <w:tcPr>
                  <w:tcW w:w="291" w:type="pct"/>
                  <w:vAlign w:val="center"/>
                </w:tcPr>
                <w:p>
                  <w:pPr>
                    <w:snapToGrid w:val="0"/>
                    <w:spacing w:line="240" w:lineRule="auto"/>
                    <w:jc w:val="center"/>
                    <w:rPr>
                      <w:rFonts w:hint="eastAsia"/>
                    </w:rPr>
                  </w:pPr>
                  <w:r>
                    <w:rPr>
                      <w:rFonts w:hint="eastAsia"/>
                    </w:rPr>
                    <w:t>颗粒物</w:t>
                  </w:r>
                </w:p>
              </w:tc>
              <w:tc>
                <w:tcPr>
                  <w:tcW w:w="317" w:type="pct"/>
                  <w:vAlign w:val="center"/>
                </w:tcPr>
                <w:p>
                  <w:pPr>
                    <w:snapToGrid w:val="0"/>
                    <w:spacing w:line="240" w:lineRule="auto"/>
                    <w:jc w:val="center"/>
                  </w:pPr>
                  <w:r>
                    <w:t>有组织</w:t>
                  </w:r>
                </w:p>
              </w:tc>
              <w:tc>
                <w:tcPr>
                  <w:tcW w:w="767" w:type="pct"/>
                  <w:vAlign w:val="center"/>
                </w:tcPr>
                <w:p>
                  <w:pPr>
                    <w:snapToGrid w:val="0"/>
                    <w:spacing w:line="240" w:lineRule="auto"/>
                    <w:jc w:val="center"/>
                    <w:rPr>
                      <w:rFonts w:hint="eastAsia"/>
                    </w:rPr>
                  </w:pPr>
                  <w:r>
                    <w:rPr>
                      <w:rFonts w:hint="eastAsia"/>
                      <w:lang w:val="en-US" w:eastAsia="zh-CN"/>
                    </w:rPr>
                    <w:t>15.72</w:t>
                  </w:r>
                  <w:r>
                    <w:rPr>
                      <w:rFonts w:hint="eastAsia"/>
                    </w:rPr>
                    <w:t>t/a</w:t>
                  </w:r>
                </w:p>
                <w:p>
                  <w:pPr>
                    <w:snapToGrid w:val="0"/>
                    <w:spacing w:line="240" w:lineRule="auto"/>
                    <w:jc w:val="center"/>
                    <w:rPr>
                      <w:rFonts w:hint="eastAsia"/>
                    </w:rPr>
                  </w:pPr>
                  <w:r>
                    <w:rPr>
                      <w:rFonts w:hint="eastAsia"/>
                      <w:lang w:val="en-US" w:eastAsia="zh-CN"/>
                    </w:rPr>
                    <w:t>1310</w:t>
                  </w:r>
                  <w:r>
                    <w:rPr>
                      <w:rFonts w:hint="eastAsia"/>
                    </w:rPr>
                    <w:t>mg/m</w:t>
                  </w:r>
                  <w:r>
                    <w:rPr>
                      <w:rFonts w:hint="eastAsia"/>
                      <w:vertAlign w:val="superscript"/>
                    </w:rPr>
                    <w:t>3</w:t>
                  </w:r>
                </w:p>
              </w:tc>
              <w:tc>
                <w:tcPr>
                  <w:tcW w:w="913" w:type="pct"/>
                  <w:vAlign w:val="center"/>
                </w:tcPr>
                <w:p>
                  <w:pPr>
                    <w:snapToGrid w:val="0"/>
                    <w:spacing w:line="240" w:lineRule="auto"/>
                    <w:jc w:val="center"/>
                    <w:rPr>
                      <w:rFonts w:hint="eastAsia"/>
                    </w:rPr>
                  </w:pPr>
                  <w:r>
                    <w:rPr>
                      <w:rFonts w:hint="eastAsia"/>
                    </w:rPr>
                    <w:t>封闭式进仓+1套脉冲式袋式除尘器+28m排气筒P3排放</w:t>
                  </w:r>
                </w:p>
              </w:tc>
              <w:tc>
                <w:tcPr>
                  <w:tcW w:w="604" w:type="pct"/>
                  <w:vAlign w:val="center"/>
                </w:tcPr>
                <w:p>
                  <w:pPr>
                    <w:spacing w:line="240" w:lineRule="auto"/>
                    <w:jc w:val="center"/>
                    <w:rPr>
                      <w:rFonts w:hint="eastAsia"/>
                    </w:rPr>
                  </w:pPr>
                  <w:r>
                    <w:rPr>
                      <w:rFonts w:hint="eastAsia"/>
                    </w:rPr>
                    <w:t>5000</w:t>
                  </w:r>
                  <w:r>
                    <w:t>m</w:t>
                  </w:r>
                  <w:r>
                    <w:rPr>
                      <w:vertAlign w:val="superscript"/>
                    </w:rPr>
                    <w:t>3</w:t>
                  </w:r>
                  <w:r>
                    <w:t>/h</w:t>
                  </w:r>
                </w:p>
              </w:tc>
              <w:tc>
                <w:tcPr>
                  <w:tcW w:w="453" w:type="pct"/>
                  <w:vAlign w:val="center"/>
                </w:tcPr>
                <w:p>
                  <w:pPr>
                    <w:spacing w:line="240" w:lineRule="auto"/>
                    <w:jc w:val="center"/>
                  </w:pPr>
                  <w:r>
                    <w:rPr>
                      <w:rFonts w:hint="eastAsia"/>
                    </w:rPr>
                    <w:t>100</w:t>
                  </w:r>
                  <w:r>
                    <w:t>%</w:t>
                  </w:r>
                </w:p>
                <w:p>
                  <w:pPr>
                    <w:spacing w:line="240" w:lineRule="auto"/>
                    <w:jc w:val="center"/>
                    <w:rPr>
                      <w:rFonts w:hint="eastAsia"/>
                    </w:rPr>
                  </w:pPr>
                  <w:r>
                    <w:rPr>
                      <w:rFonts w:hint="eastAsia"/>
                    </w:rPr>
                    <w:t>99.7</w:t>
                  </w:r>
                  <w:r>
                    <w:t>%</w:t>
                  </w:r>
                </w:p>
              </w:tc>
              <w:tc>
                <w:tcPr>
                  <w:tcW w:w="809" w:type="pct"/>
                  <w:vAlign w:val="center"/>
                </w:tcPr>
                <w:p>
                  <w:pPr>
                    <w:spacing w:line="240" w:lineRule="auto"/>
                    <w:jc w:val="center"/>
                    <w:rPr>
                      <w:rFonts w:hint="eastAsia"/>
                    </w:rPr>
                  </w:pPr>
                  <w:r>
                    <w:rPr>
                      <w:rFonts w:hint="eastAsia"/>
                      <w:lang w:val="en-US" w:eastAsia="zh-CN"/>
                    </w:rPr>
                    <w:t>0.047</w:t>
                  </w:r>
                  <w:r>
                    <w:rPr>
                      <w:rFonts w:hint="eastAsia"/>
                    </w:rPr>
                    <w:t>t/a</w:t>
                  </w:r>
                </w:p>
                <w:p>
                  <w:pPr>
                    <w:spacing w:line="240" w:lineRule="auto"/>
                    <w:jc w:val="center"/>
                    <w:rPr>
                      <w:rFonts w:hint="eastAsia"/>
                    </w:rPr>
                  </w:pPr>
                  <w:r>
                    <w:rPr>
                      <w:rFonts w:hint="eastAsia"/>
                      <w:lang w:val="en-US" w:eastAsia="zh-CN"/>
                    </w:rPr>
                    <w:t>3.93</w:t>
                  </w:r>
                  <w:r>
                    <w:rPr>
                      <w:rFonts w:hint="eastAsia"/>
                    </w:rPr>
                    <w:t>mg/m</w:t>
                  </w:r>
                  <w:r>
                    <w:rPr>
                      <w:rFonts w:hint="eastAsia"/>
                      <w:vertAlign w:val="superscript"/>
                    </w:rPr>
                    <w:t>3</w:t>
                  </w:r>
                </w:p>
              </w:tc>
              <w:tc>
                <w:tcPr>
                  <w:tcW w:w="324" w:type="pct"/>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rPr>
                      <w:rFonts w:hint="eastAsia"/>
                    </w:rPr>
                  </w:pPr>
                  <w:r>
                    <w:rPr>
                      <w:rFonts w:hint="eastAsia"/>
                    </w:rPr>
                    <w:t>5#、6#粉料仓上料工序</w:t>
                  </w:r>
                </w:p>
              </w:tc>
              <w:tc>
                <w:tcPr>
                  <w:tcW w:w="291" w:type="pct"/>
                  <w:vAlign w:val="center"/>
                </w:tcPr>
                <w:p>
                  <w:pPr>
                    <w:snapToGrid w:val="0"/>
                    <w:spacing w:line="240" w:lineRule="auto"/>
                    <w:jc w:val="center"/>
                    <w:rPr>
                      <w:rFonts w:hint="eastAsia"/>
                    </w:rPr>
                  </w:pPr>
                  <w:r>
                    <w:rPr>
                      <w:rFonts w:hint="eastAsia"/>
                    </w:rPr>
                    <w:t>颗粒物</w:t>
                  </w:r>
                </w:p>
              </w:tc>
              <w:tc>
                <w:tcPr>
                  <w:tcW w:w="317" w:type="pct"/>
                  <w:vAlign w:val="center"/>
                </w:tcPr>
                <w:p>
                  <w:pPr>
                    <w:snapToGrid w:val="0"/>
                    <w:spacing w:line="240" w:lineRule="auto"/>
                    <w:jc w:val="center"/>
                  </w:pPr>
                  <w:r>
                    <w:t>有组织</w:t>
                  </w:r>
                </w:p>
              </w:tc>
              <w:tc>
                <w:tcPr>
                  <w:tcW w:w="767" w:type="pct"/>
                  <w:vAlign w:val="center"/>
                </w:tcPr>
                <w:p>
                  <w:pPr>
                    <w:snapToGrid w:val="0"/>
                    <w:spacing w:line="240" w:lineRule="auto"/>
                    <w:jc w:val="center"/>
                    <w:rPr>
                      <w:rFonts w:hint="eastAsia"/>
                    </w:rPr>
                  </w:pPr>
                  <w:r>
                    <w:rPr>
                      <w:rFonts w:hint="eastAsia"/>
                      <w:lang w:val="en-US" w:eastAsia="zh-CN"/>
                    </w:rPr>
                    <w:t>15.72</w:t>
                  </w:r>
                  <w:r>
                    <w:rPr>
                      <w:rFonts w:hint="eastAsia"/>
                    </w:rPr>
                    <w:t>t/a</w:t>
                  </w:r>
                </w:p>
                <w:p>
                  <w:pPr>
                    <w:snapToGrid w:val="0"/>
                    <w:spacing w:line="240" w:lineRule="auto"/>
                    <w:jc w:val="center"/>
                    <w:rPr>
                      <w:rFonts w:hint="eastAsia"/>
                    </w:rPr>
                  </w:pPr>
                  <w:r>
                    <w:rPr>
                      <w:rFonts w:hint="eastAsia"/>
                      <w:lang w:val="en-US" w:eastAsia="zh-CN"/>
                    </w:rPr>
                    <w:t>1310</w:t>
                  </w:r>
                  <w:r>
                    <w:rPr>
                      <w:rFonts w:hint="eastAsia"/>
                    </w:rPr>
                    <w:t>mg/m</w:t>
                  </w:r>
                  <w:r>
                    <w:rPr>
                      <w:rFonts w:hint="eastAsia"/>
                      <w:vertAlign w:val="superscript"/>
                    </w:rPr>
                    <w:t>3</w:t>
                  </w:r>
                </w:p>
              </w:tc>
              <w:tc>
                <w:tcPr>
                  <w:tcW w:w="913" w:type="pct"/>
                  <w:vAlign w:val="center"/>
                </w:tcPr>
                <w:p>
                  <w:pPr>
                    <w:snapToGrid w:val="0"/>
                    <w:spacing w:line="240" w:lineRule="auto"/>
                    <w:jc w:val="center"/>
                    <w:rPr>
                      <w:rFonts w:hint="eastAsia"/>
                    </w:rPr>
                  </w:pPr>
                  <w:r>
                    <w:rPr>
                      <w:rFonts w:hint="eastAsia"/>
                    </w:rPr>
                    <w:t>封闭式进仓+1套脉冲式袋式除尘器+28m排气筒P4排放</w:t>
                  </w:r>
                </w:p>
              </w:tc>
              <w:tc>
                <w:tcPr>
                  <w:tcW w:w="604" w:type="pct"/>
                  <w:vAlign w:val="center"/>
                </w:tcPr>
                <w:p>
                  <w:pPr>
                    <w:spacing w:line="240" w:lineRule="auto"/>
                    <w:jc w:val="center"/>
                    <w:rPr>
                      <w:rFonts w:hint="eastAsia"/>
                    </w:rPr>
                  </w:pPr>
                  <w:r>
                    <w:rPr>
                      <w:rFonts w:hint="eastAsia"/>
                    </w:rPr>
                    <w:t>5000</w:t>
                  </w:r>
                  <w:r>
                    <w:t>m</w:t>
                  </w:r>
                  <w:r>
                    <w:rPr>
                      <w:vertAlign w:val="superscript"/>
                    </w:rPr>
                    <w:t>3</w:t>
                  </w:r>
                  <w:r>
                    <w:t>/h</w:t>
                  </w:r>
                </w:p>
              </w:tc>
              <w:tc>
                <w:tcPr>
                  <w:tcW w:w="453" w:type="pct"/>
                  <w:vAlign w:val="center"/>
                </w:tcPr>
                <w:p>
                  <w:pPr>
                    <w:spacing w:line="240" w:lineRule="auto"/>
                    <w:jc w:val="center"/>
                  </w:pPr>
                  <w:r>
                    <w:rPr>
                      <w:rFonts w:hint="eastAsia"/>
                    </w:rPr>
                    <w:t>100</w:t>
                  </w:r>
                  <w:r>
                    <w:t>%</w:t>
                  </w:r>
                </w:p>
                <w:p>
                  <w:pPr>
                    <w:spacing w:line="240" w:lineRule="auto"/>
                    <w:jc w:val="center"/>
                    <w:rPr>
                      <w:rFonts w:hint="eastAsia"/>
                    </w:rPr>
                  </w:pPr>
                  <w:r>
                    <w:rPr>
                      <w:rFonts w:hint="eastAsia"/>
                    </w:rPr>
                    <w:t>99.7</w:t>
                  </w:r>
                  <w:r>
                    <w:t>%</w:t>
                  </w:r>
                </w:p>
              </w:tc>
              <w:tc>
                <w:tcPr>
                  <w:tcW w:w="809" w:type="pct"/>
                  <w:vAlign w:val="center"/>
                </w:tcPr>
                <w:p>
                  <w:pPr>
                    <w:spacing w:line="240" w:lineRule="auto"/>
                    <w:jc w:val="center"/>
                    <w:rPr>
                      <w:rFonts w:hint="eastAsia"/>
                    </w:rPr>
                  </w:pPr>
                  <w:r>
                    <w:rPr>
                      <w:rFonts w:hint="eastAsia"/>
                      <w:lang w:val="en-US" w:eastAsia="zh-CN"/>
                    </w:rPr>
                    <w:t>0.047</w:t>
                  </w:r>
                  <w:r>
                    <w:rPr>
                      <w:rFonts w:hint="eastAsia"/>
                    </w:rPr>
                    <w:t>t/a</w:t>
                  </w:r>
                </w:p>
                <w:p>
                  <w:pPr>
                    <w:spacing w:line="240" w:lineRule="auto"/>
                    <w:jc w:val="center"/>
                    <w:rPr>
                      <w:rFonts w:hint="eastAsia"/>
                    </w:rPr>
                  </w:pPr>
                  <w:r>
                    <w:rPr>
                      <w:rFonts w:hint="eastAsia"/>
                      <w:lang w:val="en-US" w:eastAsia="zh-CN"/>
                    </w:rPr>
                    <w:t>3.93</w:t>
                  </w:r>
                  <w:r>
                    <w:rPr>
                      <w:rFonts w:hint="eastAsia"/>
                    </w:rPr>
                    <w:t>mg/m</w:t>
                  </w:r>
                  <w:r>
                    <w:rPr>
                      <w:rFonts w:hint="eastAsia"/>
                      <w:vertAlign w:val="superscript"/>
                    </w:rPr>
                    <w:t>3</w:t>
                  </w:r>
                </w:p>
              </w:tc>
              <w:tc>
                <w:tcPr>
                  <w:tcW w:w="324" w:type="pct"/>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rPr>
                      <w:rFonts w:hint="eastAsia"/>
                    </w:rPr>
                  </w:pPr>
                  <w:r>
                    <w:rPr>
                      <w:rFonts w:hint="eastAsia"/>
                    </w:rPr>
                    <w:t>7#、8#粉料仓上料工序</w:t>
                  </w:r>
                </w:p>
              </w:tc>
              <w:tc>
                <w:tcPr>
                  <w:tcW w:w="291" w:type="pct"/>
                  <w:vAlign w:val="center"/>
                </w:tcPr>
                <w:p>
                  <w:pPr>
                    <w:snapToGrid w:val="0"/>
                    <w:spacing w:line="240" w:lineRule="auto"/>
                    <w:jc w:val="center"/>
                    <w:rPr>
                      <w:rFonts w:hint="eastAsia"/>
                    </w:rPr>
                  </w:pPr>
                  <w:r>
                    <w:rPr>
                      <w:rFonts w:hint="eastAsia"/>
                    </w:rPr>
                    <w:t>颗粒物</w:t>
                  </w:r>
                </w:p>
              </w:tc>
              <w:tc>
                <w:tcPr>
                  <w:tcW w:w="317" w:type="pct"/>
                  <w:vAlign w:val="center"/>
                </w:tcPr>
                <w:p>
                  <w:pPr>
                    <w:snapToGrid w:val="0"/>
                    <w:spacing w:line="240" w:lineRule="auto"/>
                    <w:jc w:val="center"/>
                  </w:pPr>
                  <w:r>
                    <w:t>有组织</w:t>
                  </w:r>
                </w:p>
              </w:tc>
              <w:tc>
                <w:tcPr>
                  <w:tcW w:w="767" w:type="pct"/>
                  <w:vAlign w:val="center"/>
                </w:tcPr>
                <w:p>
                  <w:pPr>
                    <w:snapToGrid w:val="0"/>
                    <w:spacing w:line="240" w:lineRule="auto"/>
                    <w:jc w:val="center"/>
                    <w:rPr>
                      <w:rFonts w:hint="eastAsia"/>
                    </w:rPr>
                  </w:pPr>
                  <w:r>
                    <w:rPr>
                      <w:rFonts w:hint="eastAsia"/>
                      <w:lang w:val="en-US" w:eastAsia="zh-CN"/>
                    </w:rPr>
                    <w:t>15.72</w:t>
                  </w:r>
                  <w:r>
                    <w:rPr>
                      <w:rFonts w:hint="eastAsia"/>
                    </w:rPr>
                    <w:t>t/a</w:t>
                  </w:r>
                </w:p>
                <w:p>
                  <w:pPr>
                    <w:snapToGrid w:val="0"/>
                    <w:spacing w:line="240" w:lineRule="auto"/>
                    <w:jc w:val="center"/>
                    <w:rPr>
                      <w:rFonts w:hint="eastAsia"/>
                    </w:rPr>
                  </w:pPr>
                  <w:r>
                    <w:rPr>
                      <w:rFonts w:hint="eastAsia"/>
                      <w:lang w:val="en-US" w:eastAsia="zh-CN"/>
                    </w:rPr>
                    <w:t>1310</w:t>
                  </w:r>
                  <w:r>
                    <w:rPr>
                      <w:rFonts w:hint="eastAsia"/>
                    </w:rPr>
                    <w:t>mg/m</w:t>
                  </w:r>
                  <w:r>
                    <w:rPr>
                      <w:rFonts w:hint="eastAsia"/>
                      <w:vertAlign w:val="superscript"/>
                    </w:rPr>
                    <w:t>3</w:t>
                  </w:r>
                </w:p>
              </w:tc>
              <w:tc>
                <w:tcPr>
                  <w:tcW w:w="913" w:type="pct"/>
                  <w:vAlign w:val="center"/>
                </w:tcPr>
                <w:p>
                  <w:pPr>
                    <w:snapToGrid w:val="0"/>
                    <w:spacing w:line="240" w:lineRule="auto"/>
                    <w:jc w:val="center"/>
                    <w:rPr>
                      <w:rFonts w:hint="eastAsia"/>
                    </w:rPr>
                  </w:pPr>
                  <w:r>
                    <w:rPr>
                      <w:rFonts w:hint="eastAsia"/>
                    </w:rPr>
                    <w:t>封闭式进仓+1套脉冲式袋式除尘器+28m排气筒P5排放</w:t>
                  </w:r>
                </w:p>
              </w:tc>
              <w:tc>
                <w:tcPr>
                  <w:tcW w:w="604" w:type="pct"/>
                  <w:vAlign w:val="center"/>
                </w:tcPr>
                <w:p>
                  <w:pPr>
                    <w:spacing w:line="240" w:lineRule="auto"/>
                    <w:jc w:val="center"/>
                    <w:rPr>
                      <w:rFonts w:hint="eastAsia"/>
                    </w:rPr>
                  </w:pPr>
                  <w:r>
                    <w:rPr>
                      <w:rFonts w:hint="eastAsia"/>
                    </w:rPr>
                    <w:t>5000</w:t>
                  </w:r>
                  <w:r>
                    <w:t>m</w:t>
                  </w:r>
                  <w:r>
                    <w:rPr>
                      <w:vertAlign w:val="superscript"/>
                    </w:rPr>
                    <w:t>3</w:t>
                  </w:r>
                  <w:r>
                    <w:t>/h</w:t>
                  </w:r>
                </w:p>
              </w:tc>
              <w:tc>
                <w:tcPr>
                  <w:tcW w:w="453" w:type="pct"/>
                  <w:vAlign w:val="center"/>
                </w:tcPr>
                <w:p>
                  <w:pPr>
                    <w:spacing w:line="240" w:lineRule="auto"/>
                    <w:jc w:val="center"/>
                  </w:pPr>
                  <w:r>
                    <w:rPr>
                      <w:rFonts w:hint="eastAsia"/>
                    </w:rPr>
                    <w:t>100</w:t>
                  </w:r>
                  <w:r>
                    <w:t>%</w:t>
                  </w:r>
                </w:p>
                <w:p>
                  <w:pPr>
                    <w:spacing w:line="240" w:lineRule="auto"/>
                    <w:jc w:val="center"/>
                    <w:rPr>
                      <w:rFonts w:hint="eastAsia"/>
                    </w:rPr>
                  </w:pPr>
                  <w:r>
                    <w:rPr>
                      <w:rFonts w:hint="eastAsia"/>
                    </w:rPr>
                    <w:t>99.7</w:t>
                  </w:r>
                  <w:r>
                    <w:t>%</w:t>
                  </w:r>
                </w:p>
              </w:tc>
              <w:tc>
                <w:tcPr>
                  <w:tcW w:w="809" w:type="pct"/>
                  <w:vAlign w:val="center"/>
                </w:tcPr>
                <w:p>
                  <w:pPr>
                    <w:spacing w:line="240" w:lineRule="auto"/>
                    <w:jc w:val="center"/>
                    <w:rPr>
                      <w:rFonts w:hint="eastAsia"/>
                    </w:rPr>
                  </w:pPr>
                  <w:r>
                    <w:rPr>
                      <w:rFonts w:hint="eastAsia"/>
                      <w:lang w:val="en-US" w:eastAsia="zh-CN"/>
                    </w:rPr>
                    <w:t>0.047</w:t>
                  </w:r>
                  <w:r>
                    <w:rPr>
                      <w:rFonts w:hint="eastAsia"/>
                    </w:rPr>
                    <w:t>t/a</w:t>
                  </w:r>
                </w:p>
                <w:p>
                  <w:pPr>
                    <w:spacing w:line="240" w:lineRule="auto"/>
                    <w:jc w:val="center"/>
                    <w:rPr>
                      <w:rFonts w:hint="eastAsia"/>
                    </w:rPr>
                  </w:pPr>
                  <w:r>
                    <w:rPr>
                      <w:rFonts w:hint="eastAsia"/>
                      <w:lang w:val="en-US" w:eastAsia="zh-CN"/>
                    </w:rPr>
                    <w:t>3.93</w:t>
                  </w:r>
                  <w:r>
                    <w:rPr>
                      <w:rFonts w:hint="eastAsia"/>
                    </w:rPr>
                    <w:t>mg/m</w:t>
                  </w:r>
                  <w:r>
                    <w:rPr>
                      <w:rFonts w:hint="eastAsia"/>
                      <w:vertAlign w:val="superscript"/>
                    </w:rPr>
                    <w:t>3</w:t>
                  </w:r>
                </w:p>
              </w:tc>
              <w:tc>
                <w:tcPr>
                  <w:tcW w:w="324" w:type="pct"/>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55" w:hRule="atLeast"/>
                <w:jc w:val="center"/>
              </w:trPr>
              <w:tc>
                <w:tcPr>
                  <w:tcW w:w="519" w:type="pct"/>
                  <w:vAlign w:val="center"/>
                </w:tcPr>
                <w:p>
                  <w:pPr>
                    <w:snapToGrid w:val="0"/>
                    <w:spacing w:line="240" w:lineRule="auto"/>
                    <w:jc w:val="center"/>
                  </w:pPr>
                  <w:r>
                    <w:rPr>
                      <w:rFonts w:hint="eastAsia"/>
                    </w:rPr>
                    <w:t>1#、2#砂仓</w:t>
                  </w:r>
                </w:p>
              </w:tc>
              <w:tc>
                <w:tcPr>
                  <w:tcW w:w="291" w:type="pct"/>
                  <w:vAlign w:val="center"/>
                </w:tcPr>
                <w:p>
                  <w:pPr>
                    <w:snapToGrid w:val="0"/>
                    <w:spacing w:line="240" w:lineRule="auto"/>
                    <w:jc w:val="center"/>
                    <w:rPr>
                      <w:rFonts w:hint="eastAsia"/>
                    </w:rPr>
                  </w:pPr>
                  <w:r>
                    <w:rPr>
                      <w:rFonts w:hint="eastAsia"/>
                    </w:rPr>
                    <w:t>颗粒物</w:t>
                  </w:r>
                </w:p>
              </w:tc>
              <w:tc>
                <w:tcPr>
                  <w:tcW w:w="317" w:type="pct"/>
                  <w:vAlign w:val="center"/>
                </w:tcPr>
                <w:p>
                  <w:pPr>
                    <w:snapToGrid w:val="0"/>
                    <w:spacing w:line="240" w:lineRule="auto"/>
                    <w:jc w:val="center"/>
                  </w:pPr>
                  <w:r>
                    <w:t>有组织</w:t>
                  </w:r>
                </w:p>
              </w:tc>
              <w:tc>
                <w:tcPr>
                  <w:tcW w:w="1210" w:type="dxa"/>
                  <w:vAlign w:val="center"/>
                </w:tcPr>
                <w:p>
                  <w:pPr>
                    <w:snapToGrid w:val="0"/>
                    <w:spacing w:line="240" w:lineRule="auto"/>
                    <w:jc w:val="center"/>
                    <w:rPr>
                      <w:rFonts w:hint="eastAsia"/>
                    </w:rPr>
                  </w:pPr>
                  <w:r>
                    <w:rPr>
                      <w:rFonts w:hint="eastAsia"/>
                      <w:lang w:val="en-US" w:eastAsia="zh-CN"/>
                    </w:rPr>
                    <w:t>183.859</w:t>
                  </w:r>
                  <w:r>
                    <w:rPr>
                      <w:rFonts w:hint="eastAsia"/>
                    </w:rPr>
                    <w:t>t/a</w:t>
                  </w:r>
                </w:p>
                <w:p>
                  <w:pPr>
                    <w:snapToGrid w:val="0"/>
                    <w:spacing w:line="240" w:lineRule="auto"/>
                    <w:jc w:val="center"/>
                  </w:pPr>
                  <w:r>
                    <w:rPr>
                      <w:rFonts w:hint="eastAsia"/>
                      <w:lang w:val="en-US" w:eastAsia="zh-CN"/>
                    </w:rPr>
                    <w:t>1915.198</w:t>
                  </w:r>
                  <w:r>
                    <w:rPr>
                      <w:rFonts w:hint="eastAsia"/>
                    </w:rPr>
                    <w:t>mg/m</w:t>
                  </w:r>
                  <w:r>
                    <w:rPr>
                      <w:rFonts w:hint="eastAsia"/>
                      <w:vertAlign w:val="superscript"/>
                    </w:rPr>
                    <w:t>3</w:t>
                  </w:r>
                </w:p>
              </w:tc>
              <w:tc>
                <w:tcPr>
                  <w:tcW w:w="1441" w:type="dxa"/>
                  <w:vAlign w:val="center"/>
                </w:tcPr>
                <w:p>
                  <w:pPr>
                    <w:snapToGrid w:val="0"/>
                    <w:spacing w:line="240" w:lineRule="auto"/>
                    <w:jc w:val="center"/>
                    <w:rPr>
                      <w:rFonts w:hint="eastAsia"/>
                    </w:rPr>
                  </w:pPr>
                  <w:r>
                    <w:rPr>
                      <w:rFonts w:hint="eastAsia"/>
                    </w:rPr>
                    <w:t>集气罩+2套脉冲式袋式除尘器+1根15m排气筒P6排放</w:t>
                  </w:r>
                </w:p>
              </w:tc>
              <w:tc>
                <w:tcPr>
                  <w:tcW w:w="953" w:type="dxa"/>
                  <w:vAlign w:val="center"/>
                </w:tcPr>
                <w:p>
                  <w:pPr>
                    <w:spacing w:line="240" w:lineRule="auto"/>
                    <w:jc w:val="center"/>
                    <w:rPr>
                      <w:rFonts w:hint="eastAsia"/>
                    </w:rPr>
                  </w:pPr>
                  <w:r>
                    <w:rPr>
                      <w:rFonts w:hint="eastAsia"/>
                    </w:rPr>
                    <w:t>2*20000</w:t>
                  </w:r>
                  <w:r>
                    <w:t>m</w:t>
                  </w:r>
                  <w:r>
                    <w:rPr>
                      <w:vertAlign w:val="superscript"/>
                    </w:rPr>
                    <w:t>3</w:t>
                  </w:r>
                  <w:r>
                    <w:t>/h</w:t>
                  </w:r>
                </w:p>
              </w:tc>
              <w:tc>
                <w:tcPr>
                  <w:tcW w:w="715" w:type="dxa"/>
                  <w:vAlign w:val="center"/>
                </w:tcPr>
                <w:p>
                  <w:pPr>
                    <w:spacing w:line="240" w:lineRule="auto"/>
                    <w:jc w:val="center"/>
                  </w:pPr>
                  <w:r>
                    <w:rPr>
                      <w:rFonts w:hint="eastAsia"/>
                    </w:rPr>
                    <w:t>95</w:t>
                  </w:r>
                  <w:r>
                    <w:t>%</w:t>
                  </w:r>
                </w:p>
                <w:p>
                  <w:pPr>
                    <w:spacing w:line="240" w:lineRule="auto"/>
                    <w:jc w:val="center"/>
                    <w:rPr>
                      <w:rFonts w:hint="eastAsia"/>
                    </w:rPr>
                  </w:pPr>
                  <w:r>
                    <w:rPr>
                      <w:rFonts w:hint="eastAsia"/>
                    </w:rPr>
                    <w:t>99.7</w:t>
                  </w:r>
                  <w:r>
                    <w:t>%</w:t>
                  </w:r>
                </w:p>
              </w:tc>
              <w:tc>
                <w:tcPr>
                  <w:tcW w:w="1276" w:type="dxa"/>
                  <w:vAlign w:val="center"/>
                </w:tcPr>
                <w:p>
                  <w:pPr>
                    <w:spacing w:line="240" w:lineRule="auto"/>
                    <w:jc w:val="center"/>
                    <w:rPr>
                      <w:rFonts w:hint="eastAsia"/>
                    </w:rPr>
                  </w:pPr>
                  <w:r>
                    <w:rPr>
                      <w:rFonts w:hint="eastAsia"/>
                      <w:lang w:val="en-US" w:eastAsia="zh-CN"/>
                    </w:rPr>
                    <w:t>0.524</w:t>
                  </w:r>
                  <w:r>
                    <w:rPr>
                      <w:rFonts w:hint="eastAsia"/>
                    </w:rPr>
                    <w:t>t/a</w:t>
                  </w:r>
                </w:p>
                <w:p>
                  <w:pPr>
                    <w:spacing w:line="240" w:lineRule="auto"/>
                    <w:jc w:val="center"/>
                    <w:rPr>
                      <w:rFonts w:hint="eastAsia"/>
                    </w:rPr>
                  </w:pPr>
                  <w:r>
                    <w:rPr>
                      <w:rFonts w:hint="eastAsia"/>
                      <w:lang w:val="en-US" w:eastAsia="zh-CN"/>
                    </w:rPr>
                    <w:t>5.458</w:t>
                  </w:r>
                  <w:r>
                    <w:rPr>
                      <w:rFonts w:hint="eastAsia"/>
                    </w:rPr>
                    <w:t>mg/m</w:t>
                  </w:r>
                  <w:r>
                    <w:rPr>
                      <w:rFonts w:hint="eastAsia"/>
                      <w:vertAlign w:val="superscript"/>
                    </w:rPr>
                    <w:t>3</w:t>
                  </w:r>
                </w:p>
              </w:tc>
              <w:tc>
                <w:tcPr>
                  <w:tcW w:w="511" w:type="dxa"/>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pPr>
                  <w:r>
                    <w:rPr>
                      <w:rFonts w:hint="eastAsia"/>
                    </w:rPr>
                    <w:t>搅拌工序</w:t>
                  </w:r>
                </w:p>
              </w:tc>
              <w:tc>
                <w:tcPr>
                  <w:tcW w:w="459" w:type="dxa"/>
                  <w:vAlign w:val="center"/>
                </w:tcPr>
                <w:p>
                  <w:pPr>
                    <w:snapToGrid w:val="0"/>
                    <w:spacing w:line="240" w:lineRule="auto"/>
                    <w:jc w:val="center"/>
                    <w:rPr>
                      <w:rFonts w:hint="eastAsia"/>
                    </w:rPr>
                  </w:pPr>
                  <w:r>
                    <w:rPr>
                      <w:rFonts w:hint="eastAsia"/>
                    </w:rPr>
                    <w:t>颗粒物</w:t>
                  </w:r>
                </w:p>
              </w:tc>
              <w:tc>
                <w:tcPr>
                  <w:tcW w:w="500" w:type="dxa"/>
                  <w:vAlign w:val="center"/>
                </w:tcPr>
                <w:p>
                  <w:pPr>
                    <w:snapToGrid w:val="0"/>
                    <w:spacing w:line="240" w:lineRule="auto"/>
                    <w:jc w:val="center"/>
                  </w:pPr>
                  <w:r>
                    <w:t>有组织</w:t>
                  </w:r>
                </w:p>
              </w:tc>
              <w:tc>
                <w:tcPr>
                  <w:tcW w:w="1210" w:type="dxa"/>
                  <w:vAlign w:val="center"/>
                </w:tcPr>
                <w:p>
                  <w:pPr>
                    <w:snapToGrid w:val="0"/>
                    <w:spacing w:line="240" w:lineRule="auto"/>
                    <w:jc w:val="center"/>
                    <w:rPr>
                      <w:rFonts w:hint="eastAsia"/>
                    </w:rPr>
                  </w:pPr>
                  <w:r>
                    <w:rPr>
                      <w:rFonts w:hint="eastAsia"/>
                      <w:lang w:val="en-US" w:eastAsia="zh-CN"/>
                    </w:rPr>
                    <w:t>313.74</w:t>
                  </w:r>
                  <w:r>
                    <w:rPr>
                      <w:rFonts w:hint="eastAsia"/>
                    </w:rPr>
                    <w:t>t/a</w:t>
                  </w:r>
                </w:p>
                <w:p>
                  <w:pPr>
                    <w:snapToGrid w:val="0"/>
                    <w:spacing w:line="240" w:lineRule="auto"/>
                    <w:jc w:val="center"/>
                    <w:rPr>
                      <w:rFonts w:hint="eastAsia"/>
                    </w:rPr>
                  </w:pPr>
                  <w:r>
                    <w:rPr>
                      <w:rFonts w:hint="eastAsia"/>
                      <w:lang w:val="en-US" w:eastAsia="zh-CN"/>
                    </w:rPr>
                    <w:t>3268.125</w:t>
                  </w:r>
                  <w:r>
                    <w:rPr>
                      <w:rFonts w:hint="eastAsia"/>
                    </w:rPr>
                    <w:t>mg/m</w:t>
                  </w:r>
                  <w:r>
                    <w:rPr>
                      <w:rFonts w:hint="eastAsia"/>
                      <w:vertAlign w:val="superscript"/>
                    </w:rPr>
                    <w:t>3</w:t>
                  </w:r>
                </w:p>
              </w:tc>
              <w:tc>
                <w:tcPr>
                  <w:tcW w:w="1441" w:type="dxa"/>
                  <w:vAlign w:val="center"/>
                </w:tcPr>
                <w:p>
                  <w:pPr>
                    <w:snapToGrid w:val="0"/>
                    <w:spacing w:line="240" w:lineRule="auto"/>
                    <w:jc w:val="center"/>
                    <w:rPr>
                      <w:rFonts w:hint="eastAsia"/>
                    </w:rPr>
                  </w:pPr>
                  <w:r>
                    <w:rPr>
                      <w:rFonts w:hint="eastAsia"/>
                    </w:rPr>
                    <w:t>封闭式搅拌+1套脉冲式袋式除尘器+1根15m排气筒P7排放</w:t>
                  </w:r>
                </w:p>
              </w:tc>
              <w:tc>
                <w:tcPr>
                  <w:tcW w:w="953" w:type="dxa"/>
                  <w:vAlign w:val="center"/>
                </w:tcPr>
                <w:p>
                  <w:pPr>
                    <w:spacing w:line="240" w:lineRule="auto"/>
                    <w:jc w:val="center"/>
                    <w:rPr>
                      <w:rFonts w:hint="eastAsia"/>
                    </w:rPr>
                  </w:pPr>
                  <w:r>
                    <w:rPr>
                      <w:rFonts w:hint="eastAsia"/>
                    </w:rPr>
                    <w:t>20000</w:t>
                  </w:r>
                  <w:r>
                    <w:t>m</w:t>
                  </w:r>
                  <w:r>
                    <w:rPr>
                      <w:vertAlign w:val="superscript"/>
                    </w:rPr>
                    <w:t>3</w:t>
                  </w:r>
                  <w:r>
                    <w:t>/h</w:t>
                  </w:r>
                </w:p>
              </w:tc>
              <w:tc>
                <w:tcPr>
                  <w:tcW w:w="715" w:type="dxa"/>
                  <w:vAlign w:val="center"/>
                </w:tcPr>
                <w:p>
                  <w:pPr>
                    <w:spacing w:line="240" w:lineRule="auto"/>
                    <w:jc w:val="center"/>
                  </w:pPr>
                  <w:r>
                    <w:rPr>
                      <w:rFonts w:hint="eastAsia"/>
                    </w:rPr>
                    <w:t>100</w:t>
                  </w:r>
                  <w:r>
                    <w:t>%</w:t>
                  </w:r>
                </w:p>
                <w:p>
                  <w:pPr>
                    <w:spacing w:line="240" w:lineRule="auto"/>
                    <w:jc w:val="center"/>
                    <w:rPr>
                      <w:rFonts w:hint="eastAsia"/>
                    </w:rPr>
                  </w:pPr>
                  <w:r>
                    <w:rPr>
                      <w:rFonts w:hint="eastAsia"/>
                    </w:rPr>
                    <w:t>99.7</w:t>
                  </w:r>
                  <w:r>
                    <w:t>%</w:t>
                  </w:r>
                </w:p>
              </w:tc>
              <w:tc>
                <w:tcPr>
                  <w:tcW w:w="1276" w:type="dxa"/>
                  <w:vAlign w:val="center"/>
                </w:tcPr>
                <w:p>
                  <w:pPr>
                    <w:spacing w:line="240" w:lineRule="auto"/>
                    <w:jc w:val="center"/>
                    <w:rPr>
                      <w:rFonts w:hint="eastAsia"/>
                    </w:rPr>
                  </w:pPr>
                  <w:r>
                    <w:rPr>
                      <w:rFonts w:hint="eastAsia"/>
                      <w:lang w:val="en-US" w:eastAsia="zh-CN"/>
                    </w:rPr>
                    <w:t>0.941</w:t>
                  </w:r>
                  <w:r>
                    <w:rPr>
                      <w:rFonts w:hint="eastAsia"/>
                    </w:rPr>
                    <w:t>t/a</w:t>
                  </w:r>
                </w:p>
                <w:p>
                  <w:pPr>
                    <w:spacing w:line="240" w:lineRule="auto"/>
                    <w:jc w:val="center"/>
                    <w:rPr>
                      <w:rFonts w:hint="eastAsia"/>
                    </w:rPr>
                  </w:pPr>
                  <w:r>
                    <w:rPr>
                      <w:rFonts w:hint="eastAsia"/>
                      <w:lang w:val="en-US" w:eastAsia="zh-CN"/>
                    </w:rPr>
                    <w:t>9.804</w:t>
                  </w:r>
                  <w:r>
                    <w:rPr>
                      <w:rFonts w:hint="eastAsia"/>
                    </w:rPr>
                    <w:t>mg/m</w:t>
                  </w:r>
                  <w:r>
                    <w:rPr>
                      <w:rFonts w:hint="eastAsia"/>
                      <w:vertAlign w:val="superscript"/>
                    </w:rPr>
                    <w:t>3</w:t>
                  </w:r>
                </w:p>
              </w:tc>
              <w:tc>
                <w:tcPr>
                  <w:tcW w:w="511" w:type="dxa"/>
                  <w:vAlign w:val="center"/>
                </w:tcPr>
                <w:p>
                  <w:pPr>
                    <w:spacing w:line="240" w:lineRule="auto"/>
                    <w:jc w:val="center"/>
                  </w:pPr>
                  <w:r>
                    <w:t>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jc w:val="center"/>
              </w:trPr>
              <w:tc>
                <w:tcPr>
                  <w:tcW w:w="519" w:type="pct"/>
                  <w:vAlign w:val="center"/>
                </w:tcPr>
                <w:p>
                  <w:pPr>
                    <w:snapToGrid w:val="0"/>
                    <w:spacing w:line="240" w:lineRule="auto"/>
                    <w:jc w:val="center"/>
                  </w:pPr>
                  <w:r>
                    <w:rPr>
                      <w:rFonts w:hint="eastAsia"/>
                    </w:rPr>
                    <w:t>未被收集</w:t>
                  </w:r>
                </w:p>
              </w:tc>
              <w:tc>
                <w:tcPr>
                  <w:tcW w:w="459" w:type="dxa"/>
                  <w:vAlign w:val="center"/>
                </w:tcPr>
                <w:p>
                  <w:pPr>
                    <w:snapToGrid w:val="0"/>
                    <w:spacing w:line="240" w:lineRule="auto"/>
                    <w:jc w:val="center"/>
                  </w:pPr>
                  <w:r>
                    <w:rPr>
                      <w:rFonts w:hint="eastAsia"/>
                    </w:rPr>
                    <w:t>颗粒物</w:t>
                  </w:r>
                </w:p>
              </w:tc>
              <w:tc>
                <w:tcPr>
                  <w:tcW w:w="500" w:type="dxa"/>
                  <w:vAlign w:val="center"/>
                </w:tcPr>
                <w:p>
                  <w:pPr>
                    <w:snapToGrid w:val="0"/>
                    <w:spacing w:line="240" w:lineRule="auto"/>
                    <w:jc w:val="center"/>
                    <w:rPr>
                      <w:rFonts w:hint="eastAsia"/>
                    </w:rPr>
                  </w:pPr>
                  <w:r>
                    <w:rPr>
                      <w:rFonts w:hint="eastAsia"/>
                    </w:rPr>
                    <w:t>无组织</w:t>
                  </w:r>
                </w:p>
              </w:tc>
              <w:tc>
                <w:tcPr>
                  <w:tcW w:w="1210" w:type="dxa"/>
                  <w:vAlign w:val="center"/>
                </w:tcPr>
                <w:p>
                  <w:pPr>
                    <w:snapToGrid w:val="0"/>
                    <w:spacing w:line="240" w:lineRule="auto"/>
                    <w:jc w:val="center"/>
                  </w:pPr>
                  <w:r>
                    <w:rPr>
                      <w:rFonts w:hint="eastAsia"/>
                      <w:lang w:val="en-US" w:eastAsia="zh-CN"/>
                    </w:rPr>
                    <w:t>9.193</w:t>
                  </w:r>
                  <w:r>
                    <w:rPr>
                      <w:rFonts w:hint="eastAsia"/>
                    </w:rPr>
                    <w:t>t/a</w:t>
                  </w:r>
                </w:p>
              </w:tc>
              <w:tc>
                <w:tcPr>
                  <w:tcW w:w="1441" w:type="dxa"/>
                  <w:vAlign w:val="center"/>
                </w:tcPr>
                <w:p>
                  <w:pPr>
                    <w:snapToGrid w:val="0"/>
                    <w:spacing w:line="240" w:lineRule="auto"/>
                    <w:jc w:val="center"/>
                  </w:pPr>
                  <w:r>
                    <w:rPr>
                      <w:rFonts w:hint="eastAsia"/>
                    </w:rPr>
                    <w:t>重力沉降，车间密闭，车间喷雾抑尘</w:t>
                  </w:r>
                </w:p>
              </w:tc>
              <w:tc>
                <w:tcPr>
                  <w:tcW w:w="953" w:type="dxa"/>
                  <w:vAlign w:val="center"/>
                </w:tcPr>
                <w:p>
                  <w:pPr>
                    <w:spacing w:line="240" w:lineRule="auto"/>
                    <w:jc w:val="center"/>
                  </w:pPr>
                  <w:r>
                    <w:rPr>
                      <w:rFonts w:hint="eastAsia"/>
                    </w:rPr>
                    <w:t>/</w:t>
                  </w:r>
                </w:p>
              </w:tc>
              <w:tc>
                <w:tcPr>
                  <w:tcW w:w="715" w:type="dxa"/>
                  <w:vAlign w:val="center"/>
                </w:tcPr>
                <w:p>
                  <w:pPr>
                    <w:spacing w:line="240" w:lineRule="auto"/>
                    <w:jc w:val="center"/>
                  </w:pPr>
                  <w:r>
                    <w:rPr>
                      <w:rFonts w:hint="eastAsia"/>
                    </w:rPr>
                    <w:t>99%</w:t>
                  </w:r>
                </w:p>
              </w:tc>
              <w:tc>
                <w:tcPr>
                  <w:tcW w:w="1276" w:type="dxa"/>
                  <w:vAlign w:val="center"/>
                </w:tcPr>
                <w:p>
                  <w:pPr>
                    <w:spacing w:line="240" w:lineRule="auto"/>
                    <w:jc w:val="center"/>
                    <w:rPr>
                      <w:rFonts w:hint="default" w:eastAsia="宋体"/>
                      <w:lang w:val="en-US" w:eastAsia="zh-CN"/>
                    </w:rPr>
                  </w:pPr>
                  <w:r>
                    <w:rPr>
                      <w:rFonts w:hint="eastAsia"/>
                      <w:lang w:val="en-US" w:eastAsia="zh-CN"/>
                    </w:rPr>
                    <w:t>0.092</w:t>
                  </w:r>
                  <w:r>
                    <w:rPr>
                      <w:rFonts w:hint="eastAsia"/>
                    </w:rPr>
                    <w:t>t/a</w:t>
                  </w:r>
                </w:p>
              </w:tc>
              <w:tc>
                <w:tcPr>
                  <w:tcW w:w="511" w:type="dxa"/>
                  <w:vAlign w:val="center"/>
                </w:tcPr>
                <w:p>
                  <w:pPr>
                    <w:spacing w:line="240" w:lineRule="auto"/>
                    <w:jc w:val="center"/>
                  </w:pPr>
                  <w:r>
                    <w:t>是</w:t>
                  </w:r>
                </w:p>
              </w:tc>
            </w:tr>
          </w:tbl>
          <w:p>
            <w:pPr>
              <w:ind w:firstLine="480" w:firstLineChars="200"/>
              <w:rPr>
                <w:rFonts w:hint="eastAsia"/>
                <w:sz w:val="24"/>
                <w:szCs w:val="32"/>
              </w:rPr>
            </w:pPr>
            <w:r>
              <w:rPr>
                <w:rFonts w:hint="eastAsia"/>
                <w:sz w:val="24"/>
                <w:szCs w:val="32"/>
              </w:rPr>
              <w:t>2、本项目污染物排放口情况</w:t>
            </w:r>
          </w:p>
          <w:p>
            <w:pPr>
              <w:jc w:val="center"/>
              <w:rPr>
                <w:b/>
                <w:bCs/>
                <w:sz w:val="21"/>
                <w:szCs w:val="21"/>
              </w:rPr>
            </w:pPr>
            <w:r>
              <w:rPr>
                <w:b/>
                <w:bCs/>
                <w:sz w:val="21"/>
                <w:szCs w:val="21"/>
              </w:rPr>
              <w:t>表</w:t>
            </w:r>
            <w:r>
              <w:rPr>
                <w:rFonts w:hint="eastAsia"/>
                <w:b/>
                <w:bCs/>
                <w:sz w:val="21"/>
                <w:szCs w:val="21"/>
                <w:lang w:val="en-US" w:eastAsia="zh-CN"/>
              </w:rPr>
              <w:t>17</w:t>
            </w:r>
            <w:r>
              <w:rPr>
                <w:rFonts w:hint="eastAsia"/>
                <w:b/>
                <w:bCs/>
                <w:sz w:val="21"/>
                <w:szCs w:val="21"/>
              </w:rPr>
              <w:t xml:space="preserve">  </w:t>
            </w:r>
            <w:r>
              <w:rPr>
                <w:b/>
                <w:bCs/>
                <w:sz w:val="21"/>
                <w:szCs w:val="21"/>
              </w:rPr>
              <w:t>主要废气排放口情况一览表</w:t>
            </w:r>
          </w:p>
          <w:tbl>
            <w:tblPr>
              <w:tblStyle w:val="24"/>
              <w:tblW w:w="499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24"/>
              <w:gridCol w:w="858"/>
              <w:gridCol w:w="760"/>
              <w:gridCol w:w="577"/>
              <w:gridCol w:w="551"/>
              <w:gridCol w:w="507"/>
              <w:gridCol w:w="540"/>
              <w:gridCol w:w="618"/>
              <w:gridCol w:w="388"/>
              <w:gridCol w:w="1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09" w:type="pct"/>
                  <w:vMerge w:val="restart"/>
                  <w:vAlign w:val="center"/>
                </w:tcPr>
                <w:p>
                  <w:pPr>
                    <w:spacing w:line="280" w:lineRule="exact"/>
                    <w:jc w:val="center"/>
                    <w:rPr>
                      <w:rFonts w:hint="eastAsia"/>
                    </w:rPr>
                  </w:pPr>
                  <w:r>
                    <w:rPr>
                      <w:rFonts w:hint="eastAsia"/>
                    </w:rPr>
                    <w:t>排放口</w:t>
                  </w:r>
                  <w:r>
                    <w:t>名称</w:t>
                  </w:r>
                  <w:r>
                    <w:rPr>
                      <w:rFonts w:hint="eastAsia"/>
                    </w:rPr>
                    <w:t>、编号</w:t>
                  </w:r>
                </w:p>
              </w:tc>
              <w:tc>
                <w:tcPr>
                  <w:tcW w:w="1021" w:type="pct"/>
                  <w:gridSpan w:val="2"/>
                  <w:vAlign w:val="center"/>
                </w:tcPr>
                <w:p>
                  <w:pPr>
                    <w:snapToGrid w:val="0"/>
                    <w:spacing w:line="280" w:lineRule="exact"/>
                    <w:jc w:val="center"/>
                  </w:pPr>
                  <w:r>
                    <w:t>排气筒底部中心坐标(o)</w:t>
                  </w:r>
                </w:p>
              </w:tc>
              <w:tc>
                <w:tcPr>
                  <w:tcW w:w="364" w:type="pct"/>
                  <w:vMerge w:val="restart"/>
                  <w:vAlign w:val="center"/>
                </w:tcPr>
                <w:p>
                  <w:pPr>
                    <w:snapToGrid w:val="0"/>
                    <w:spacing w:line="280" w:lineRule="exact"/>
                    <w:jc w:val="center"/>
                  </w:pPr>
                  <w:r>
                    <w:t>排气筒底部海拔高度(m)</w:t>
                  </w:r>
                </w:p>
              </w:tc>
              <w:tc>
                <w:tcPr>
                  <w:tcW w:w="1009" w:type="pct"/>
                  <w:gridSpan w:val="3"/>
                  <w:vAlign w:val="center"/>
                </w:tcPr>
                <w:p>
                  <w:pPr>
                    <w:snapToGrid w:val="0"/>
                    <w:spacing w:line="280" w:lineRule="exact"/>
                    <w:jc w:val="center"/>
                  </w:pPr>
                  <w:r>
                    <w:t>排气筒参数</w:t>
                  </w:r>
                </w:p>
              </w:tc>
              <w:tc>
                <w:tcPr>
                  <w:tcW w:w="390" w:type="pct"/>
                  <w:vMerge w:val="restart"/>
                  <w:vAlign w:val="center"/>
                </w:tcPr>
                <w:p>
                  <w:pPr>
                    <w:snapToGrid w:val="0"/>
                    <w:spacing w:line="280" w:lineRule="exact"/>
                    <w:jc w:val="center"/>
                  </w:pPr>
                  <w:r>
                    <w:t>污染物名称</w:t>
                  </w:r>
                </w:p>
              </w:tc>
              <w:tc>
                <w:tcPr>
                  <w:tcW w:w="245" w:type="pct"/>
                  <w:vMerge w:val="restart"/>
                  <w:vAlign w:val="center"/>
                </w:tcPr>
                <w:p>
                  <w:pPr>
                    <w:snapToGrid w:val="0"/>
                    <w:spacing w:line="280" w:lineRule="exact"/>
                    <w:jc w:val="center"/>
                    <w:rPr>
                      <w:rFonts w:hint="eastAsia"/>
                    </w:rPr>
                  </w:pPr>
                  <w:r>
                    <w:rPr>
                      <w:rFonts w:hint="eastAsia"/>
                    </w:rPr>
                    <w:t>排放口类型</w:t>
                  </w:r>
                </w:p>
              </w:tc>
              <w:tc>
                <w:tcPr>
                  <w:tcW w:w="1259" w:type="pct"/>
                  <w:vMerge w:val="restart"/>
                  <w:vAlign w:val="center"/>
                </w:tcPr>
                <w:p>
                  <w:pPr>
                    <w:snapToGrid w:val="0"/>
                    <w:spacing w:line="280" w:lineRule="exact"/>
                    <w:jc w:val="center"/>
                    <w:rPr>
                      <w:rFonts w:hint="eastAsia"/>
                    </w:rPr>
                  </w:pPr>
                  <w:r>
                    <w:rPr>
                      <w:rFonts w:hint="eastAsia"/>
                    </w:rPr>
                    <w:t>排放标准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trPr>
              <w:tc>
                <w:tcPr>
                  <w:tcW w:w="709" w:type="pct"/>
                  <w:vMerge w:val="continue"/>
                  <w:vAlign w:val="center"/>
                </w:tcPr>
                <w:p>
                  <w:pPr>
                    <w:snapToGrid w:val="0"/>
                    <w:spacing w:line="280" w:lineRule="exact"/>
                    <w:jc w:val="center"/>
                  </w:pPr>
                </w:p>
              </w:tc>
              <w:tc>
                <w:tcPr>
                  <w:tcW w:w="541" w:type="pct"/>
                  <w:vAlign w:val="center"/>
                </w:tcPr>
                <w:p>
                  <w:pPr>
                    <w:snapToGrid w:val="0"/>
                    <w:spacing w:line="280" w:lineRule="exact"/>
                    <w:jc w:val="center"/>
                  </w:pPr>
                  <w:r>
                    <w:t>经度</w:t>
                  </w:r>
                </w:p>
              </w:tc>
              <w:tc>
                <w:tcPr>
                  <w:tcW w:w="479" w:type="pct"/>
                  <w:vAlign w:val="center"/>
                </w:tcPr>
                <w:p>
                  <w:pPr>
                    <w:snapToGrid w:val="0"/>
                    <w:spacing w:line="280" w:lineRule="exact"/>
                    <w:jc w:val="center"/>
                  </w:pPr>
                  <w:r>
                    <w:t>纬度</w:t>
                  </w:r>
                </w:p>
              </w:tc>
              <w:tc>
                <w:tcPr>
                  <w:tcW w:w="364" w:type="pct"/>
                  <w:vMerge w:val="continue"/>
                  <w:vAlign w:val="center"/>
                </w:tcPr>
                <w:p>
                  <w:pPr>
                    <w:snapToGrid w:val="0"/>
                    <w:spacing w:line="280" w:lineRule="exact"/>
                    <w:jc w:val="center"/>
                  </w:pPr>
                </w:p>
              </w:tc>
              <w:tc>
                <w:tcPr>
                  <w:tcW w:w="347" w:type="pct"/>
                  <w:vAlign w:val="center"/>
                </w:tcPr>
                <w:p>
                  <w:pPr>
                    <w:snapToGrid w:val="0"/>
                    <w:spacing w:line="280" w:lineRule="exact"/>
                    <w:jc w:val="center"/>
                  </w:pPr>
                  <w:r>
                    <w:t>高度</w:t>
                  </w:r>
                </w:p>
                <w:p>
                  <w:pPr>
                    <w:snapToGrid w:val="0"/>
                    <w:spacing w:line="280" w:lineRule="exact"/>
                    <w:jc w:val="center"/>
                  </w:pPr>
                  <w:r>
                    <w:t>(m)</w:t>
                  </w:r>
                </w:p>
              </w:tc>
              <w:tc>
                <w:tcPr>
                  <w:tcW w:w="320" w:type="pct"/>
                  <w:vAlign w:val="center"/>
                </w:tcPr>
                <w:p>
                  <w:pPr>
                    <w:snapToGrid w:val="0"/>
                    <w:spacing w:line="280" w:lineRule="exact"/>
                    <w:jc w:val="center"/>
                  </w:pPr>
                  <w:r>
                    <w:t>内径</w:t>
                  </w:r>
                </w:p>
                <w:p>
                  <w:pPr>
                    <w:snapToGrid w:val="0"/>
                    <w:spacing w:line="280" w:lineRule="exact"/>
                    <w:jc w:val="center"/>
                  </w:pPr>
                  <w:r>
                    <w:t>(m)</w:t>
                  </w:r>
                </w:p>
              </w:tc>
              <w:tc>
                <w:tcPr>
                  <w:tcW w:w="341" w:type="pct"/>
                  <w:vAlign w:val="center"/>
                </w:tcPr>
                <w:p>
                  <w:pPr>
                    <w:snapToGrid w:val="0"/>
                    <w:spacing w:line="280" w:lineRule="exact"/>
                    <w:jc w:val="center"/>
                  </w:pPr>
                  <w:r>
                    <w:t>温度</w:t>
                  </w:r>
                </w:p>
                <w:p>
                  <w:pPr>
                    <w:snapToGrid w:val="0"/>
                    <w:spacing w:line="280" w:lineRule="exact"/>
                    <w:jc w:val="center"/>
                  </w:pPr>
                  <w:r>
                    <w:t>(</w:t>
                  </w:r>
                  <w:r>
                    <w:rPr>
                      <w:rFonts w:hint="eastAsia"/>
                    </w:rPr>
                    <w:t>℃</w:t>
                  </w:r>
                  <w:r>
                    <w:t>)</w:t>
                  </w:r>
                </w:p>
              </w:tc>
              <w:tc>
                <w:tcPr>
                  <w:tcW w:w="390" w:type="pct"/>
                  <w:vMerge w:val="continue"/>
                  <w:vAlign w:val="center"/>
                </w:tcPr>
                <w:p>
                  <w:pPr>
                    <w:snapToGrid w:val="0"/>
                    <w:spacing w:line="280" w:lineRule="exact"/>
                    <w:jc w:val="center"/>
                  </w:pPr>
                </w:p>
              </w:tc>
              <w:tc>
                <w:tcPr>
                  <w:tcW w:w="245" w:type="pct"/>
                  <w:vMerge w:val="continue"/>
                  <w:vAlign w:val="center"/>
                </w:tcPr>
                <w:p>
                  <w:pPr>
                    <w:snapToGrid w:val="0"/>
                    <w:spacing w:line="280" w:lineRule="exact"/>
                    <w:jc w:val="center"/>
                  </w:pPr>
                </w:p>
              </w:tc>
              <w:tc>
                <w:tcPr>
                  <w:tcW w:w="1259" w:type="pct"/>
                  <w:vMerge w:val="continue"/>
                  <w:vAlign w:val="center"/>
                </w:tcPr>
                <w:p>
                  <w:pPr>
                    <w:snapToGrid w:val="0"/>
                    <w:spacing w:line="28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trPr>
              <w:tc>
                <w:tcPr>
                  <w:tcW w:w="709" w:type="pct"/>
                  <w:vAlign w:val="center"/>
                </w:tcPr>
                <w:p>
                  <w:pPr>
                    <w:spacing w:line="280" w:lineRule="exact"/>
                    <w:jc w:val="center"/>
                  </w:pPr>
                  <w:r>
                    <w:t>排气筒</w:t>
                  </w:r>
                  <w:r>
                    <w:rPr>
                      <w:rFonts w:hint="eastAsia"/>
                    </w:rPr>
                    <w:t>（P</w:t>
                  </w:r>
                  <w:r>
                    <w:rPr>
                      <w:rFonts w:hint="eastAsia"/>
                      <w:lang w:val="en-US" w:eastAsia="zh-CN"/>
                    </w:rPr>
                    <w:t>1</w:t>
                  </w:r>
                  <w:r>
                    <w:rPr>
                      <w:rFonts w:hint="eastAsia"/>
                    </w:rPr>
                    <w:t>）</w:t>
                  </w:r>
                </w:p>
              </w:tc>
              <w:tc>
                <w:tcPr>
                  <w:tcW w:w="541" w:type="pct"/>
                  <w:vAlign w:val="center"/>
                </w:tcPr>
                <w:p>
                  <w:pPr>
                    <w:jc w:val="center"/>
                    <w:rPr>
                      <w:rFonts w:hint="eastAsia" w:eastAsia="宋体"/>
                      <w:lang w:eastAsia="zh-CN"/>
                    </w:rPr>
                  </w:pPr>
                  <w:r>
                    <w:rPr>
                      <w:rFonts w:hint="eastAsia"/>
                    </w:rPr>
                    <w:t>114.991</w:t>
                  </w:r>
                  <w:r>
                    <w:rPr>
                      <w:rFonts w:hint="eastAsia"/>
                      <w:lang w:val="en-US" w:eastAsia="zh-CN"/>
                    </w:rPr>
                    <w:t>4</w:t>
                  </w:r>
                </w:p>
              </w:tc>
              <w:tc>
                <w:tcPr>
                  <w:tcW w:w="479" w:type="pct"/>
                  <w:vAlign w:val="center"/>
                </w:tcPr>
                <w:p>
                  <w:pPr>
                    <w:jc w:val="center"/>
                    <w:rPr>
                      <w:rFonts w:hint="eastAsia" w:eastAsia="宋体"/>
                      <w:lang w:eastAsia="zh-CN"/>
                    </w:rPr>
                  </w:pPr>
                  <w:r>
                    <w:rPr>
                      <w:rFonts w:hint="eastAsia"/>
                    </w:rPr>
                    <w:t>36.340</w:t>
                  </w:r>
                  <w:r>
                    <w:rPr>
                      <w:rFonts w:hint="eastAsia"/>
                      <w:lang w:val="en-US" w:eastAsia="zh-CN"/>
                    </w:rPr>
                    <w:t>2</w:t>
                  </w:r>
                </w:p>
              </w:tc>
              <w:tc>
                <w:tcPr>
                  <w:tcW w:w="364" w:type="pct"/>
                  <w:vAlign w:val="center"/>
                </w:tcPr>
                <w:p>
                  <w:pPr>
                    <w:spacing w:line="280" w:lineRule="exact"/>
                    <w:jc w:val="center"/>
                    <w:rPr>
                      <w:rFonts w:hint="eastAsia" w:eastAsia="宋体"/>
                      <w:lang w:eastAsia="zh-CN"/>
                    </w:rPr>
                  </w:pPr>
                  <w:r>
                    <w:rPr>
                      <w:rFonts w:hint="eastAsia"/>
                    </w:rPr>
                    <w:t>4</w:t>
                  </w:r>
                  <w:r>
                    <w:rPr>
                      <w:rFonts w:hint="eastAsia"/>
                      <w:lang w:val="en-US" w:eastAsia="zh-CN"/>
                    </w:rPr>
                    <w:t>7</w:t>
                  </w:r>
                </w:p>
              </w:tc>
              <w:tc>
                <w:tcPr>
                  <w:tcW w:w="347" w:type="pct"/>
                  <w:vAlign w:val="center"/>
                </w:tcPr>
                <w:p>
                  <w:pPr>
                    <w:spacing w:line="280" w:lineRule="exact"/>
                    <w:jc w:val="center"/>
                    <w:rPr>
                      <w:rFonts w:hint="default" w:eastAsia="宋体"/>
                      <w:lang w:val="en-US" w:eastAsia="zh-CN"/>
                    </w:rPr>
                  </w:pPr>
                  <w:r>
                    <w:rPr>
                      <w:rFonts w:hint="eastAsia"/>
                      <w:lang w:val="en-US" w:eastAsia="zh-CN"/>
                    </w:rPr>
                    <w:t>15</w:t>
                  </w:r>
                </w:p>
              </w:tc>
              <w:tc>
                <w:tcPr>
                  <w:tcW w:w="320" w:type="pct"/>
                  <w:vAlign w:val="center"/>
                </w:tcPr>
                <w:p>
                  <w:pPr>
                    <w:spacing w:line="280" w:lineRule="exact"/>
                    <w:jc w:val="center"/>
                    <w:rPr>
                      <w:rFonts w:hint="eastAsia" w:eastAsia="宋体"/>
                      <w:lang w:eastAsia="zh-CN"/>
                    </w:rPr>
                  </w:pPr>
                  <w:r>
                    <w:rPr>
                      <w:rFonts w:hint="eastAsia"/>
                    </w:rPr>
                    <w:t>0.</w:t>
                  </w:r>
                  <w:r>
                    <w:rPr>
                      <w:rFonts w:hint="eastAsia"/>
                      <w:lang w:val="en-US" w:eastAsia="zh-CN"/>
                    </w:rPr>
                    <w:t>5</w:t>
                  </w:r>
                </w:p>
              </w:tc>
              <w:tc>
                <w:tcPr>
                  <w:tcW w:w="341" w:type="pct"/>
                  <w:vAlign w:val="center"/>
                </w:tcPr>
                <w:p>
                  <w:pPr>
                    <w:spacing w:line="280" w:lineRule="exact"/>
                    <w:jc w:val="center"/>
                  </w:pPr>
                  <w:r>
                    <w:t>23</w:t>
                  </w:r>
                </w:p>
              </w:tc>
              <w:tc>
                <w:tcPr>
                  <w:tcW w:w="390" w:type="pct"/>
                  <w:vAlign w:val="center"/>
                </w:tcPr>
                <w:p>
                  <w:pPr>
                    <w:spacing w:line="280" w:lineRule="exact"/>
                    <w:jc w:val="center"/>
                    <w:rPr>
                      <w:rFonts w:hint="eastAsia"/>
                    </w:rPr>
                  </w:pPr>
                  <w:r>
                    <w:rPr>
                      <w:rFonts w:hint="eastAsia"/>
                    </w:rPr>
                    <w:t>颗粒物</w:t>
                  </w:r>
                </w:p>
              </w:tc>
              <w:tc>
                <w:tcPr>
                  <w:tcW w:w="245" w:type="pct"/>
                  <w:vMerge w:val="restart"/>
                  <w:vAlign w:val="center"/>
                </w:tcPr>
                <w:p>
                  <w:pPr>
                    <w:spacing w:line="280" w:lineRule="exact"/>
                    <w:jc w:val="center"/>
                    <w:rPr>
                      <w:rFonts w:hint="eastAsia"/>
                    </w:rPr>
                  </w:pPr>
                  <w:r>
                    <w:rPr>
                      <w:rFonts w:hint="eastAsia"/>
                    </w:rPr>
                    <w:t>一般排放口</w:t>
                  </w:r>
                </w:p>
              </w:tc>
              <w:tc>
                <w:tcPr>
                  <w:tcW w:w="1259" w:type="pct"/>
                  <w:vMerge w:val="restart"/>
                  <w:vAlign w:val="center"/>
                </w:tcPr>
                <w:p>
                  <w:pPr>
                    <w:spacing w:line="280" w:lineRule="exact"/>
                    <w:jc w:val="center"/>
                    <w:rPr>
                      <w:rFonts w:hint="eastAsia"/>
                    </w:rPr>
                  </w:pPr>
                  <w:r>
                    <w:rPr>
                      <w:rFonts w:hint="eastAsia"/>
                    </w:rPr>
                    <w:t>《水泥工业大气污染物超低排放标准》（DB13/2167-2020）表1中散装水泥中转站及水泥制品生产中颗粒物有组织排放限值即颗粒物≤10mg/m</w:t>
                  </w:r>
                  <w:r>
                    <w:rPr>
                      <w:rFonts w:hint="eastAsia"/>
                      <w:vertAlign w:val="superscript"/>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1" w:hRule="atLeast"/>
              </w:trPr>
              <w:tc>
                <w:tcPr>
                  <w:tcW w:w="709" w:type="pct"/>
                  <w:vAlign w:val="center"/>
                </w:tcPr>
                <w:p>
                  <w:pPr>
                    <w:spacing w:line="280" w:lineRule="exact"/>
                    <w:jc w:val="center"/>
                    <w:rPr>
                      <w:rFonts w:hint="eastAsia"/>
                    </w:rPr>
                  </w:pPr>
                  <w:r>
                    <w:t>排气筒</w:t>
                  </w:r>
                  <w:r>
                    <w:rPr>
                      <w:rFonts w:hint="eastAsia"/>
                    </w:rPr>
                    <w:t>（P2）</w:t>
                  </w:r>
                </w:p>
              </w:tc>
              <w:tc>
                <w:tcPr>
                  <w:tcW w:w="541" w:type="pct"/>
                  <w:vAlign w:val="center"/>
                </w:tcPr>
                <w:p>
                  <w:pPr>
                    <w:jc w:val="center"/>
                  </w:pPr>
                  <w:r>
                    <w:rPr>
                      <w:rFonts w:hint="eastAsia"/>
                    </w:rPr>
                    <w:t>114.9916</w:t>
                  </w:r>
                </w:p>
              </w:tc>
              <w:tc>
                <w:tcPr>
                  <w:tcW w:w="479" w:type="pct"/>
                  <w:vAlign w:val="center"/>
                </w:tcPr>
                <w:p>
                  <w:pPr>
                    <w:jc w:val="center"/>
                  </w:pPr>
                  <w:r>
                    <w:rPr>
                      <w:rFonts w:hint="eastAsia"/>
                    </w:rPr>
                    <w:t>36.3400</w:t>
                  </w:r>
                </w:p>
              </w:tc>
              <w:tc>
                <w:tcPr>
                  <w:tcW w:w="364" w:type="pct"/>
                  <w:vAlign w:val="center"/>
                </w:tcPr>
                <w:p>
                  <w:pPr>
                    <w:spacing w:line="280" w:lineRule="exact"/>
                    <w:jc w:val="center"/>
                  </w:pPr>
                  <w:r>
                    <w:rPr>
                      <w:rFonts w:hint="eastAsia"/>
                    </w:rPr>
                    <w:t>48</w:t>
                  </w:r>
                </w:p>
              </w:tc>
              <w:tc>
                <w:tcPr>
                  <w:tcW w:w="347" w:type="pct"/>
                  <w:vAlign w:val="center"/>
                </w:tcPr>
                <w:p>
                  <w:pPr>
                    <w:spacing w:line="280" w:lineRule="exact"/>
                    <w:jc w:val="center"/>
                  </w:pPr>
                  <w:r>
                    <w:rPr>
                      <w:rFonts w:hint="eastAsia"/>
                    </w:rPr>
                    <w:t>28</w:t>
                  </w:r>
                </w:p>
              </w:tc>
              <w:tc>
                <w:tcPr>
                  <w:tcW w:w="320" w:type="pct"/>
                  <w:vAlign w:val="center"/>
                </w:tcPr>
                <w:p>
                  <w:pPr>
                    <w:spacing w:line="280" w:lineRule="exact"/>
                    <w:jc w:val="center"/>
                    <w:rPr>
                      <w:rFonts w:hint="eastAsia"/>
                    </w:rPr>
                  </w:pPr>
                  <w:r>
                    <w:rPr>
                      <w:rFonts w:hint="eastAsia"/>
                    </w:rPr>
                    <w:t>0.3</w:t>
                  </w:r>
                </w:p>
              </w:tc>
              <w:tc>
                <w:tcPr>
                  <w:tcW w:w="341" w:type="pct"/>
                  <w:vAlign w:val="center"/>
                </w:tcPr>
                <w:p>
                  <w:pPr>
                    <w:spacing w:line="280" w:lineRule="exact"/>
                    <w:jc w:val="center"/>
                  </w:pPr>
                  <w:r>
                    <w:t>23</w:t>
                  </w:r>
                </w:p>
              </w:tc>
              <w:tc>
                <w:tcPr>
                  <w:tcW w:w="390" w:type="pct"/>
                  <w:vAlign w:val="center"/>
                </w:tcPr>
                <w:p>
                  <w:pPr>
                    <w:spacing w:line="280" w:lineRule="exact"/>
                    <w:jc w:val="center"/>
                    <w:rPr>
                      <w:rFonts w:hint="eastAsia"/>
                    </w:rPr>
                  </w:pPr>
                  <w:r>
                    <w:rPr>
                      <w:rFonts w:hint="eastAsia"/>
                    </w:rPr>
                    <w:t>颗粒物</w:t>
                  </w:r>
                </w:p>
              </w:tc>
              <w:tc>
                <w:tcPr>
                  <w:tcW w:w="245" w:type="pct"/>
                  <w:vMerge w:val="continue"/>
                  <w:vAlign w:val="center"/>
                </w:tcPr>
                <w:p>
                  <w:pPr>
                    <w:spacing w:line="280" w:lineRule="exact"/>
                    <w:jc w:val="center"/>
                    <w:rPr>
                      <w:rFonts w:hint="eastAsia"/>
                    </w:rPr>
                  </w:pPr>
                </w:p>
              </w:tc>
              <w:tc>
                <w:tcPr>
                  <w:tcW w:w="1259" w:type="pct"/>
                  <w:vMerge w:val="continue"/>
                  <w:vAlign w:val="center"/>
                </w:tcPr>
                <w:p>
                  <w:pPr>
                    <w:spacing w:line="280" w:lineRule="exact"/>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709" w:type="pct"/>
                  <w:vAlign w:val="center"/>
                </w:tcPr>
                <w:p>
                  <w:pPr>
                    <w:spacing w:line="280" w:lineRule="exact"/>
                    <w:jc w:val="center"/>
                    <w:rPr>
                      <w:rFonts w:hint="eastAsia"/>
                    </w:rPr>
                  </w:pPr>
                  <w:r>
                    <w:t>排气筒</w:t>
                  </w:r>
                  <w:r>
                    <w:rPr>
                      <w:rFonts w:hint="eastAsia"/>
                    </w:rPr>
                    <w:t>（P3）</w:t>
                  </w:r>
                </w:p>
              </w:tc>
              <w:tc>
                <w:tcPr>
                  <w:tcW w:w="541" w:type="pct"/>
                  <w:vAlign w:val="center"/>
                </w:tcPr>
                <w:p>
                  <w:pPr>
                    <w:jc w:val="center"/>
                  </w:pPr>
                  <w:r>
                    <w:rPr>
                      <w:rFonts w:hint="eastAsia"/>
                    </w:rPr>
                    <w:t>114.9916</w:t>
                  </w:r>
                </w:p>
              </w:tc>
              <w:tc>
                <w:tcPr>
                  <w:tcW w:w="479" w:type="pct"/>
                  <w:vAlign w:val="center"/>
                </w:tcPr>
                <w:p>
                  <w:pPr>
                    <w:jc w:val="center"/>
                  </w:pPr>
                  <w:r>
                    <w:rPr>
                      <w:rFonts w:hint="eastAsia"/>
                    </w:rPr>
                    <w:t>36.3399</w:t>
                  </w:r>
                </w:p>
              </w:tc>
              <w:tc>
                <w:tcPr>
                  <w:tcW w:w="364" w:type="pct"/>
                  <w:vAlign w:val="center"/>
                </w:tcPr>
                <w:p>
                  <w:pPr>
                    <w:spacing w:line="280" w:lineRule="exact"/>
                    <w:jc w:val="center"/>
                  </w:pPr>
                  <w:r>
                    <w:rPr>
                      <w:rFonts w:hint="eastAsia"/>
                    </w:rPr>
                    <w:t>49</w:t>
                  </w:r>
                </w:p>
              </w:tc>
              <w:tc>
                <w:tcPr>
                  <w:tcW w:w="347" w:type="pct"/>
                  <w:vAlign w:val="center"/>
                </w:tcPr>
                <w:p>
                  <w:pPr>
                    <w:spacing w:line="280" w:lineRule="exact"/>
                    <w:jc w:val="center"/>
                  </w:pPr>
                  <w:r>
                    <w:rPr>
                      <w:rFonts w:hint="eastAsia"/>
                    </w:rPr>
                    <w:t>28</w:t>
                  </w:r>
                </w:p>
              </w:tc>
              <w:tc>
                <w:tcPr>
                  <w:tcW w:w="320" w:type="pct"/>
                  <w:vAlign w:val="center"/>
                </w:tcPr>
                <w:p>
                  <w:pPr>
                    <w:spacing w:line="280" w:lineRule="exact"/>
                    <w:jc w:val="center"/>
                    <w:rPr>
                      <w:rFonts w:hint="eastAsia"/>
                    </w:rPr>
                  </w:pPr>
                  <w:r>
                    <w:rPr>
                      <w:rFonts w:hint="eastAsia"/>
                    </w:rPr>
                    <w:t>0.3</w:t>
                  </w:r>
                </w:p>
              </w:tc>
              <w:tc>
                <w:tcPr>
                  <w:tcW w:w="341" w:type="pct"/>
                  <w:vAlign w:val="center"/>
                </w:tcPr>
                <w:p>
                  <w:pPr>
                    <w:spacing w:line="280" w:lineRule="exact"/>
                    <w:jc w:val="center"/>
                  </w:pPr>
                  <w:r>
                    <w:rPr>
                      <w:rFonts w:hint="eastAsia"/>
                    </w:rPr>
                    <w:t>23</w:t>
                  </w:r>
                </w:p>
              </w:tc>
              <w:tc>
                <w:tcPr>
                  <w:tcW w:w="390" w:type="pct"/>
                  <w:vAlign w:val="center"/>
                </w:tcPr>
                <w:p>
                  <w:pPr>
                    <w:spacing w:line="280" w:lineRule="exact"/>
                    <w:jc w:val="center"/>
                  </w:pPr>
                  <w:r>
                    <w:t>颗粒物</w:t>
                  </w:r>
                </w:p>
              </w:tc>
              <w:tc>
                <w:tcPr>
                  <w:tcW w:w="245" w:type="pct"/>
                  <w:vMerge w:val="continue"/>
                  <w:vAlign w:val="center"/>
                </w:tcPr>
                <w:p>
                  <w:pPr>
                    <w:spacing w:line="280" w:lineRule="exact"/>
                    <w:jc w:val="center"/>
                  </w:pPr>
                </w:p>
              </w:tc>
              <w:tc>
                <w:tcPr>
                  <w:tcW w:w="1259" w:type="pct"/>
                  <w:vMerge w:val="continue"/>
                  <w:vAlign w:val="center"/>
                </w:tcPr>
                <w:p>
                  <w:pPr>
                    <w:spacing w:line="280" w:lineRule="exact"/>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709" w:type="pct"/>
                  <w:vAlign w:val="center"/>
                </w:tcPr>
                <w:p>
                  <w:pPr>
                    <w:spacing w:line="280" w:lineRule="exact"/>
                    <w:jc w:val="center"/>
                  </w:pPr>
                  <w:r>
                    <w:t>排气筒</w:t>
                  </w:r>
                  <w:r>
                    <w:rPr>
                      <w:rFonts w:hint="eastAsia"/>
                    </w:rPr>
                    <w:t>（P4）</w:t>
                  </w:r>
                </w:p>
              </w:tc>
              <w:tc>
                <w:tcPr>
                  <w:tcW w:w="541" w:type="pct"/>
                  <w:vAlign w:val="center"/>
                </w:tcPr>
                <w:p>
                  <w:pPr>
                    <w:jc w:val="center"/>
                  </w:pPr>
                  <w:r>
                    <w:rPr>
                      <w:rFonts w:hint="eastAsia"/>
                    </w:rPr>
                    <w:t>114.9917</w:t>
                  </w:r>
                </w:p>
              </w:tc>
              <w:tc>
                <w:tcPr>
                  <w:tcW w:w="479" w:type="pct"/>
                  <w:vAlign w:val="center"/>
                </w:tcPr>
                <w:p>
                  <w:pPr>
                    <w:jc w:val="center"/>
                  </w:pPr>
                  <w:r>
                    <w:rPr>
                      <w:rFonts w:hint="eastAsia"/>
                    </w:rPr>
                    <w:t>36.3399</w:t>
                  </w:r>
                </w:p>
              </w:tc>
              <w:tc>
                <w:tcPr>
                  <w:tcW w:w="364" w:type="pct"/>
                  <w:vAlign w:val="center"/>
                </w:tcPr>
                <w:p>
                  <w:pPr>
                    <w:spacing w:line="280" w:lineRule="exact"/>
                    <w:jc w:val="center"/>
                  </w:pPr>
                  <w:r>
                    <w:rPr>
                      <w:rFonts w:hint="eastAsia"/>
                    </w:rPr>
                    <w:t>52</w:t>
                  </w:r>
                </w:p>
              </w:tc>
              <w:tc>
                <w:tcPr>
                  <w:tcW w:w="347" w:type="pct"/>
                  <w:vAlign w:val="center"/>
                </w:tcPr>
                <w:p>
                  <w:pPr>
                    <w:spacing w:line="280" w:lineRule="exact"/>
                    <w:jc w:val="center"/>
                  </w:pPr>
                  <w:r>
                    <w:rPr>
                      <w:rFonts w:hint="eastAsia"/>
                    </w:rPr>
                    <w:t>28</w:t>
                  </w:r>
                </w:p>
              </w:tc>
              <w:tc>
                <w:tcPr>
                  <w:tcW w:w="320" w:type="pct"/>
                  <w:vAlign w:val="center"/>
                </w:tcPr>
                <w:p>
                  <w:pPr>
                    <w:spacing w:line="280" w:lineRule="exact"/>
                    <w:jc w:val="center"/>
                    <w:rPr>
                      <w:rFonts w:hint="eastAsia"/>
                    </w:rPr>
                  </w:pPr>
                  <w:r>
                    <w:rPr>
                      <w:rFonts w:hint="eastAsia"/>
                    </w:rPr>
                    <w:t>0.3</w:t>
                  </w:r>
                </w:p>
              </w:tc>
              <w:tc>
                <w:tcPr>
                  <w:tcW w:w="341" w:type="pct"/>
                  <w:vAlign w:val="center"/>
                </w:tcPr>
                <w:p>
                  <w:pPr>
                    <w:spacing w:line="280" w:lineRule="exact"/>
                    <w:jc w:val="center"/>
                  </w:pPr>
                  <w:r>
                    <w:rPr>
                      <w:rFonts w:hint="eastAsia"/>
                    </w:rPr>
                    <w:t>23</w:t>
                  </w:r>
                </w:p>
              </w:tc>
              <w:tc>
                <w:tcPr>
                  <w:tcW w:w="390" w:type="pct"/>
                  <w:vAlign w:val="center"/>
                </w:tcPr>
                <w:p>
                  <w:pPr>
                    <w:spacing w:line="280" w:lineRule="exact"/>
                    <w:jc w:val="center"/>
                  </w:pPr>
                  <w:r>
                    <w:rPr>
                      <w:rFonts w:hint="eastAsia"/>
                    </w:rPr>
                    <w:t>颗粒物</w:t>
                  </w:r>
                </w:p>
              </w:tc>
              <w:tc>
                <w:tcPr>
                  <w:tcW w:w="245" w:type="pct"/>
                  <w:vMerge w:val="continue"/>
                  <w:vAlign w:val="center"/>
                </w:tcPr>
                <w:p>
                  <w:pPr>
                    <w:spacing w:line="280" w:lineRule="exact"/>
                    <w:jc w:val="center"/>
                    <w:rPr>
                      <w:rFonts w:hint="eastAsia"/>
                    </w:rPr>
                  </w:pPr>
                </w:p>
              </w:tc>
              <w:tc>
                <w:tcPr>
                  <w:tcW w:w="1259" w:type="pct"/>
                  <w:vMerge w:val="continue"/>
                  <w:vAlign w:val="center"/>
                </w:tcPr>
                <w:p>
                  <w:pPr>
                    <w:spacing w:line="280" w:lineRule="exact"/>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709" w:type="pct"/>
                  <w:vAlign w:val="center"/>
                </w:tcPr>
                <w:p>
                  <w:pPr>
                    <w:spacing w:line="280" w:lineRule="exact"/>
                    <w:jc w:val="center"/>
                  </w:pPr>
                  <w:r>
                    <w:t>排气筒</w:t>
                  </w:r>
                  <w:r>
                    <w:rPr>
                      <w:rFonts w:hint="eastAsia"/>
                    </w:rPr>
                    <w:t>（P5）</w:t>
                  </w:r>
                </w:p>
              </w:tc>
              <w:tc>
                <w:tcPr>
                  <w:tcW w:w="541" w:type="pct"/>
                  <w:vAlign w:val="center"/>
                </w:tcPr>
                <w:p>
                  <w:pPr>
                    <w:jc w:val="center"/>
                  </w:pPr>
                  <w:r>
                    <w:rPr>
                      <w:rFonts w:hint="eastAsia"/>
                    </w:rPr>
                    <w:t>114.9918</w:t>
                  </w:r>
                </w:p>
              </w:tc>
              <w:tc>
                <w:tcPr>
                  <w:tcW w:w="479" w:type="pct"/>
                  <w:vAlign w:val="center"/>
                </w:tcPr>
                <w:p>
                  <w:pPr>
                    <w:jc w:val="center"/>
                  </w:pPr>
                  <w:r>
                    <w:rPr>
                      <w:rFonts w:hint="eastAsia"/>
                    </w:rPr>
                    <w:t>36.3399</w:t>
                  </w:r>
                </w:p>
              </w:tc>
              <w:tc>
                <w:tcPr>
                  <w:tcW w:w="364" w:type="pct"/>
                  <w:vAlign w:val="center"/>
                </w:tcPr>
                <w:p>
                  <w:pPr>
                    <w:spacing w:line="280" w:lineRule="exact"/>
                    <w:jc w:val="center"/>
                  </w:pPr>
                  <w:r>
                    <w:rPr>
                      <w:rFonts w:hint="eastAsia"/>
                    </w:rPr>
                    <w:t>47</w:t>
                  </w:r>
                </w:p>
              </w:tc>
              <w:tc>
                <w:tcPr>
                  <w:tcW w:w="347" w:type="pct"/>
                  <w:vAlign w:val="center"/>
                </w:tcPr>
                <w:p>
                  <w:pPr>
                    <w:spacing w:line="280" w:lineRule="exact"/>
                    <w:jc w:val="center"/>
                  </w:pPr>
                  <w:r>
                    <w:rPr>
                      <w:rFonts w:hint="eastAsia"/>
                    </w:rPr>
                    <w:t>28</w:t>
                  </w:r>
                </w:p>
              </w:tc>
              <w:tc>
                <w:tcPr>
                  <w:tcW w:w="320" w:type="pct"/>
                  <w:vAlign w:val="center"/>
                </w:tcPr>
                <w:p>
                  <w:pPr>
                    <w:spacing w:line="280" w:lineRule="exact"/>
                    <w:jc w:val="center"/>
                    <w:rPr>
                      <w:rFonts w:hint="eastAsia"/>
                    </w:rPr>
                  </w:pPr>
                  <w:r>
                    <w:rPr>
                      <w:rFonts w:hint="eastAsia"/>
                    </w:rPr>
                    <w:t>0.3</w:t>
                  </w:r>
                </w:p>
              </w:tc>
              <w:tc>
                <w:tcPr>
                  <w:tcW w:w="341" w:type="pct"/>
                  <w:vAlign w:val="center"/>
                </w:tcPr>
                <w:p>
                  <w:pPr>
                    <w:spacing w:line="280" w:lineRule="exact"/>
                    <w:jc w:val="center"/>
                    <w:rPr>
                      <w:rFonts w:hint="eastAsia"/>
                    </w:rPr>
                  </w:pPr>
                  <w:r>
                    <w:rPr>
                      <w:rFonts w:hint="eastAsia"/>
                    </w:rPr>
                    <w:t>23</w:t>
                  </w:r>
                </w:p>
              </w:tc>
              <w:tc>
                <w:tcPr>
                  <w:tcW w:w="390" w:type="pct"/>
                  <w:vAlign w:val="center"/>
                </w:tcPr>
                <w:p>
                  <w:pPr>
                    <w:spacing w:line="280" w:lineRule="exact"/>
                    <w:jc w:val="center"/>
                    <w:rPr>
                      <w:rFonts w:hint="eastAsia"/>
                    </w:rPr>
                  </w:pPr>
                  <w:r>
                    <w:rPr>
                      <w:rFonts w:hint="eastAsia"/>
                    </w:rPr>
                    <w:t>颗粒物</w:t>
                  </w:r>
                </w:p>
              </w:tc>
              <w:tc>
                <w:tcPr>
                  <w:tcW w:w="245" w:type="pct"/>
                  <w:vMerge w:val="continue"/>
                  <w:vAlign w:val="center"/>
                </w:tcPr>
                <w:p>
                  <w:pPr>
                    <w:spacing w:line="280" w:lineRule="exact"/>
                    <w:jc w:val="center"/>
                    <w:rPr>
                      <w:rFonts w:hint="eastAsia"/>
                    </w:rPr>
                  </w:pPr>
                </w:p>
              </w:tc>
              <w:tc>
                <w:tcPr>
                  <w:tcW w:w="1259" w:type="pct"/>
                  <w:vMerge w:val="continue"/>
                  <w:vAlign w:val="center"/>
                </w:tcPr>
                <w:p>
                  <w:pPr>
                    <w:spacing w:line="280" w:lineRule="exact"/>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709" w:type="pct"/>
                  <w:vAlign w:val="center"/>
                </w:tcPr>
                <w:p>
                  <w:pPr>
                    <w:spacing w:line="280" w:lineRule="exact"/>
                    <w:jc w:val="center"/>
                  </w:pPr>
                  <w:r>
                    <w:t>排气筒</w:t>
                  </w:r>
                  <w:r>
                    <w:rPr>
                      <w:rFonts w:hint="eastAsia"/>
                    </w:rPr>
                    <w:t>（P6）</w:t>
                  </w:r>
                </w:p>
              </w:tc>
              <w:tc>
                <w:tcPr>
                  <w:tcW w:w="541" w:type="pct"/>
                  <w:vAlign w:val="center"/>
                </w:tcPr>
                <w:p>
                  <w:pPr>
                    <w:jc w:val="center"/>
                  </w:pPr>
                  <w:r>
                    <w:rPr>
                      <w:rFonts w:hint="eastAsia"/>
                    </w:rPr>
                    <w:t>114.9906</w:t>
                  </w:r>
                </w:p>
              </w:tc>
              <w:tc>
                <w:tcPr>
                  <w:tcW w:w="479" w:type="pct"/>
                  <w:vAlign w:val="center"/>
                </w:tcPr>
                <w:p>
                  <w:pPr>
                    <w:jc w:val="center"/>
                  </w:pPr>
                  <w:r>
                    <w:rPr>
                      <w:rFonts w:hint="eastAsia"/>
                    </w:rPr>
                    <w:t>36.3403</w:t>
                  </w:r>
                </w:p>
              </w:tc>
              <w:tc>
                <w:tcPr>
                  <w:tcW w:w="364" w:type="pct"/>
                  <w:vAlign w:val="center"/>
                </w:tcPr>
                <w:p>
                  <w:pPr>
                    <w:spacing w:line="280" w:lineRule="exact"/>
                    <w:jc w:val="center"/>
                  </w:pPr>
                  <w:r>
                    <w:rPr>
                      <w:rFonts w:hint="eastAsia"/>
                    </w:rPr>
                    <w:t>47</w:t>
                  </w:r>
                </w:p>
              </w:tc>
              <w:tc>
                <w:tcPr>
                  <w:tcW w:w="347" w:type="pct"/>
                  <w:vAlign w:val="center"/>
                </w:tcPr>
                <w:p>
                  <w:pPr>
                    <w:spacing w:line="280" w:lineRule="exact"/>
                    <w:jc w:val="center"/>
                    <w:rPr>
                      <w:rFonts w:hint="eastAsia"/>
                    </w:rPr>
                  </w:pPr>
                  <w:r>
                    <w:rPr>
                      <w:rFonts w:hint="eastAsia"/>
                    </w:rPr>
                    <w:t>15</w:t>
                  </w:r>
                </w:p>
              </w:tc>
              <w:tc>
                <w:tcPr>
                  <w:tcW w:w="320" w:type="pct"/>
                  <w:vAlign w:val="center"/>
                </w:tcPr>
                <w:p>
                  <w:pPr>
                    <w:spacing w:line="280" w:lineRule="exact"/>
                    <w:jc w:val="center"/>
                    <w:rPr>
                      <w:rFonts w:hint="eastAsia"/>
                    </w:rPr>
                  </w:pPr>
                  <w:r>
                    <w:rPr>
                      <w:rFonts w:hint="eastAsia"/>
                    </w:rPr>
                    <w:t>0.5</w:t>
                  </w:r>
                </w:p>
              </w:tc>
              <w:tc>
                <w:tcPr>
                  <w:tcW w:w="341" w:type="pct"/>
                  <w:vAlign w:val="center"/>
                </w:tcPr>
                <w:p>
                  <w:pPr>
                    <w:spacing w:line="280" w:lineRule="exact"/>
                    <w:jc w:val="center"/>
                  </w:pPr>
                  <w:r>
                    <w:rPr>
                      <w:rFonts w:hint="eastAsia"/>
                    </w:rPr>
                    <w:t>23</w:t>
                  </w:r>
                </w:p>
              </w:tc>
              <w:tc>
                <w:tcPr>
                  <w:tcW w:w="390" w:type="pct"/>
                  <w:vAlign w:val="center"/>
                </w:tcPr>
                <w:p>
                  <w:pPr>
                    <w:spacing w:line="280" w:lineRule="exact"/>
                    <w:jc w:val="center"/>
                    <w:rPr>
                      <w:rFonts w:hint="eastAsia"/>
                    </w:rPr>
                  </w:pPr>
                  <w:r>
                    <w:rPr>
                      <w:rFonts w:hint="eastAsia"/>
                    </w:rPr>
                    <w:t>颗粒物</w:t>
                  </w:r>
                </w:p>
              </w:tc>
              <w:tc>
                <w:tcPr>
                  <w:tcW w:w="245" w:type="pct"/>
                  <w:vMerge w:val="continue"/>
                  <w:vAlign w:val="center"/>
                </w:tcPr>
                <w:p>
                  <w:pPr>
                    <w:spacing w:line="280" w:lineRule="exact"/>
                    <w:jc w:val="center"/>
                    <w:rPr>
                      <w:rFonts w:hint="eastAsia"/>
                    </w:rPr>
                  </w:pPr>
                </w:p>
              </w:tc>
              <w:tc>
                <w:tcPr>
                  <w:tcW w:w="1259" w:type="pct"/>
                  <w:vMerge w:val="continue"/>
                  <w:vAlign w:val="center"/>
                </w:tcPr>
                <w:p>
                  <w:pPr>
                    <w:spacing w:line="28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709" w:type="pct"/>
                  <w:vAlign w:val="center"/>
                </w:tcPr>
                <w:p>
                  <w:pPr>
                    <w:spacing w:line="280" w:lineRule="exact"/>
                    <w:jc w:val="center"/>
                  </w:pPr>
                  <w:r>
                    <w:t>排气筒</w:t>
                  </w:r>
                  <w:r>
                    <w:rPr>
                      <w:rFonts w:hint="eastAsia"/>
                    </w:rPr>
                    <w:t>（P7）</w:t>
                  </w:r>
                </w:p>
              </w:tc>
              <w:tc>
                <w:tcPr>
                  <w:tcW w:w="541" w:type="pct"/>
                  <w:vAlign w:val="center"/>
                </w:tcPr>
                <w:p>
                  <w:pPr>
                    <w:jc w:val="center"/>
                  </w:pPr>
                  <w:r>
                    <w:rPr>
                      <w:rFonts w:hint="eastAsia"/>
                    </w:rPr>
                    <w:t>114.9914</w:t>
                  </w:r>
                </w:p>
              </w:tc>
              <w:tc>
                <w:tcPr>
                  <w:tcW w:w="479" w:type="pct"/>
                  <w:vAlign w:val="center"/>
                </w:tcPr>
                <w:p>
                  <w:pPr>
                    <w:jc w:val="center"/>
                  </w:pPr>
                  <w:r>
                    <w:rPr>
                      <w:rFonts w:hint="eastAsia"/>
                    </w:rPr>
                    <w:t>36.3401</w:t>
                  </w:r>
                </w:p>
              </w:tc>
              <w:tc>
                <w:tcPr>
                  <w:tcW w:w="364" w:type="pct"/>
                  <w:vAlign w:val="center"/>
                </w:tcPr>
                <w:p>
                  <w:pPr>
                    <w:spacing w:line="280" w:lineRule="exact"/>
                    <w:jc w:val="center"/>
                  </w:pPr>
                  <w:r>
                    <w:rPr>
                      <w:rFonts w:hint="eastAsia"/>
                    </w:rPr>
                    <w:t>47</w:t>
                  </w:r>
                </w:p>
              </w:tc>
              <w:tc>
                <w:tcPr>
                  <w:tcW w:w="347" w:type="pct"/>
                  <w:vAlign w:val="center"/>
                </w:tcPr>
                <w:p>
                  <w:pPr>
                    <w:spacing w:line="280" w:lineRule="exact"/>
                    <w:jc w:val="center"/>
                    <w:rPr>
                      <w:rFonts w:hint="eastAsia"/>
                    </w:rPr>
                  </w:pPr>
                  <w:r>
                    <w:rPr>
                      <w:rFonts w:hint="eastAsia"/>
                    </w:rPr>
                    <w:t>15</w:t>
                  </w:r>
                </w:p>
              </w:tc>
              <w:tc>
                <w:tcPr>
                  <w:tcW w:w="320" w:type="pct"/>
                  <w:vAlign w:val="center"/>
                </w:tcPr>
                <w:p>
                  <w:pPr>
                    <w:spacing w:line="280" w:lineRule="exact"/>
                    <w:jc w:val="center"/>
                    <w:rPr>
                      <w:rFonts w:hint="eastAsia"/>
                    </w:rPr>
                  </w:pPr>
                  <w:r>
                    <w:rPr>
                      <w:rFonts w:hint="eastAsia"/>
                    </w:rPr>
                    <w:t>0.5</w:t>
                  </w:r>
                </w:p>
              </w:tc>
              <w:tc>
                <w:tcPr>
                  <w:tcW w:w="341" w:type="pct"/>
                  <w:vAlign w:val="center"/>
                </w:tcPr>
                <w:p>
                  <w:pPr>
                    <w:spacing w:line="280" w:lineRule="exact"/>
                    <w:jc w:val="center"/>
                    <w:rPr>
                      <w:rFonts w:hint="eastAsia"/>
                    </w:rPr>
                  </w:pPr>
                  <w:r>
                    <w:rPr>
                      <w:rFonts w:hint="eastAsia"/>
                    </w:rPr>
                    <w:t>23</w:t>
                  </w:r>
                </w:p>
              </w:tc>
              <w:tc>
                <w:tcPr>
                  <w:tcW w:w="390" w:type="pct"/>
                  <w:vAlign w:val="center"/>
                </w:tcPr>
                <w:p>
                  <w:pPr>
                    <w:spacing w:line="280" w:lineRule="exact"/>
                    <w:jc w:val="center"/>
                    <w:rPr>
                      <w:rFonts w:hint="eastAsia"/>
                    </w:rPr>
                  </w:pPr>
                  <w:r>
                    <w:rPr>
                      <w:rFonts w:hint="eastAsia"/>
                    </w:rPr>
                    <w:t>颗粒物</w:t>
                  </w:r>
                </w:p>
              </w:tc>
              <w:tc>
                <w:tcPr>
                  <w:tcW w:w="245" w:type="pct"/>
                  <w:vMerge w:val="continue"/>
                  <w:vAlign w:val="center"/>
                </w:tcPr>
                <w:p>
                  <w:pPr>
                    <w:spacing w:line="280" w:lineRule="exact"/>
                    <w:jc w:val="center"/>
                    <w:rPr>
                      <w:rFonts w:hint="eastAsia"/>
                    </w:rPr>
                  </w:pPr>
                </w:p>
              </w:tc>
              <w:tc>
                <w:tcPr>
                  <w:tcW w:w="1259" w:type="pct"/>
                  <w:vMerge w:val="continue"/>
                  <w:vAlign w:val="center"/>
                </w:tcPr>
                <w:p>
                  <w:pPr>
                    <w:spacing w:line="280" w:lineRule="exact"/>
                    <w:jc w:val="center"/>
                    <w:rPr>
                      <w:rFonts w:hint="eastAsia"/>
                    </w:rPr>
                  </w:pPr>
                </w:p>
              </w:tc>
            </w:tr>
          </w:tbl>
          <w:p>
            <w:pPr>
              <w:ind w:firstLine="480" w:firstLineChars="200"/>
              <w:rPr>
                <w:color w:val="000000"/>
                <w:sz w:val="24"/>
                <w:szCs w:val="32"/>
              </w:rPr>
            </w:pPr>
            <w:r>
              <w:rPr>
                <w:rFonts w:hint="eastAsia"/>
                <w:color w:val="000000"/>
                <w:sz w:val="24"/>
                <w:szCs w:val="32"/>
              </w:rPr>
              <w:t>3、大气污染物年排放量核算</w:t>
            </w:r>
          </w:p>
          <w:p>
            <w:pPr>
              <w:ind w:firstLine="480" w:firstLineChars="200"/>
              <w:rPr>
                <w:rFonts w:hint="eastAsia"/>
                <w:color w:val="000000"/>
                <w:sz w:val="24"/>
                <w:szCs w:val="32"/>
              </w:rPr>
            </w:pPr>
            <w:r>
              <w:rPr>
                <w:rFonts w:hint="eastAsia"/>
                <w:color w:val="000000"/>
                <w:sz w:val="24"/>
                <w:szCs w:val="32"/>
              </w:rPr>
              <w:t>①有组织排放</w:t>
            </w:r>
          </w:p>
          <w:p>
            <w:pPr>
              <w:ind w:firstLine="480" w:firstLineChars="200"/>
              <w:rPr>
                <w:rFonts w:hint="eastAsia"/>
                <w:color w:val="000000"/>
                <w:sz w:val="24"/>
                <w:szCs w:val="32"/>
              </w:rPr>
            </w:pPr>
            <w:r>
              <w:rPr>
                <w:rFonts w:hint="eastAsia"/>
                <w:color w:val="000000"/>
                <w:sz w:val="24"/>
                <w:szCs w:val="32"/>
              </w:rPr>
              <w:t>有组织排放量核算见下表。</w:t>
            </w:r>
          </w:p>
          <w:p>
            <w:pPr>
              <w:ind w:firstLine="422" w:firstLineChars="200"/>
              <w:jc w:val="center"/>
              <w:rPr>
                <w:rFonts w:hint="eastAsia"/>
                <w:b/>
                <w:bCs/>
                <w:sz w:val="24"/>
                <w:szCs w:val="32"/>
              </w:rPr>
            </w:pPr>
            <w:r>
              <w:rPr>
                <w:rFonts w:hint="eastAsia"/>
                <w:b/>
                <w:bCs/>
                <w:sz w:val="21"/>
                <w:szCs w:val="21"/>
              </w:rPr>
              <w:t>表</w:t>
            </w:r>
            <w:r>
              <w:rPr>
                <w:rFonts w:hint="eastAsia"/>
                <w:b/>
                <w:bCs/>
                <w:sz w:val="21"/>
                <w:szCs w:val="21"/>
                <w:lang w:val="en-US" w:eastAsia="zh-CN"/>
              </w:rPr>
              <w:t>18</w:t>
            </w:r>
            <w:r>
              <w:rPr>
                <w:rFonts w:hint="eastAsia"/>
                <w:b/>
                <w:bCs/>
                <w:sz w:val="21"/>
                <w:szCs w:val="21"/>
              </w:rPr>
              <w:t xml:space="preserve">  大气污染物有组织排放量核算表</w:t>
            </w:r>
          </w:p>
          <w:tbl>
            <w:tblPr>
              <w:tblStyle w:val="24"/>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3"/>
              <w:gridCol w:w="508"/>
              <w:gridCol w:w="1428"/>
              <w:gridCol w:w="1231"/>
              <w:gridCol w:w="1496"/>
              <w:gridCol w:w="1319"/>
              <w:gridCol w:w="12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443" w:type="pct"/>
                  <w:vAlign w:val="center"/>
                </w:tcPr>
                <w:p>
                  <w:pPr>
                    <w:spacing w:line="240" w:lineRule="auto"/>
                    <w:jc w:val="center"/>
                    <w:rPr>
                      <w:rFonts w:hint="eastAsia"/>
                    </w:rPr>
                  </w:pPr>
                  <w:r>
                    <w:rPr>
                      <w:rFonts w:hint="eastAsia"/>
                    </w:rPr>
                    <w:t>序号</w:t>
                  </w:r>
                </w:p>
              </w:tc>
              <w:tc>
                <w:tcPr>
                  <w:tcW w:w="1221" w:type="pct"/>
                  <w:gridSpan w:val="2"/>
                  <w:vAlign w:val="center"/>
                </w:tcPr>
                <w:p>
                  <w:pPr>
                    <w:spacing w:line="240" w:lineRule="auto"/>
                    <w:jc w:val="center"/>
                    <w:rPr>
                      <w:rFonts w:hint="eastAsia"/>
                    </w:rPr>
                  </w:pPr>
                  <w:r>
                    <w:rPr>
                      <w:rFonts w:hint="eastAsia"/>
                    </w:rPr>
                    <w:t>排放口</w:t>
                  </w:r>
                </w:p>
              </w:tc>
              <w:tc>
                <w:tcPr>
                  <w:tcW w:w="777" w:type="pct"/>
                  <w:vAlign w:val="center"/>
                </w:tcPr>
                <w:p>
                  <w:pPr>
                    <w:spacing w:line="240" w:lineRule="auto"/>
                    <w:jc w:val="center"/>
                    <w:rPr>
                      <w:rFonts w:hint="eastAsia"/>
                    </w:rPr>
                  </w:pPr>
                  <w:r>
                    <w:rPr>
                      <w:rFonts w:hint="eastAsia"/>
                    </w:rPr>
                    <w:t>污染物</w:t>
                  </w:r>
                </w:p>
              </w:tc>
              <w:tc>
                <w:tcPr>
                  <w:tcW w:w="944" w:type="pct"/>
                  <w:vAlign w:val="center"/>
                </w:tcPr>
                <w:p>
                  <w:pPr>
                    <w:spacing w:line="240" w:lineRule="auto"/>
                    <w:jc w:val="center"/>
                    <w:rPr>
                      <w:rFonts w:hint="eastAsia"/>
                    </w:rPr>
                  </w:pPr>
                  <w:r>
                    <w:rPr>
                      <w:rFonts w:hint="eastAsia"/>
                    </w:rPr>
                    <w:t>核算排放浓度/（mg/m</w:t>
                  </w:r>
                  <w:r>
                    <w:rPr>
                      <w:rFonts w:hint="eastAsia"/>
                      <w:vertAlign w:val="superscript"/>
                    </w:rPr>
                    <w:t>3</w:t>
                  </w:r>
                  <w:r>
                    <w:rPr>
                      <w:rFonts w:hint="eastAsia"/>
                    </w:rPr>
                    <w:t>）</w:t>
                  </w:r>
                </w:p>
              </w:tc>
              <w:tc>
                <w:tcPr>
                  <w:tcW w:w="830" w:type="pct"/>
                  <w:vAlign w:val="center"/>
                </w:tcPr>
                <w:p>
                  <w:pPr>
                    <w:spacing w:line="240" w:lineRule="auto"/>
                    <w:jc w:val="center"/>
                    <w:rPr>
                      <w:rFonts w:hint="eastAsia"/>
                    </w:rPr>
                  </w:pPr>
                  <w:r>
                    <w:rPr>
                      <w:rFonts w:hint="eastAsia"/>
                    </w:rPr>
                    <w:t>核算排放速率/（kg/h）</w:t>
                  </w:r>
                </w:p>
              </w:tc>
              <w:tc>
                <w:tcPr>
                  <w:tcW w:w="782" w:type="pct"/>
                  <w:vAlign w:val="center"/>
                </w:tcPr>
                <w:p>
                  <w:pPr>
                    <w:spacing w:line="240" w:lineRule="auto"/>
                    <w:jc w:val="center"/>
                    <w:rPr>
                      <w:rFonts w:hint="eastAsia"/>
                    </w:rPr>
                  </w:pPr>
                  <w:r>
                    <w:rPr>
                      <w:rFonts w:hint="eastAsia"/>
                    </w:rPr>
                    <w:t>核算年排放量/（t/a）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443" w:type="pct"/>
                  <w:vAlign w:val="center"/>
                </w:tcPr>
                <w:p>
                  <w:pPr>
                    <w:spacing w:line="240" w:lineRule="auto"/>
                    <w:jc w:val="center"/>
                    <w:rPr>
                      <w:rFonts w:hint="eastAsia" w:eastAsia="宋体"/>
                      <w:lang w:val="en-US" w:eastAsia="zh-CN"/>
                    </w:rPr>
                  </w:pPr>
                  <w:r>
                    <w:rPr>
                      <w:rFonts w:hint="eastAsia"/>
                      <w:lang w:val="en-US" w:eastAsia="zh-CN"/>
                    </w:rPr>
                    <w:t>1</w:t>
                  </w:r>
                </w:p>
              </w:tc>
              <w:tc>
                <w:tcPr>
                  <w:tcW w:w="1221" w:type="pct"/>
                  <w:gridSpan w:val="2"/>
                  <w:vAlign w:val="center"/>
                </w:tcPr>
                <w:p>
                  <w:pPr>
                    <w:spacing w:line="280" w:lineRule="exact"/>
                    <w:jc w:val="center"/>
                  </w:pPr>
                  <w:r>
                    <w:t>排气筒</w:t>
                  </w:r>
                  <w:r>
                    <w:rPr>
                      <w:rFonts w:hint="eastAsia"/>
                    </w:rPr>
                    <w:t>（P</w:t>
                  </w:r>
                  <w:r>
                    <w:rPr>
                      <w:rFonts w:hint="eastAsia"/>
                      <w:lang w:val="en-US" w:eastAsia="zh-CN"/>
                    </w:rPr>
                    <w:t>1</w:t>
                  </w:r>
                  <w:r>
                    <w:rPr>
                      <w:rFonts w:hint="eastAsia"/>
                    </w:rPr>
                    <w:t>）</w:t>
                  </w:r>
                </w:p>
              </w:tc>
              <w:tc>
                <w:tcPr>
                  <w:tcW w:w="777" w:type="pct"/>
                  <w:vAlign w:val="center"/>
                </w:tcPr>
                <w:p>
                  <w:pPr>
                    <w:spacing w:line="240" w:lineRule="auto"/>
                    <w:jc w:val="center"/>
                    <w:rPr>
                      <w:rFonts w:hint="eastAsia"/>
                    </w:rPr>
                  </w:pPr>
                  <w:r>
                    <w:rPr>
                      <w:rFonts w:hint="eastAsia"/>
                    </w:rPr>
                    <w:t>颗粒物</w:t>
                  </w:r>
                </w:p>
              </w:tc>
              <w:tc>
                <w:tcPr>
                  <w:tcW w:w="944" w:type="pct"/>
                  <w:vAlign w:val="center"/>
                </w:tcPr>
                <w:p>
                  <w:pPr>
                    <w:spacing w:line="240" w:lineRule="auto"/>
                    <w:jc w:val="center"/>
                    <w:rPr>
                      <w:rFonts w:hint="default" w:eastAsia="宋体"/>
                      <w:lang w:val="en-US" w:eastAsia="zh-CN"/>
                    </w:rPr>
                  </w:pPr>
                  <w:r>
                    <w:rPr>
                      <w:rFonts w:hint="eastAsia"/>
                      <w:lang w:val="en-US" w:eastAsia="zh-CN"/>
                    </w:rPr>
                    <w:t>7.5</w:t>
                  </w:r>
                </w:p>
              </w:tc>
              <w:tc>
                <w:tcPr>
                  <w:tcW w:w="830" w:type="pct"/>
                  <w:vAlign w:val="center"/>
                </w:tcPr>
                <w:p>
                  <w:pPr>
                    <w:spacing w:line="240" w:lineRule="auto"/>
                    <w:jc w:val="center"/>
                    <w:rPr>
                      <w:rFonts w:hint="default" w:eastAsia="宋体"/>
                      <w:lang w:val="en-US" w:eastAsia="zh-CN"/>
                    </w:rPr>
                  </w:pPr>
                  <w:r>
                    <w:rPr>
                      <w:rFonts w:hint="eastAsia"/>
                      <w:lang w:val="en-US" w:eastAsia="zh-CN"/>
                    </w:rPr>
                    <w:t>0.15</w:t>
                  </w:r>
                </w:p>
              </w:tc>
              <w:tc>
                <w:tcPr>
                  <w:tcW w:w="782" w:type="pct"/>
                  <w:vAlign w:val="center"/>
                </w:tcPr>
                <w:p>
                  <w:pPr>
                    <w:spacing w:line="240" w:lineRule="auto"/>
                    <w:jc w:val="center"/>
                    <w:rPr>
                      <w:rFonts w:hint="default" w:eastAsia="宋体"/>
                      <w:lang w:val="en-US" w:eastAsia="zh-CN"/>
                    </w:rPr>
                  </w:pPr>
                  <w:r>
                    <w:rPr>
                      <w:rFonts w:hint="eastAsia"/>
                      <w:lang w:val="en-US" w:eastAsia="zh-CN"/>
                    </w:rP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28" w:hRule="atLeast"/>
                <w:jc w:val="center"/>
              </w:trPr>
              <w:tc>
                <w:tcPr>
                  <w:tcW w:w="443" w:type="pct"/>
                  <w:vAlign w:val="center"/>
                </w:tcPr>
                <w:p>
                  <w:pPr>
                    <w:spacing w:line="240" w:lineRule="auto"/>
                    <w:jc w:val="center"/>
                    <w:rPr>
                      <w:rFonts w:hint="eastAsia" w:eastAsia="宋体"/>
                      <w:lang w:eastAsia="zh-CN"/>
                    </w:rPr>
                  </w:pPr>
                  <w:r>
                    <w:rPr>
                      <w:rFonts w:hint="eastAsia"/>
                      <w:lang w:val="en-US" w:eastAsia="zh-CN"/>
                    </w:rPr>
                    <w:t>2</w:t>
                  </w:r>
                </w:p>
              </w:tc>
              <w:tc>
                <w:tcPr>
                  <w:tcW w:w="1221" w:type="pct"/>
                  <w:gridSpan w:val="2"/>
                  <w:vAlign w:val="center"/>
                </w:tcPr>
                <w:p>
                  <w:pPr>
                    <w:spacing w:line="280" w:lineRule="exact"/>
                    <w:jc w:val="center"/>
                    <w:rPr>
                      <w:rFonts w:hint="eastAsia"/>
                    </w:rPr>
                  </w:pPr>
                  <w:r>
                    <w:t>排气筒</w:t>
                  </w:r>
                  <w:r>
                    <w:rPr>
                      <w:rFonts w:hint="eastAsia"/>
                    </w:rPr>
                    <w:t>（P2）</w:t>
                  </w:r>
                </w:p>
              </w:tc>
              <w:tc>
                <w:tcPr>
                  <w:tcW w:w="777" w:type="pct"/>
                  <w:vAlign w:val="center"/>
                </w:tcPr>
                <w:p>
                  <w:pPr>
                    <w:spacing w:line="240" w:lineRule="auto"/>
                    <w:jc w:val="center"/>
                    <w:rPr>
                      <w:rFonts w:hint="eastAsia"/>
                    </w:rPr>
                  </w:pPr>
                  <w:r>
                    <w:rPr>
                      <w:rFonts w:hint="eastAsia"/>
                    </w:rPr>
                    <w:t>颗粒物</w:t>
                  </w:r>
                </w:p>
              </w:tc>
              <w:tc>
                <w:tcPr>
                  <w:tcW w:w="944" w:type="pct"/>
                  <w:vAlign w:val="center"/>
                </w:tcPr>
                <w:p>
                  <w:pPr>
                    <w:spacing w:line="240" w:lineRule="auto"/>
                    <w:jc w:val="center"/>
                    <w:rPr>
                      <w:rFonts w:hint="default" w:eastAsia="宋体"/>
                      <w:lang w:val="en-US" w:eastAsia="zh-CN"/>
                    </w:rPr>
                  </w:pPr>
                  <w:r>
                    <w:rPr>
                      <w:rFonts w:hint="eastAsia"/>
                      <w:lang w:val="en-US" w:eastAsia="zh-CN"/>
                    </w:rPr>
                    <w:t>3.93</w:t>
                  </w:r>
                </w:p>
              </w:tc>
              <w:tc>
                <w:tcPr>
                  <w:tcW w:w="830" w:type="pct"/>
                  <w:vAlign w:val="center"/>
                </w:tcPr>
                <w:p>
                  <w:pPr>
                    <w:spacing w:line="240" w:lineRule="auto"/>
                    <w:jc w:val="center"/>
                    <w:rPr>
                      <w:rFonts w:hint="default" w:eastAsia="宋体"/>
                      <w:lang w:val="en-US" w:eastAsia="zh-CN"/>
                    </w:rPr>
                  </w:pPr>
                  <w:r>
                    <w:rPr>
                      <w:rFonts w:hint="eastAsia"/>
                      <w:lang w:val="en-US" w:eastAsia="zh-CN"/>
                    </w:rPr>
                    <w:t>0.02</w:t>
                  </w:r>
                </w:p>
              </w:tc>
              <w:tc>
                <w:tcPr>
                  <w:tcW w:w="782" w:type="pct"/>
                  <w:vAlign w:val="center"/>
                </w:tcPr>
                <w:p>
                  <w:pPr>
                    <w:spacing w:line="240" w:lineRule="auto"/>
                    <w:jc w:val="center"/>
                    <w:rPr>
                      <w:rFonts w:hint="default" w:eastAsia="宋体"/>
                      <w:lang w:val="en-US" w:eastAsia="zh-CN"/>
                    </w:rPr>
                  </w:pPr>
                  <w:r>
                    <w:rPr>
                      <w:rFonts w:hint="eastAsia"/>
                      <w:lang w:val="en-US" w:eastAsia="zh-CN"/>
                    </w:rPr>
                    <w:t>0.047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43" w:type="pct"/>
                  <w:vAlign w:val="center"/>
                </w:tcPr>
                <w:p>
                  <w:pPr>
                    <w:spacing w:line="240" w:lineRule="auto"/>
                    <w:jc w:val="center"/>
                    <w:rPr>
                      <w:rFonts w:hint="eastAsia" w:eastAsia="宋体"/>
                      <w:lang w:eastAsia="zh-CN"/>
                    </w:rPr>
                  </w:pPr>
                  <w:r>
                    <w:rPr>
                      <w:rFonts w:hint="eastAsia"/>
                      <w:lang w:val="en-US" w:eastAsia="zh-CN"/>
                    </w:rPr>
                    <w:t>3</w:t>
                  </w:r>
                </w:p>
              </w:tc>
              <w:tc>
                <w:tcPr>
                  <w:tcW w:w="1221" w:type="pct"/>
                  <w:gridSpan w:val="2"/>
                  <w:vAlign w:val="center"/>
                </w:tcPr>
                <w:p>
                  <w:pPr>
                    <w:spacing w:line="280" w:lineRule="exact"/>
                    <w:jc w:val="center"/>
                    <w:rPr>
                      <w:rFonts w:hint="eastAsia"/>
                    </w:rPr>
                  </w:pPr>
                  <w:r>
                    <w:t>排气筒</w:t>
                  </w:r>
                  <w:r>
                    <w:rPr>
                      <w:rFonts w:hint="eastAsia"/>
                    </w:rPr>
                    <w:t>（P3）</w:t>
                  </w:r>
                </w:p>
              </w:tc>
              <w:tc>
                <w:tcPr>
                  <w:tcW w:w="777" w:type="pct"/>
                  <w:vAlign w:val="center"/>
                </w:tcPr>
                <w:p>
                  <w:pPr>
                    <w:spacing w:line="240" w:lineRule="auto"/>
                    <w:jc w:val="center"/>
                    <w:rPr>
                      <w:rFonts w:hint="eastAsia"/>
                    </w:rPr>
                  </w:pPr>
                  <w:r>
                    <w:rPr>
                      <w:rFonts w:hint="eastAsia"/>
                    </w:rPr>
                    <w:t>颗粒物</w:t>
                  </w:r>
                </w:p>
              </w:tc>
              <w:tc>
                <w:tcPr>
                  <w:tcW w:w="1496" w:type="dxa"/>
                  <w:vAlign w:val="center"/>
                </w:tcPr>
                <w:p>
                  <w:pPr>
                    <w:spacing w:line="240" w:lineRule="auto"/>
                    <w:jc w:val="center"/>
                  </w:pPr>
                  <w:r>
                    <w:rPr>
                      <w:rFonts w:hint="eastAsia"/>
                      <w:lang w:val="en-US" w:eastAsia="zh-CN"/>
                    </w:rPr>
                    <w:t>3.93</w:t>
                  </w:r>
                </w:p>
              </w:tc>
              <w:tc>
                <w:tcPr>
                  <w:tcW w:w="1319" w:type="dxa"/>
                  <w:vAlign w:val="center"/>
                </w:tcPr>
                <w:p>
                  <w:pPr>
                    <w:spacing w:line="240" w:lineRule="auto"/>
                    <w:jc w:val="center"/>
                  </w:pPr>
                  <w:r>
                    <w:rPr>
                      <w:rFonts w:hint="eastAsia"/>
                      <w:lang w:val="en-US" w:eastAsia="zh-CN"/>
                    </w:rPr>
                    <w:t>0.02</w:t>
                  </w:r>
                </w:p>
              </w:tc>
              <w:tc>
                <w:tcPr>
                  <w:tcW w:w="1239" w:type="dxa"/>
                  <w:vAlign w:val="center"/>
                </w:tcPr>
                <w:p>
                  <w:pPr>
                    <w:spacing w:line="240" w:lineRule="auto"/>
                    <w:jc w:val="center"/>
                  </w:pPr>
                  <w:r>
                    <w:rPr>
                      <w:rFonts w:hint="eastAsia"/>
                      <w:lang w:val="en-US" w:eastAsia="zh-CN"/>
                    </w:rPr>
                    <w:t>0.047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98" w:hRule="atLeast"/>
                <w:jc w:val="center"/>
              </w:trPr>
              <w:tc>
                <w:tcPr>
                  <w:tcW w:w="443" w:type="pct"/>
                  <w:vAlign w:val="center"/>
                </w:tcPr>
                <w:p>
                  <w:pPr>
                    <w:spacing w:line="240" w:lineRule="auto"/>
                    <w:jc w:val="center"/>
                    <w:rPr>
                      <w:rFonts w:hint="eastAsia" w:eastAsia="宋体"/>
                      <w:lang w:eastAsia="zh-CN"/>
                    </w:rPr>
                  </w:pPr>
                  <w:r>
                    <w:rPr>
                      <w:rFonts w:hint="eastAsia"/>
                      <w:lang w:val="en-US" w:eastAsia="zh-CN"/>
                    </w:rPr>
                    <w:t>4</w:t>
                  </w:r>
                </w:p>
              </w:tc>
              <w:tc>
                <w:tcPr>
                  <w:tcW w:w="1221" w:type="pct"/>
                  <w:gridSpan w:val="2"/>
                  <w:vAlign w:val="center"/>
                </w:tcPr>
                <w:p>
                  <w:pPr>
                    <w:spacing w:line="280" w:lineRule="exact"/>
                    <w:jc w:val="center"/>
                    <w:rPr>
                      <w:rFonts w:hint="eastAsia"/>
                    </w:rPr>
                  </w:pPr>
                  <w:r>
                    <w:t>排气筒</w:t>
                  </w:r>
                  <w:r>
                    <w:rPr>
                      <w:rFonts w:hint="eastAsia"/>
                    </w:rPr>
                    <w:t>（P4）</w:t>
                  </w:r>
                </w:p>
              </w:tc>
              <w:tc>
                <w:tcPr>
                  <w:tcW w:w="777" w:type="pct"/>
                  <w:vAlign w:val="center"/>
                </w:tcPr>
                <w:p>
                  <w:pPr>
                    <w:spacing w:line="240" w:lineRule="auto"/>
                    <w:jc w:val="center"/>
                  </w:pPr>
                  <w:r>
                    <w:rPr>
                      <w:rFonts w:hint="eastAsia"/>
                    </w:rPr>
                    <w:t>颗粒物</w:t>
                  </w:r>
                </w:p>
              </w:tc>
              <w:tc>
                <w:tcPr>
                  <w:tcW w:w="1496" w:type="dxa"/>
                  <w:vAlign w:val="center"/>
                </w:tcPr>
                <w:p>
                  <w:pPr>
                    <w:spacing w:line="240" w:lineRule="auto"/>
                    <w:jc w:val="center"/>
                  </w:pPr>
                  <w:r>
                    <w:rPr>
                      <w:rFonts w:hint="eastAsia"/>
                      <w:lang w:val="en-US" w:eastAsia="zh-CN"/>
                    </w:rPr>
                    <w:t>3.93</w:t>
                  </w:r>
                </w:p>
              </w:tc>
              <w:tc>
                <w:tcPr>
                  <w:tcW w:w="1319" w:type="dxa"/>
                  <w:vAlign w:val="center"/>
                </w:tcPr>
                <w:p>
                  <w:pPr>
                    <w:spacing w:line="240" w:lineRule="auto"/>
                    <w:jc w:val="center"/>
                  </w:pPr>
                  <w:r>
                    <w:rPr>
                      <w:rFonts w:hint="eastAsia"/>
                      <w:lang w:val="en-US" w:eastAsia="zh-CN"/>
                    </w:rPr>
                    <w:t>0.02</w:t>
                  </w:r>
                </w:p>
              </w:tc>
              <w:tc>
                <w:tcPr>
                  <w:tcW w:w="1239" w:type="dxa"/>
                  <w:vAlign w:val="center"/>
                </w:tcPr>
                <w:p>
                  <w:pPr>
                    <w:spacing w:line="240" w:lineRule="auto"/>
                    <w:jc w:val="center"/>
                  </w:pPr>
                  <w:r>
                    <w:rPr>
                      <w:rFonts w:hint="eastAsia"/>
                      <w:lang w:val="en-US" w:eastAsia="zh-CN"/>
                    </w:rPr>
                    <w:t>0.047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43" w:type="pct"/>
                  <w:vAlign w:val="center"/>
                </w:tcPr>
                <w:p>
                  <w:pPr>
                    <w:spacing w:line="240" w:lineRule="auto"/>
                    <w:jc w:val="center"/>
                    <w:rPr>
                      <w:rFonts w:hint="eastAsia" w:eastAsia="宋体"/>
                      <w:lang w:eastAsia="zh-CN"/>
                    </w:rPr>
                  </w:pPr>
                  <w:r>
                    <w:rPr>
                      <w:rFonts w:hint="eastAsia"/>
                      <w:lang w:val="en-US" w:eastAsia="zh-CN"/>
                    </w:rPr>
                    <w:t>5</w:t>
                  </w:r>
                </w:p>
              </w:tc>
              <w:tc>
                <w:tcPr>
                  <w:tcW w:w="1221" w:type="pct"/>
                  <w:gridSpan w:val="2"/>
                  <w:vAlign w:val="center"/>
                </w:tcPr>
                <w:p>
                  <w:pPr>
                    <w:spacing w:line="280" w:lineRule="exact"/>
                    <w:jc w:val="center"/>
                    <w:rPr>
                      <w:rFonts w:hint="eastAsia"/>
                    </w:rPr>
                  </w:pPr>
                  <w:r>
                    <w:t>排气筒</w:t>
                  </w:r>
                  <w:r>
                    <w:rPr>
                      <w:rFonts w:hint="eastAsia"/>
                    </w:rPr>
                    <w:t>（P5）</w:t>
                  </w:r>
                </w:p>
              </w:tc>
              <w:tc>
                <w:tcPr>
                  <w:tcW w:w="777" w:type="pct"/>
                  <w:vAlign w:val="center"/>
                </w:tcPr>
                <w:p>
                  <w:pPr>
                    <w:spacing w:line="240" w:lineRule="auto"/>
                    <w:jc w:val="center"/>
                  </w:pPr>
                  <w:r>
                    <w:rPr>
                      <w:rFonts w:hint="eastAsia"/>
                    </w:rPr>
                    <w:t>颗粒物</w:t>
                  </w:r>
                </w:p>
              </w:tc>
              <w:tc>
                <w:tcPr>
                  <w:tcW w:w="1496" w:type="dxa"/>
                  <w:vAlign w:val="center"/>
                </w:tcPr>
                <w:p>
                  <w:pPr>
                    <w:spacing w:line="240" w:lineRule="auto"/>
                    <w:jc w:val="center"/>
                  </w:pPr>
                  <w:r>
                    <w:rPr>
                      <w:rFonts w:hint="eastAsia"/>
                      <w:lang w:val="en-US" w:eastAsia="zh-CN"/>
                    </w:rPr>
                    <w:t>3.93</w:t>
                  </w:r>
                </w:p>
              </w:tc>
              <w:tc>
                <w:tcPr>
                  <w:tcW w:w="1319" w:type="dxa"/>
                  <w:vAlign w:val="center"/>
                </w:tcPr>
                <w:p>
                  <w:pPr>
                    <w:spacing w:line="240" w:lineRule="auto"/>
                    <w:jc w:val="center"/>
                  </w:pPr>
                  <w:r>
                    <w:rPr>
                      <w:rFonts w:hint="eastAsia"/>
                      <w:lang w:val="en-US" w:eastAsia="zh-CN"/>
                    </w:rPr>
                    <w:t>0.02</w:t>
                  </w:r>
                </w:p>
              </w:tc>
              <w:tc>
                <w:tcPr>
                  <w:tcW w:w="1239" w:type="dxa"/>
                  <w:vAlign w:val="center"/>
                </w:tcPr>
                <w:p>
                  <w:pPr>
                    <w:spacing w:line="240" w:lineRule="auto"/>
                    <w:jc w:val="center"/>
                  </w:pPr>
                  <w:r>
                    <w:rPr>
                      <w:rFonts w:hint="eastAsia"/>
                      <w:lang w:val="en-US" w:eastAsia="zh-CN"/>
                    </w:rPr>
                    <w:t>0.047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43" w:type="pct"/>
                  <w:vAlign w:val="center"/>
                </w:tcPr>
                <w:p>
                  <w:pPr>
                    <w:spacing w:line="240" w:lineRule="auto"/>
                    <w:jc w:val="center"/>
                    <w:rPr>
                      <w:rFonts w:hint="eastAsia" w:eastAsia="宋体"/>
                      <w:lang w:eastAsia="zh-CN"/>
                    </w:rPr>
                  </w:pPr>
                  <w:r>
                    <w:rPr>
                      <w:rFonts w:hint="eastAsia"/>
                      <w:lang w:val="en-US" w:eastAsia="zh-CN"/>
                    </w:rPr>
                    <w:t>6</w:t>
                  </w:r>
                </w:p>
              </w:tc>
              <w:tc>
                <w:tcPr>
                  <w:tcW w:w="1221" w:type="pct"/>
                  <w:gridSpan w:val="2"/>
                  <w:vAlign w:val="center"/>
                </w:tcPr>
                <w:p>
                  <w:pPr>
                    <w:spacing w:line="280" w:lineRule="exact"/>
                    <w:jc w:val="center"/>
                    <w:rPr>
                      <w:rFonts w:hint="eastAsia"/>
                    </w:rPr>
                  </w:pPr>
                  <w:r>
                    <w:t>排气筒</w:t>
                  </w:r>
                  <w:r>
                    <w:rPr>
                      <w:rFonts w:hint="eastAsia"/>
                    </w:rPr>
                    <w:t>（P6）</w:t>
                  </w:r>
                </w:p>
              </w:tc>
              <w:tc>
                <w:tcPr>
                  <w:tcW w:w="777" w:type="pct"/>
                  <w:vAlign w:val="center"/>
                </w:tcPr>
                <w:p>
                  <w:pPr>
                    <w:spacing w:line="240" w:lineRule="auto"/>
                    <w:jc w:val="center"/>
                    <w:rPr>
                      <w:rFonts w:hint="eastAsia"/>
                    </w:rPr>
                  </w:pPr>
                  <w:r>
                    <w:rPr>
                      <w:rFonts w:hint="eastAsia"/>
                    </w:rPr>
                    <w:t>颗粒物</w:t>
                  </w:r>
                </w:p>
              </w:tc>
              <w:tc>
                <w:tcPr>
                  <w:tcW w:w="944" w:type="pct"/>
                  <w:vAlign w:val="center"/>
                </w:tcPr>
                <w:p>
                  <w:pPr>
                    <w:spacing w:line="240" w:lineRule="auto"/>
                    <w:jc w:val="center"/>
                    <w:rPr>
                      <w:rFonts w:hint="default" w:eastAsia="宋体"/>
                      <w:lang w:val="en-US" w:eastAsia="zh-CN"/>
                    </w:rPr>
                  </w:pPr>
                  <w:r>
                    <w:rPr>
                      <w:rFonts w:hint="eastAsia"/>
                      <w:lang w:val="en-US" w:eastAsia="zh-CN"/>
                    </w:rPr>
                    <w:t>5.458</w:t>
                  </w:r>
                </w:p>
              </w:tc>
              <w:tc>
                <w:tcPr>
                  <w:tcW w:w="830" w:type="pct"/>
                  <w:vAlign w:val="center"/>
                </w:tcPr>
                <w:p>
                  <w:pPr>
                    <w:spacing w:line="240" w:lineRule="auto"/>
                    <w:jc w:val="center"/>
                    <w:rPr>
                      <w:rFonts w:hint="default" w:eastAsia="宋体"/>
                      <w:lang w:val="en-US" w:eastAsia="zh-CN"/>
                    </w:rPr>
                  </w:pPr>
                  <w:r>
                    <w:rPr>
                      <w:rFonts w:hint="eastAsia"/>
                      <w:lang w:val="en-US" w:eastAsia="zh-CN"/>
                    </w:rPr>
                    <w:t>0.218</w:t>
                  </w:r>
                </w:p>
              </w:tc>
              <w:tc>
                <w:tcPr>
                  <w:tcW w:w="782" w:type="pct"/>
                  <w:vAlign w:val="center"/>
                </w:tcPr>
                <w:p>
                  <w:pPr>
                    <w:spacing w:line="240" w:lineRule="auto"/>
                    <w:jc w:val="center"/>
                    <w:rPr>
                      <w:rFonts w:hint="default" w:eastAsia="宋体"/>
                      <w:lang w:val="en-US" w:eastAsia="zh-CN"/>
                    </w:rPr>
                  </w:pPr>
                  <w:r>
                    <w:rPr>
                      <w:rFonts w:hint="eastAsia"/>
                      <w:lang w:val="en-US" w:eastAsia="zh-CN"/>
                    </w:rPr>
                    <w:t>0.524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43" w:type="pct"/>
                  <w:vAlign w:val="center"/>
                </w:tcPr>
                <w:p>
                  <w:pPr>
                    <w:spacing w:line="240" w:lineRule="auto"/>
                    <w:jc w:val="center"/>
                    <w:rPr>
                      <w:rFonts w:hint="eastAsia" w:eastAsia="宋体"/>
                      <w:lang w:eastAsia="zh-CN"/>
                    </w:rPr>
                  </w:pPr>
                  <w:r>
                    <w:rPr>
                      <w:rFonts w:hint="eastAsia"/>
                      <w:lang w:val="en-US" w:eastAsia="zh-CN"/>
                    </w:rPr>
                    <w:t>7</w:t>
                  </w:r>
                </w:p>
              </w:tc>
              <w:tc>
                <w:tcPr>
                  <w:tcW w:w="1221" w:type="pct"/>
                  <w:gridSpan w:val="2"/>
                  <w:vAlign w:val="center"/>
                </w:tcPr>
                <w:p>
                  <w:pPr>
                    <w:spacing w:line="280" w:lineRule="exact"/>
                    <w:jc w:val="center"/>
                    <w:rPr>
                      <w:rFonts w:hint="eastAsia"/>
                    </w:rPr>
                  </w:pPr>
                  <w:r>
                    <w:t>排气筒</w:t>
                  </w:r>
                  <w:r>
                    <w:rPr>
                      <w:rFonts w:hint="eastAsia"/>
                    </w:rPr>
                    <w:t>（P7）</w:t>
                  </w:r>
                </w:p>
              </w:tc>
              <w:tc>
                <w:tcPr>
                  <w:tcW w:w="777" w:type="pct"/>
                  <w:vAlign w:val="center"/>
                </w:tcPr>
                <w:p>
                  <w:pPr>
                    <w:spacing w:line="240" w:lineRule="auto"/>
                    <w:jc w:val="center"/>
                  </w:pPr>
                  <w:r>
                    <w:rPr>
                      <w:rFonts w:hint="eastAsia"/>
                    </w:rPr>
                    <w:t>颗粒物</w:t>
                  </w:r>
                </w:p>
              </w:tc>
              <w:tc>
                <w:tcPr>
                  <w:tcW w:w="944" w:type="pct"/>
                  <w:vAlign w:val="center"/>
                </w:tcPr>
                <w:p>
                  <w:pPr>
                    <w:spacing w:line="240" w:lineRule="auto"/>
                    <w:jc w:val="center"/>
                    <w:rPr>
                      <w:rFonts w:hint="default" w:eastAsia="宋体"/>
                      <w:lang w:val="en-US" w:eastAsia="zh-CN"/>
                    </w:rPr>
                  </w:pPr>
                  <w:r>
                    <w:rPr>
                      <w:rFonts w:hint="eastAsia"/>
                      <w:lang w:val="en-US" w:eastAsia="zh-CN"/>
                    </w:rPr>
                    <w:t>9.804</w:t>
                  </w:r>
                </w:p>
              </w:tc>
              <w:tc>
                <w:tcPr>
                  <w:tcW w:w="830" w:type="pct"/>
                  <w:vAlign w:val="center"/>
                </w:tcPr>
                <w:p>
                  <w:pPr>
                    <w:spacing w:line="240" w:lineRule="auto"/>
                    <w:jc w:val="center"/>
                    <w:rPr>
                      <w:rFonts w:hint="default" w:eastAsia="宋体"/>
                      <w:lang w:val="en-US" w:eastAsia="zh-CN"/>
                    </w:rPr>
                  </w:pPr>
                  <w:r>
                    <w:rPr>
                      <w:rFonts w:hint="eastAsia"/>
                      <w:lang w:val="en-US" w:eastAsia="zh-CN"/>
                    </w:rPr>
                    <w:t>0.392</w:t>
                  </w:r>
                </w:p>
              </w:tc>
              <w:tc>
                <w:tcPr>
                  <w:tcW w:w="782" w:type="pct"/>
                  <w:vAlign w:val="center"/>
                </w:tcPr>
                <w:p>
                  <w:pPr>
                    <w:spacing w:line="240" w:lineRule="auto"/>
                    <w:jc w:val="center"/>
                    <w:rPr>
                      <w:rFonts w:hint="default" w:eastAsia="宋体"/>
                      <w:lang w:val="en-US" w:eastAsia="zh-CN"/>
                    </w:rPr>
                  </w:pPr>
                  <w:r>
                    <w:rPr>
                      <w:rFonts w:hint="eastAsia"/>
                      <w:lang w:val="en-US" w:eastAsia="zh-CN"/>
                    </w:rPr>
                    <w:t>0.941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63" w:type="pct"/>
                  <w:gridSpan w:val="2"/>
                  <w:vAlign w:val="center"/>
                </w:tcPr>
                <w:p>
                  <w:pPr>
                    <w:spacing w:line="240" w:lineRule="auto"/>
                    <w:jc w:val="center"/>
                    <w:rPr>
                      <w:rFonts w:hint="eastAsia"/>
                    </w:rPr>
                  </w:pPr>
                  <w:r>
                    <w:rPr>
                      <w:rFonts w:hint="eastAsia"/>
                    </w:rPr>
                    <w:t>总计</w:t>
                  </w:r>
                </w:p>
              </w:tc>
              <w:tc>
                <w:tcPr>
                  <w:tcW w:w="3454" w:type="pct"/>
                  <w:gridSpan w:val="4"/>
                  <w:vAlign w:val="center"/>
                </w:tcPr>
                <w:p>
                  <w:pPr>
                    <w:spacing w:line="240" w:lineRule="auto"/>
                    <w:jc w:val="center"/>
                    <w:rPr>
                      <w:rFonts w:hint="eastAsia"/>
                    </w:rPr>
                  </w:pPr>
                  <w:r>
                    <w:rPr>
                      <w:rFonts w:hint="eastAsia"/>
                    </w:rPr>
                    <w:t>颗粒物</w:t>
                  </w:r>
                </w:p>
              </w:tc>
              <w:tc>
                <w:tcPr>
                  <w:tcW w:w="782" w:type="pct"/>
                  <w:vAlign w:val="center"/>
                </w:tcPr>
                <w:p>
                  <w:pPr>
                    <w:spacing w:line="240" w:lineRule="auto"/>
                    <w:jc w:val="center"/>
                    <w:rPr>
                      <w:rFonts w:hint="default" w:eastAsia="宋体"/>
                      <w:lang w:val="en-US" w:eastAsia="zh-CN"/>
                    </w:rPr>
                  </w:pPr>
                  <w:r>
                    <w:rPr>
                      <w:rFonts w:hint="eastAsia"/>
                      <w:lang w:val="en-US" w:eastAsia="zh-CN"/>
                    </w:rPr>
                    <w:t>2.013</w:t>
                  </w:r>
                </w:p>
              </w:tc>
            </w:tr>
          </w:tbl>
          <w:p>
            <w:pPr>
              <w:ind w:firstLine="480" w:firstLineChars="200"/>
              <w:rPr>
                <w:rFonts w:hint="eastAsia"/>
                <w:sz w:val="24"/>
                <w:szCs w:val="32"/>
              </w:rPr>
            </w:pPr>
            <w:r>
              <w:rPr>
                <w:rFonts w:hint="eastAsia"/>
                <w:sz w:val="24"/>
                <w:szCs w:val="32"/>
              </w:rPr>
              <w:t>②无组织排放量</w:t>
            </w:r>
          </w:p>
          <w:p>
            <w:pPr>
              <w:ind w:firstLine="480" w:firstLineChars="200"/>
              <w:rPr>
                <w:rFonts w:hint="eastAsia"/>
                <w:sz w:val="24"/>
                <w:szCs w:val="32"/>
              </w:rPr>
            </w:pPr>
            <w:r>
              <w:rPr>
                <w:rFonts w:hint="eastAsia"/>
                <w:sz w:val="24"/>
                <w:szCs w:val="32"/>
              </w:rPr>
              <w:t>无组织排放量核算见下表。</w:t>
            </w:r>
          </w:p>
          <w:p>
            <w:pPr>
              <w:ind w:firstLine="422" w:firstLineChars="200"/>
              <w:jc w:val="center"/>
              <w:rPr>
                <w:rFonts w:hint="eastAsia"/>
                <w:b/>
                <w:bCs/>
                <w:sz w:val="24"/>
                <w:szCs w:val="32"/>
              </w:rPr>
            </w:pPr>
            <w:r>
              <w:rPr>
                <w:rFonts w:hint="eastAsia"/>
                <w:b/>
                <w:bCs/>
                <w:sz w:val="21"/>
                <w:szCs w:val="21"/>
              </w:rPr>
              <w:t>表</w:t>
            </w:r>
            <w:r>
              <w:rPr>
                <w:rFonts w:hint="eastAsia"/>
                <w:b/>
                <w:bCs/>
                <w:sz w:val="21"/>
                <w:szCs w:val="21"/>
                <w:lang w:val="en-US" w:eastAsia="zh-CN"/>
              </w:rPr>
              <w:t>19</w:t>
            </w:r>
            <w:r>
              <w:rPr>
                <w:rFonts w:hint="eastAsia"/>
                <w:b/>
                <w:bCs/>
                <w:sz w:val="21"/>
                <w:szCs w:val="21"/>
              </w:rPr>
              <w:t xml:space="preserve">  大气污染物无组织排放量核算表</w:t>
            </w:r>
          </w:p>
          <w:tbl>
            <w:tblPr>
              <w:tblStyle w:val="24"/>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320"/>
              <w:gridCol w:w="1325"/>
              <w:gridCol w:w="1449"/>
              <w:gridCol w:w="1463"/>
              <w:gridCol w:w="14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544" w:type="pct"/>
                  <w:vAlign w:val="center"/>
                </w:tcPr>
                <w:p>
                  <w:pPr>
                    <w:spacing w:line="240" w:lineRule="auto"/>
                    <w:jc w:val="center"/>
                    <w:rPr>
                      <w:rFonts w:hint="eastAsia"/>
                    </w:rPr>
                  </w:pPr>
                  <w:r>
                    <w:rPr>
                      <w:rFonts w:hint="eastAsia"/>
                    </w:rPr>
                    <w:t>序号</w:t>
                  </w:r>
                </w:p>
              </w:tc>
              <w:tc>
                <w:tcPr>
                  <w:tcW w:w="833" w:type="pct"/>
                  <w:vAlign w:val="center"/>
                </w:tcPr>
                <w:p>
                  <w:pPr>
                    <w:spacing w:line="240" w:lineRule="auto"/>
                    <w:jc w:val="center"/>
                    <w:rPr>
                      <w:rFonts w:hint="eastAsia"/>
                    </w:rPr>
                  </w:pPr>
                  <w:r>
                    <w:rPr>
                      <w:rFonts w:hint="eastAsia"/>
                    </w:rPr>
                    <w:t>面源名称</w:t>
                  </w:r>
                </w:p>
              </w:tc>
              <w:tc>
                <w:tcPr>
                  <w:tcW w:w="836" w:type="pct"/>
                  <w:vAlign w:val="center"/>
                </w:tcPr>
                <w:p>
                  <w:pPr>
                    <w:spacing w:line="240" w:lineRule="auto"/>
                    <w:jc w:val="center"/>
                    <w:rPr>
                      <w:rFonts w:hint="eastAsia"/>
                    </w:rPr>
                  </w:pPr>
                  <w:r>
                    <w:rPr>
                      <w:rFonts w:hint="eastAsia"/>
                    </w:rPr>
                    <w:t>污染物</w:t>
                  </w:r>
                </w:p>
              </w:tc>
              <w:tc>
                <w:tcPr>
                  <w:tcW w:w="914" w:type="pct"/>
                  <w:vAlign w:val="center"/>
                </w:tcPr>
                <w:p>
                  <w:pPr>
                    <w:spacing w:line="240" w:lineRule="auto"/>
                    <w:jc w:val="center"/>
                    <w:rPr>
                      <w:rFonts w:hint="eastAsia"/>
                    </w:rPr>
                  </w:pPr>
                  <w:r>
                    <w:rPr>
                      <w:rFonts w:hint="eastAsia"/>
                    </w:rPr>
                    <w:t>排放限值（mg/m</w:t>
                  </w:r>
                  <w:r>
                    <w:rPr>
                      <w:rFonts w:hint="eastAsia"/>
                      <w:vertAlign w:val="superscript"/>
                    </w:rPr>
                    <w:t>3</w:t>
                  </w:r>
                  <w:r>
                    <w:rPr>
                      <w:rFonts w:hint="eastAsia"/>
                    </w:rPr>
                    <w:t>）</w:t>
                  </w:r>
                </w:p>
              </w:tc>
              <w:tc>
                <w:tcPr>
                  <w:tcW w:w="923" w:type="pct"/>
                  <w:vAlign w:val="center"/>
                </w:tcPr>
                <w:p>
                  <w:pPr>
                    <w:spacing w:line="240" w:lineRule="auto"/>
                    <w:jc w:val="center"/>
                    <w:rPr>
                      <w:rFonts w:hint="eastAsia"/>
                    </w:rPr>
                  </w:pPr>
                  <w:r>
                    <w:rPr>
                      <w:rFonts w:hint="eastAsia"/>
                    </w:rPr>
                    <w:t>核算排放速率（kg/h）</w:t>
                  </w:r>
                </w:p>
              </w:tc>
              <w:tc>
                <w:tcPr>
                  <w:tcW w:w="946" w:type="pct"/>
                  <w:vAlign w:val="center"/>
                </w:tcPr>
                <w:p>
                  <w:pPr>
                    <w:spacing w:line="240" w:lineRule="auto"/>
                    <w:jc w:val="center"/>
                    <w:rPr>
                      <w:rFonts w:hint="eastAsia"/>
                    </w:rPr>
                  </w:pPr>
                  <w:r>
                    <w:rPr>
                      <w:rFonts w:hint="eastAsia"/>
                    </w:rPr>
                    <w:t>核算年排放量（t/a）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544" w:type="pct"/>
                  <w:vAlign w:val="center"/>
                </w:tcPr>
                <w:p>
                  <w:pPr>
                    <w:spacing w:line="240" w:lineRule="auto"/>
                    <w:jc w:val="center"/>
                    <w:rPr>
                      <w:rFonts w:hint="eastAsia"/>
                    </w:rPr>
                  </w:pPr>
                  <w:r>
                    <w:rPr>
                      <w:rFonts w:hint="eastAsia"/>
                    </w:rPr>
                    <w:t>1</w:t>
                  </w:r>
                </w:p>
              </w:tc>
              <w:tc>
                <w:tcPr>
                  <w:tcW w:w="833" w:type="pct"/>
                  <w:vAlign w:val="center"/>
                </w:tcPr>
                <w:p>
                  <w:pPr>
                    <w:spacing w:line="240" w:lineRule="auto"/>
                    <w:jc w:val="center"/>
                  </w:pPr>
                  <w:r>
                    <w:rPr>
                      <w:rFonts w:hint="eastAsia"/>
                    </w:rPr>
                    <w:t>厂区厂界</w:t>
                  </w:r>
                </w:p>
              </w:tc>
              <w:tc>
                <w:tcPr>
                  <w:tcW w:w="836" w:type="pct"/>
                  <w:vAlign w:val="center"/>
                </w:tcPr>
                <w:p>
                  <w:pPr>
                    <w:spacing w:line="240" w:lineRule="auto"/>
                    <w:jc w:val="center"/>
                    <w:rPr>
                      <w:rFonts w:hint="eastAsia"/>
                    </w:rPr>
                  </w:pPr>
                  <w:r>
                    <w:rPr>
                      <w:rFonts w:hint="eastAsia"/>
                    </w:rPr>
                    <w:t>颗粒物</w:t>
                  </w:r>
                </w:p>
              </w:tc>
              <w:tc>
                <w:tcPr>
                  <w:tcW w:w="914" w:type="pct"/>
                  <w:vAlign w:val="center"/>
                </w:tcPr>
                <w:p>
                  <w:pPr>
                    <w:spacing w:line="240" w:lineRule="auto"/>
                    <w:jc w:val="center"/>
                  </w:pPr>
                  <w:r>
                    <w:rPr>
                      <w:rFonts w:hint="eastAsia"/>
                    </w:rPr>
                    <w:t>0.5</w:t>
                  </w:r>
                </w:p>
              </w:tc>
              <w:tc>
                <w:tcPr>
                  <w:tcW w:w="923" w:type="pct"/>
                  <w:vAlign w:val="center"/>
                </w:tcPr>
                <w:p>
                  <w:pPr>
                    <w:spacing w:line="240" w:lineRule="auto"/>
                    <w:jc w:val="center"/>
                    <w:rPr>
                      <w:rFonts w:hint="default" w:eastAsia="宋体"/>
                      <w:lang w:val="en-US" w:eastAsia="zh-CN"/>
                    </w:rPr>
                  </w:pPr>
                  <w:r>
                    <w:rPr>
                      <w:rFonts w:hint="eastAsia"/>
                      <w:lang w:val="en-US" w:eastAsia="zh-CN"/>
                    </w:rPr>
                    <w:t>0.038</w:t>
                  </w:r>
                </w:p>
              </w:tc>
              <w:tc>
                <w:tcPr>
                  <w:tcW w:w="946" w:type="pct"/>
                  <w:vAlign w:val="center"/>
                </w:tcPr>
                <w:p>
                  <w:pPr>
                    <w:spacing w:line="240" w:lineRule="auto"/>
                    <w:jc w:val="center"/>
                    <w:rPr>
                      <w:rFonts w:hint="default" w:eastAsia="宋体"/>
                      <w:lang w:val="en-US" w:eastAsia="zh-CN"/>
                    </w:rPr>
                  </w:pPr>
                  <w:r>
                    <w:rPr>
                      <w:rFonts w:hint="eastAsia"/>
                      <w:lang w:val="en-US" w:eastAsia="zh-CN"/>
                    </w:rPr>
                    <w:t>0.092</w:t>
                  </w:r>
                </w:p>
              </w:tc>
            </w:tr>
          </w:tbl>
          <w:p>
            <w:pPr>
              <w:ind w:firstLine="480" w:firstLineChars="200"/>
              <w:rPr>
                <w:rFonts w:hint="eastAsia"/>
                <w:sz w:val="24"/>
                <w:szCs w:val="32"/>
              </w:rPr>
            </w:pPr>
            <w:r>
              <w:rPr>
                <w:rFonts w:hint="eastAsia"/>
                <w:sz w:val="24"/>
                <w:szCs w:val="32"/>
              </w:rPr>
              <w:t>③本项目全年排放量</w:t>
            </w:r>
          </w:p>
          <w:p>
            <w:pPr>
              <w:ind w:firstLine="480" w:firstLineChars="200"/>
              <w:rPr>
                <w:rFonts w:hint="eastAsia"/>
                <w:sz w:val="24"/>
                <w:szCs w:val="32"/>
              </w:rPr>
            </w:pPr>
            <w:r>
              <w:rPr>
                <w:rFonts w:hint="eastAsia"/>
                <w:sz w:val="24"/>
                <w:szCs w:val="32"/>
              </w:rPr>
              <w:t>年排放量核算见下表。</w:t>
            </w:r>
          </w:p>
          <w:p>
            <w:pPr>
              <w:ind w:firstLine="422" w:firstLineChars="200"/>
              <w:jc w:val="center"/>
              <w:rPr>
                <w:b/>
                <w:bCs/>
                <w:sz w:val="24"/>
                <w:szCs w:val="32"/>
              </w:rPr>
            </w:pPr>
            <w:r>
              <w:rPr>
                <w:rFonts w:hint="eastAsia"/>
                <w:b/>
                <w:bCs/>
                <w:sz w:val="21"/>
                <w:szCs w:val="21"/>
              </w:rPr>
              <w:t>表</w:t>
            </w:r>
            <w:r>
              <w:rPr>
                <w:rFonts w:hint="eastAsia"/>
                <w:b/>
                <w:bCs/>
                <w:sz w:val="21"/>
                <w:szCs w:val="21"/>
                <w:lang w:val="en-US" w:eastAsia="zh-CN"/>
              </w:rPr>
              <w:t>20</w:t>
            </w:r>
            <w:r>
              <w:rPr>
                <w:rFonts w:hint="eastAsia"/>
                <w:b/>
                <w:bCs/>
                <w:sz w:val="21"/>
                <w:szCs w:val="21"/>
              </w:rPr>
              <w:t xml:space="preserve">  大气污染物年排放量核算表  单位：t/a</w:t>
            </w:r>
          </w:p>
          <w:tbl>
            <w:tblPr>
              <w:tblStyle w:val="24"/>
              <w:tblW w:w="79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4"/>
              <w:gridCol w:w="2685"/>
              <w:gridCol w:w="35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74" w:type="pct"/>
                  <w:vAlign w:val="center"/>
                </w:tcPr>
                <w:p>
                  <w:pPr>
                    <w:spacing w:line="240" w:lineRule="auto"/>
                    <w:jc w:val="center"/>
                    <w:rPr>
                      <w:rFonts w:hint="eastAsia"/>
                    </w:rPr>
                  </w:pPr>
                  <w:r>
                    <w:rPr>
                      <w:rFonts w:hint="eastAsia"/>
                    </w:rPr>
                    <w:t>序号</w:t>
                  </w:r>
                </w:p>
              </w:tc>
              <w:tc>
                <w:tcPr>
                  <w:tcW w:w="1693" w:type="pct"/>
                  <w:vAlign w:val="center"/>
                </w:tcPr>
                <w:p>
                  <w:pPr>
                    <w:spacing w:line="240" w:lineRule="auto"/>
                    <w:jc w:val="center"/>
                    <w:rPr>
                      <w:rFonts w:hint="eastAsia"/>
                    </w:rPr>
                  </w:pPr>
                  <w:r>
                    <w:rPr>
                      <w:rFonts w:hint="eastAsia"/>
                    </w:rPr>
                    <w:t>污染物</w:t>
                  </w:r>
                </w:p>
              </w:tc>
              <w:tc>
                <w:tcPr>
                  <w:tcW w:w="2232" w:type="pct"/>
                  <w:vAlign w:val="center"/>
                </w:tcPr>
                <w:p>
                  <w:pPr>
                    <w:spacing w:line="240" w:lineRule="auto"/>
                    <w:jc w:val="center"/>
                  </w:pPr>
                  <w:r>
                    <w:rPr>
                      <w:rFonts w:hint="eastAsia"/>
                    </w:rPr>
                    <w:t>年排放量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74" w:type="pct"/>
                  <w:vAlign w:val="center"/>
                </w:tcPr>
                <w:p>
                  <w:pPr>
                    <w:spacing w:line="240" w:lineRule="auto"/>
                    <w:jc w:val="center"/>
                    <w:rPr>
                      <w:rFonts w:hint="eastAsia"/>
                    </w:rPr>
                  </w:pPr>
                  <w:r>
                    <w:rPr>
                      <w:rFonts w:hint="eastAsia"/>
                    </w:rPr>
                    <w:t>1</w:t>
                  </w:r>
                </w:p>
              </w:tc>
              <w:tc>
                <w:tcPr>
                  <w:tcW w:w="1693" w:type="pct"/>
                  <w:vAlign w:val="center"/>
                </w:tcPr>
                <w:p>
                  <w:pPr>
                    <w:spacing w:line="240" w:lineRule="auto"/>
                    <w:jc w:val="center"/>
                    <w:rPr>
                      <w:rFonts w:hint="eastAsia"/>
                    </w:rPr>
                  </w:pPr>
                  <w:r>
                    <w:rPr>
                      <w:rFonts w:hint="eastAsia"/>
                    </w:rPr>
                    <w:t>颗粒物</w:t>
                  </w:r>
                </w:p>
              </w:tc>
              <w:tc>
                <w:tcPr>
                  <w:tcW w:w="2232" w:type="pct"/>
                  <w:vAlign w:val="center"/>
                </w:tcPr>
                <w:p>
                  <w:pPr>
                    <w:spacing w:line="240" w:lineRule="auto"/>
                    <w:jc w:val="center"/>
                    <w:rPr>
                      <w:rFonts w:hint="default" w:eastAsia="宋体"/>
                      <w:lang w:val="en-US" w:eastAsia="zh-CN"/>
                    </w:rPr>
                  </w:pPr>
                  <w:r>
                    <w:rPr>
                      <w:rFonts w:hint="eastAsia"/>
                      <w:lang w:val="en-US" w:eastAsia="zh-CN"/>
                    </w:rPr>
                    <w:t>2.105</w:t>
                  </w:r>
                </w:p>
              </w:tc>
            </w:tr>
          </w:tbl>
          <w:p>
            <w:pPr>
              <w:spacing w:line="480" w:lineRule="exact"/>
              <w:ind w:firstLine="480" w:firstLineChars="200"/>
              <w:rPr>
                <w:rFonts w:hint="eastAsia"/>
                <w:sz w:val="24"/>
                <w:szCs w:val="32"/>
              </w:rPr>
            </w:pPr>
            <w:r>
              <w:rPr>
                <w:rFonts w:hint="eastAsia"/>
                <w:sz w:val="24"/>
                <w:szCs w:val="32"/>
              </w:rPr>
              <w:t xml:space="preserve">4、大气污染物环境监测计划  </w:t>
            </w:r>
          </w:p>
          <w:p>
            <w:pPr>
              <w:spacing w:line="480" w:lineRule="exact"/>
              <w:ind w:firstLine="480" w:firstLineChars="200"/>
              <w:rPr>
                <w:rFonts w:hint="eastAsia"/>
                <w:sz w:val="24"/>
                <w:szCs w:val="32"/>
              </w:rPr>
            </w:pPr>
            <w:r>
              <w:rPr>
                <w:rFonts w:hint="eastAsia"/>
                <w:sz w:val="24"/>
                <w:szCs w:val="32"/>
              </w:rPr>
              <w:t>根据《排污单位自行监测技术指南 总则HJ819-2017》中要求，本项目废气污染物监测计划见下表。</w:t>
            </w:r>
          </w:p>
          <w:p>
            <w:pPr>
              <w:ind w:firstLine="422" w:firstLineChars="200"/>
              <w:jc w:val="center"/>
              <w:rPr>
                <w:rFonts w:hint="eastAsia"/>
                <w:b/>
                <w:bCs/>
                <w:sz w:val="24"/>
                <w:szCs w:val="32"/>
              </w:rPr>
            </w:pPr>
            <w:r>
              <w:rPr>
                <w:rFonts w:hint="eastAsia"/>
                <w:b/>
                <w:bCs/>
                <w:sz w:val="21"/>
                <w:szCs w:val="21"/>
              </w:rPr>
              <w:t>表</w:t>
            </w:r>
            <w:r>
              <w:rPr>
                <w:rFonts w:hint="eastAsia"/>
                <w:b/>
                <w:bCs/>
                <w:sz w:val="21"/>
                <w:szCs w:val="21"/>
                <w:lang w:val="en-US" w:eastAsia="zh-CN"/>
              </w:rPr>
              <w:t>21</w:t>
            </w:r>
            <w:r>
              <w:rPr>
                <w:rFonts w:hint="eastAsia"/>
                <w:b/>
                <w:bCs/>
                <w:sz w:val="21"/>
                <w:szCs w:val="21"/>
              </w:rPr>
              <w:t xml:space="preserve">   废气污染物监测计划一览表</w:t>
            </w:r>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6"/>
              <w:gridCol w:w="1186"/>
              <w:gridCol w:w="1254"/>
              <w:gridCol w:w="964"/>
              <w:gridCol w:w="36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76" w:hRule="exact"/>
                <w:jc w:val="center"/>
              </w:trPr>
              <w:tc>
                <w:tcPr>
                  <w:tcW w:w="533" w:type="pct"/>
                  <w:vAlign w:val="center"/>
                </w:tcPr>
                <w:p>
                  <w:pPr>
                    <w:spacing w:line="240" w:lineRule="auto"/>
                    <w:jc w:val="center"/>
                    <w:rPr>
                      <w:rFonts w:hint="eastAsia"/>
                    </w:rPr>
                  </w:pPr>
                  <w:r>
                    <w:rPr>
                      <w:rFonts w:hint="eastAsia"/>
                    </w:rPr>
                    <w:t>环境要素</w:t>
                  </w:r>
                </w:p>
              </w:tc>
              <w:tc>
                <w:tcPr>
                  <w:tcW w:w="748" w:type="pct"/>
                  <w:vAlign w:val="center"/>
                </w:tcPr>
                <w:p>
                  <w:pPr>
                    <w:spacing w:line="240" w:lineRule="auto"/>
                    <w:jc w:val="center"/>
                    <w:rPr>
                      <w:rFonts w:hint="eastAsia"/>
                    </w:rPr>
                  </w:pPr>
                  <w:r>
                    <w:rPr>
                      <w:rFonts w:hint="eastAsia"/>
                    </w:rPr>
                    <w:t>监测布点</w:t>
                  </w:r>
                </w:p>
              </w:tc>
              <w:tc>
                <w:tcPr>
                  <w:tcW w:w="791" w:type="pct"/>
                  <w:vAlign w:val="center"/>
                </w:tcPr>
                <w:p>
                  <w:pPr>
                    <w:spacing w:line="240" w:lineRule="auto"/>
                    <w:jc w:val="center"/>
                    <w:rPr>
                      <w:rFonts w:hint="eastAsia"/>
                    </w:rPr>
                  </w:pPr>
                  <w:r>
                    <w:rPr>
                      <w:rFonts w:hint="eastAsia"/>
                    </w:rPr>
                    <w:t>监测污染物</w:t>
                  </w:r>
                </w:p>
              </w:tc>
              <w:tc>
                <w:tcPr>
                  <w:tcW w:w="608" w:type="pct"/>
                  <w:vAlign w:val="center"/>
                </w:tcPr>
                <w:p>
                  <w:pPr>
                    <w:spacing w:line="240" w:lineRule="auto"/>
                    <w:jc w:val="center"/>
                    <w:rPr>
                      <w:rFonts w:hint="eastAsia"/>
                    </w:rPr>
                  </w:pPr>
                  <w:r>
                    <w:rPr>
                      <w:rFonts w:hint="eastAsia"/>
                    </w:rPr>
                    <w:t>监测频次</w:t>
                  </w:r>
                </w:p>
              </w:tc>
              <w:tc>
                <w:tcPr>
                  <w:tcW w:w="2317" w:type="pct"/>
                  <w:vAlign w:val="center"/>
                </w:tcPr>
                <w:p>
                  <w:pPr>
                    <w:spacing w:line="240" w:lineRule="auto"/>
                    <w:jc w:val="center"/>
                    <w:rPr>
                      <w:rFonts w:hint="eastAsia"/>
                    </w:rPr>
                  </w:pPr>
                  <w:r>
                    <w:rPr>
                      <w:rFonts w:hint="eastAsia"/>
                    </w:rP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6" w:hRule="atLeast"/>
                <w:jc w:val="center"/>
              </w:trPr>
              <w:tc>
                <w:tcPr>
                  <w:tcW w:w="533" w:type="pct"/>
                  <w:vMerge w:val="restart"/>
                  <w:vAlign w:val="center"/>
                </w:tcPr>
                <w:p>
                  <w:pPr>
                    <w:spacing w:line="240" w:lineRule="auto"/>
                    <w:jc w:val="center"/>
                    <w:rPr>
                      <w:rFonts w:hint="eastAsia"/>
                    </w:rPr>
                  </w:pPr>
                  <w:r>
                    <w:rPr>
                      <w:rFonts w:hint="eastAsia"/>
                    </w:rPr>
                    <w:t>废气</w:t>
                  </w:r>
                </w:p>
              </w:tc>
              <w:tc>
                <w:tcPr>
                  <w:tcW w:w="748" w:type="pct"/>
                  <w:vAlign w:val="center"/>
                </w:tcPr>
                <w:p>
                  <w:pPr>
                    <w:spacing w:line="240" w:lineRule="auto"/>
                    <w:jc w:val="center"/>
                    <w:rPr>
                      <w:rFonts w:hint="eastAsia"/>
                    </w:rPr>
                  </w:pPr>
                  <w:r>
                    <w:rPr>
                      <w:rFonts w:hint="eastAsia"/>
                    </w:rPr>
                    <w:t>排气筒</w:t>
                  </w:r>
                  <w:r>
                    <w:rPr>
                      <w:rFonts w:hint="eastAsia"/>
                      <w:lang w:eastAsia="zh-CN"/>
                    </w:rPr>
                    <w:t>（</w:t>
                  </w:r>
                  <w:r>
                    <w:rPr>
                      <w:rFonts w:hint="eastAsia"/>
                    </w:rPr>
                    <w:t>P</w:t>
                  </w:r>
                  <w:r>
                    <w:rPr>
                      <w:rFonts w:hint="eastAsia"/>
                      <w:lang w:val="en-US" w:eastAsia="zh-CN"/>
                    </w:rPr>
                    <w:t>1</w:t>
                  </w:r>
                  <w:r>
                    <w:rPr>
                      <w:rFonts w:hint="eastAsia"/>
                      <w:lang w:eastAsia="zh-CN"/>
                    </w:rPr>
                    <w:t>）</w:t>
                  </w:r>
                </w:p>
              </w:tc>
              <w:tc>
                <w:tcPr>
                  <w:tcW w:w="791" w:type="pct"/>
                  <w:vAlign w:val="center"/>
                </w:tcPr>
                <w:p>
                  <w:pPr>
                    <w:spacing w:line="240" w:lineRule="auto"/>
                    <w:jc w:val="center"/>
                    <w:rPr>
                      <w:rFonts w:hint="eastAsia"/>
                    </w:rP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restart"/>
                  <w:vAlign w:val="center"/>
                </w:tcPr>
                <w:p>
                  <w:pPr>
                    <w:spacing w:line="240" w:lineRule="auto"/>
                    <w:jc w:val="center"/>
                    <w:rPr>
                      <w:rFonts w:hint="eastAsia"/>
                    </w:rPr>
                  </w:pPr>
                  <w:r>
                    <w:rPr>
                      <w:rFonts w:hint="eastAsia"/>
                    </w:rPr>
                    <w:t>《水泥工业大气污染物超低排放标准》（DB13/2167-2020）表1中散装水泥中转站及水泥制品生产中颗粒物有组织排放限值即颗粒物</w:t>
                  </w:r>
                  <w:r>
                    <w:rPr>
                      <w:rFonts w:ascii="Arial" w:hAnsi="Arial" w:cs="Arial"/>
                      <w:szCs w:val="21"/>
                    </w:rPr>
                    <w:t>≤</w:t>
                  </w:r>
                  <w:r>
                    <w:rPr>
                      <w:rFonts w:hint="eastAsia"/>
                    </w:rPr>
                    <w:t>10mg/m</w:t>
                  </w:r>
                  <w:r>
                    <w:rPr>
                      <w:rFonts w:hint="eastAsia"/>
                      <w:vertAlign w:val="superscript"/>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6" w:hRule="atLeast"/>
                <w:jc w:val="center"/>
              </w:trPr>
              <w:tc>
                <w:tcPr>
                  <w:tcW w:w="533" w:type="pct"/>
                  <w:vMerge w:val="continue"/>
                  <w:vAlign w:val="center"/>
                </w:tcPr>
                <w:p>
                  <w:pPr>
                    <w:spacing w:line="240" w:lineRule="auto"/>
                    <w:jc w:val="center"/>
                    <w:rPr>
                      <w:rFonts w:hint="eastAsia"/>
                    </w:rPr>
                  </w:pPr>
                </w:p>
              </w:tc>
              <w:tc>
                <w:tcPr>
                  <w:tcW w:w="748" w:type="pct"/>
                  <w:vAlign w:val="center"/>
                </w:tcPr>
                <w:p>
                  <w:pPr>
                    <w:spacing w:line="240" w:lineRule="auto"/>
                    <w:jc w:val="center"/>
                    <w:rPr>
                      <w:rFonts w:hint="eastAsia" w:eastAsia="宋体"/>
                      <w:lang w:eastAsia="zh-CN"/>
                    </w:rPr>
                  </w:pPr>
                  <w:r>
                    <w:rPr>
                      <w:rFonts w:hint="eastAsia"/>
                    </w:rPr>
                    <w:t>排气筒</w:t>
                  </w:r>
                  <w:r>
                    <w:rPr>
                      <w:rFonts w:hint="eastAsia"/>
                      <w:lang w:eastAsia="zh-CN"/>
                    </w:rPr>
                    <w:t>（</w:t>
                  </w:r>
                  <w:r>
                    <w:rPr>
                      <w:rFonts w:hint="eastAsia"/>
                    </w:rPr>
                    <w:t>P2</w:t>
                  </w:r>
                  <w:r>
                    <w:rPr>
                      <w:rFonts w:hint="eastAsia"/>
                      <w:lang w:eastAsia="zh-CN"/>
                    </w:rPr>
                    <w:t>）</w:t>
                  </w:r>
                </w:p>
              </w:tc>
              <w:tc>
                <w:tcPr>
                  <w:tcW w:w="791" w:type="pct"/>
                  <w:vAlign w:val="center"/>
                </w:tcPr>
                <w:p>
                  <w:pPr>
                    <w:spacing w:line="240" w:lineRule="auto"/>
                    <w:jc w:val="center"/>
                    <w:rPr>
                      <w:rFonts w:hint="eastAsia"/>
                    </w:rP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continue"/>
                  <w:vAlign w:val="center"/>
                </w:tcPr>
                <w:p>
                  <w:pPr>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6" w:hRule="atLeast"/>
                <w:jc w:val="center"/>
              </w:trPr>
              <w:tc>
                <w:tcPr>
                  <w:tcW w:w="533" w:type="pct"/>
                  <w:vMerge w:val="continue"/>
                  <w:vAlign w:val="center"/>
                </w:tcPr>
                <w:p>
                  <w:pPr>
                    <w:spacing w:line="240" w:lineRule="auto"/>
                    <w:jc w:val="center"/>
                    <w:rPr>
                      <w:rFonts w:hint="eastAsia"/>
                    </w:rPr>
                  </w:pPr>
                </w:p>
              </w:tc>
              <w:tc>
                <w:tcPr>
                  <w:tcW w:w="748" w:type="pct"/>
                  <w:vAlign w:val="center"/>
                </w:tcPr>
                <w:p>
                  <w:pPr>
                    <w:spacing w:line="280" w:lineRule="exact"/>
                    <w:jc w:val="center"/>
                  </w:pPr>
                  <w:r>
                    <w:t>排气筒</w:t>
                  </w:r>
                  <w:r>
                    <w:rPr>
                      <w:rFonts w:hint="eastAsia"/>
                    </w:rPr>
                    <w:t>（P3）</w:t>
                  </w:r>
                </w:p>
              </w:tc>
              <w:tc>
                <w:tcPr>
                  <w:tcW w:w="791" w:type="pct"/>
                  <w:vAlign w:val="center"/>
                </w:tcPr>
                <w:p>
                  <w:pPr>
                    <w:spacing w:line="240" w:lineRule="auto"/>
                    <w:jc w:val="center"/>
                    <w:rPr>
                      <w:rFonts w:hint="eastAsia"/>
                    </w:rP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continue"/>
                  <w:vAlign w:val="center"/>
                </w:tcPr>
                <w:p>
                  <w:pPr>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7" w:hRule="exact"/>
                <w:jc w:val="center"/>
              </w:trPr>
              <w:tc>
                <w:tcPr>
                  <w:tcW w:w="533" w:type="pct"/>
                  <w:vMerge w:val="continue"/>
                  <w:vAlign w:val="center"/>
                </w:tcPr>
                <w:p>
                  <w:pPr>
                    <w:spacing w:line="240" w:lineRule="auto"/>
                    <w:ind w:firstLine="420" w:firstLineChars="200"/>
                    <w:jc w:val="center"/>
                    <w:rPr>
                      <w:rFonts w:hint="eastAsia"/>
                    </w:rPr>
                  </w:pPr>
                </w:p>
              </w:tc>
              <w:tc>
                <w:tcPr>
                  <w:tcW w:w="748" w:type="pct"/>
                  <w:vAlign w:val="center"/>
                </w:tcPr>
                <w:p>
                  <w:pPr>
                    <w:spacing w:line="280" w:lineRule="exact"/>
                    <w:jc w:val="center"/>
                    <w:rPr>
                      <w:rFonts w:hint="eastAsia"/>
                    </w:rPr>
                  </w:pPr>
                  <w:r>
                    <w:t>排气筒</w:t>
                  </w:r>
                  <w:r>
                    <w:rPr>
                      <w:rFonts w:hint="eastAsia"/>
                    </w:rPr>
                    <w:t>（P4）</w:t>
                  </w:r>
                </w:p>
              </w:tc>
              <w:tc>
                <w:tcPr>
                  <w:tcW w:w="791" w:type="pct"/>
                  <w:vAlign w:val="center"/>
                </w:tcPr>
                <w:p>
                  <w:pPr>
                    <w:spacing w:line="240" w:lineRule="auto"/>
                    <w:jc w:val="cente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continue"/>
                  <w:vAlign w:val="center"/>
                </w:tcPr>
                <w:p>
                  <w:pPr>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7" w:hRule="exact"/>
                <w:jc w:val="center"/>
              </w:trPr>
              <w:tc>
                <w:tcPr>
                  <w:tcW w:w="533" w:type="pct"/>
                  <w:vMerge w:val="continue"/>
                  <w:vAlign w:val="center"/>
                </w:tcPr>
                <w:p>
                  <w:pPr>
                    <w:spacing w:line="240" w:lineRule="auto"/>
                    <w:ind w:firstLine="420" w:firstLineChars="200"/>
                    <w:jc w:val="center"/>
                    <w:rPr>
                      <w:rFonts w:hint="eastAsia"/>
                    </w:rPr>
                  </w:pPr>
                </w:p>
              </w:tc>
              <w:tc>
                <w:tcPr>
                  <w:tcW w:w="748" w:type="pct"/>
                  <w:vAlign w:val="center"/>
                </w:tcPr>
                <w:p>
                  <w:pPr>
                    <w:spacing w:line="280" w:lineRule="exact"/>
                    <w:jc w:val="center"/>
                  </w:pPr>
                  <w:r>
                    <w:t>排气筒</w:t>
                  </w:r>
                  <w:r>
                    <w:rPr>
                      <w:rFonts w:hint="eastAsia"/>
                    </w:rPr>
                    <w:t>（P5）</w:t>
                  </w:r>
                </w:p>
              </w:tc>
              <w:tc>
                <w:tcPr>
                  <w:tcW w:w="791" w:type="pct"/>
                  <w:vAlign w:val="center"/>
                </w:tcPr>
                <w:p>
                  <w:pPr>
                    <w:spacing w:line="240" w:lineRule="auto"/>
                    <w:jc w:val="center"/>
                    <w:rPr>
                      <w:rFonts w:hint="eastAsia"/>
                    </w:rP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continue"/>
                  <w:vAlign w:val="center"/>
                </w:tcPr>
                <w:p>
                  <w:pPr>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6" w:hRule="atLeast"/>
                <w:jc w:val="center"/>
              </w:trPr>
              <w:tc>
                <w:tcPr>
                  <w:tcW w:w="533" w:type="pct"/>
                  <w:vMerge w:val="continue"/>
                  <w:vAlign w:val="center"/>
                </w:tcPr>
                <w:p>
                  <w:pPr>
                    <w:spacing w:line="240" w:lineRule="auto"/>
                    <w:ind w:firstLine="420" w:firstLineChars="200"/>
                    <w:jc w:val="center"/>
                    <w:rPr>
                      <w:rFonts w:hint="eastAsia"/>
                    </w:rPr>
                  </w:pPr>
                </w:p>
              </w:tc>
              <w:tc>
                <w:tcPr>
                  <w:tcW w:w="748" w:type="pct"/>
                  <w:vAlign w:val="center"/>
                </w:tcPr>
                <w:p>
                  <w:pPr>
                    <w:spacing w:line="280" w:lineRule="exact"/>
                    <w:jc w:val="center"/>
                  </w:pPr>
                  <w:r>
                    <w:t>排气筒</w:t>
                  </w:r>
                  <w:r>
                    <w:rPr>
                      <w:rFonts w:hint="eastAsia"/>
                    </w:rPr>
                    <w:t>（P6）</w:t>
                  </w:r>
                </w:p>
              </w:tc>
              <w:tc>
                <w:tcPr>
                  <w:tcW w:w="791" w:type="pct"/>
                  <w:vAlign w:val="center"/>
                </w:tcPr>
                <w:p>
                  <w:pPr>
                    <w:spacing w:line="240" w:lineRule="auto"/>
                    <w:jc w:val="cente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continue"/>
                  <w:vAlign w:val="center"/>
                </w:tcPr>
                <w:p>
                  <w:pPr>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27" w:hRule="exact"/>
                <w:jc w:val="center"/>
              </w:trPr>
              <w:tc>
                <w:tcPr>
                  <w:tcW w:w="533" w:type="pct"/>
                  <w:vMerge w:val="continue"/>
                  <w:vAlign w:val="center"/>
                </w:tcPr>
                <w:p>
                  <w:pPr>
                    <w:spacing w:line="240" w:lineRule="auto"/>
                    <w:ind w:firstLine="420" w:firstLineChars="200"/>
                    <w:jc w:val="center"/>
                    <w:rPr>
                      <w:rFonts w:hint="eastAsia"/>
                    </w:rPr>
                  </w:pPr>
                </w:p>
              </w:tc>
              <w:tc>
                <w:tcPr>
                  <w:tcW w:w="748" w:type="pct"/>
                  <w:vAlign w:val="center"/>
                </w:tcPr>
                <w:p>
                  <w:pPr>
                    <w:spacing w:line="280" w:lineRule="exact"/>
                    <w:jc w:val="center"/>
                  </w:pPr>
                  <w:r>
                    <w:t>排气筒</w:t>
                  </w:r>
                  <w:r>
                    <w:rPr>
                      <w:rFonts w:hint="eastAsia"/>
                    </w:rPr>
                    <w:t>（P7）</w:t>
                  </w:r>
                </w:p>
              </w:tc>
              <w:tc>
                <w:tcPr>
                  <w:tcW w:w="791" w:type="pct"/>
                  <w:vAlign w:val="center"/>
                </w:tcPr>
                <w:p>
                  <w:pPr>
                    <w:spacing w:line="240" w:lineRule="auto"/>
                    <w:jc w:val="center"/>
                    <w:rPr>
                      <w:rFonts w:hint="eastAsia"/>
                    </w:rP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Merge w:val="continue"/>
                  <w:vAlign w:val="center"/>
                </w:tcPr>
                <w:p>
                  <w:pPr>
                    <w:spacing w:line="240" w:lineRule="auto"/>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2" w:hRule="atLeast"/>
                <w:jc w:val="center"/>
              </w:trPr>
              <w:tc>
                <w:tcPr>
                  <w:tcW w:w="533" w:type="pct"/>
                  <w:vMerge w:val="continue"/>
                  <w:vAlign w:val="center"/>
                </w:tcPr>
                <w:p>
                  <w:pPr>
                    <w:spacing w:line="240" w:lineRule="auto"/>
                    <w:ind w:firstLine="420" w:firstLineChars="200"/>
                    <w:jc w:val="center"/>
                    <w:rPr>
                      <w:rFonts w:hint="eastAsia"/>
                    </w:rPr>
                  </w:pPr>
                </w:p>
              </w:tc>
              <w:tc>
                <w:tcPr>
                  <w:tcW w:w="748" w:type="pct"/>
                  <w:vAlign w:val="center"/>
                </w:tcPr>
                <w:p>
                  <w:pPr>
                    <w:spacing w:line="240" w:lineRule="auto"/>
                    <w:jc w:val="center"/>
                    <w:rPr>
                      <w:rFonts w:hint="eastAsia"/>
                    </w:rPr>
                  </w:pPr>
                  <w:r>
                    <w:rPr>
                      <w:rFonts w:hint="eastAsia"/>
                    </w:rPr>
                    <w:t>厂界无组织废气</w:t>
                  </w:r>
                </w:p>
              </w:tc>
              <w:tc>
                <w:tcPr>
                  <w:tcW w:w="791" w:type="pct"/>
                  <w:vAlign w:val="center"/>
                </w:tcPr>
                <w:p>
                  <w:pPr>
                    <w:spacing w:line="240" w:lineRule="auto"/>
                    <w:jc w:val="center"/>
                    <w:rPr>
                      <w:rFonts w:hint="eastAsia"/>
                    </w:rPr>
                  </w:pPr>
                  <w:r>
                    <w:rPr>
                      <w:rFonts w:hint="eastAsia"/>
                    </w:rPr>
                    <w:t>颗粒物</w:t>
                  </w:r>
                </w:p>
              </w:tc>
              <w:tc>
                <w:tcPr>
                  <w:tcW w:w="608" w:type="pct"/>
                  <w:vAlign w:val="center"/>
                </w:tcPr>
                <w:p>
                  <w:pPr>
                    <w:spacing w:line="240" w:lineRule="auto"/>
                    <w:jc w:val="center"/>
                    <w:rPr>
                      <w:rFonts w:hint="eastAsia"/>
                    </w:rPr>
                  </w:pPr>
                  <w:r>
                    <w:rPr>
                      <w:rFonts w:hint="eastAsia"/>
                    </w:rPr>
                    <w:t>1次/半年</w:t>
                  </w:r>
                </w:p>
              </w:tc>
              <w:tc>
                <w:tcPr>
                  <w:tcW w:w="2317" w:type="pct"/>
                  <w:vAlign w:val="center"/>
                </w:tcPr>
                <w:p>
                  <w:pPr>
                    <w:spacing w:line="240" w:lineRule="auto"/>
                    <w:jc w:val="center"/>
                  </w:pPr>
                  <w:r>
                    <w:rPr>
                      <w:rFonts w:hint="eastAsia"/>
                      <w:szCs w:val="21"/>
                    </w:rPr>
                    <w:t>《水泥工业大气污染物超低排放标准》（DB13/2167-2020）表2中颗粒物监控点与参照点总悬浮颗粒物1h浓度值的差值，即颗粒物</w:t>
                  </w:r>
                  <w:r>
                    <w:rPr>
                      <w:rFonts w:ascii="Arial" w:hAnsi="Arial" w:cs="Arial"/>
                      <w:szCs w:val="21"/>
                    </w:rPr>
                    <w:t>≤</w:t>
                  </w:r>
                  <w:r>
                    <w:rPr>
                      <w:rFonts w:hint="eastAsia"/>
                      <w:szCs w:val="21"/>
                    </w:rPr>
                    <w:t>0.5mg/m</w:t>
                  </w:r>
                  <w:r>
                    <w:rPr>
                      <w:rFonts w:hint="eastAsia"/>
                      <w:szCs w:val="21"/>
                      <w:vertAlign w:val="superscript"/>
                    </w:rPr>
                    <w:t>3</w:t>
                  </w:r>
                </w:p>
              </w:tc>
            </w:tr>
          </w:tbl>
          <w:p>
            <w:pPr>
              <w:ind w:firstLine="480" w:firstLineChars="200"/>
              <w:rPr>
                <w:rFonts w:hint="default" w:eastAsia="宋体"/>
                <w:sz w:val="24"/>
                <w:szCs w:val="32"/>
                <w:lang w:val="en-US" w:eastAsia="zh-CN"/>
              </w:rPr>
            </w:pPr>
            <w:r>
              <w:rPr>
                <w:rFonts w:hint="eastAsia"/>
                <w:sz w:val="24"/>
                <w:szCs w:val="32"/>
                <w:lang w:val="en-US" w:eastAsia="zh-CN"/>
              </w:rPr>
              <w:t>5、非正常工况</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生产工序不设置应急旁路排气筒，非正常工况主要是考虑废气净化设施发生故障，废气处理效率为0，导致废气未经处理直接外排，造成区域大气环境污染。本评价要求，建设单位要定期对废气处理系统等环保设施进行维护和保养，一旦发现设施运行异常，应立即停止生产，迅速抢修或更换，待废气处理设施运行正常后回复生产。</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根据工程分析，建设项目涉及的非正常排放主要为</w:t>
            </w:r>
            <w:r>
              <w:rPr>
                <w:rFonts w:hint="eastAsia" w:ascii="宋体" w:hAnsi="宋体" w:eastAsia="宋体" w:cs="宋体"/>
                <w:sz w:val="24"/>
                <w:szCs w:val="24"/>
                <w:highlight w:val="none"/>
                <w:lang w:val="en-US" w:eastAsia="zh-CN"/>
              </w:rPr>
              <w:t>骨料破碎、筛分工序、粉料仓呼吸、砂仓产尘、搅拌机排气口产尘</w:t>
            </w:r>
            <w:r>
              <w:rPr>
                <w:rFonts w:hint="eastAsia" w:ascii="宋体" w:hAnsi="宋体" w:eastAsia="宋体" w:cs="宋体"/>
                <w:sz w:val="24"/>
                <w:szCs w:val="24"/>
                <w:highlight w:val="none"/>
              </w:rPr>
              <w:t>工序废气治理设施（</w:t>
            </w:r>
            <w:r>
              <w:rPr>
                <w:rFonts w:hint="eastAsia" w:ascii="宋体" w:hAnsi="宋体" w:eastAsia="宋体" w:cs="宋体"/>
                <w:sz w:val="24"/>
                <w:szCs w:val="24"/>
                <w:highlight w:val="none"/>
                <w:lang w:eastAsia="zh-CN"/>
              </w:rPr>
              <w:t>袋式除尘器</w:t>
            </w:r>
            <w:r>
              <w:rPr>
                <w:rFonts w:hint="eastAsia" w:ascii="宋体" w:hAnsi="宋体" w:eastAsia="宋体" w:cs="宋体"/>
                <w:sz w:val="24"/>
                <w:szCs w:val="24"/>
                <w:highlight w:val="none"/>
              </w:rPr>
              <w:t>）故障，导致</w:t>
            </w:r>
            <w:r>
              <w:rPr>
                <w:rFonts w:hint="eastAsia" w:ascii="宋体" w:hAnsi="宋体" w:eastAsia="宋体" w:cs="宋体"/>
                <w:sz w:val="24"/>
                <w:szCs w:val="24"/>
                <w:highlight w:val="none"/>
                <w:lang w:eastAsia="zh-CN"/>
              </w:rPr>
              <w:t>颗粒物</w:t>
            </w:r>
            <w:r>
              <w:rPr>
                <w:rFonts w:hint="eastAsia" w:ascii="宋体" w:hAnsi="宋体" w:eastAsia="宋体" w:cs="宋体"/>
                <w:sz w:val="24"/>
                <w:szCs w:val="24"/>
                <w:highlight w:val="none"/>
              </w:rPr>
              <w:t>未经处理直接排放到大气中。</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①骨料破碎、筛分</w:t>
            </w:r>
            <w:r>
              <w:rPr>
                <w:rFonts w:hint="eastAsia" w:ascii="宋体" w:hAnsi="宋体" w:eastAsia="宋体" w:cs="宋体"/>
                <w:sz w:val="24"/>
                <w:szCs w:val="24"/>
                <w:highlight w:val="none"/>
              </w:rPr>
              <w:t>工序废气治理设施事故处理时间以120分钟计，发生频次约为1次/a，废气治理设施完全故障情况下，</w:t>
            </w:r>
            <w:r>
              <w:rPr>
                <w:rFonts w:hint="eastAsia" w:ascii="宋体" w:hAnsi="宋体" w:eastAsia="宋体" w:cs="宋体"/>
                <w:sz w:val="24"/>
                <w:szCs w:val="24"/>
                <w:highlight w:val="none"/>
                <w:lang w:eastAsia="zh-CN"/>
              </w:rPr>
              <w:t>颗粒物</w:t>
            </w:r>
            <w:r>
              <w:rPr>
                <w:rFonts w:hint="eastAsia" w:ascii="宋体" w:hAnsi="宋体" w:eastAsia="宋体" w:cs="宋体"/>
                <w:sz w:val="24"/>
                <w:szCs w:val="24"/>
                <w:highlight w:val="none"/>
              </w:rPr>
              <w:t>排放量约为</w:t>
            </w:r>
            <w:r>
              <w:rPr>
                <w:rFonts w:hint="eastAsia" w:ascii="宋体" w:hAnsi="宋体" w:eastAsia="宋体" w:cs="宋体"/>
                <w:sz w:val="24"/>
                <w:szCs w:val="24"/>
                <w:highlight w:val="none"/>
                <w:lang w:val="en-US" w:eastAsia="zh-CN"/>
              </w:rPr>
              <w:t>60kg</w:t>
            </w:r>
            <w:r>
              <w:rPr>
                <w:rFonts w:hint="eastAsia" w:ascii="宋体" w:hAnsi="宋体" w:eastAsia="宋体" w:cs="宋体"/>
                <w:sz w:val="24"/>
                <w:szCs w:val="24"/>
                <w:highlight w:val="none"/>
              </w:rPr>
              <w:t>，排放速率为</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kg/h。</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②粉料仓呼吸、上料</w:t>
            </w:r>
            <w:r>
              <w:rPr>
                <w:rFonts w:hint="eastAsia" w:ascii="宋体" w:hAnsi="宋体" w:eastAsia="宋体" w:cs="宋体"/>
                <w:sz w:val="24"/>
                <w:szCs w:val="24"/>
                <w:highlight w:val="none"/>
              </w:rPr>
              <w:t>工序废气治理设施事故处理时间以</w:t>
            </w:r>
            <w:r>
              <w:rPr>
                <w:rFonts w:hint="eastAsia" w:ascii="宋体" w:hAnsi="宋体" w:eastAsia="宋体" w:cs="宋体"/>
                <w:sz w:val="24"/>
                <w:szCs w:val="24"/>
                <w:highlight w:val="none"/>
                <w:lang w:val="en-US" w:eastAsia="zh-CN"/>
              </w:rPr>
              <w:t>120</w:t>
            </w:r>
            <w:r>
              <w:rPr>
                <w:rFonts w:hint="eastAsia" w:ascii="宋体" w:hAnsi="宋体" w:eastAsia="宋体" w:cs="宋体"/>
                <w:sz w:val="24"/>
                <w:szCs w:val="24"/>
                <w:highlight w:val="none"/>
              </w:rPr>
              <w:t>分钟计，发生频次约为1次/a，废气治理设施完全故障情况下，</w:t>
            </w:r>
            <w:r>
              <w:rPr>
                <w:rFonts w:hint="eastAsia" w:ascii="宋体" w:hAnsi="宋体" w:eastAsia="宋体" w:cs="宋体"/>
                <w:sz w:val="24"/>
                <w:szCs w:val="24"/>
                <w:highlight w:val="none"/>
                <w:lang w:eastAsia="zh-CN"/>
              </w:rPr>
              <w:t>颗粒物</w:t>
            </w:r>
            <w:r>
              <w:rPr>
                <w:rFonts w:hint="eastAsia" w:ascii="宋体" w:hAnsi="宋体" w:eastAsia="宋体" w:cs="宋体"/>
                <w:sz w:val="24"/>
                <w:szCs w:val="24"/>
                <w:highlight w:val="none"/>
              </w:rPr>
              <w:t>排放量约为</w:t>
            </w:r>
            <w:r>
              <w:rPr>
                <w:rFonts w:hint="eastAsia" w:ascii="宋体" w:hAnsi="宋体" w:eastAsia="宋体" w:cs="宋体"/>
                <w:sz w:val="24"/>
                <w:szCs w:val="24"/>
                <w:highlight w:val="none"/>
                <w:lang w:val="en-US" w:eastAsia="zh-CN"/>
              </w:rPr>
              <w:t>13.1</w:t>
            </w:r>
            <w:r>
              <w:rPr>
                <w:rFonts w:hint="eastAsia" w:ascii="宋体" w:hAnsi="宋体" w:eastAsia="宋体" w:cs="宋体"/>
                <w:sz w:val="24"/>
                <w:szCs w:val="24"/>
                <w:highlight w:val="none"/>
              </w:rPr>
              <w:t>kg，排放速率为</w:t>
            </w:r>
            <w:r>
              <w:rPr>
                <w:rFonts w:hint="eastAsia" w:ascii="宋体" w:hAnsi="宋体" w:eastAsia="宋体" w:cs="宋体"/>
                <w:sz w:val="24"/>
                <w:szCs w:val="24"/>
                <w:highlight w:val="none"/>
                <w:lang w:val="en-US" w:eastAsia="zh-CN"/>
              </w:rPr>
              <w:t>6.55</w:t>
            </w:r>
            <w:r>
              <w:rPr>
                <w:rFonts w:hint="eastAsia" w:ascii="宋体" w:hAnsi="宋体" w:eastAsia="宋体" w:cs="宋体"/>
                <w:sz w:val="24"/>
                <w:szCs w:val="24"/>
                <w:highlight w:val="none"/>
              </w:rPr>
              <w:t>kg/h。</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③砂仓产尘</w:t>
            </w:r>
            <w:r>
              <w:rPr>
                <w:rFonts w:hint="eastAsia" w:ascii="宋体" w:hAnsi="宋体" w:eastAsia="宋体" w:cs="宋体"/>
                <w:sz w:val="24"/>
                <w:szCs w:val="24"/>
                <w:highlight w:val="none"/>
              </w:rPr>
              <w:t>工序废气治理设施事故处理时间以</w:t>
            </w:r>
            <w:r>
              <w:rPr>
                <w:rFonts w:hint="eastAsia" w:ascii="宋体" w:hAnsi="宋体" w:eastAsia="宋体" w:cs="宋体"/>
                <w:sz w:val="24"/>
                <w:szCs w:val="24"/>
                <w:highlight w:val="none"/>
                <w:lang w:val="en-US" w:eastAsia="zh-CN"/>
              </w:rPr>
              <w:t>120</w:t>
            </w:r>
            <w:r>
              <w:rPr>
                <w:rFonts w:hint="eastAsia" w:ascii="宋体" w:hAnsi="宋体" w:eastAsia="宋体" w:cs="宋体"/>
                <w:sz w:val="24"/>
                <w:szCs w:val="24"/>
                <w:highlight w:val="none"/>
              </w:rPr>
              <w:t>分钟计，发生频次约为1次/a，废气治理设施完全故障情况下，</w:t>
            </w:r>
            <w:r>
              <w:rPr>
                <w:rFonts w:hint="eastAsia" w:ascii="宋体" w:hAnsi="宋体" w:eastAsia="宋体" w:cs="宋体"/>
                <w:sz w:val="24"/>
                <w:szCs w:val="24"/>
                <w:highlight w:val="none"/>
                <w:lang w:eastAsia="zh-CN"/>
              </w:rPr>
              <w:t>颗粒物</w:t>
            </w:r>
            <w:r>
              <w:rPr>
                <w:rFonts w:hint="eastAsia" w:ascii="宋体" w:hAnsi="宋体" w:eastAsia="宋体" w:cs="宋体"/>
                <w:sz w:val="24"/>
                <w:szCs w:val="24"/>
                <w:highlight w:val="none"/>
              </w:rPr>
              <w:t>排放量约为</w:t>
            </w:r>
            <w:r>
              <w:rPr>
                <w:rFonts w:hint="eastAsia" w:ascii="宋体" w:hAnsi="宋体" w:eastAsia="宋体" w:cs="宋体"/>
                <w:sz w:val="24"/>
                <w:szCs w:val="24"/>
                <w:highlight w:val="none"/>
                <w:lang w:val="en-US" w:eastAsia="zh-CN"/>
              </w:rPr>
              <w:t>153.216</w:t>
            </w:r>
            <w:r>
              <w:rPr>
                <w:rFonts w:hint="eastAsia" w:ascii="宋体" w:hAnsi="宋体" w:eastAsia="宋体" w:cs="宋体"/>
                <w:sz w:val="24"/>
                <w:szCs w:val="24"/>
                <w:highlight w:val="none"/>
              </w:rPr>
              <w:t>kg，排放速率为</w:t>
            </w:r>
            <w:r>
              <w:rPr>
                <w:rFonts w:hint="eastAsia" w:ascii="宋体" w:hAnsi="宋体" w:eastAsia="宋体" w:cs="宋体"/>
                <w:sz w:val="24"/>
                <w:szCs w:val="24"/>
                <w:highlight w:val="none"/>
                <w:lang w:val="en-US" w:eastAsia="zh-CN"/>
              </w:rPr>
              <w:t>76.608</w:t>
            </w:r>
            <w:r>
              <w:rPr>
                <w:rFonts w:hint="eastAsia" w:ascii="宋体" w:hAnsi="宋体" w:eastAsia="宋体" w:cs="宋体"/>
                <w:sz w:val="24"/>
                <w:szCs w:val="24"/>
                <w:highlight w:val="none"/>
              </w:rPr>
              <w:t>kg/h。</w:t>
            </w:r>
          </w:p>
          <w:p>
            <w:pPr>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④搅拌工序废气治理设施</w:t>
            </w:r>
            <w:r>
              <w:rPr>
                <w:rFonts w:hint="eastAsia" w:ascii="宋体" w:hAnsi="宋体" w:eastAsia="宋体" w:cs="宋体"/>
                <w:sz w:val="24"/>
                <w:szCs w:val="24"/>
                <w:highlight w:val="none"/>
              </w:rPr>
              <w:t>事故处理时间以</w:t>
            </w:r>
            <w:r>
              <w:rPr>
                <w:rFonts w:hint="eastAsia" w:ascii="宋体" w:hAnsi="宋体" w:eastAsia="宋体" w:cs="宋体"/>
                <w:sz w:val="24"/>
                <w:szCs w:val="24"/>
                <w:highlight w:val="none"/>
                <w:lang w:val="en-US" w:eastAsia="zh-CN"/>
              </w:rPr>
              <w:t>120</w:t>
            </w:r>
            <w:r>
              <w:rPr>
                <w:rFonts w:hint="eastAsia" w:ascii="宋体" w:hAnsi="宋体" w:eastAsia="宋体" w:cs="宋体"/>
                <w:sz w:val="24"/>
                <w:szCs w:val="24"/>
                <w:highlight w:val="none"/>
              </w:rPr>
              <w:t>分钟计，发生频次约为1次/a，废气治理设施完全故障情况下，</w:t>
            </w:r>
            <w:r>
              <w:rPr>
                <w:rFonts w:hint="eastAsia" w:ascii="宋体" w:hAnsi="宋体" w:eastAsia="宋体" w:cs="宋体"/>
                <w:sz w:val="24"/>
                <w:szCs w:val="24"/>
                <w:highlight w:val="none"/>
                <w:lang w:eastAsia="zh-CN"/>
              </w:rPr>
              <w:t>颗粒物</w:t>
            </w:r>
            <w:r>
              <w:rPr>
                <w:rFonts w:hint="eastAsia" w:ascii="宋体" w:hAnsi="宋体" w:eastAsia="宋体" w:cs="宋体"/>
                <w:sz w:val="24"/>
                <w:szCs w:val="24"/>
                <w:highlight w:val="none"/>
              </w:rPr>
              <w:t>排放量约为</w:t>
            </w:r>
            <w:r>
              <w:rPr>
                <w:rFonts w:hint="eastAsia" w:ascii="宋体" w:hAnsi="宋体" w:eastAsia="宋体" w:cs="宋体"/>
                <w:sz w:val="24"/>
                <w:szCs w:val="24"/>
                <w:highlight w:val="none"/>
                <w:lang w:val="en-US" w:eastAsia="zh-CN"/>
              </w:rPr>
              <w:t>261.45</w:t>
            </w:r>
            <w:r>
              <w:rPr>
                <w:rFonts w:hint="eastAsia" w:ascii="宋体" w:hAnsi="宋体" w:eastAsia="宋体" w:cs="宋体"/>
                <w:sz w:val="24"/>
                <w:szCs w:val="24"/>
                <w:highlight w:val="none"/>
              </w:rPr>
              <w:t>kg，排放速率为</w:t>
            </w:r>
            <w:r>
              <w:rPr>
                <w:rFonts w:hint="eastAsia" w:ascii="宋体" w:hAnsi="宋体" w:eastAsia="宋体" w:cs="宋体"/>
                <w:sz w:val="24"/>
                <w:szCs w:val="24"/>
                <w:highlight w:val="none"/>
                <w:lang w:val="en-US" w:eastAsia="zh-CN"/>
              </w:rPr>
              <w:t>130.725</w:t>
            </w:r>
            <w:r>
              <w:rPr>
                <w:rFonts w:hint="eastAsia" w:ascii="宋体" w:hAnsi="宋体" w:eastAsia="宋体" w:cs="宋体"/>
                <w:sz w:val="24"/>
                <w:szCs w:val="24"/>
                <w:highlight w:val="none"/>
              </w:rPr>
              <w:t>kg/h。</w:t>
            </w:r>
          </w:p>
          <w:p>
            <w:pPr>
              <w:ind w:firstLine="480" w:firstLineChars="200"/>
              <w:rPr>
                <w:rFonts w:hint="eastAsia"/>
                <w:sz w:val="24"/>
                <w:szCs w:val="32"/>
              </w:rPr>
            </w:pPr>
            <w:r>
              <w:rPr>
                <w:rFonts w:hint="eastAsia" w:ascii="宋体" w:hAnsi="宋体" w:eastAsia="宋体" w:cs="宋体"/>
                <w:sz w:val="24"/>
                <w:szCs w:val="24"/>
                <w:highlight w:val="none"/>
              </w:rPr>
              <w:t>非正常工况下，污染物排放量增大，对环境会产生不利影响，根据项目周边现场踏勘，本项目最近的敏感点为</w:t>
            </w:r>
            <w:r>
              <w:rPr>
                <w:rFonts w:hint="eastAsia" w:ascii="宋体" w:hAnsi="宋体" w:eastAsia="宋体" w:cs="宋体"/>
                <w:color w:val="auto"/>
                <w:sz w:val="24"/>
                <w:szCs w:val="24"/>
                <w:highlight w:val="none"/>
                <w:lang w:val="en-US" w:eastAsia="zh-CN"/>
              </w:rPr>
              <w:t>安上村，位于厂界西侧580m处</w:t>
            </w:r>
            <w:r>
              <w:rPr>
                <w:rFonts w:hint="eastAsia" w:ascii="宋体" w:hAnsi="宋体" w:eastAsia="宋体" w:cs="宋体"/>
                <w:sz w:val="24"/>
                <w:szCs w:val="24"/>
                <w:highlight w:val="none"/>
              </w:rPr>
              <w:t>。因此，生产中应加强管理，加强巡检，严格操作规范，环保设施故障时应立即暂停生产，待废气治理措施正常运行后继续进行生产，避免废气直接排放造成的环境污染。</w:t>
            </w:r>
          </w:p>
          <w:p>
            <w:pPr>
              <w:ind w:firstLine="480" w:firstLineChars="200"/>
              <w:rPr>
                <w:sz w:val="24"/>
                <w:szCs w:val="32"/>
              </w:rPr>
            </w:pPr>
            <w:r>
              <w:rPr>
                <w:rFonts w:hint="eastAsia"/>
                <w:sz w:val="24"/>
                <w:szCs w:val="32"/>
              </w:rPr>
              <w:t>本项目所在区域环境质量现状为不达标区，但随着邯郸市各项污染防治措施的推进，本项目选址区域环境空气质量逐渐好转，根据项目周边现场踏勘，本项目最近的敏感点为项目西方位580m的安上村。本项目产污环节收集效率为95%以上，处理效率99.7%，并采取了有效的污染治理措施，实现达标排放。故本项目废气不会对环境产生较大影响。</w:t>
            </w:r>
          </w:p>
          <w:p>
            <w:pPr>
              <w:ind w:firstLine="480" w:firstLineChars="200"/>
              <w:rPr>
                <w:rFonts w:hint="eastAsia"/>
                <w:sz w:val="24"/>
                <w:szCs w:val="32"/>
              </w:rPr>
            </w:pPr>
            <w:r>
              <w:rPr>
                <w:rFonts w:hint="eastAsia"/>
                <w:sz w:val="24"/>
                <w:szCs w:val="32"/>
              </w:rPr>
              <w:t>二、废水</w:t>
            </w:r>
          </w:p>
          <w:p>
            <w:pPr>
              <w:ind w:firstLine="480" w:firstLineChars="200"/>
              <w:rPr>
                <w:sz w:val="24"/>
                <w:szCs w:val="32"/>
              </w:rPr>
            </w:pPr>
            <w:r>
              <w:rPr>
                <w:sz w:val="24"/>
                <w:szCs w:val="32"/>
              </w:rPr>
              <w:t>本项目无生产废水</w:t>
            </w:r>
            <w:r>
              <w:rPr>
                <w:rFonts w:hint="eastAsia"/>
                <w:sz w:val="24"/>
                <w:szCs w:val="32"/>
              </w:rPr>
              <w:t>外排</w:t>
            </w:r>
            <w:r>
              <w:rPr>
                <w:sz w:val="24"/>
                <w:szCs w:val="32"/>
              </w:rPr>
              <w:t>，</w:t>
            </w:r>
            <w:r>
              <w:rPr>
                <w:rFonts w:hint="eastAsia"/>
                <w:sz w:val="24"/>
                <w:szCs w:val="32"/>
              </w:rPr>
              <w:t>不新增劳动人员。</w:t>
            </w:r>
            <w:r>
              <w:rPr>
                <w:sz w:val="24"/>
                <w:szCs w:val="32"/>
              </w:rPr>
              <w:t>因此项目不会对周围水环境产生明显影响。</w:t>
            </w:r>
          </w:p>
          <w:p>
            <w:pPr>
              <w:ind w:firstLine="480" w:firstLineChars="200"/>
              <w:rPr>
                <w:rFonts w:hint="eastAsia"/>
                <w:sz w:val="24"/>
                <w:szCs w:val="32"/>
              </w:rPr>
            </w:pPr>
            <w:r>
              <w:rPr>
                <w:rFonts w:hint="eastAsia"/>
                <w:sz w:val="24"/>
                <w:szCs w:val="32"/>
              </w:rPr>
              <w:t>三、噪声</w:t>
            </w:r>
          </w:p>
          <w:p>
            <w:pPr>
              <w:ind w:firstLine="480" w:firstLineChars="200"/>
              <w:rPr>
                <w:rFonts w:hint="eastAsia"/>
                <w:sz w:val="24"/>
                <w:szCs w:val="32"/>
              </w:rPr>
            </w:pPr>
            <w:r>
              <w:rPr>
                <w:rFonts w:hint="eastAsia"/>
                <w:sz w:val="24"/>
                <w:szCs w:val="32"/>
              </w:rPr>
              <w:t>（1）设备噪声</w:t>
            </w:r>
          </w:p>
          <w:p>
            <w:pPr>
              <w:ind w:firstLine="480" w:firstLineChars="200"/>
              <w:rPr>
                <w:rFonts w:hint="eastAsia"/>
                <w:sz w:val="24"/>
                <w:szCs w:val="32"/>
              </w:rPr>
            </w:pPr>
            <w:r>
              <w:rPr>
                <w:rFonts w:hint="eastAsia"/>
                <w:sz w:val="24"/>
                <w:szCs w:val="32"/>
              </w:rPr>
              <w:t>本项目噪声源主要是机械设备运行产生的噪声。噪声源强约为75-85dB（A），通过选用低产噪设备、降产噪设备布置在厂房内、设置基础减震装置、风机安装消音器等措施来控制噪声对周围环境的影响，降噪效果可以达25dB（A）。项目针对各类噪声源的噪声产生机理，采取了多种降噪措施，主要包括基础减震、厂房隔声等。本项目噪声源的源强见表2</w:t>
            </w:r>
            <w:r>
              <w:rPr>
                <w:rFonts w:hint="eastAsia"/>
                <w:sz w:val="24"/>
                <w:szCs w:val="32"/>
                <w:lang w:val="en-US" w:eastAsia="zh-CN"/>
              </w:rPr>
              <w:t>2</w:t>
            </w:r>
            <w:r>
              <w:rPr>
                <w:rFonts w:hint="eastAsia"/>
                <w:sz w:val="24"/>
                <w:szCs w:val="32"/>
              </w:rPr>
              <w:t>。</w:t>
            </w:r>
          </w:p>
          <w:p>
            <w:pPr>
              <w:jc w:val="center"/>
              <w:rPr>
                <w:b/>
                <w:spacing w:val="6"/>
                <w:sz w:val="24"/>
              </w:rPr>
            </w:pPr>
            <w:r>
              <w:rPr>
                <w:b/>
                <w:spacing w:val="6"/>
                <w:sz w:val="21"/>
                <w:szCs w:val="21"/>
              </w:rPr>
              <w:t>表</w:t>
            </w:r>
            <w:r>
              <w:rPr>
                <w:rFonts w:hint="eastAsia"/>
                <w:b/>
                <w:spacing w:val="6"/>
                <w:sz w:val="21"/>
                <w:szCs w:val="21"/>
                <w:lang w:val="en-US" w:eastAsia="zh-CN"/>
              </w:rPr>
              <w:t>22</w:t>
            </w:r>
            <w:r>
              <w:rPr>
                <w:b/>
                <w:spacing w:val="6"/>
                <w:sz w:val="21"/>
                <w:szCs w:val="21"/>
              </w:rPr>
              <w:t xml:space="preserve">  主要噪声污染源强</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6"/>
              <w:gridCol w:w="999"/>
              <w:gridCol w:w="1691"/>
              <w:gridCol w:w="2232"/>
              <w:gridCol w:w="814"/>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318" w:type="pct"/>
                  <w:vMerge w:val="restart"/>
                  <w:vAlign w:val="center"/>
                </w:tcPr>
                <w:p>
                  <w:pPr>
                    <w:jc w:val="center"/>
                    <w:rPr>
                      <w:bCs/>
                      <w:szCs w:val="21"/>
                    </w:rPr>
                  </w:pPr>
                  <w:r>
                    <w:rPr>
                      <w:rFonts w:hint="eastAsia"/>
                      <w:bCs/>
                      <w:szCs w:val="21"/>
                    </w:rPr>
                    <w:t>序号</w:t>
                  </w:r>
                </w:p>
              </w:tc>
              <w:tc>
                <w:tcPr>
                  <w:tcW w:w="629" w:type="pct"/>
                  <w:vMerge w:val="restart"/>
                  <w:vAlign w:val="center"/>
                </w:tcPr>
                <w:p>
                  <w:pPr>
                    <w:jc w:val="center"/>
                    <w:rPr>
                      <w:rFonts w:hint="eastAsia"/>
                      <w:bCs/>
                      <w:szCs w:val="21"/>
                    </w:rPr>
                  </w:pPr>
                  <w:r>
                    <w:rPr>
                      <w:rFonts w:hint="eastAsia"/>
                      <w:bCs/>
                      <w:szCs w:val="21"/>
                    </w:rPr>
                    <w:t>设备名称</w:t>
                  </w:r>
                </w:p>
              </w:tc>
              <w:tc>
                <w:tcPr>
                  <w:tcW w:w="1066" w:type="pct"/>
                  <w:vMerge w:val="restart"/>
                  <w:vAlign w:val="center"/>
                </w:tcPr>
                <w:p>
                  <w:pPr>
                    <w:jc w:val="center"/>
                    <w:rPr>
                      <w:bCs/>
                      <w:szCs w:val="21"/>
                    </w:rPr>
                  </w:pPr>
                  <w:r>
                    <w:rPr>
                      <w:rFonts w:hint="eastAsia"/>
                      <w:bCs/>
                      <w:szCs w:val="21"/>
                    </w:rPr>
                    <w:t>产生强度</w:t>
                  </w:r>
                  <w:r>
                    <w:rPr>
                      <w:bCs/>
                      <w:szCs w:val="21"/>
                    </w:rPr>
                    <w:t>dB(A)</w:t>
                  </w:r>
                </w:p>
              </w:tc>
              <w:tc>
                <w:tcPr>
                  <w:tcW w:w="1406" w:type="pct"/>
                  <w:vMerge w:val="restart"/>
                  <w:vAlign w:val="center"/>
                </w:tcPr>
                <w:p>
                  <w:pPr>
                    <w:jc w:val="center"/>
                    <w:rPr>
                      <w:bCs/>
                      <w:szCs w:val="21"/>
                    </w:rPr>
                  </w:pPr>
                  <w:r>
                    <w:rPr>
                      <w:bCs/>
                      <w:szCs w:val="21"/>
                    </w:rPr>
                    <w:t>治理措施</w:t>
                  </w:r>
                </w:p>
              </w:tc>
              <w:tc>
                <w:tcPr>
                  <w:tcW w:w="513" w:type="pct"/>
                  <w:vMerge w:val="restart"/>
                  <w:vAlign w:val="center"/>
                </w:tcPr>
                <w:p>
                  <w:pPr>
                    <w:jc w:val="center"/>
                    <w:rPr>
                      <w:bCs/>
                      <w:szCs w:val="21"/>
                    </w:rPr>
                  </w:pPr>
                  <w:r>
                    <w:rPr>
                      <w:rFonts w:hint="eastAsia"/>
                      <w:bCs/>
                      <w:szCs w:val="21"/>
                    </w:rPr>
                    <w:t>持续</w:t>
                  </w:r>
                </w:p>
              </w:tc>
              <w:tc>
                <w:tcPr>
                  <w:tcW w:w="1066" w:type="pct"/>
                  <w:vMerge w:val="restart"/>
                  <w:vAlign w:val="center"/>
                </w:tcPr>
                <w:p>
                  <w:pPr>
                    <w:jc w:val="center"/>
                    <w:rPr>
                      <w:bCs/>
                      <w:szCs w:val="21"/>
                    </w:rPr>
                  </w:pPr>
                  <w:r>
                    <w:rPr>
                      <w:rFonts w:hint="eastAsia"/>
                      <w:bCs/>
                      <w:szCs w:val="21"/>
                    </w:rPr>
                    <w:t>排放强度</w:t>
                  </w: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318" w:type="pct"/>
                  <w:vMerge w:val="continue"/>
                  <w:vAlign w:val="center"/>
                </w:tcPr>
                <w:p>
                  <w:pPr>
                    <w:jc w:val="center"/>
                    <w:rPr>
                      <w:rFonts w:hint="eastAsia"/>
                      <w:bCs/>
                      <w:szCs w:val="21"/>
                    </w:rPr>
                  </w:pPr>
                </w:p>
              </w:tc>
              <w:tc>
                <w:tcPr>
                  <w:tcW w:w="629" w:type="pct"/>
                  <w:vMerge w:val="continue"/>
                  <w:vAlign w:val="center"/>
                </w:tcPr>
                <w:p>
                  <w:pPr>
                    <w:jc w:val="center"/>
                    <w:rPr>
                      <w:rFonts w:hint="eastAsia"/>
                      <w:bCs/>
                      <w:szCs w:val="21"/>
                    </w:rPr>
                  </w:pPr>
                </w:p>
              </w:tc>
              <w:tc>
                <w:tcPr>
                  <w:tcW w:w="1066" w:type="pct"/>
                  <w:vMerge w:val="continue"/>
                  <w:vAlign w:val="center"/>
                </w:tcPr>
                <w:p>
                  <w:pPr>
                    <w:jc w:val="center"/>
                    <w:rPr>
                      <w:rFonts w:hint="eastAsia"/>
                      <w:bCs/>
                      <w:szCs w:val="21"/>
                    </w:rPr>
                  </w:pPr>
                </w:p>
              </w:tc>
              <w:tc>
                <w:tcPr>
                  <w:tcW w:w="1406" w:type="pct"/>
                  <w:vMerge w:val="continue"/>
                  <w:vAlign w:val="center"/>
                </w:tcPr>
                <w:p>
                  <w:pPr>
                    <w:jc w:val="center"/>
                    <w:rPr>
                      <w:bCs/>
                      <w:szCs w:val="21"/>
                    </w:rPr>
                  </w:pPr>
                </w:p>
              </w:tc>
              <w:tc>
                <w:tcPr>
                  <w:tcW w:w="513" w:type="pct"/>
                  <w:vMerge w:val="continue"/>
                  <w:vAlign w:val="center"/>
                </w:tcPr>
                <w:p>
                  <w:pPr>
                    <w:jc w:val="center"/>
                    <w:rPr>
                      <w:rFonts w:hint="eastAsia"/>
                      <w:bCs/>
                      <w:szCs w:val="21"/>
                    </w:rPr>
                  </w:pPr>
                </w:p>
              </w:tc>
              <w:tc>
                <w:tcPr>
                  <w:tcW w:w="1066" w:type="pct"/>
                  <w:vMerge w:val="continue"/>
                  <w:vAlign w:val="center"/>
                </w:tcPr>
                <w:p>
                  <w:pPr>
                    <w:jc w:val="cente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8" w:type="pct"/>
                  <w:vAlign w:val="center"/>
                </w:tcPr>
                <w:p>
                  <w:pPr>
                    <w:jc w:val="center"/>
                    <w:rPr>
                      <w:szCs w:val="21"/>
                    </w:rPr>
                  </w:pPr>
                  <w:r>
                    <w:rPr>
                      <w:rFonts w:hint="eastAsia"/>
                      <w:szCs w:val="21"/>
                    </w:rPr>
                    <w:t>1</w:t>
                  </w:r>
                </w:p>
              </w:tc>
              <w:tc>
                <w:tcPr>
                  <w:tcW w:w="629" w:type="pct"/>
                  <w:vAlign w:val="center"/>
                </w:tcPr>
                <w:p>
                  <w:pPr>
                    <w:jc w:val="center"/>
                    <w:rPr>
                      <w:rFonts w:hint="eastAsia"/>
                      <w:szCs w:val="21"/>
                    </w:rPr>
                  </w:pPr>
                  <w:r>
                    <w:rPr>
                      <w:rFonts w:hint="eastAsia"/>
                      <w:szCs w:val="21"/>
                    </w:rPr>
                    <w:t>搅拌机</w:t>
                  </w:r>
                </w:p>
              </w:tc>
              <w:tc>
                <w:tcPr>
                  <w:tcW w:w="1066" w:type="pct"/>
                  <w:vAlign w:val="center"/>
                </w:tcPr>
                <w:p>
                  <w:pPr>
                    <w:jc w:val="center"/>
                    <w:rPr>
                      <w:szCs w:val="21"/>
                    </w:rPr>
                  </w:pPr>
                  <w:r>
                    <w:rPr>
                      <w:rFonts w:hint="eastAsia"/>
                      <w:szCs w:val="21"/>
                    </w:rPr>
                    <w:t>85</w:t>
                  </w:r>
                </w:p>
              </w:tc>
              <w:tc>
                <w:tcPr>
                  <w:tcW w:w="1406" w:type="pct"/>
                  <w:vAlign w:val="center"/>
                </w:tcPr>
                <w:p>
                  <w:pPr>
                    <w:jc w:val="center"/>
                    <w:rPr>
                      <w:szCs w:val="21"/>
                    </w:rPr>
                  </w:pPr>
                  <w:r>
                    <w:rPr>
                      <w:szCs w:val="21"/>
                    </w:rPr>
                    <w:t>基础减振、厂房隔声</w:t>
                  </w:r>
                </w:p>
              </w:tc>
              <w:tc>
                <w:tcPr>
                  <w:tcW w:w="513" w:type="pct"/>
                  <w:vAlign w:val="center"/>
                </w:tcPr>
                <w:p>
                  <w:pPr>
                    <w:jc w:val="center"/>
                    <w:rPr>
                      <w:rFonts w:hint="eastAsia"/>
                      <w:szCs w:val="21"/>
                    </w:rPr>
                  </w:pPr>
                  <w:r>
                    <w:rPr>
                      <w:rFonts w:hint="eastAsia"/>
                      <w:szCs w:val="21"/>
                    </w:rPr>
                    <w:t>连续</w:t>
                  </w:r>
                </w:p>
              </w:tc>
              <w:tc>
                <w:tcPr>
                  <w:tcW w:w="1066" w:type="pct"/>
                  <w:vAlign w:val="center"/>
                </w:tcPr>
                <w:p>
                  <w:pPr>
                    <w:jc w:val="center"/>
                    <w:rPr>
                      <w:szCs w:val="21"/>
                    </w:rPr>
                  </w:pPr>
                  <w:r>
                    <w:rPr>
                      <w:rFonts w:hint="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8" w:type="pct"/>
                  <w:vAlign w:val="center"/>
                </w:tcPr>
                <w:p>
                  <w:pPr>
                    <w:jc w:val="center"/>
                    <w:rPr>
                      <w:rFonts w:hint="eastAsia"/>
                      <w:szCs w:val="21"/>
                    </w:rPr>
                  </w:pPr>
                  <w:r>
                    <w:rPr>
                      <w:rFonts w:hint="eastAsia"/>
                      <w:szCs w:val="21"/>
                    </w:rPr>
                    <w:t>2</w:t>
                  </w:r>
                </w:p>
              </w:tc>
              <w:tc>
                <w:tcPr>
                  <w:tcW w:w="629" w:type="pct"/>
                  <w:vAlign w:val="center"/>
                </w:tcPr>
                <w:p>
                  <w:pPr>
                    <w:jc w:val="center"/>
                    <w:rPr>
                      <w:szCs w:val="21"/>
                    </w:rPr>
                  </w:pPr>
                  <w:r>
                    <w:rPr>
                      <w:rFonts w:hint="eastAsia"/>
                      <w:szCs w:val="21"/>
                    </w:rPr>
                    <w:t>空压机</w:t>
                  </w:r>
                </w:p>
              </w:tc>
              <w:tc>
                <w:tcPr>
                  <w:tcW w:w="1066" w:type="pct"/>
                  <w:vAlign w:val="center"/>
                </w:tcPr>
                <w:p>
                  <w:pPr>
                    <w:jc w:val="center"/>
                    <w:rPr>
                      <w:szCs w:val="21"/>
                    </w:rPr>
                  </w:pPr>
                  <w:r>
                    <w:rPr>
                      <w:rFonts w:hint="eastAsia"/>
                      <w:szCs w:val="21"/>
                    </w:rPr>
                    <w:t>80</w:t>
                  </w:r>
                </w:p>
              </w:tc>
              <w:tc>
                <w:tcPr>
                  <w:tcW w:w="1406" w:type="pct"/>
                  <w:vAlign w:val="center"/>
                </w:tcPr>
                <w:p>
                  <w:pPr>
                    <w:jc w:val="center"/>
                    <w:rPr>
                      <w:szCs w:val="21"/>
                    </w:rPr>
                  </w:pPr>
                  <w:r>
                    <w:rPr>
                      <w:szCs w:val="21"/>
                    </w:rPr>
                    <w:t>基础减振、厂房隔声</w:t>
                  </w:r>
                </w:p>
              </w:tc>
              <w:tc>
                <w:tcPr>
                  <w:tcW w:w="513" w:type="pct"/>
                  <w:vAlign w:val="center"/>
                </w:tcPr>
                <w:p>
                  <w:pPr>
                    <w:jc w:val="center"/>
                    <w:rPr>
                      <w:rFonts w:hint="eastAsia"/>
                      <w:szCs w:val="21"/>
                    </w:rPr>
                  </w:pPr>
                  <w:r>
                    <w:rPr>
                      <w:rFonts w:hint="eastAsia"/>
                      <w:szCs w:val="21"/>
                    </w:rPr>
                    <w:t>连续</w:t>
                  </w:r>
                </w:p>
              </w:tc>
              <w:tc>
                <w:tcPr>
                  <w:tcW w:w="1066" w:type="pct"/>
                  <w:vAlign w:val="center"/>
                </w:tcPr>
                <w:p>
                  <w:pPr>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8" w:type="pct"/>
                  <w:vAlign w:val="center"/>
                </w:tcPr>
                <w:p>
                  <w:pPr>
                    <w:jc w:val="center"/>
                    <w:rPr>
                      <w:rFonts w:hint="eastAsia"/>
                      <w:szCs w:val="21"/>
                    </w:rPr>
                  </w:pPr>
                  <w:r>
                    <w:rPr>
                      <w:rFonts w:hint="eastAsia"/>
                      <w:szCs w:val="21"/>
                    </w:rPr>
                    <w:t>3</w:t>
                  </w:r>
                </w:p>
              </w:tc>
              <w:tc>
                <w:tcPr>
                  <w:tcW w:w="629" w:type="pct"/>
                  <w:vAlign w:val="center"/>
                </w:tcPr>
                <w:p>
                  <w:pPr>
                    <w:jc w:val="center"/>
                    <w:rPr>
                      <w:szCs w:val="21"/>
                    </w:rPr>
                  </w:pPr>
                  <w:r>
                    <w:rPr>
                      <w:rFonts w:hint="eastAsia"/>
                      <w:szCs w:val="21"/>
                    </w:rPr>
                    <w:t>破碎机</w:t>
                  </w:r>
                </w:p>
              </w:tc>
              <w:tc>
                <w:tcPr>
                  <w:tcW w:w="1066" w:type="pct"/>
                  <w:vAlign w:val="center"/>
                </w:tcPr>
                <w:p>
                  <w:pPr>
                    <w:jc w:val="center"/>
                    <w:rPr>
                      <w:szCs w:val="21"/>
                    </w:rPr>
                  </w:pPr>
                  <w:r>
                    <w:rPr>
                      <w:rFonts w:hint="eastAsia"/>
                      <w:szCs w:val="21"/>
                    </w:rPr>
                    <w:t>85</w:t>
                  </w:r>
                </w:p>
              </w:tc>
              <w:tc>
                <w:tcPr>
                  <w:tcW w:w="1406" w:type="pct"/>
                  <w:vAlign w:val="center"/>
                </w:tcPr>
                <w:p>
                  <w:pPr>
                    <w:jc w:val="center"/>
                    <w:rPr>
                      <w:szCs w:val="21"/>
                    </w:rPr>
                  </w:pPr>
                  <w:r>
                    <w:rPr>
                      <w:szCs w:val="21"/>
                    </w:rPr>
                    <w:t>基础减振、厂房隔声</w:t>
                  </w:r>
                </w:p>
              </w:tc>
              <w:tc>
                <w:tcPr>
                  <w:tcW w:w="513" w:type="pct"/>
                  <w:vAlign w:val="center"/>
                </w:tcPr>
                <w:p>
                  <w:pPr>
                    <w:jc w:val="center"/>
                    <w:rPr>
                      <w:rFonts w:hint="eastAsia"/>
                      <w:szCs w:val="21"/>
                    </w:rPr>
                  </w:pPr>
                  <w:r>
                    <w:rPr>
                      <w:rFonts w:hint="eastAsia"/>
                      <w:szCs w:val="21"/>
                    </w:rPr>
                    <w:t>连续</w:t>
                  </w:r>
                </w:p>
              </w:tc>
              <w:tc>
                <w:tcPr>
                  <w:tcW w:w="1066" w:type="pct"/>
                  <w:vAlign w:val="center"/>
                </w:tcPr>
                <w:p>
                  <w:pPr>
                    <w:jc w:val="center"/>
                    <w:rPr>
                      <w:szCs w:val="21"/>
                    </w:rPr>
                  </w:pPr>
                  <w:r>
                    <w:rPr>
                      <w:rFonts w:hint="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8" w:type="pct"/>
                  <w:vAlign w:val="center"/>
                </w:tcPr>
                <w:p>
                  <w:pPr>
                    <w:jc w:val="center"/>
                    <w:rPr>
                      <w:rFonts w:hint="eastAsia"/>
                      <w:szCs w:val="21"/>
                    </w:rPr>
                  </w:pPr>
                  <w:r>
                    <w:rPr>
                      <w:rFonts w:hint="eastAsia"/>
                      <w:szCs w:val="21"/>
                    </w:rPr>
                    <w:t>4</w:t>
                  </w:r>
                </w:p>
              </w:tc>
              <w:tc>
                <w:tcPr>
                  <w:tcW w:w="629" w:type="pct"/>
                  <w:vAlign w:val="center"/>
                </w:tcPr>
                <w:p>
                  <w:pPr>
                    <w:jc w:val="center"/>
                    <w:rPr>
                      <w:szCs w:val="21"/>
                    </w:rPr>
                  </w:pPr>
                  <w:r>
                    <w:rPr>
                      <w:rFonts w:hint="eastAsia"/>
                      <w:szCs w:val="21"/>
                    </w:rPr>
                    <w:t>筛沙机</w:t>
                  </w:r>
                </w:p>
              </w:tc>
              <w:tc>
                <w:tcPr>
                  <w:tcW w:w="1066" w:type="pct"/>
                  <w:vAlign w:val="center"/>
                </w:tcPr>
                <w:p>
                  <w:pPr>
                    <w:jc w:val="center"/>
                    <w:rPr>
                      <w:szCs w:val="21"/>
                    </w:rPr>
                  </w:pPr>
                  <w:r>
                    <w:rPr>
                      <w:rFonts w:hint="eastAsia"/>
                      <w:szCs w:val="21"/>
                    </w:rPr>
                    <w:t>80</w:t>
                  </w:r>
                </w:p>
              </w:tc>
              <w:tc>
                <w:tcPr>
                  <w:tcW w:w="1406" w:type="pct"/>
                  <w:vAlign w:val="center"/>
                </w:tcPr>
                <w:p>
                  <w:pPr>
                    <w:jc w:val="center"/>
                    <w:rPr>
                      <w:szCs w:val="21"/>
                    </w:rPr>
                  </w:pPr>
                  <w:r>
                    <w:rPr>
                      <w:szCs w:val="21"/>
                    </w:rPr>
                    <w:t>基础减振、厂房隔声</w:t>
                  </w:r>
                </w:p>
              </w:tc>
              <w:tc>
                <w:tcPr>
                  <w:tcW w:w="513" w:type="pct"/>
                  <w:vAlign w:val="center"/>
                </w:tcPr>
                <w:p>
                  <w:pPr>
                    <w:jc w:val="center"/>
                    <w:rPr>
                      <w:rFonts w:hint="eastAsia"/>
                      <w:szCs w:val="21"/>
                    </w:rPr>
                  </w:pPr>
                  <w:r>
                    <w:rPr>
                      <w:rFonts w:hint="eastAsia"/>
                      <w:szCs w:val="21"/>
                    </w:rPr>
                    <w:t>连续</w:t>
                  </w:r>
                </w:p>
              </w:tc>
              <w:tc>
                <w:tcPr>
                  <w:tcW w:w="1066" w:type="pct"/>
                  <w:vAlign w:val="center"/>
                </w:tcPr>
                <w:p>
                  <w:pPr>
                    <w:jc w:val="center"/>
                    <w:rPr>
                      <w:szCs w:val="21"/>
                    </w:rPr>
                  </w:pPr>
                  <w:r>
                    <w:rPr>
                      <w:rFonts w:hint="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8" w:type="pct"/>
                  <w:vAlign w:val="center"/>
                </w:tcPr>
                <w:p>
                  <w:pPr>
                    <w:jc w:val="center"/>
                    <w:rPr>
                      <w:rFonts w:hint="eastAsia"/>
                      <w:szCs w:val="21"/>
                    </w:rPr>
                  </w:pPr>
                  <w:r>
                    <w:rPr>
                      <w:rFonts w:hint="eastAsia"/>
                      <w:szCs w:val="21"/>
                    </w:rPr>
                    <w:t>5</w:t>
                  </w:r>
                </w:p>
              </w:tc>
              <w:tc>
                <w:tcPr>
                  <w:tcW w:w="629" w:type="pct"/>
                  <w:vAlign w:val="center"/>
                </w:tcPr>
                <w:p>
                  <w:pPr>
                    <w:jc w:val="center"/>
                    <w:rPr>
                      <w:szCs w:val="21"/>
                    </w:rPr>
                  </w:pPr>
                  <w:r>
                    <w:rPr>
                      <w:rFonts w:hint="eastAsia"/>
                      <w:szCs w:val="21"/>
                    </w:rPr>
                    <w:t>提升机</w:t>
                  </w:r>
                </w:p>
              </w:tc>
              <w:tc>
                <w:tcPr>
                  <w:tcW w:w="1066" w:type="pct"/>
                  <w:vAlign w:val="center"/>
                </w:tcPr>
                <w:p>
                  <w:pPr>
                    <w:jc w:val="center"/>
                    <w:rPr>
                      <w:szCs w:val="21"/>
                    </w:rPr>
                  </w:pPr>
                  <w:r>
                    <w:rPr>
                      <w:rFonts w:hint="eastAsia"/>
                      <w:szCs w:val="21"/>
                    </w:rPr>
                    <w:t>75</w:t>
                  </w:r>
                </w:p>
              </w:tc>
              <w:tc>
                <w:tcPr>
                  <w:tcW w:w="1406" w:type="pct"/>
                  <w:vAlign w:val="center"/>
                </w:tcPr>
                <w:p>
                  <w:pPr>
                    <w:jc w:val="center"/>
                    <w:rPr>
                      <w:szCs w:val="21"/>
                    </w:rPr>
                  </w:pPr>
                  <w:r>
                    <w:rPr>
                      <w:szCs w:val="21"/>
                    </w:rPr>
                    <w:t>基础减振、厂房隔声</w:t>
                  </w:r>
                </w:p>
              </w:tc>
              <w:tc>
                <w:tcPr>
                  <w:tcW w:w="513" w:type="pct"/>
                  <w:vAlign w:val="center"/>
                </w:tcPr>
                <w:p>
                  <w:pPr>
                    <w:jc w:val="center"/>
                    <w:rPr>
                      <w:rFonts w:hint="eastAsia"/>
                      <w:szCs w:val="21"/>
                    </w:rPr>
                  </w:pPr>
                  <w:r>
                    <w:rPr>
                      <w:rFonts w:hint="eastAsia"/>
                      <w:szCs w:val="21"/>
                    </w:rPr>
                    <w:t>连续</w:t>
                  </w:r>
                </w:p>
              </w:tc>
              <w:tc>
                <w:tcPr>
                  <w:tcW w:w="1066" w:type="pct"/>
                  <w:vAlign w:val="center"/>
                </w:tcPr>
                <w:p>
                  <w:pPr>
                    <w:jc w:val="center"/>
                    <w:rPr>
                      <w:szCs w:val="21"/>
                    </w:rPr>
                  </w:pPr>
                  <w:r>
                    <w:rPr>
                      <w:rFonts w:hint="eastAsia"/>
                      <w:szCs w:val="21"/>
                    </w:rPr>
                    <w:t>55</w:t>
                  </w:r>
                </w:p>
              </w:tc>
            </w:tr>
          </w:tbl>
          <w:p>
            <w:pPr>
              <w:ind w:firstLine="480" w:firstLineChars="200"/>
              <w:rPr>
                <w:rFonts w:hint="eastAsia"/>
                <w:sz w:val="24"/>
                <w:szCs w:val="32"/>
              </w:rPr>
            </w:pPr>
            <w:r>
              <w:rPr>
                <w:rFonts w:hint="eastAsia"/>
                <w:sz w:val="24"/>
                <w:szCs w:val="32"/>
              </w:rPr>
              <w:t>（2）噪声降噪措施</w:t>
            </w:r>
          </w:p>
          <w:p>
            <w:pPr>
              <w:ind w:firstLine="480" w:firstLineChars="200"/>
              <w:rPr>
                <w:rFonts w:hint="eastAsia"/>
                <w:sz w:val="24"/>
                <w:szCs w:val="32"/>
              </w:rPr>
            </w:pPr>
            <w:r>
              <w:rPr>
                <w:rFonts w:hint="eastAsia"/>
                <w:sz w:val="24"/>
                <w:szCs w:val="32"/>
              </w:rPr>
              <w:t>针对各类主要声源的特点，本项目采取隔声、减振等治理措施；对设备产生的机械噪声，在采用提高安装精度，减小声源噪声的同时，主要对厂房等建筑物的隔声、距离衰减等途径进行控制。同时，为进一步降低噪声影响拟采取如下措施：</w:t>
            </w:r>
          </w:p>
          <w:p>
            <w:pPr>
              <w:autoSpaceDE w:val="0"/>
              <w:autoSpaceDN w:val="0"/>
              <w:spacing w:line="480" w:lineRule="exact"/>
              <w:ind w:firstLine="480" w:firstLineChars="200"/>
              <w:rPr>
                <w:rFonts w:hint="eastAsia"/>
                <w:sz w:val="24"/>
                <w:szCs w:val="32"/>
              </w:rPr>
            </w:pPr>
            <w:r>
              <w:rPr>
                <w:rFonts w:hint="eastAsia"/>
                <w:sz w:val="24"/>
                <w:szCs w:val="32"/>
              </w:rPr>
              <w:t>1）在满足工作性能条件下，尽量选用低噪声、振动小的机械动力设备；</w:t>
            </w:r>
          </w:p>
          <w:p>
            <w:pPr>
              <w:autoSpaceDE w:val="0"/>
              <w:autoSpaceDN w:val="0"/>
              <w:spacing w:line="480" w:lineRule="exact"/>
              <w:ind w:firstLine="480" w:firstLineChars="200"/>
              <w:rPr>
                <w:rFonts w:hint="eastAsia"/>
                <w:sz w:val="24"/>
                <w:szCs w:val="32"/>
              </w:rPr>
            </w:pPr>
            <w:r>
              <w:rPr>
                <w:rFonts w:hint="eastAsia"/>
                <w:sz w:val="24"/>
                <w:szCs w:val="32"/>
              </w:rPr>
              <w:t>2）振动较大的设备采用单独基础，在其基础上采取相应的减振措施；</w:t>
            </w:r>
          </w:p>
          <w:p>
            <w:pPr>
              <w:autoSpaceDE w:val="0"/>
              <w:autoSpaceDN w:val="0"/>
              <w:spacing w:line="480" w:lineRule="exact"/>
              <w:ind w:firstLine="480" w:firstLineChars="200"/>
              <w:rPr>
                <w:rFonts w:hint="eastAsia"/>
                <w:sz w:val="24"/>
                <w:szCs w:val="32"/>
              </w:rPr>
            </w:pPr>
            <w:r>
              <w:rPr>
                <w:rFonts w:hint="eastAsia"/>
                <w:sz w:val="24"/>
                <w:szCs w:val="32"/>
              </w:rPr>
              <w:t>3）在总图布置时考虑地形、声源方向性和厂房阻挡、绿化等因素，进行合理布局，以求进一步降低厂界噪声；</w:t>
            </w:r>
          </w:p>
          <w:p>
            <w:pPr>
              <w:autoSpaceDE w:val="0"/>
              <w:autoSpaceDN w:val="0"/>
              <w:spacing w:line="480" w:lineRule="exact"/>
              <w:ind w:firstLine="480" w:firstLineChars="200"/>
              <w:rPr>
                <w:rFonts w:hint="eastAsia"/>
                <w:sz w:val="24"/>
                <w:szCs w:val="32"/>
              </w:rPr>
            </w:pPr>
            <w:r>
              <w:rPr>
                <w:rFonts w:hint="eastAsia"/>
                <w:sz w:val="24"/>
                <w:szCs w:val="32"/>
              </w:rPr>
              <w:t>4）各辅助设备本体与供连接管采用软接头连接；</w:t>
            </w:r>
          </w:p>
          <w:p>
            <w:pPr>
              <w:autoSpaceDE w:val="0"/>
              <w:autoSpaceDN w:val="0"/>
              <w:spacing w:line="480" w:lineRule="exact"/>
              <w:ind w:firstLine="480" w:firstLineChars="200"/>
              <w:rPr>
                <w:rFonts w:hint="eastAsia"/>
                <w:sz w:val="24"/>
                <w:szCs w:val="32"/>
              </w:rPr>
            </w:pPr>
            <w:r>
              <w:rPr>
                <w:rFonts w:hint="eastAsia"/>
                <w:sz w:val="24"/>
                <w:szCs w:val="32"/>
              </w:rPr>
              <w:t>5）对各生产线设备运行产生的噪声，采用厂房隔声、个人防护及设置隔声操作室等措施降噪。</w:t>
            </w:r>
          </w:p>
          <w:p>
            <w:pPr>
              <w:autoSpaceDE w:val="0"/>
              <w:autoSpaceDN w:val="0"/>
              <w:spacing w:line="480" w:lineRule="exact"/>
              <w:ind w:firstLine="480" w:firstLineChars="200"/>
              <w:rPr>
                <w:sz w:val="24"/>
                <w:szCs w:val="32"/>
              </w:rPr>
            </w:pPr>
            <w:r>
              <w:rPr>
                <w:rFonts w:hint="eastAsia"/>
                <w:sz w:val="24"/>
                <w:szCs w:val="32"/>
              </w:rPr>
              <w:t>（3）噪声预测结果分析</w:t>
            </w:r>
          </w:p>
          <w:p>
            <w:pPr>
              <w:autoSpaceDE w:val="0"/>
              <w:autoSpaceDN w:val="0"/>
              <w:spacing w:line="480" w:lineRule="exact"/>
              <w:ind w:firstLine="480" w:firstLineChars="200"/>
              <w:rPr>
                <w:rFonts w:hint="eastAsia"/>
                <w:sz w:val="24"/>
                <w:szCs w:val="32"/>
              </w:rPr>
            </w:pPr>
            <w:r>
              <w:rPr>
                <w:rFonts w:hint="eastAsia"/>
                <w:sz w:val="24"/>
                <w:szCs w:val="32"/>
              </w:rPr>
              <w:t>按照预测模式及选取参数并结合现有项目检测报告：第二次阶段性竣工验收监测报告（恒一（HYS）20211024G）（见附件），本项目对厂界噪声值预测结果见表2</w:t>
            </w:r>
            <w:r>
              <w:rPr>
                <w:rFonts w:hint="eastAsia"/>
                <w:sz w:val="24"/>
                <w:szCs w:val="32"/>
                <w:lang w:val="en-US" w:eastAsia="zh-CN"/>
              </w:rPr>
              <w:t>3</w:t>
            </w:r>
            <w:r>
              <w:rPr>
                <w:rFonts w:hint="eastAsia"/>
                <w:sz w:val="24"/>
                <w:szCs w:val="32"/>
              </w:rPr>
              <w:t>。</w:t>
            </w:r>
          </w:p>
          <w:p>
            <w:pPr>
              <w:autoSpaceDE w:val="0"/>
              <w:autoSpaceDN w:val="0"/>
              <w:spacing w:line="480" w:lineRule="exact"/>
              <w:ind w:firstLine="422" w:firstLineChars="200"/>
              <w:jc w:val="center"/>
              <w:rPr>
                <w:rFonts w:hint="eastAsia"/>
              </w:rPr>
            </w:pPr>
            <w:r>
              <w:rPr>
                <w:rFonts w:hint="eastAsia"/>
                <w:b/>
                <w:bCs/>
                <w:sz w:val="21"/>
                <w:szCs w:val="21"/>
              </w:rPr>
              <w:t>表2</w:t>
            </w:r>
            <w:r>
              <w:rPr>
                <w:rFonts w:hint="eastAsia"/>
                <w:b/>
                <w:bCs/>
                <w:sz w:val="21"/>
                <w:szCs w:val="21"/>
                <w:lang w:val="en-US" w:eastAsia="zh-CN"/>
              </w:rPr>
              <w:t>3</w:t>
            </w:r>
            <w:r>
              <w:rPr>
                <w:rFonts w:hint="eastAsia"/>
                <w:b/>
                <w:bCs/>
                <w:sz w:val="21"/>
                <w:szCs w:val="21"/>
              </w:rPr>
              <w:t xml:space="preserve">  噪声预测结果一览表 单位：dB(A)</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83"/>
              <w:gridCol w:w="1232"/>
              <w:gridCol w:w="1248"/>
              <w:gridCol w:w="795"/>
              <w:gridCol w:w="781"/>
              <w:gridCol w:w="795"/>
              <w:gridCol w:w="82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25" w:type="pct"/>
                  <w:vMerge w:val="restart"/>
                  <w:vAlign w:val="center"/>
                </w:tcPr>
                <w:p>
                  <w:pPr>
                    <w:spacing w:line="240" w:lineRule="auto"/>
                    <w:jc w:val="center"/>
                    <w:rPr>
                      <w:color w:val="000000"/>
                      <w:szCs w:val="21"/>
                    </w:rPr>
                  </w:pPr>
                  <w:r>
                    <w:rPr>
                      <w:color w:val="000000"/>
                      <w:szCs w:val="21"/>
                    </w:rPr>
                    <w:t>预测点</w:t>
                  </w:r>
                </w:p>
              </w:tc>
              <w:tc>
                <w:tcPr>
                  <w:tcW w:w="556" w:type="pct"/>
                  <w:vMerge w:val="restart"/>
                  <w:vAlign w:val="center"/>
                </w:tcPr>
                <w:p>
                  <w:pPr>
                    <w:spacing w:line="240" w:lineRule="auto"/>
                    <w:jc w:val="center"/>
                    <w:rPr>
                      <w:color w:val="000000"/>
                      <w:szCs w:val="21"/>
                    </w:rPr>
                  </w:pPr>
                  <w:r>
                    <w:rPr>
                      <w:color w:val="000000"/>
                      <w:szCs w:val="21"/>
                    </w:rPr>
                    <w:t>设备</w:t>
                  </w:r>
                </w:p>
              </w:tc>
              <w:tc>
                <w:tcPr>
                  <w:tcW w:w="775" w:type="pct"/>
                  <w:vMerge w:val="restart"/>
                  <w:vAlign w:val="center"/>
                </w:tcPr>
                <w:p>
                  <w:pPr>
                    <w:spacing w:line="240" w:lineRule="auto"/>
                    <w:jc w:val="center"/>
                    <w:rPr>
                      <w:color w:val="000000"/>
                      <w:szCs w:val="21"/>
                    </w:rPr>
                  </w:pPr>
                  <w:r>
                    <w:rPr>
                      <w:color w:val="000000"/>
                      <w:szCs w:val="21"/>
                    </w:rPr>
                    <w:t>治理后声源值dB（A）</w:t>
                  </w:r>
                </w:p>
              </w:tc>
              <w:tc>
                <w:tcPr>
                  <w:tcW w:w="785" w:type="pct"/>
                  <w:vMerge w:val="restart"/>
                  <w:vAlign w:val="center"/>
                </w:tcPr>
                <w:p>
                  <w:pPr>
                    <w:spacing w:line="240" w:lineRule="auto"/>
                    <w:jc w:val="center"/>
                    <w:rPr>
                      <w:color w:val="000000"/>
                      <w:szCs w:val="21"/>
                    </w:rPr>
                  </w:pPr>
                  <w:r>
                    <w:rPr>
                      <w:rFonts w:hint="eastAsia"/>
                      <w:color w:val="000000"/>
                      <w:szCs w:val="21"/>
                      <w:lang w:val="en-US" w:eastAsia="zh-CN"/>
                    </w:rPr>
                    <w:t>本</w:t>
                  </w:r>
                  <w:r>
                    <w:rPr>
                      <w:color w:val="000000"/>
                      <w:szCs w:val="21"/>
                    </w:rPr>
                    <w:t>项目贡献值dB（A）</w:t>
                  </w:r>
                </w:p>
              </w:tc>
              <w:tc>
                <w:tcPr>
                  <w:tcW w:w="992" w:type="pct"/>
                  <w:gridSpan w:val="2"/>
                  <w:vAlign w:val="center"/>
                </w:tcPr>
                <w:p>
                  <w:pPr>
                    <w:spacing w:line="240" w:lineRule="auto"/>
                    <w:jc w:val="center"/>
                    <w:rPr>
                      <w:color w:val="000000"/>
                      <w:szCs w:val="21"/>
                    </w:rPr>
                  </w:pPr>
                  <w:r>
                    <w:rPr>
                      <w:color w:val="000000"/>
                      <w:szCs w:val="21"/>
                    </w:rPr>
                    <w:t>现有工程</w:t>
                  </w:r>
                  <w:r>
                    <w:rPr>
                      <w:rFonts w:hint="eastAsia"/>
                      <w:color w:val="000000"/>
                      <w:szCs w:val="21"/>
                      <w:lang w:val="en-US" w:eastAsia="zh-CN"/>
                    </w:rPr>
                    <w:t>监测值</w:t>
                  </w:r>
                  <w:r>
                    <w:rPr>
                      <w:color w:val="000000"/>
                      <w:szCs w:val="21"/>
                    </w:rPr>
                    <w:t>dB（A）</w:t>
                  </w:r>
                </w:p>
              </w:tc>
              <w:tc>
                <w:tcPr>
                  <w:tcW w:w="1019" w:type="pct"/>
                  <w:gridSpan w:val="2"/>
                  <w:vAlign w:val="center"/>
                </w:tcPr>
                <w:p>
                  <w:pPr>
                    <w:spacing w:line="240" w:lineRule="auto"/>
                    <w:jc w:val="center"/>
                    <w:rPr>
                      <w:color w:val="000000"/>
                      <w:szCs w:val="21"/>
                    </w:rPr>
                  </w:pPr>
                  <w:r>
                    <w:rPr>
                      <w:color w:val="000000"/>
                      <w:szCs w:val="21"/>
                    </w:rPr>
                    <w:t>项目建成后全厂</w:t>
                  </w:r>
                  <w:r>
                    <w:rPr>
                      <w:rFonts w:hint="eastAsia"/>
                      <w:color w:val="000000"/>
                      <w:szCs w:val="21"/>
                      <w:lang w:val="en-US" w:eastAsia="zh-CN"/>
                    </w:rPr>
                    <w:t>预测</w:t>
                  </w:r>
                  <w:r>
                    <w:rPr>
                      <w:color w:val="000000"/>
                      <w:szCs w:val="21"/>
                    </w:rPr>
                    <w:t>值dB（A）</w:t>
                  </w:r>
                </w:p>
              </w:tc>
              <w:tc>
                <w:tcPr>
                  <w:tcW w:w="443" w:type="pct"/>
                  <w:vMerge w:val="restart"/>
                  <w:vAlign w:val="center"/>
                </w:tcPr>
                <w:p>
                  <w:pPr>
                    <w:spacing w:line="240" w:lineRule="auto"/>
                    <w:jc w:val="center"/>
                    <w:rPr>
                      <w:color w:val="000000"/>
                      <w:szCs w:val="21"/>
                    </w:rPr>
                  </w:pPr>
                  <w:r>
                    <w:rPr>
                      <w:rFonts w:hint="eastAsia"/>
                      <w:color w:val="000000"/>
                      <w:szCs w:val="21"/>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25" w:type="pct"/>
                  <w:vMerge w:val="continue"/>
                  <w:vAlign w:val="center"/>
                </w:tcPr>
                <w:p>
                  <w:pPr>
                    <w:spacing w:line="240" w:lineRule="auto"/>
                    <w:jc w:val="center"/>
                    <w:rPr>
                      <w:color w:val="000000"/>
                      <w:szCs w:val="21"/>
                    </w:rPr>
                  </w:pPr>
                </w:p>
              </w:tc>
              <w:tc>
                <w:tcPr>
                  <w:tcW w:w="556" w:type="pct"/>
                  <w:vMerge w:val="continue"/>
                  <w:vAlign w:val="center"/>
                </w:tcPr>
                <w:p>
                  <w:pPr>
                    <w:spacing w:line="240" w:lineRule="auto"/>
                    <w:jc w:val="center"/>
                    <w:rPr>
                      <w:color w:val="000000"/>
                      <w:szCs w:val="21"/>
                    </w:rPr>
                  </w:pPr>
                </w:p>
              </w:tc>
              <w:tc>
                <w:tcPr>
                  <w:tcW w:w="775" w:type="pct"/>
                  <w:vMerge w:val="continue"/>
                  <w:vAlign w:val="center"/>
                </w:tcPr>
                <w:p>
                  <w:pPr>
                    <w:spacing w:line="240" w:lineRule="auto"/>
                    <w:jc w:val="center"/>
                    <w:rPr>
                      <w:color w:val="000000"/>
                      <w:szCs w:val="21"/>
                    </w:rPr>
                  </w:pPr>
                </w:p>
              </w:tc>
              <w:tc>
                <w:tcPr>
                  <w:tcW w:w="785" w:type="pct"/>
                  <w:vMerge w:val="continue"/>
                  <w:vAlign w:val="center"/>
                </w:tcPr>
                <w:p>
                  <w:pPr>
                    <w:spacing w:line="240" w:lineRule="auto"/>
                    <w:jc w:val="center"/>
                    <w:rPr>
                      <w:color w:val="000000"/>
                      <w:szCs w:val="21"/>
                    </w:rPr>
                  </w:pPr>
                </w:p>
              </w:tc>
              <w:tc>
                <w:tcPr>
                  <w:tcW w:w="500" w:type="pct"/>
                  <w:vAlign w:val="center"/>
                </w:tcPr>
                <w:p>
                  <w:pPr>
                    <w:spacing w:line="240" w:lineRule="auto"/>
                    <w:jc w:val="center"/>
                    <w:rPr>
                      <w:color w:val="000000"/>
                      <w:szCs w:val="21"/>
                    </w:rPr>
                  </w:pPr>
                  <w:r>
                    <w:rPr>
                      <w:color w:val="000000"/>
                      <w:szCs w:val="21"/>
                    </w:rPr>
                    <w:t>昼间</w:t>
                  </w:r>
                </w:p>
              </w:tc>
              <w:tc>
                <w:tcPr>
                  <w:tcW w:w="491" w:type="pct"/>
                  <w:vAlign w:val="center"/>
                </w:tcPr>
                <w:p>
                  <w:pPr>
                    <w:spacing w:line="240" w:lineRule="auto"/>
                    <w:jc w:val="center"/>
                    <w:rPr>
                      <w:color w:val="000000"/>
                      <w:szCs w:val="21"/>
                    </w:rPr>
                  </w:pPr>
                  <w:r>
                    <w:rPr>
                      <w:color w:val="000000"/>
                      <w:szCs w:val="21"/>
                    </w:rPr>
                    <w:t>夜间</w:t>
                  </w:r>
                </w:p>
              </w:tc>
              <w:tc>
                <w:tcPr>
                  <w:tcW w:w="500" w:type="pct"/>
                  <w:vAlign w:val="center"/>
                </w:tcPr>
                <w:p>
                  <w:pPr>
                    <w:spacing w:line="240" w:lineRule="auto"/>
                    <w:jc w:val="center"/>
                    <w:rPr>
                      <w:color w:val="000000"/>
                      <w:szCs w:val="21"/>
                    </w:rPr>
                  </w:pPr>
                  <w:r>
                    <w:rPr>
                      <w:color w:val="000000"/>
                      <w:szCs w:val="21"/>
                    </w:rPr>
                    <w:t>昼间</w:t>
                  </w:r>
                </w:p>
              </w:tc>
              <w:tc>
                <w:tcPr>
                  <w:tcW w:w="519" w:type="pct"/>
                  <w:vAlign w:val="center"/>
                </w:tcPr>
                <w:p>
                  <w:pPr>
                    <w:spacing w:line="240" w:lineRule="auto"/>
                    <w:jc w:val="center"/>
                    <w:rPr>
                      <w:color w:val="000000"/>
                      <w:szCs w:val="21"/>
                    </w:rPr>
                  </w:pPr>
                  <w:r>
                    <w:rPr>
                      <w:color w:val="000000"/>
                      <w:szCs w:val="21"/>
                    </w:rPr>
                    <w:t>夜间</w:t>
                  </w:r>
                </w:p>
              </w:tc>
              <w:tc>
                <w:tcPr>
                  <w:tcW w:w="443" w:type="pct"/>
                  <w:vMerge w:val="continue"/>
                  <w:vAlign w:val="center"/>
                </w:tcPr>
                <w:p>
                  <w:pPr>
                    <w:spacing w:line="24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uto"/>
                    <w:jc w:val="center"/>
                    <w:rPr>
                      <w:color w:val="000000"/>
                      <w:szCs w:val="21"/>
                    </w:rPr>
                  </w:pPr>
                  <w:r>
                    <w:rPr>
                      <w:color w:val="000000"/>
                      <w:szCs w:val="21"/>
                    </w:rPr>
                    <w:t>东厂界</w:t>
                  </w:r>
                </w:p>
              </w:tc>
              <w:tc>
                <w:tcPr>
                  <w:tcW w:w="556" w:type="pct"/>
                  <w:vMerge w:val="restart"/>
                  <w:vAlign w:val="center"/>
                </w:tcPr>
                <w:p>
                  <w:pPr>
                    <w:spacing w:line="240" w:lineRule="auto"/>
                    <w:jc w:val="center"/>
                    <w:rPr>
                      <w:color w:val="000000"/>
                      <w:szCs w:val="21"/>
                    </w:rPr>
                  </w:pPr>
                  <w:r>
                    <w:rPr>
                      <w:color w:val="000000"/>
                      <w:szCs w:val="21"/>
                    </w:rPr>
                    <w:t>各种设备和风机等产噪设备</w:t>
                  </w:r>
                </w:p>
              </w:tc>
              <w:tc>
                <w:tcPr>
                  <w:tcW w:w="775" w:type="pct"/>
                  <w:vAlign w:val="center"/>
                </w:tcPr>
                <w:p>
                  <w:pPr>
                    <w:spacing w:line="240" w:lineRule="auto"/>
                    <w:jc w:val="center"/>
                    <w:rPr>
                      <w:color w:val="000000"/>
                      <w:szCs w:val="21"/>
                    </w:rPr>
                  </w:pPr>
                  <w:r>
                    <w:rPr>
                      <w:rFonts w:hint="eastAsia"/>
                      <w:color w:val="000000"/>
                      <w:szCs w:val="21"/>
                    </w:rPr>
                    <w:t>61.3</w:t>
                  </w:r>
                </w:p>
              </w:tc>
              <w:tc>
                <w:tcPr>
                  <w:tcW w:w="785" w:type="pct"/>
                  <w:vAlign w:val="center"/>
                </w:tcPr>
                <w:p>
                  <w:pPr>
                    <w:spacing w:line="240" w:lineRule="auto"/>
                    <w:jc w:val="center"/>
                    <w:rPr>
                      <w:color w:val="000000"/>
                      <w:szCs w:val="21"/>
                    </w:rPr>
                  </w:pPr>
                  <w:r>
                    <w:rPr>
                      <w:color w:val="000000"/>
                      <w:szCs w:val="21"/>
                    </w:rPr>
                    <w:t>15.9</w:t>
                  </w:r>
                </w:p>
              </w:tc>
              <w:tc>
                <w:tcPr>
                  <w:tcW w:w="500"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57.4</w:t>
                  </w:r>
                </w:p>
              </w:tc>
              <w:tc>
                <w:tcPr>
                  <w:tcW w:w="491"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47.8</w:t>
                  </w:r>
                </w:p>
              </w:tc>
              <w:tc>
                <w:tcPr>
                  <w:tcW w:w="823" w:type="dxa"/>
                  <w:vAlign w:val="center"/>
                </w:tcPr>
                <w:p>
                  <w:pPr>
                    <w:autoSpaceDE w:val="0"/>
                    <w:autoSpaceDN w:val="0"/>
                    <w:spacing w:line="240" w:lineRule="auto"/>
                    <w:jc w:val="center"/>
                    <w:rPr>
                      <w:color w:val="000000"/>
                      <w:szCs w:val="21"/>
                    </w:rPr>
                  </w:pPr>
                  <w:r>
                    <w:rPr>
                      <w:rFonts w:hint="eastAsia"/>
                      <w:color w:val="000000"/>
                      <w:szCs w:val="21"/>
                    </w:rPr>
                    <w:t>63.8</w:t>
                  </w:r>
                </w:p>
              </w:tc>
              <w:tc>
                <w:tcPr>
                  <w:tcW w:w="853" w:type="dxa"/>
                  <w:vAlign w:val="center"/>
                </w:tcPr>
                <w:p>
                  <w:pPr>
                    <w:autoSpaceDE w:val="0"/>
                    <w:autoSpaceDN w:val="0"/>
                    <w:spacing w:line="240" w:lineRule="auto"/>
                    <w:jc w:val="center"/>
                    <w:rPr>
                      <w:color w:val="000000"/>
                      <w:szCs w:val="21"/>
                    </w:rPr>
                  </w:pPr>
                  <w:r>
                    <w:rPr>
                      <w:color w:val="000000"/>
                      <w:szCs w:val="21"/>
                    </w:rPr>
                    <w:t>46.4</w:t>
                  </w:r>
                </w:p>
              </w:tc>
              <w:tc>
                <w:tcPr>
                  <w:tcW w:w="443" w:type="pct"/>
                  <w:vAlign w:val="center"/>
                </w:tcPr>
                <w:p>
                  <w:pPr>
                    <w:autoSpaceDE w:val="0"/>
                    <w:autoSpaceDN w:val="0"/>
                    <w:spacing w:line="240" w:lineRule="auto"/>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uto"/>
                    <w:jc w:val="center"/>
                    <w:rPr>
                      <w:color w:val="000000"/>
                      <w:szCs w:val="21"/>
                    </w:rPr>
                  </w:pPr>
                  <w:r>
                    <w:rPr>
                      <w:color w:val="000000"/>
                      <w:szCs w:val="21"/>
                    </w:rPr>
                    <w:t>南厂界</w:t>
                  </w:r>
                </w:p>
              </w:tc>
              <w:tc>
                <w:tcPr>
                  <w:tcW w:w="556" w:type="pct"/>
                  <w:vMerge w:val="continue"/>
                  <w:vAlign w:val="center"/>
                </w:tcPr>
                <w:p>
                  <w:pPr>
                    <w:spacing w:line="240" w:lineRule="auto"/>
                    <w:jc w:val="center"/>
                    <w:rPr>
                      <w:color w:val="000000"/>
                      <w:szCs w:val="21"/>
                    </w:rPr>
                  </w:pPr>
                </w:p>
              </w:tc>
              <w:tc>
                <w:tcPr>
                  <w:tcW w:w="775" w:type="pct"/>
                  <w:vAlign w:val="center"/>
                </w:tcPr>
                <w:p>
                  <w:pPr>
                    <w:spacing w:line="240" w:lineRule="auto"/>
                    <w:jc w:val="center"/>
                    <w:rPr>
                      <w:color w:val="000000"/>
                      <w:szCs w:val="21"/>
                    </w:rPr>
                  </w:pPr>
                  <w:r>
                    <w:rPr>
                      <w:rFonts w:hint="eastAsia"/>
                      <w:color w:val="000000"/>
                      <w:szCs w:val="21"/>
                    </w:rPr>
                    <w:t>62.5</w:t>
                  </w:r>
                </w:p>
              </w:tc>
              <w:tc>
                <w:tcPr>
                  <w:tcW w:w="785" w:type="pct"/>
                  <w:vAlign w:val="center"/>
                </w:tcPr>
                <w:p>
                  <w:pPr>
                    <w:spacing w:line="240" w:lineRule="auto"/>
                    <w:jc w:val="center"/>
                    <w:rPr>
                      <w:color w:val="000000"/>
                      <w:szCs w:val="21"/>
                    </w:rPr>
                  </w:pPr>
                  <w:r>
                    <w:rPr>
                      <w:rFonts w:hint="eastAsia"/>
                      <w:color w:val="000000"/>
                      <w:szCs w:val="21"/>
                    </w:rPr>
                    <w:t>16.9</w:t>
                  </w:r>
                </w:p>
              </w:tc>
              <w:tc>
                <w:tcPr>
                  <w:tcW w:w="500"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58.2</w:t>
                  </w:r>
                </w:p>
              </w:tc>
              <w:tc>
                <w:tcPr>
                  <w:tcW w:w="491"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48.1</w:t>
                  </w:r>
                </w:p>
              </w:tc>
              <w:tc>
                <w:tcPr>
                  <w:tcW w:w="823" w:type="dxa"/>
                  <w:vAlign w:val="center"/>
                </w:tcPr>
                <w:p>
                  <w:pPr>
                    <w:autoSpaceDE w:val="0"/>
                    <w:autoSpaceDN w:val="0"/>
                    <w:spacing w:line="240" w:lineRule="auto"/>
                    <w:jc w:val="center"/>
                    <w:rPr>
                      <w:color w:val="000000"/>
                      <w:szCs w:val="21"/>
                    </w:rPr>
                  </w:pPr>
                  <w:r>
                    <w:rPr>
                      <w:rFonts w:hint="eastAsia"/>
                      <w:color w:val="000000"/>
                      <w:szCs w:val="21"/>
                    </w:rPr>
                    <w:t>64.5</w:t>
                  </w:r>
                </w:p>
              </w:tc>
              <w:tc>
                <w:tcPr>
                  <w:tcW w:w="853" w:type="dxa"/>
                  <w:vAlign w:val="center"/>
                </w:tcPr>
                <w:p>
                  <w:pPr>
                    <w:autoSpaceDE w:val="0"/>
                    <w:autoSpaceDN w:val="0"/>
                    <w:spacing w:line="240" w:lineRule="auto"/>
                    <w:jc w:val="center"/>
                    <w:rPr>
                      <w:color w:val="000000"/>
                      <w:szCs w:val="21"/>
                    </w:rPr>
                  </w:pPr>
                  <w:r>
                    <w:rPr>
                      <w:color w:val="000000"/>
                      <w:szCs w:val="21"/>
                    </w:rPr>
                    <w:t>47.2</w:t>
                  </w:r>
                </w:p>
              </w:tc>
              <w:tc>
                <w:tcPr>
                  <w:tcW w:w="443" w:type="pct"/>
                  <w:vAlign w:val="center"/>
                </w:tcPr>
                <w:p>
                  <w:pPr>
                    <w:autoSpaceDE w:val="0"/>
                    <w:autoSpaceDN w:val="0"/>
                    <w:spacing w:line="240" w:lineRule="auto"/>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uto"/>
                    <w:jc w:val="center"/>
                    <w:rPr>
                      <w:color w:val="000000"/>
                      <w:szCs w:val="21"/>
                    </w:rPr>
                  </w:pPr>
                  <w:r>
                    <w:rPr>
                      <w:color w:val="000000"/>
                      <w:szCs w:val="21"/>
                    </w:rPr>
                    <w:t>西厂界</w:t>
                  </w:r>
                </w:p>
              </w:tc>
              <w:tc>
                <w:tcPr>
                  <w:tcW w:w="556" w:type="pct"/>
                  <w:vMerge w:val="continue"/>
                  <w:vAlign w:val="center"/>
                </w:tcPr>
                <w:p>
                  <w:pPr>
                    <w:spacing w:line="240" w:lineRule="auto"/>
                    <w:jc w:val="center"/>
                    <w:rPr>
                      <w:color w:val="000000"/>
                      <w:szCs w:val="21"/>
                    </w:rPr>
                  </w:pPr>
                </w:p>
              </w:tc>
              <w:tc>
                <w:tcPr>
                  <w:tcW w:w="775" w:type="pct"/>
                  <w:vAlign w:val="center"/>
                </w:tcPr>
                <w:p>
                  <w:pPr>
                    <w:spacing w:line="240" w:lineRule="auto"/>
                    <w:jc w:val="center"/>
                    <w:rPr>
                      <w:color w:val="000000"/>
                      <w:szCs w:val="21"/>
                    </w:rPr>
                  </w:pPr>
                  <w:r>
                    <w:rPr>
                      <w:rFonts w:hint="eastAsia"/>
                      <w:color w:val="000000"/>
                      <w:szCs w:val="21"/>
                    </w:rPr>
                    <w:t>60.6</w:t>
                  </w:r>
                </w:p>
              </w:tc>
              <w:tc>
                <w:tcPr>
                  <w:tcW w:w="785" w:type="pct"/>
                  <w:vAlign w:val="center"/>
                </w:tcPr>
                <w:p>
                  <w:pPr>
                    <w:spacing w:line="240" w:lineRule="auto"/>
                    <w:jc w:val="center"/>
                    <w:rPr>
                      <w:color w:val="000000"/>
                      <w:szCs w:val="21"/>
                    </w:rPr>
                  </w:pPr>
                  <w:r>
                    <w:rPr>
                      <w:rFonts w:hint="eastAsia"/>
                      <w:color w:val="000000"/>
                      <w:szCs w:val="21"/>
                    </w:rPr>
                    <w:t>20.5</w:t>
                  </w:r>
                </w:p>
              </w:tc>
              <w:tc>
                <w:tcPr>
                  <w:tcW w:w="500"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58.0</w:t>
                  </w:r>
                </w:p>
              </w:tc>
              <w:tc>
                <w:tcPr>
                  <w:tcW w:w="491"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47.7</w:t>
                  </w:r>
                </w:p>
              </w:tc>
              <w:tc>
                <w:tcPr>
                  <w:tcW w:w="823" w:type="dxa"/>
                  <w:vAlign w:val="center"/>
                </w:tcPr>
                <w:p>
                  <w:pPr>
                    <w:autoSpaceDE w:val="0"/>
                    <w:autoSpaceDN w:val="0"/>
                    <w:spacing w:line="240" w:lineRule="auto"/>
                    <w:jc w:val="center"/>
                    <w:rPr>
                      <w:color w:val="000000"/>
                      <w:szCs w:val="21"/>
                    </w:rPr>
                  </w:pPr>
                  <w:r>
                    <w:rPr>
                      <w:rFonts w:hint="eastAsia"/>
                      <w:color w:val="000000"/>
                      <w:szCs w:val="21"/>
                    </w:rPr>
                    <w:t>62.9</w:t>
                  </w:r>
                </w:p>
              </w:tc>
              <w:tc>
                <w:tcPr>
                  <w:tcW w:w="853" w:type="dxa"/>
                  <w:vAlign w:val="center"/>
                </w:tcPr>
                <w:p>
                  <w:pPr>
                    <w:autoSpaceDE w:val="0"/>
                    <w:autoSpaceDN w:val="0"/>
                    <w:spacing w:line="240" w:lineRule="auto"/>
                    <w:jc w:val="center"/>
                    <w:rPr>
                      <w:color w:val="000000"/>
                      <w:szCs w:val="21"/>
                    </w:rPr>
                  </w:pPr>
                  <w:r>
                    <w:rPr>
                      <w:color w:val="000000"/>
                      <w:szCs w:val="21"/>
                    </w:rPr>
                    <w:t>5</w:t>
                  </w:r>
                  <w:r>
                    <w:rPr>
                      <w:rFonts w:hint="eastAsia"/>
                      <w:color w:val="000000"/>
                      <w:szCs w:val="21"/>
                    </w:rPr>
                    <w:t>2</w:t>
                  </w:r>
                  <w:r>
                    <w:rPr>
                      <w:color w:val="000000"/>
                      <w:szCs w:val="21"/>
                    </w:rPr>
                    <w:t>.6</w:t>
                  </w:r>
                </w:p>
              </w:tc>
              <w:tc>
                <w:tcPr>
                  <w:tcW w:w="443" w:type="pct"/>
                  <w:vAlign w:val="center"/>
                </w:tcPr>
                <w:p>
                  <w:pPr>
                    <w:autoSpaceDE w:val="0"/>
                    <w:autoSpaceDN w:val="0"/>
                    <w:spacing w:line="240" w:lineRule="auto"/>
                    <w:jc w:val="center"/>
                    <w:rPr>
                      <w:color w:val="000000"/>
                      <w:szCs w:val="21"/>
                    </w:rPr>
                  </w:pPr>
                  <w:r>
                    <w:rPr>
                      <w:rFonts w:hint="eastAsia"/>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spacing w:line="240" w:lineRule="auto"/>
                    <w:jc w:val="center"/>
                    <w:rPr>
                      <w:color w:val="000000"/>
                      <w:szCs w:val="21"/>
                    </w:rPr>
                  </w:pPr>
                  <w:r>
                    <w:rPr>
                      <w:color w:val="000000"/>
                      <w:szCs w:val="21"/>
                    </w:rPr>
                    <w:t>北厂界</w:t>
                  </w:r>
                </w:p>
              </w:tc>
              <w:tc>
                <w:tcPr>
                  <w:tcW w:w="556" w:type="pct"/>
                  <w:vMerge w:val="continue"/>
                  <w:vAlign w:val="center"/>
                </w:tcPr>
                <w:p>
                  <w:pPr>
                    <w:spacing w:line="240" w:lineRule="auto"/>
                    <w:jc w:val="center"/>
                    <w:rPr>
                      <w:color w:val="000000"/>
                      <w:szCs w:val="21"/>
                    </w:rPr>
                  </w:pPr>
                </w:p>
              </w:tc>
              <w:tc>
                <w:tcPr>
                  <w:tcW w:w="775" w:type="pct"/>
                  <w:vAlign w:val="center"/>
                </w:tcPr>
                <w:p>
                  <w:pPr>
                    <w:spacing w:line="240" w:lineRule="auto"/>
                    <w:jc w:val="center"/>
                    <w:rPr>
                      <w:color w:val="000000"/>
                      <w:szCs w:val="21"/>
                    </w:rPr>
                  </w:pPr>
                  <w:r>
                    <w:rPr>
                      <w:rFonts w:hint="eastAsia"/>
                      <w:color w:val="000000"/>
                      <w:szCs w:val="21"/>
                    </w:rPr>
                    <w:t>62.4</w:t>
                  </w:r>
                </w:p>
              </w:tc>
              <w:tc>
                <w:tcPr>
                  <w:tcW w:w="785" w:type="pct"/>
                  <w:vAlign w:val="center"/>
                </w:tcPr>
                <w:p>
                  <w:pPr>
                    <w:spacing w:line="240" w:lineRule="auto"/>
                    <w:jc w:val="center"/>
                    <w:rPr>
                      <w:color w:val="000000"/>
                      <w:szCs w:val="21"/>
                    </w:rPr>
                  </w:pPr>
                  <w:r>
                    <w:rPr>
                      <w:rFonts w:hint="eastAsia"/>
                      <w:color w:val="000000"/>
                      <w:szCs w:val="21"/>
                    </w:rPr>
                    <w:t>18.9</w:t>
                  </w:r>
                </w:p>
              </w:tc>
              <w:tc>
                <w:tcPr>
                  <w:tcW w:w="500"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57.7</w:t>
                  </w:r>
                </w:p>
              </w:tc>
              <w:tc>
                <w:tcPr>
                  <w:tcW w:w="491" w:type="pct"/>
                  <w:vAlign w:val="center"/>
                </w:tcPr>
                <w:p>
                  <w:pPr>
                    <w:autoSpaceDE w:val="0"/>
                    <w:autoSpaceDN w:val="0"/>
                    <w:spacing w:line="240" w:lineRule="auto"/>
                    <w:jc w:val="center"/>
                    <w:rPr>
                      <w:rFonts w:hint="default" w:eastAsia="宋体"/>
                      <w:color w:val="000000"/>
                      <w:szCs w:val="21"/>
                      <w:lang w:val="en-US" w:eastAsia="zh-CN"/>
                    </w:rPr>
                  </w:pPr>
                  <w:r>
                    <w:rPr>
                      <w:rFonts w:hint="eastAsia"/>
                      <w:color w:val="000000"/>
                      <w:szCs w:val="21"/>
                      <w:lang w:val="en-US" w:eastAsia="zh-CN"/>
                    </w:rPr>
                    <w:t>47.9</w:t>
                  </w:r>
                </w:p>
              </w:tc>
              <w:tc>
                <w:tcPr>
                  <w:tcW w:w="823" w:type="dxa"/>
                  <w:vAlign w:val="center"/>
                </w:tcPr>
                <w:p>
                  <w:pPr>
                    <w:autoSpaceDE w:val="0"/>
                    <w:autoSpaceDN w:val="0"/>
                    <w:spacing w:line="240" w:lineRule="auto"/>
                    <w:jc w:val="center"/>
                    <w:rPr>
                      <w:color w:val="000000"/>
                      <w:szCs w:val="21"/>
                    </w:rPr>
                  </w:pPr>
                  <w:r>
                    <w:rPr>
                      <w:rFonts w:hint="eastAsia"/>
                      <w:color w:val="000000"/>
                      <w:szCs w:val="21"/>
                    </w:rPr>
                    <w:t>64.1</w:t>
                  </w:r>
                </w:p>
              </w:tc>
              <w:tc>
                <w:tcPr>
                  <w:tcW w:w="853" w:type="dxa"/>
                  <w:vAlign w:val="center"/>
                </w:tcPr>
                <w:p>
                  <w:pPr>
                    <w:autoSpaceDE w:val="0"/>
                    <w:autoSpaceDN w:val="0"/>
                    <w:spacing w:line="240" w:lineRule="auto"/>
                    <w:jc w:val="center"/>
                    <w:rPr>
                      <w:color w:val="000000"/>
                      <w:szCs w:val="21"/>
                    </w:rPr>
                  </w:pPr>
                  <w:r>
                    <w:rPr>
                      <w:color w:val="000000"/>
                      <w:szCs w:val="21"/>
                    </w:rPr>
                    <w:t>46.5</w:t>
                  </w:r>
                </w:p>
              </w:tc>
              <w:tc>
                <w:tcPr>
                  <w:tcW w:w="443" w:type="pct"/>
                  <w:vAlign w:val="center"/>
                </w:tcPr>
                <w:p>
                  <w:pPr>
                    <w:autoSpaceDE w:val="0"/>
                    <w:autoSpaceDN w:val="0"/>
                    <w:spacing w:line="240" w:lineRule="auto"/>
                    <w:jc w:val="center"/>
                    <w:rPr>
                      <w:color w:val="000000"/>
                      <w:szCs w:val="21"/>
                    </w:rPr>
                  </w:pPr>
                  <w:r>
                    <w:rPr>
                      <w:rFonts w:hint="eastAsia"/>
                      <w:color w:val="000000"/>
                      <w:szCs w:val="21"/>
                    </w:rPr>
                    <w:t>达标</w:t>
                  </w:r>
                </w:p>
              </w:tc>
            </w:tr>
          </w:tbl>
          <w:p>
            <w:pPr>
              <w:autoSpaceDE w:val="0"/>
              <w:autoSpaceDN w:val="0"/>
              <w:spacing w:line="480" w:lineRule="exact"/>
              <w:ind w:firstLine="480" w:firstLineChars="200"/>
              <w:rPr>
                <w:rFonts w:hint="eastAsia"/>
                <w:sz w:val="24"/>
                <w:szCs w:val="32"/>
              </w:rPr>
            </w:pPr>
            <w:r>
              <w:rPr>
                <w:rFonts w:hint="eastAsia"/>
                <w:sz w:val="24"/>
                <w:szCs w:val="32"/>
              </w:rPr>
              <w:t>根据噪声预测结果，本项目采取上述措施后厂界噪声可以达到《工业企业厂界环境噪声排放标准》（GB12348-2008）中3类标准。因此，对项目周边声环境影响较小，不会对周围声环境产生明显影响。噪声监测计划见下表。</w:t>
            </w:r>
          </w:p>
          <w:p>
            <w:pPr>
              <w:autoSpaceDE w:val="0"/>
              <w:autoSpaceDN w:val="0"/>
              <w:spacing w:line="480" w:lineRule="exact"/>
              <w:ind w:firstLine="422" w:firstLineChars="200"/>
              <w:jc w:val="center"/>
              <w:rPr>
                <w:b/>
                <w:bCs/>
                <w:sz w:val="24"/>
                <w:szCs w:val="32"/>
              </w:rPr>
            </w:pPr>
            <w:r>
              <w:rPr>
                <w:b/>
                <w:bCs/>
                <w:sz w:val="21"/>
                <w:szCs w:val="21"/>
              </w:rPr>
              <w:t>表</w:t>
            </w:r>
            <w:r>
              <w:rPr>
                <w:rFonts w:hint="eastAsia"/>
                <w:b/>
                <w:bCs/>
                <w:sz w:val="21"/>
                <w:szCs w:val="21"/>
                <w:lang w:val="en-US" w:eastAsia="zh-CN"/>
              </w:rPr>
              <w:t>24</w:t>
            </w:r>
            <w:r>
              <w:rPr>
                <w:rFonts w:hint="eastAsia"/>
                <w:b/>
                <w:bCs/>
                <w:sz w:val="21"/>
                <w:szCs w:val="21"/>
              </w:rPr>
              <w:t xml:space="preserve"> </w:t>
            </w:r>
            <w:r>
              <w:rPr>
                <w:b/>
                <w:bCs/>
                <w:sz w:val="21"/>
                <w:szCs w:val="21"/>
              </w:rPr>
              <w:t>项目噪声环境监测计划一览表</w:t>
            </w:r>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2"/>
              <w:gridCol w:w="1318"/>
              <w:gridCol w:w="1290"/>
              <w:gridCol w:w="986"/>
              <w:gridCol w:w="33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6" w:hRule="exact"/>
                <w:jc w:val="center"/>
              </w:trPr>
              <w:tc>
                <w:tcPr>
                  <w:tcW w:w="600" w:type="pct"/>
                  <w:vAlign w:val="center"/>
                </w:tcPr>
                <w:p>
                  <w:pPr>
                    <w:tabs>
                      <w:tab w:val="left" w:pos="6120"/>
                      <w:tab w:val="left" w:pos="6840"/>
                      <w:tab w:val="center" w:pos="8820"/>
                    </w:tabs>
                    <w:snapToGrid w:val="0"/>
                    <w:spacing w:line="240" w:lineRule="auto"/>
                    <w:jc w:val="center"/>
                  </w:pPr>
                  <w:r>
                    <w:t>环境要素</w:t>
                  </w:r>
                </w:p>
              </w:tc>
              <w:tc>
                <w:tcPr>
                  <w:tcW w:w="832" w:type="pct"/>
                  <w:vAlign w:val="center"/>
                </w:tcPr>
                <w:p>
                  <w:pPr>
                    <w:tabs>
                      <w:tab w:val="left" w:pos="6120"/>
                      <w:tab w:val="left" w:pos="6840"/>
                      <w:tab w:val="center" w:pos="8820"/>
                    </w:tabs>
                    <w:snapToGrid w:val="0"/>
                    <w:spacing w:line="240" w:lineRule="auto"/>
                    <w:jc w:val="center"/>
                  </w:pPr>
                  <w:r>
                    <w:t>监测布点</w:t>
                  </w:r>
                </w:p>
              </w:tc>
              <w:tc>
                <w:tcPr>
                  <w:tcW w:w="814" w:type="pct"/>
                  <w:vAlign w:val="center"/>
                </w:tcPr>
                <w:p>
                  <w:pPr>
                    <w:tabs>
                      <w:tab w:val="left" w:pos="6120"/>
                      <w:tab w:val="left" w:pos="6840"/>
                      <w:tab w:val="center" w:pos="8820"/>
                    </w:tabs>
                    <w:snapToGrid w:val="0"/>
                    <w:spacing w:line="240" w:lineRule="auto"/>
                    <w:jc w:val="center"/>
                  </w:pPr>
                  <w:r>
                    <w:t>监测污染物</w:t>
                  </w:r>
                </w:p>
              </w:tc>
              <w:tc>
                <w:tcPr>
                  <w:tcW w:w="622" w:type="pct"/>
                  <w:vAlign w:val="center"/>
                </w:tcPr>
                <w:p>
                  <w:pPr>
                    <w:tabs>
                      <w:tab w:val="left" w:pos="6120"/>
                      <w:tab w:val="left" w:pos="6840"/>
                      <w:tab w:val="center" w:pos="8820"/>
                    </w:tabs>
                    <w:snapToGrid w:val="0"/>
                    <w:spacing w:line="240" w:lineRule="auto"/>
                    <w:jc w:val="center"/>
                  </w:pPr>
                  <w:r>
                    <w:t>监测频次</w:t>
                  </w:r>
                </w:p>
              </w:tc>
              <w:tc>
                <w:tcPr>
                  <w:tcW w:w="2131" w:type="pct"/>
                  <w:vAlign w:val="center"/>
                </w:tcPr>
                <w:p>
                  <w:pPr>
                    <w:tabs>
                      <w:tab w:val="left" w:pos="6120"/>
                      <w:tab w:val="left" w:pos="6840"/>
                      <w:tab w:val="center" w:pos="8820"/>
                    </w:tabs>
                    <w:snapToGrid w:val="0"/>
                    <w:spacing w:line="240" w:lineRule="auto"/>
                    <w:jc w:val="center"/>
                  </w:pPr>
                  <w:r>
                    <w:t>执行标准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600" w:type="pct"/>
                  <w:vAlign w:val="center"/>
                </w:tcPr>
                <w:p>
                  <w:pPr>
                    <w:pStyle w:val="22"/>
                    <w:spacing w:line="240" w:lineRule="auto"/>
                    <w:ind w:left="0" w:leftChars="0" w:firstLine="0" w:firstLineChars="0"/>
                    <w:jc w:val="center"/>
                  </w:pPr>
                  <w:r>
                    <w:rPr>
                      <w:rFonts w:hint="eastAsia"/>
                    </w:rPr>
                    <w:t>厂界噪声</w:t>
                  </w:r>
                </w:p>
              </w:tc>
              <w:tc>
                <w:tcPr>
                  <w:tcW w:w="832" w:type="pct"/>
                  <w:vAlign w:val="center"/>
                </w:tcPr>
                <w:p>
                  <w:pPr>
                    <w:pStyle w:val="22"/>
                    <w:spacing w:line="240" w:lineRule="auto"/>
                    <w:ind w:left="0" w:leftChars="0" w:firstLine="0" w:firstLineChars="0"/>
                    <w:jc w:val="center"/>
                  </w:pPr>
                  <w:r>
                    <w:t>厂界</w:t>
                  </w:r>
                  <w:r>
                    <w:rPr>
                      <w:rFonts w:hint="eastAsia"/>
                    </w:rPr>
                    <w:t>外四周</w:t>
                  </w:r>
                  <w:r>
                    <w:t>1m处</w:t>
                  </w:r>
                </w:p>
              </w:tc>
              <w:tc>
                <w:tcPr>
                  <w:tcW w:w="814" w:type="pct"/>
                  <w:vAlign w:val="center"/>
                </w:tcPr>
                <w:p>
                  <w:pPr>
                    <w:pStyle w:val="22"/>
                    <w:spacing w:line="240" w:lineRule="auto"/>
                    <w:ind w:left="0" w:leftChars="0" w:firstLine="0" w:firstLineChars="0"/>
                    <w:jc w:val="center"/>
                  </w:pPr>
                  <w:r>
                    <w:t>Leq（A）</w:t>
                  </w:r>
                </w:p>
              </w:tc>
              <w:tc>
                <w:tcPr>
                  <w:tcW w:w="622" w:type="pct"/>
                  <w:vAlign w:val="center"/>
                </w:tcPr>
                <w:p>
                  <w:pPr>
                    <w:pStyle w:val="22"/>
                    <w:spacing w:line="240" w:lineRule="auto"/>
                    <w:ind w:left="0" w:leftChars="0" w:firstLine="0" w:firstLineChars="0"/>
                    <w:jc w:val="center"/>
                  </w:pPr>
                  <w:r>
                    <w:t>1次/季度</w:t>
                  </w:r>
                </w:p>
              </w:tc>
              <w:tc>
                <w:tcPr>
                  <w:tcW w:w="2131" w:type="pct"/>
                  <w:vAlign w:val="center"/>
                </w:tcPr>
                <w:p>
                  <w:pPr>
                    <w:pStyle w:val="22"/>
                    <w:spacing w:line="240" w:lineRule="auto"/>
                    <w:ind w:left="0" w:leftChars="0" w:firstLine="0" w:firstLineChars="0"/>
                    <w:jc w:val="center"/>
                  </w:pPr>
                  <w:r>
                    <w:t>《工业企业厂界环境噪声排放标准》（GB12348-2008）</w:t>
                  </w:r>
                  <w:r>
                    <w:rPr>
                      <w:rFonts w:hint="eastAsia"/>
                    </w:rPr>
                    <w:t>3</w:t>
                  </w:r>
                  <w:r>
                    <w:t>类标准</w:t>
                  </w:r>
                </w:p>
              </w:tc>
            </w:tr>
          </w:tbl>
          <w:p>
            <w:pPr>
              <w:ind w:firstLine="480" w:firstLineChars="200"/>
              <w:rPr>
                <w:rFonts w:hint="eastAsia"/>
                <w:sz w:val="24"/>
                <w:szCs w:val="32"/>
              </w:rPr>
            </w:pPr>
            <w:r>
              <w:rPr>
                <w:rFonts w:hint="eastAsia"/>
                <w:sz w:val="24"/>
                <w:szCs w:val="32"/>
              </w:rPr>
              <w:t>四、固体废物</w:t>
            </w:r>
          </w:p>
          <w:p>
            <w:pPr>
              <w:ind w:firstLine="480" w:firstLineChars="200"/>
              <w:rPr>
                <w:rFonts w:hint="eastAsia"/>
                <w:sz w:val="24"/>
                <w:szCs w:val="32"/>
              </w:rPr>
            </w:pPr>
            <w:r>
              <w:rPr>
                <w:rFonts w:hint="eastAsia"/>
                <w:sz w:val="24"/>
                <w:szCs w:val="32"/>
              </w:rPr>
              <w:t>1、固体废物产生排放情况</w:t>
            </w:r>
          </w:p>
          <w:p>
            <w:pPr>
              <w:ind w:firstLine="480" w:firstLineChars="200"/>
              <w:rPr>
                <w:rFonts w:hint="eastAsia"/>
                <w:sz w:val="24"/>
                <w:szCs w:val="32"/>
              </w:rPr>
            </w:pPr>
            <w:r>
              <w:rPr>
                <w:rFonts w:hint="eastAsia"/>
                <w:sz w:val="24"/>
                <w:szCs w:val="32"/>
              </w:rPr>
              <w:t>本项目建成后产生的固体废物主要为一般固废：除尘器收集的除尘灰、循环水池沉淀底泥，职工生活垃圾，全厂固体废物产生及处置情况见下表。</w:t>
            </w:r>
          </w:p>
          <w:p>
            <w:pPr>
              <w:ind w:firstLine="422" w:firstLineChars="200"/>
              <w:jc w:val="center"/>
              <w:rPr>
                <w:b/>
                <w:bCs/>
                <w:sz w:val="24"/>
                <w:szCs w:val="32"/>
              </w:rPr>
            </w:pPr>
            <w:r>
              <w:rPr>
                <w:rFonts w:hint="eastAsia"/>
                <w:b/>
                <w:bCs/>
                <w:sz w:val="21"/>
                <w:szCs w:val="21"/>
              </w:rPr>
              <w:t>表</w:t>
            </w:r>
            <w:r>
              <w:rPr>
                <w:rFonts w:hint="eastAsia"/>
                <w:b/>
                <w:bCs/>
                <w:sz w:val="21"/>
                <w:szCs w:val="21"/>
                <w:lang w:val="en-US" w:eastAsia="zh-CN"/>
              </w:rPr>
              <w:t>25</w:t>
            </w:r>
            <w:r>
              <w:rPr>
                <w:rFonts w:hint="eastAsia"/>
                <w:b/>
                <w:bCs/>
                <w:sz w:val="21"/>
                <w:szCs w:val="21"/>
              </w:rPr>
              <w:t xml:space="preserve">  全厂固体废物产生及处置情况一览表</w:t>
            </w:r>
          </w:p>
          <w:tbl>
            <w:tblPr>
              <w:tblStyle w:val="25"/>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877"/>
              <w:gridCol w:w="750"/>
              <w:gridCol w:w="885"/>
              <w:gridCol w:w="570"/>
              <w:gridCol w:w="1047"/>
              <w:gridCol w:w="705"/>
              <w:gridCol w:w="73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97" w:type="dxa"/>
                  <w:vAlign w:val="center"/>
                </w:tcPr>
                <w:p>
                  <w:pPr>
                    <w:spacing w:line="240" w:lineRule="auto"/>
                    <w:jc w:val="center"/>
                    <w:rPr>
                      <w:rFonts w:hint="eastAsia"/>
                      <w:szCs w:val="21"/>
                    </w:rPr>
                  </w:pPr>
                  <w:r>
                    <w:rPr>
                      <w:rFonts w:hint="eastAsia"/>
                      <w:szCs w:val="21"/>
                    </w:rPr>
                    <w:t>序号</w:t>
                  </w:r>
                </w:p>
              </w:tc>
              <w:tc>
                <w:tcPr>
                  <w:tcW w:w="877" w:type="dxa"/>
                  <w:vAlign w:val="center"/>
                </w:tcPr>
                <w:p>
                  <w:pPr>
                    <w:spacing w:line="240" w:lineRule="auto"/>
                    <w:jc w:val="center"/>
                    <w:rPr>
                      <w:szCs w:val="21"/>
                    </w:rPr>
                  </w:pPr>
                  <w:r>
                    <w:rPr>
                      <w:rFonts w:hint="eastAsia"/>
                      <w:szCs w:val="21"/>
                    </w:rPr>
                    <w:t>产生环节</w:t>
                  </w:r>
                </w:p>
              </w:tc>
              <w:tc>
                <w:tcPr>
                  <w:tcW w:w="750" w:type="dxa"/>
                  <w:vAlign w:val="center"/>
                </w:tcPr>
                <w:p>
                  <w:pPr>
                    <w:spacing w:line="240" w:lineRule="auto"/>
                    <w:jc w:val="center"/>
                    <w:rPr>
                      <w:rFonts w:hint="eastAsia"/>
                      <w:szCs w:val="21"/>
                    </w:rPr>
                  </w:pPr>
                  <w:r>
                    <w:rPr>
                      <w:rFonts w:hint="eastAsia"/>
                      <w:szCs w:val="21"/>
                    </w:rPr>
                    <w:t>名称</w:t>
                  </w:r>
                </w:p>
              </w:tc>
              <w:tc>
                <w:tcPr>
                  <w:tcW w:w="885" w:type="dxa"/>
                  <w:vAlign w:val="center"/>
                </w:tcPr>
                <w:p>
                  <w:pPr>
                    <w:spacing w:line="240" w:lineRule="auto"/>
                    <w:jc w:val="center"/>
                    <w:rPr>
                      <w:szCs w:val="21"/>
                    </w:rPr>
                  </w:pPr>
                  <w:r>
                    <w:rPr>
                      <w:rFonts w:hint="eastAsia"/>
                      <w:szCs w:val="21"/>
                    </w:rPr>
                    <w:t>产生量（t/a）</w:t>
                  </w:r>
                </w:p>
              </w:tc>
              <w:tc>
                <w:tcPr>
                  <w:tcW w:w="570" w:type="dxa"/>
                  <w:vAlign w:val="center"/>
                </w:tcPr>
                <w:p>
                  <w:pPr>
                    <w:spacing w:line="240" w:lineRule="auto"/>
                    <w:jc w:val="center"/>
                    <w:rPr>
                      <w:rFonts w:hint="eastAsia"/>
                      <w:szCs w:val="21"/>
                    </w:rPr>
                  </w:pPr>
                  <w:r>
                    <w:rPr>
                      <w:rFonts w:hint="eastAsia"/>
                      <w:szCs w:val="21"/>
                    </w:rPr>
                    <w:t>类型</w:t>
                  </w:r>
                </w:p>
              </w:tc>
              <w:tc>
                <w:tcPr>
                  <w:tcW w:w="1047" w:type="dxa"/>
                  <w:vAlign w:val="center"/>
                </w:tcPr>
                <w:p>
                  <w:pPr>
                    <w:spacing w:line="240" w:lineRule="auto"/>
                    <w:jc w:val="center"/>
                    <w:rPr>
                      <w:rFonts w:hint="eastAsia"/>
                      <w:szCs w:val="21"/>
                    </w:rPr>
                  </w:pPr>
                  <w:r>
                    <w:rPr>
                      <w:rFonts w:hint="eastAsia"/>
                      <w:szCs w:val="21"/>
                    </w:rPr>
                    <w:t>处置方式</w:t>
                  </w:r>
                </w:p>
              </w:tc>
              <w:tc>
                <w:tcPr>
                  <w:tcW w:w="705" w:type="dxa"/>
                  <w:vAlign w:val="center"/>
                </w:tcPr>
                <w:p>
                  <w:pPr>
                    <w:spacing w:line="240" w:lineRule="auto"/>
                    <w:jc w:val="center"/>
                    <w:rPr>
                      <w:szCs w:val="21"/>
                    </w:rPr>
                  </w:pPr>
                  <w:r>
                    <w:rPr>
                      <w:rFonts w:hint="eastAsia"/>
                      <w:szCs w:val="21"/>
                    </w:rPr>
                    <w:t>产生周期</w:t>
                  </w:r>
                </w:p>
              </w:tc>
              <w:tc>
                <w:tcPr>
                  <w:tcW w:w="735" w:type="dxa"/>
                  <w:vAlign w:val="center"/>
                </w:tcPr>
                <w:p>
                  <w:pPr>
                    <w:spacing w:line="240" w:lineRule="auto"/>
                    <w:jc w:val="center"/>
                    <w:rPr>
                      <w:szCs w:val="21"/>
                    </w:rPr>
                  </w:pPr>
                  <w:r>
                    <w:rPr>
                      <w:rFonts w:hint="eastAsia"/>
                      <w:szCs w:val="21"/>
                    </w:rPr>
                    <w:t>废物代码</w:t>
                  </w:r>
                </w:p>
              </w:tc>
              <w:tc>
                <w:tcPr>
                  <w:tcW w:w="1875" w:type="dxa"/>
                  <w:vAlign w:val="center"/>
                </w:tcPr>
                <w:p>
                  <w:pPr>
                    <w:spacing w:line="240" w:lineRule="auto"/>
                    <w:jc w:val="center"/>
                    <w:rPr>
                      <w:szCs w:val="21"/>
                    </w:rPr>
                  </w:pPr>
                  <w:r>
                    <w:rPr>
                      <w:rFonts w:hint="eastAsia"/>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97" w:type="dxa"/>
                  <w:vAlign w:val="center"/>
                </w:tcPr>
                <w:p>
                  <w:pPr>
                    <w:spacing w:line="240" w:lineRule="auto"/>
                    <w:jc w:val="center"/>
                    <w:rPr>
                      <w:rFonts w:hint="eastAsia"/>
                      <w:szCs w:val="21"/>
                    </w:rPr>
                  </w:pPr>
                  <w:r>
                    <w:rPr>
                      <w:rFonts w:hint="eastAsia"/>
                      <w:szCs w:val="21"/>
                    </w:rPr>
                    <w:t>1</w:t>
                  </w:r>
                </w:p>
              </w:tc>
              <w:tc>
                <w:tcPr>
                  <w:tcW w:w="877" w:type="dxa"/>
                  <w:vAlign w:val="center"/>
                </w:tcPr>
                <w:p>
                  <w:pPr>
                    <w:spacing w:line="240" w:lineRule="auto"/>
                    <w:jc w:val="center"/>
                    <w:rPr>
                      <w:rFonts w:hint="eastAsia"/>
                      <w:szCs w:val="21"/>
                    </w:rPr>
                  </w:pPr>
                  <w:r>
                    <w:rPr>
                      <w:rFonts w:hint="eastAsia"/>
                      <w:szCs w:val="21"/>
                    </w:rPr>
                    <w:t>布袋除尘器</w:t>
                  </w:r>
                </w:p>
              </w:tc>
              <w:tc>
                <w:tcPr>
                  <w:tcW w:w="750" w:type="dxa"/>
                  <w:vAlign w:val="center"/>
                </w:tcPr>
                <w:p>
                  <w:pPr>
                    <w:spacing w:line="240" w:lineRule="auto"/>
                    <w:jc w:val="center"/>
                    <w:rPr>
                      <w:rFonts w:hint="eastAsia"/>
                      <w:szCs w:val="21"/>
                    </w:rPr>
                  </w:pPr>
                  <w:r>
                    <w:rPr>
                      <w:rFonts w:hint="eastAsia"/>
                      <w:szCs w:val="21"/>
                    </w:rPr>
                    <w:t>除尘灰</w:t>
                  </w:r>
                </w:p>
              </w:tc>
              <w:tc>
                <w:tcPr>
                  <w:tcW w:w="885" w:type="dxa"/>
                  <w:vAlign w:val="center"/>
                </w:tcPr>
                <w:p>
                  <w:pPr>
                    <w:spacing w:line="240" w:lineRule="auto"/>
                    <w:jc w:val="center"/>
                    <w:rPr>
                      <w:szCs w:val="21"/>
                    </w:rPr>
                  </w:pPr>
                  <w:r>
                    <w:rPr>
                      <w:rFonts w:hint="eastAsia"/>
                      <w:szCs w:val="21"/>
                      <w:lang w:val="en-US" w:eastAsia="zh-CN"/>
                    </w:rPr>
                    <w:t>639.567</w:t>
                  </w:r>
                </w:p>
              </w:tc>
              <w:tc>
                <w:tcPr>
                  <w:tcW w:w="570" w:type="dxa"/>
                  <w:vMerge w:val="restart"/>
                  <w:vAlign w:val="center"/>
                </w:tcPr>
                <w:p>
                  <w:pPr>
                    <w:spacing w:line="240" w:lineRule="auto"/>
                    <w:jc w:val="center"/>
                    <w:rPr>
                      <w:szCs w:val="21"/>
                    </w:rPr>
                  </w:pPr>
                  <w:r>
                    <w:rPr>
                      <w:rFonts w:hint="eastAsia"/>
                      <w:szCs w:val="21"/>
                    </w:rPr>
                    <w:t>一般固体废物</w:t>
                  </w:r>
                </w:p>
              </w:tc>
              <w:tc>
                <w:tcPr>
                  <w:tcW w:w="1047" w:type="dxa"/>
                  <w:vMerge w:val="restart"/>
                  <w:vAlign w:val="center"/>
                </w:tcPr>
                <w:p>
                  <w:pPr>
                    <w:spacing w:line="240" w:lineRule="auto"/>
                    <w:jc w:val="center"/>
                    <w:rPr>
                      <w:szCs w:val="21"/>
                    </w:rPr>
                  </w:pPr>
                  <w:r>
                    <w:rPr>
                      <w:rFonts w:hint="eastAsia"/>
                      <w:szCs w:val="21"/>
                    </w:rPr>
                    <w:t>统一收集后回用于生产</w:t>
                  </w:r>
                </w:p>
              </w:tc>
              <w:tc>
                <w:tcPr>
                  <w:tcW w:w="705" w:type="dxa"/>
                  <w:vMerge w:val="restart"/>
                  <w:vAlign w:val="center"/>
                </w:tcPr>
                <w:p>
                  <w:pPr>
                    <w:spacing w:line="240" w:lineRule="auto"/>
                    <w:jc w:val="center"/>
                    <w:rPr>
                      <w:szCs w:val="21"/>
                    </w:rPr>
                  </w:pPr>
                  <w:r>
                    <w:rPr>
                      <w:rFonts w:hint="eastAsia"/>
                      <w:szCs w:val="21"/>
                    </w:rPr>
                    <w:t>1次/月</w:t>
                  </w:r>
                </w:p>
              </w:tc>
              <w:tc>
                <w:tcPr>
                  <w:tcW w:w="735" w:type="dxa"/>
                  <w:vAlign w:val="center"/>
                </w:tcPr>
                <w:p>
                  <w:pPr>
                    <w:spacing w:line="240" w:lineRule="auto"/>
                    <w:jc w:val="center"/>
                    <w:rPr>
                      <w:rFonts w:hint="eastAsia"/>
                      <w:szCs w:val="21"/>
                    </w:rPr>
                  </w:pPr>
                  <w:r>
                    <w:rPr>
                      <w:rFonts w:hint="eastAsia"/>
                      <w:szCs w:val="21"/>
                    </w:rPr>
                    <w:t>/</w:t>
                  </w:r>
                </w:p>
              </w:tc>
              <w:tc>
                <w:tcPr>
                  <w:tcW w:w="1875" w:type="dxa"/>
                  <w:vMerge w:val="restart"/>
                  <w:vAlign w:val="center"/>
                </w:tcPr>
                <w:p>
                  <w:pPr>
                    <w:spacing w:line="240" w:lineRule="auto"/>
                    <w:jc w:val="center"/>
                    <w:rPr>
                      <w:szCs w:val="21"/>
                    </w:rPr>
                  </w:pPr>
                  <w:r>
                    <w:rPr>
                      <w:szCs w:val="21"/>
                    </w:rPr>
                    <w:t>《一般工业固体废物贮存</w:t>
                  </w:r>
                  <w:r>
                    <w:rPr>
                      <w:rFonts w:hint="eastAsia"/>
                      <w:szCs w:val="21"/>
                    </w:rPr>
                    <w:t>和填埋</w:t>
                  </w:r>
                  <w:r>
                    <w:rPr>
                      <w:szCs w:val="21"/>
                    </w:rPr>
                    <w:t>污染控制标准》（GB18599-20</w:t>
                  </w:r>
                  <w:r>
                    <w:rPr>
                      <w:rFonts w:hint="eastAsia"/>
                      <w:szCs w:val="21"/>
                    </w:rPr>
                    <w:t>20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97" w:type="dxa"/>
                  <w:vAlign w:val="center"/>
                </w:tcPr>
                <w:p>
                  <w:pPr>
                    <w:spacing w:line="240" w:lineRule="auto"/>
                    <w:jc w:val="center"/>
                    <w:rPr>
                      <w:rFonts w:hint="eastAsia"/>
                      <w:szCs w:val="21"/>
                    </w:rPr>
                  </w:pPr>
                  <w:r>
                    <w:rPr>
                      <w:rFonts w:hint="eastAsia"/>
                      <w:szCs w:val="21"/>
                    </w:rPr>
                    <w:t>2</w:t>
                  </w:r>
                </w:p>
              </w:tc>
              <w:tc>
                <w:tcPr>
                  <w:tcW w:w="877" w:type="dxa"/>
                  <w:vAlign w:val="center"/>
                </w:tcPr>
                <w:p>
                  <w:pPr>
                    <w:spacing w:line="240" w:lineRule="auto"/>
                    <w:jc w:val="center"/>
                    <w:rPr>
                      <w:szCs w:val="21"/>
                    </w:rPr>
                  </w:pPr>
                  <w:r>
                    <w:rPr>
                      <w:rFonts w:hint="eastAsia"/>
                      <w:szCs w:val="21"/>
                    </w:rPr>
                    <w:t>循环水池</w:t>
                  </w:r>
                </w:p>
              </w:tc>
              <w:tc>
                <w:tcPr>
                  <w:tcW w:w="750" w:type="dxa"/>
                  <w:vAlign w:val="center"/>
                </w:tcPr>
                <w:p>
                  <w:pPr>
                    <w:spacing w:line="240" w:lineRule="auto"/>
                    <w:jc w:val="center"/>
                    <w:rPr>
                      <w:szCs w:val="21"/>
                    </w:rPr>
                  </w:pPr>
                  <w:r>
                    <w:rPr>
                      <w:rFonts w:hint="eastAsia"/>
                      <w:szCs w:val="21"/>
                    </w:rPr>
                    <w:t>沉淀底泥</w:t>
                  </w:r>
                </w:p>
              </w:tc>
              <w:tc>
                <w:tcPr>
                  <w:tcW w:w="885" w:type="dxa"/>
                  <w:vAlign w:val="center"/>
                </w:tcPr>
                <w:p>
                  <w:pPr>
                    <w:spacing w:line="240" w:lineRule="auto"/>
                    <w:jc w:val="center"/>
                    <w:rPr>
                      <w:rFonts w:hint="eastAsia"/>
                      <w:szCs w:val="21"/>
                    </w:rPr>
                  </w:pPr>
                  <w:r>
                    <w:rPr>
                      <w:rFonts w:hint="eastAsia"/>
                      <w:szCs w:val="21"/>
                    </w:rPr>
                    <w:t>19.78</w:t>
                  </w:r>
                </w:p>
              </w:tc>
              <w:tc>
                <w:tcPr>
                  <w:tcW w:w="570" w:type="dxa"/>
                  <w:vMerge w:val="continue"/>
                  <w:vAlign w:val="center"/>
                </w:tcPr>
                <w:p>
                  <w:pPr>
                    <w:spacing w:line="240" w:lineRule="auto"/>
                    <w:jc w:val="center"/>
                    <w:rPr>
                      <w:szCs w:val="21"/>
                    </w:rPr>
                  </w:pPr>
                </w:p>
              </w:tc>
              <w:tc>
                <w:tcPr>
                  <w:tcW w:w="1047" w:type="dxa"/>
                  <w:vMerge w:val="continue"/>
                  <w:vAlign w:val="center"/>
                </w:tcPr>
                <w:p>
                  <w:pPr>
                    <w:spacing w:line="240" w:lineRule="auto"/>
                    <w:jc w:val="center"/>
                    <w:rPr>
                      <w:szCs w:val="21"/>
                    </w:rPr>
                  </w:pPr>
                </w:p>
              </w:tc>
              <w:tc>
                <w:tcPr>
                  <w:tcW w:w="705" w:type="dxa"/>
                  <w:vMerge w:val="continue"/>
                  <w:vAlign w:val="center"/>
                </w:tcPr>
                <w:p>
                  <w:pPr>
                    <w:spacing w:line="240" w:lineRule="auto"/>
                    <w:jc w:val="center"/>
                    <w:rPr>
                      <w:szCs w:val="21"/>
                    </w:rPr>
                  </w:pPr>
                </w:p>
              </w:tc>
              <w:tc>
                <w:tcPr>
                  <w:tcW w:w="735" w:type="dxa"/>
                  <w:vAlign w:val="center"/>
                </w:tcPr>
                <w:p>
                  <w:pPr>
                    <w:spacing w:line="240" w:lineRule="auto"/>
                    <w:jc w:val="center"/>
                    <w:rPr>
                      <w:rFonts w:hint="eastAsia"/>
                      <w:szCs w:val="21"/>
                    </w:rPr>
                  </w:pPr>
                  <w:r>
                    <w:rPr>
                      <w:rFonts w:hint="eastAsia"/>
                      <w:szCs w:val="21"/>
                    </w:rPr>
                    <w:t>/</w:t>
                  </w:r>
                </w:p>
              </w:tc>
              <w:tc>
                <w:tcPr>
                  <w:tcW w:w="1875" w:type="dxa"/>
                  <w:vMerge w:val="continue"/>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 w:type="dxa"/>
                  <w:vAlign w:val="center"/>
                </w:tcPr>
                <w:p>
                  <w:pPr>
                    <w:spacing w:line="240" w:lineRule="auto"/>
                    <w:jc w:val="center"/>
                    <w:rPr>
                      <w:rFonts w:hint="eastAsia"/>
                      <w:szCs w:val="21"/>
                    </w:rPr>
                  </w:pPr>
                  <w:r>
                    <w:rPr>
                      <w:rFonts w:hint="eastAsia"/>
                      <w:szCs w:val="21"/>
                    </w:rPr>
                    <w:t>3</w:t>
                  </w:r>
                </w:p>
              </w:tc>
              <w:tc>
                <w:tcPr>
                  <w:tcW w:w="877" w:type="dxa"/>
                  <w:vAlign w:val="center"/>
                </w:tcPr>
                <w:p>
                  <w:pPr>
                    <w:spacing w:line="240" w:lineRule="auto"/>
                    <w:jc w:val="center"/>
                    <w:rPr>
                      <w:szCs w:val="21"/>
                    </w:rPr>
                  </w:pPr>
                  <w:r>
                    <w:rPr>
                      <w:rFonts w:hint="eastAsia"/>
                      <w:szCs w:val="21"/>
                    </w:rPr>
                    <w:t>职工生活</w:t>
                  </w:r>
                </w:p>
              </w:tc>
              <w:tc>
                <w:tcPr>
                  <w:tcW w:w="750" w:type="dxa"/>
                  <w:vAlign w:val="center"/>
                </w:tcPr>
                <w:p>
                  <w:pPr>
                    <w:spacing w:line="240" w:lineRule="auto"/>
                    <w:jc w:val="center"/>
                    <w:rPr>
                      <w:rFonts w:hint="eastAsia"/>
                      <w:szCs w:val="21"/>
                    </w:rPr>
                  </w:pPr>
                  <w:r>
                    <w:rPr>
                      <w:rFonts w:hint="eastAsia"/>
                      <w:szCs w:val="21"/>
                    </w:rPr>
                    <w:t>生活垃圾</w:t>
                  </w:r>
                </w:p>
              </w:tc>
              <w:tc>
                <w:tcPr>
                  <w:tcW w:w="885" w:type="dxa"/>
                  <w:vAlign w:val="center"/>
                </w:tcPr>
                <w:p>
                  <w:pPr>
                    <w:spacing w:line="240" w:lineRule="auto"/>
                    <w:jc w:val="center"/>
                    <w:rPr>
                      <w:szCs w:val="21"/>
                    </w:rPr>
                  </w:pPr>
                  <w:r>
                    <w:rPr>
                      <w:rFonts w:hint="eastAsia"/>
                      <w:szCs w:val="21"/>
                    </w:rPr>
                    <w:t>5.7</w:t>
                  </w:r>
                </w:p>
              </w:tc>
              <w:tc>
                <w:tcPr>
                  <w:tcW w:w="570" w:type="dxa"/>
                  <w:vMerge w:val="continue"/>
                  <w:vAlign w:val="center"/>
                </w:tcPr>
                <w:p>
                  <w:pPr>
                    <w:spacing w:line="240" w:lineRule="auto"/>
                    <w:jc w:val="center"/>
                    <w:rPr>
                      <w:szCs w:val="21"/>
                    </w:rPr>
                  </w:pPr>
                </w:p>
              </w:tc>
              <w:tc>
                <w:tcPr>
                  <w:tcW w:w="1047" w:type="dxa"/>
                  <w:vAlign w:val="center"/>
                </w:tcPr>
                <w:p>
                  <w:pPr>
                    <w:spacing w:line="240" w:lineRule="auto"/>
                    <w:jc w:val="center"/>
                    <w:rPr>
                      <w:szCs w:val="21"/>
                    </w:rPr>
                  </w:pPr>
                  <w:r>
                    <w:rPr>
                      <w:rFonts w:hint="eastAsia"/>
                      <w:szCs w:val="21"/>
                    </w:rPr>
                    <w:t>由环卫部门定期清运</w:t>
                  </w:r>
                </w:p>
              </w:tc>
              <w:tc>
                <w:tcPr>
                  <w:tcW w:w="705" w:type="dxa"/>
                  <w:vMerge w:val="continue"/>
                  <w:vAlign w:val="center"/>
                </w:tcPr>
                <w:p>
                  <w:pPr>
                    <w:spacing w:line="240" w:lineRule="auto"/>
                    <w:jc w:val="center"/>
                    <w:rPr>
                      <w:szCs w:val="21"/>
                    </w:rPr>
                  </w:pPr>
                </w:p>
              </w:tc>
              <w:tc>
                <w:tcPr>
                  <w:tcW w:w="735" w:type="dxa"/>
                  <w:vAlign w:val="center"/>
                </w:tcPr>
                <w:p>
                  <w:pPr>
                    <w:spacing w:line="240" w:lineRule="auto"/>
                    <w:jc w:val="center"/>
                    <w:rPr>
                      <w:rFonts w:hint="eastAsia"/>
                      <w:szCs w:val="21"/>
                    </w:rPr>
                  </w:pPr>
                  <w:r>
                    <w:rPr>
                      <w:rFonts w:hint="eastAsia"/>
                      <w:szCs w:val="21"/>
                    </w:rPr>
                    <w:t>/</w:t>
                  </w:r>
                </w:p>
              </w:tc>
              <w:tc>
                <w:tcPr>
                  <w:tcW w:w="1875" w:type="dxa"/>
                  <w:vMerge w:val="continue"/>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97" w:type="dxa"/>
                  <w:vAlign w:val="center"/>
                </w:tcPr>
                <w:p>
                  <w:pPr>
                    <w:spacing w:line="240" w:lineRule="auto"/>
                    <w:jc w:val="center"/>
                    <w:rPr>
                      <w:szCs w:val="21"/>
                    </w:rPr>
                  </w:pPr>
                  <w:r>
                    <w:rPr>
                      <w:rFonts w:hint="eastAsia"/>
                      <w:szCs w:val="21"/>
                    </w:rPr>
                    <w:t>4</w:t>
                  </w:r>
                </w:p>
              </w:tc>
              <w:tc>
                <w:tcPr>
                  <w:tcW w:w="877" w:type="dxa"/>
                  <w:vAlign w:val="center"/>
                </w:tcPr>
                <w:p>
                  <w:pPr>
                    <w:spacing w:line="240" w:lineRule="auto"/>
                    <w:jc w:val="center"/>
                    <w:rPr>
                      <w:szCs w:val="21"/>
                    </w:rPr>
                  </w:pPr>
                  <w:r>
                    <w:rPr>
                      <w:rFonts w:hint="eastAsia"/>
                      <w:szCs w:val="21"/>
                    </w:rPr>
                    <w:t>钢筋加工</w:t>
                  </w:r>
                </w:p>
              </w:tc>
              <w:tc>
                <w:tcPr>
                  <w:tcW w:w="750" w:type="dxa"/>
                  <w:vAlign w:val="center"/>
                </w:tcPr>
                <w:p>
                  <w:pPr>
                    <w:spacing w:line="240" w:lineRule="auto"/>
                    <w:jc w:val="center"/>
                    <w:rPr>
                      <w:szCs w:val="21"/>
                    </w:rPr>
                  </w:pPr>
                  <w:r>
                    <w:rPr>
                      <w:rFonts w:hint="eastAsia"/>
                      <w:szCs w:val="21"/>
                    </w:rPr>
                    <w:t>废料</w:t>
                  </w:r>
                </w:p>
              </w:tc>
              <w:tc>
                <w:tcPr>
                  <w:tcW w:w="885" w:type="dxa"/>
                  <w:vAlign w:val="center"/>
                </w:tcPr>
                <w:p>
                  <w:pPr>
                    <w:spacing w:line="240" w:lineRule="auto"/>
                    <w:jc w:val="center"/>
                    <w:rPr>
                      <w:szCs w:val="21"/>
                    </w:rPr>
                  </w:pPr>
                  <w:r>
                    <w:rPr>
                      <w:rFonts w:hint="eastAsia"/>
                      <w:szCs w:val="21"/>
                    </w:rPr>
                    <w:t>1818</w:t>
                  </w:r>
                </w:p>
              </w:tc>
              <w:tc>
                <w:tcPr>
                  <w:tcW w:w="570" w:type="dxa"/>
                  <w:vMerge w:val="continue"/>
                  <w:vAlign w:val="center"/>
                </w:tcPr>
                <w:p>
                  <w:pPr>
                    <w:spacing w:line="240" w:lineRule="auto"/>
                    <w:jc w:val="center"/>
                    <w:rPr>
                      <w:szCs w:val="21"/>
                    </w:rPr>
                  </w:pPr>
                </w:p>
              </w:tc>
              <w:tc>
                <w:tcPr>
                  <w:tcW w:w="1047" w:type="dxa"/>
                  <w:vAlign w:val="center"/>
                </w:tcPr>
                <w:p>
                  <w:pPr>
                    <w:spacing w:line="240" w:lineRule="auto"/>
                    <w:jc w:val="center"/>
                    <w:rPr>
                      <w:szCs w:val="21"/>
                    </w:rPr>
                  </w:pPr>
                  <w:r>
                    <w:rPr>
                      <w:rFonts w:hint="eastAsia"/>
                      <w:szCs w:val="21"/>
                    </w:rPr>
                    <w:t>统一收集后外售</w:t>
                  </w:r>
                </w:p>
              </w:tc>
              <w:tc>
                <w:tcPr>
                  <w:tcW w:w="705" w:type="dxa"/>
                  <w:vMerge w:val="continue"/>
                  <w:vAlign w:val="center"/>
                </w:tcPr>
                <w:p>
                  <w:pPr>
                    <w:spacing w:line="240" w:lineRule="auto"/>
                    <w:jc w:val="center"/>
                    <w:rPr>
                      <w:szCs w:val="21"/>
                    </w:rPr>
                  </w:pPr>
                </w:p>
              </w:tc>
              <w:tc>
                <w:tcPr>
                  <w:tcW w:w="735" w:type="dxa"/>
                  <w:vAlign w:val="center"/>
                </w:tcPr>
                <w:p>
                  <w:pPr>
                    <w:spacing w:line="240" w:lineRule="auto"/>
                    <w:jc w:val="center"/>
                    <w:rPr>
                      <w:rFonts w:hint="eastAsia"/>
                      <w:szCs w:val="21"/>
                    </w:rPr>
                  </w:pPr>
                  <w:r>
                    <w:rPr>
                      <w:rFonts w:hint="eastAsia"/>
                      <w:szCs w:val="21"/>
                    </w:rPr>
                    <w:t>/</w:t>
                  </w:r>
                </w:p>
              </w:tc>
              <w:tc>
                <w:tcPr>
                  <w:tcW w:w="1875" w:type="dxa"/>
                  <w:vMerge w:val="continue"/>
                  <w:vAlign w:val="center"/>
                </w:tcPr>
                <w:p>
                  <w:pPr>
                    <w:spacing w:line="240" w:lineRule="auto"/>
                    <w:jc w:val="center"/>
                    <w:rPr>
                      <w:szCs w:val="21"/>
                    </w:rPr>
                  </w:pPr>
                </w:p>
              </w:tc>
            </w:tr>
          </w:tbl>
          <w:p>
            <w:pPr>
              <w:ind w:firstLine="480" w:firstLineChars="200"/>
              <w:rPr>
                <w:sz w:val="24"/>
                <w:szCs w:val="32"/>
              </w:rPr>
            </w:pPr>
            <w:r>
              <w:rPr>
                <w:sz w:val="24"/>
                <w:szCs w:val="32"/>
              </w:rPr>
              <w:t>五、生态影响分析</w:t>
            </w:r>
          </w:p>
          <w:p>
            <w:pPr>
              <w:ind w:firstLine="480" w:firstLineChars="200"/>
              <w:rPr>
                <w:sz w:val="24"/>
                <w:szCs w:val="32"/>
              </w:rPr>
            </w:pPr>
            <w:r>
              <w:rPr>
                <w:sz w:val="24"/>
                <w:szCs w:val="32"/>
              </w:rPr>
              <w:t>本项目所在地无珍稀物种以及自然保护区等环境敏感区，不会影响生物多样性</w:t>
            </w:r>
            <w:r>
              <w:rPr>
                <w:rFonts w:hint="eastAsia"/>
                <w:sz w:val="24"/>
                <w:szCs w:val="32"/>
              </w:rPr>
              <w:t>。</w:t>
            </w:r>
            <w:r>
              <w:rPr>
                <w:sz w:val="24"/>
                <w:szCs w:val="32"/>
              </w:rPr>
              <w:t>综上所述，本项目不会对区域的生态环境造成不利影响。</w:t>
            </w:r>
          </w:p>
          <w:p>
            <w:pPr>
              <w:ind w:firstLine="480" w:firstLineChars="200"/>
              <w:rPr>
                <w:rFonts w:hint="eastAsia"/>
                <w:sz w:val="24"/>
                <w:szCs w:val="32"/>
              </w:rPr>
            </w:pPr>
            <w:r>
              <w:rPr>
                <w:rFonts w:hint="eastAsia"/>
                <w:sz w:val="24"/>
                <w:szCs w:val="32"/>
              </w:rPr>
              <w:t>六、地下水、土壤环境影响分析</w:t>
            </w:r>
          </w:p>
          <w:p>
            <w:pPr>
              <w:ind w:firstLine="480" w:firstLineChars="200"/>
              <w:rPr>
                <w:rFonts w:hint="eastAsia"/>
                <w:sz w:val="24"/>
                <w:szCs w:val="32"/>
              </w:rPr>
            </w:pPr>
            <w:r>
              <w:rPr>
                <w:rFonts w:hint="eastAsia"/>
                <w:sz w:val="24"/>
                <w:szCs w:val="32"/>
              </w:rPr>
              <w:t>本项目属于其他水泥类似制品制造，用地范围内均进行了地面硬化；本项目不产生生产废水，生活污水经园区管网排入魏县经济开发区污水处理站处理，不外排废水；不会对地下水、土壤环境产生明显影响。</w:t>
            </w:r>
          </w:p>
          <w:p>
            <w:pPr>
              <w:ind w:firstLine="480" w:firstLineChars="200"/>
              <w:rPr>
                <w:rFonts w:hint="eastAsia"/>
                <w:sz w:val="24"/>
                <w:szCs w:val="32"/>
              </w:rPr>
            </w:pPr>
            <w:r>
              <w:rPr>
                <w:rFonts w:hint="eastAsia"/>
                <w:sz w:val="24"/>
                <w:szCs w:val="32"/>
              </w:rPr>
              <w:t>七、环境风险分析</w:t>
            </w:r>
          </w:p>
          <w:p>
            <w:pPr>
              <w:adjustRightInd w:val="0"/>
              <w:snapToGrid w:val="0"/>
              <w:ind w:firstLine="480" w:firstLineChars="200"/>
              <w:rPr>
                <w:sz w:val="24"/>
              </w:rPr>
            </w:pPr>
            <w:r>
              <w:rPr>
                <w:rFonts w:hint="eastAsia"/>
                <w:color w:val="000000"/>
                <w:sz w:val="24"/>
                <w:szCs w:val="32"/>
              </w:rPr>
              <w:t>本项目从原辅材料、产品、中间产品、副产品、催化剂、辅助生产物料、燃料、“三废”污染物等都不涉及大气环境风险物质以及水环境风险物质，因此，本项目无需做环境风险分析</w:t>
            </w:r>
            <w:r>
              <w:rPr>
                <w:sz w:val="24"/>
              </w:rPr>
              <w:t>。</w:t>
            </w:r>
          </w:p>
          <w:p>
            <w:pPr>
              <w:ind w:firstLine="480" w:firstLineChars="200"/>
              <w:rPr>
                <w:rFonts w:hint="eastAsia"/>
                <w:color w:val="000000"/>
                <w:sz w:val="24"/>
                <w:szCs w:val="32"/>
              </w:rPr>
            </w:pPr>
            <w:r>
              <w:rPr>
                <w:rFonts w:hint="eastAsia"/>
                <w:color w:val="000000"/>
                <w:sz w:val="24"/>
                <w:szCs w:val="32"/>
              </w:rPr>
              <w:t>八、新老污染源“三本账”</w:t>
            </w:r>
          </w:p>
          <w:p>
            <w:pPr>
              <w:jc w:val="center"/>
              <w:rPr>
                <w:b/>
                <w:bCs/>
                <w:color w:val="000000"/>
                <w:sz w:val="24"/>
                <w:szCs w:val="32"/>
              </w:rPr>
            </w:pPr>
            <w:r>
              <w:rPr>
                <w:rFonts w:hint="eastAsia"/>
                <w:b/>
                <w:bCs/>
                <w:color w:val="000000"/>
                <w:sz w:val="21"/>
                <w:szCs w:val="21"/>
              </w:rPr>
              <w:t>表</w:t>
            </w:r>
            <w:r>
              <w:rPr>
                <w:rFonts w:hint="eastAsia"/>
                <w:b/>
                <w:bCs/>
                <w:color w:val="000000"/>
                <w:sz w:val="21"/>
                <w:szCs w:val="21"/>
                <w:lang w:val="en-US" w:eastAsia="zh-CN"/>
              </w:rPr>
              <w:t>26</w:t>
            </w:r>
            <w:r>
              <w:rPr>
                <w:rFonts w:hint="eastAsia"/>
                <w:b/>
                <w:bCs/>
                <w:color w:val="000000"/>
                <w:sz w:val="21"/>
                <w:szCs w:val="21"/>
              </w:rPr>
              <w:t xml:space="preserve">  </w:t>
            </w:r>
            <w:r>
              <w:rPr>
                <w:rFonts w:hint="eastAsia"/>
                <w:b/>
                <w:bCs/>
                <w:color w:val="000000"/>
                <w:sz w:val="21"/>
                <w:szCs w:val="21"/>
                <w:lang w:eastAsia="zh-CN"/>
              </w:rPr>
              <w:t>技改</w:t>
            </w:r>
            <w:r>
              <w:rPr>
                <w:rFonts w:hint="eastAsia"/>
                <w:b/>
                <w:bCs/>
                <w:color w:val="000000"/>
                <w:sz w:val="21"/>
                <w:szCs w:val="21"/>
              </w:rPr>
              <w:t>前后污染物排放“三本账”    单位：t/a</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76"/>
              <w:gridCol w:w="814"/>
              <w:gridCol w:w="841"/>
              <w:gridCol w:w="749"/>
              <w:gridCol w:w="773"/>
              <w:gridCol w:w="971"/>
              <w:gridCol w:w="110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62" w:type="pct"/>
                  <w:vMerge w:val="restart"/>
                  <w:vAlign w:val="center"/>
                </w:tcPr>
                <w:p>
                  <w:pPr>
                    <w:spacing w:line="240" w:lineRule="auto"/>
                    <w:jc w:val="center"/>
                    <w:rPr>
                      <w:szCs w:val="21"/>
                    </w:rPr>
                  </w:pPr>
                  <w:r>
                    <w:rPr>
                      <w:rFonts w:hint="eastAsia"/>
                      <w:szCs w:val="21"/>
                    </w:rPr>
                    <w:t>污染物类型</w:t>
                  </w:r>
                </w:p>
              </w:tc>
              <w:tc>
                <w:tcPr>
                  <w:tcW w:w="614" w:type="pct"/>
                  <w:vMerge w:val="restart"/>
                  <w:vAlign w:val="center"/>
                </w:tcPr>
                <w:p>
                  <w:pPr>
                    <w:spacing w:line="240" w:lineRule="auto"/>
                    <w:jc w:val="center"/>
                    <w:rPr>
                      <w:szCs w:val="21"/>
                    </w:rPr>
                  </w:pPr>
                  <w:r>
                    <w:rPr>
                      <w:rFonts w:hint="eastAsia"/>
                      <w:szCs w:val="21"/>
                    </w:rPr>
                    <w:t>污染物种类</w:t>
                  </w:r>
                </w:p>
              </w:tc>
              <w:tc>
                <w:tcPr>
                  <w:tcW w:w="512" w:type="pct"/>
                  <w:vMerge w:val="restart"/>
                  <w:vAlign w:val="center"/>
                </w:tcPr>
                <w:p>
                  <w:pPr>
                    <w:spacing w:line="240" w:lineRule="auto"/>
                    <w:jc w:val="center"/>
                    <w:rPr>
                      <w:rFonts w:hint="eastAsia"/>
                      <w:szCs w:val="21"/>
                    </w:rPr>
                  </w:pPr>
                  <w:r>
                    <w:rPr>
                      <w:rFonts w:hint="eastAsia"/>
                      <w:szCs w:val="21"/>
                      <w:lang w:eastAsia="zh-CN"/>
                    </w:rPr>
                    <w:t>技改</w:t>
                  </w:r>
                  <w:r>
                    <w:rPr>
                      <w:rFonts w:hint="eastAsia"/>
                      <w:szCs w:val="21"/>
                    </w:rPr>
                    <w:t>前排放量</w:t>
                  </w:r>
                </w:p>
              </w:tc>
              <w:tc>
                <w:tcPr>
                  <w:tcW w:w="1488" w:type="pct"/>
                  <w:gridSpan w:val="3"/>
                  <w:vAlign w:val="center"/>
                </w:tcPr>
                <w:p>
                  <w:pPr>
                    <w:spacing w:line="240" w:lineRule="auto"/>
                    <w:jc w:val="center"/>
                    <w:rPr>
                      <w:rFonts w:hint="eastAsia"/>
                      <w:szCs w:val="21"/>
                    </w:rPr>
                  </w:pPr>
                  <w:r>
                    <w:rPr>
                      <w:rFonts w:hint="eastAsia"/>
                      <w:szCs w:val="21"/>
                    </w:rPr>
                    <w:t>本项目</w:t>
                  </w:r>
                </w:p>
              </w:tc>
              <w:tc>
                <w:tcPr>
                  <w:tcW w:w="612" w:type="pct"/>
                  <w:vMerge w:val="restart"/>
                  <w:vAlign w:val="center"/>
                </w:tcPr>
                <w:p>
                  <w:pPr>
                    <w:spacing w:line="240" w:lineRule="auto"/>
                    <w:jc w:val="center"/>
                    <w:rPr>
                      <w:rFonts w:hint="eastAsia"/>
                      <w:szCs w:val="21"/>
                    </w:rPr>
                  </w:pPr>
                  <w:r>
                    <w:rPr>
                      <w:rFonts w:hint="eastAsia"/>
                      <w:szCs w:val="21"/>
                    </w:rPr>
                    <w:t>以新带老消减量</w:t>
                  </w:r>
                </w:p>
              </w:tc>
              <w:tc>
                <w:tcPr>
                  <w:tcW w:w="696" w:type="pct"/>
                  <w:vMerge w:val="restart"/>
                  <w:vAlign w:val="center"/>
                </w:tcPr>
                <w:p>
                  <w:pPr>
                    <w:spacing w:line="240" w:lineRule="auto"/>
                    <w:jc w:val="center"/>
                    <w:rPr>
                      <w:rFonts w:hint="eastAsia"/>
                      <w:szCs w:val="21"/>
                    </w:rPr>
                  </w:pPr>
                  <w:r>
                    <w:rPr>
                      <w:rFonts w:hint="eastAsia"/>
                      <w:szCs w:val="21"/>
                    </w:rPr>
                    <w:t>全厂排放增减量</w:t>
                  </w:r>
                </w:p>
              </w:tc>
              <w:tc>
                <w:tcPr>
                  <w:tcW w:w="613" w:type="pct"/>
                  <w:vMerge w:val="restart"/>
                  <w:vAlign w:val="center"/>
                </w:tcPr>
                <w:p>
                  <w:pPr>
                    <w:spacing w:line="240" w:lineRule="auto"/>
                    <w:jc w:val="center"/>
                    <w:rPr>
                      <w:rFonts w:hint="eastAsia"/>
                      <w:szCs w:val="21"/>
                    </w:rPr>
                  </w:pPr>
                  <w:r>
                    <w:rPr>
                      <w:rFonts w:hint="eastAsia"/>
                      <w:szCs w:val="21"/>
                    </w:rPr>
                    <w:t>全厂排放量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462" w:type="pct"/>
                  <w:vMerge w:val="continue"/>
                  <w:vAlign w:val="center"/>
                </w:tcPr>
                <w:p>
                  <w:pPr>
                    <w:spacing w:line="240" w:lineRule="auto"/>
                    <w:jc w:val="center"/>
                    <w:rPr>
                      <w:szCs w:val="21"/>
                    </w:rPr>
                  </w:pPr>
                </w:p>
              </w:tc>
              <w:tc>
                <w:tcPr>
                  <w:tcW w:w="614" w:type="pct"/>
                  <w:vMerge w:val="continue"/>
                  <w:vAlign w:val="center"/>
                </w:tcPr>
                <w:p>
                  <w:pPr>
                    <w:spacing w:line="240" w:lineRule="auto"/>
                    <w:jc w:val="center"/>
                    <w:rPr>
                      <w:szCs w:val="21"/>
                    </w:rPr>
                  </w:pPr>
                </w:p>
              </w:tc>
              <w:tc>
                <w:tcPr>
                  <w:tcW w:w="512" w:type="pct"/>
                  <w:vMerge w:val="continue"/>
                  <w:vAlign w:val="center"/>
                </w:tcPr>
                <w:p>
                  <w:pPr>
                    <w:spacing w:line="240" w:lineRule="auto"/>
                    <w:jc w:val="center"/>
                    <w:rPr>
                      <w:szCs w:val="21"/>
                    </w:rPr>
                  </w:pPr>
                </w:p>
              </w:tc>
              <w:tc>
                <w:tcPr>
                  <w:tcW w:w="529" w:type="pct"/>
                  <w:vAlign w:val="center"/>
                </w:tcPr>
                <w:p>
                  <w:pPr>
                    <w:spacing w:line="240" w:lineRule="auto"/>
                    <w:jc w:val="center"/>
                    <w:rPr>
                      <w:rFonts w:hint="eastAsia"/>
                      <w:szCs w:val="21"/>
                    </w:rPr>
                  </w:pPr>
                  <w:r>
                    <w:rPr>
                      <w:rFonts w:hint="eastAsia"/>
                      <w:szCs w:val="21"/>
                    </w:rPr>
                    <w:t>产生量</w:t>
                  </w:r>
                </w:p>
              </w:tc>
              <w:tc>
                <w:tcPr>
                  <w:tcW w:w="472" w:type="pct"/>
                  <w:vAlign w:val="center"/>
                </w:tcPr>
                <w:p>
                  <w:pPr>
                    <w:spacing w:line="240" w:lineRule="auto"/>
                    <w:jc w:val="center"/>
                    <w:rPr>
                      <w:rFonts w:hint="eastAsia"/>
                      <w:szCs w:val="21"/>
                    </w:rPr>
                  </w:pPr>
                  <w:r>
                    <w:rPr>
                      <w:rFonts w:hint="eastAsia"/>
                      <w:szCs w:val="21"/>
                    </w:rPr>
                    <w:t>消减量</w:t>
                  </w:r>
                </w:p>
              </w:tc>
              <w:tc>
                <w:tcPr>
                  <w:tcW w:w="486" w:type="pct"/>
                  <w:vAlign w:val="center"/>
                </w:tcPr>
                <w:p>
                  <w:pPr>
                    <w:spacing w:line="240" w:lineRule="auto"/>
                    <w:jc w:val="center"/>
                    <w:rPr>
                      <w:rFonts w:hint="eastAsia"/>
                      <w:szCs w:val="21"/>
                    </w:rPr>
                  </w:pPr>
                  <w:r>
                    <w:rPr>
                      <w:rFonts w:hint="eastAsia"/>
                      <w:szCs w:val="21"/>
                    </w:rPr>
                    <w:t>排放量</w:t>
                  </w:r>
                </w:p>
              </w:tc>
              <w:tc>
                <w:tcPr>
                  <w:tcW w:w="612" w:type="pct"/>
                  <w:vMerge w:val="continue"/>
                  <w:vAlign w:val="center"/>
                </w:tcPr>
                <w:p>
                  <w:pPr>
                    <w:spacing w:line="240" w:lineRule="auto"/>
                    <w:jc w:val="center"/>
                    <w:rPr>
                      <w:szCs w:val="21"/>
                    </w:rPr>
                  </w:pPr>
                </w:p>
              </w:tc>
              <w:tc>
                <w:tcPr>
                  <w:tcW w:w="696" w:type="pct"/>
                  <w:vMerge w:val="continue"/>
                  <w:vAlign w:val="center"/>
                </w:tcPr>
                <w:p>
                  <w:pPr>
                    <w:spacing w:line="240" w:lineRule="auto"/>
                    <w:jc w:val="center"/>
                    <w:rPr>
                      <w:szCs w:val="21"/>
                    </w:rPr>
                  </w:pPr>
                </w:p>
              </w:tc>
              <w:tc>
                <w:tcPr>
                  <w:tcW w:w="613" w:type="pct"/>
                  <w:vMerge w:val="continue"/>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2" w:type="pct"/>
                  <w:vAlign w:val="center"/>
                </w:tcPr>
                <w:p>
                  <w:pPr>
                    <w:spacing w:line="240" w:lineRule="auto"/>
                    <w:jc w:val="center"/>
                    <w:rPr>
                      <w:szCs w:val="21"/>
                    </w:rPr>
                  </w:pPr>
                  <w:r>
                    <w:rPr>
                      <w:rFonts w:hint="eastAsia"/>
                      <w:szCs w:val="21"/>
                    </w:rPr>
                    <w:t>大气污染物</w:t>
                  </w:r>
                </w:p>
              </w:tc>
              <w:tc>
                <w:tcPr>
                  <w:tcW w:w="614" w:type="pct"/>
                  <w:vAlign w:val="center"/>
                </w:tcPr>
                <w:p>
                  <w:pPr>
                    <w:spacing w:line="240" w:lineRule="auto"/>
                    <w:jc w:val="center"/>
                    <w:rPr>
                      <w:szCs w:val="21"/>
                    </w:rPr>
                  </w:pPr>
                  <w:r>
                    <w:rPr>
                      <w:rFonts w:hint="eastAsia"/>
                      <w:szCs w:val="21"/>
                    </w:rPr>
                    <w:t>颗粒物</w:t>
                  </w:r>
                </w:p>
              </w:tc>
              <w:tc>
                <w:tcPr>
                  <w:tcW w:w="512" w:type="pct"/>
                  <w:vAlign w:val="center"/>
                </w:tcPr>
                <w:p>
                  <w:pPr>
                    <w:spacing w:line="240" w:lineRule="auto"/>
                    <w:jc w:val="center"/>
                    <w:rPr>
                      <w:szCs w:val="21"/>
                    </w:rPr>
                  </w:pPr>
                  <w:r>
                    <w:rPr>
                      <w:rFonts w:hint="eastAsia"/>
                      <w:szCs w:val="21"/>
                    </w:rPr>
                    <w:t>0.374</w:t>
                  </w:r>
                </w:p>
              </w:tc>
              <w:tc>
                <w:tcPr>
                  <w:tcW w:w="529" w:type="pct"/>
                  <w:vAlign w:val="center"/>
                </w:tcPr>
                <w:p>
                  <w:pPr>
                    <w:spacing w:line="240" w:lineRule="auto"/>
                    <w:jc w:val="center"/>
                    <w:rPr>
                      <w:rFonts w:hint="default" w:eastAsia="宋体"/>
                      <w:szCs w:val="21"/>
                      <w:lang w:val="en-US" w:eastAsia="zh-CN"/>
                    </w:rPr>
                  </w:pPr>
                  <w:r>
                    <w:rPr>
                      <w:rFonts w:hint="eastAsia"/>
                      <w:szCs w:val="21"/>
                      <w:lang w:val="en-US" w:eastAsia="zh-CN"/>
                    </w:rPr>
                    <w:t>641.672</w:t>
                  </w:r>
                </w:p>
              </w:tc>
              <w:tc>
                <w:tcPr>
                  <w:tcW w:w="472" w:type="pct"/>
                  <w:vAlign w:val="center"/>
                </w:tcPr>
                <w:p>
                  <w:pPr>
                    <w:spacing w:line="240" w:lineRule="auto"/>
                    <w:jc w:val="center"/>
                    <w:rPr>
                      <w:rFonts w:hint="default" w:eastAsia="宋体"/>
                      <w:szCs w:val="21"/>
                      <w:lang w:val="en-US" w:eastAsia="zh-CN"/>
                    </w:rPr>
                  </w:pPr>
                  <w:r>
                    <w:rPr>
                      <w:rFonts w:hint="eastAsia"/>
                      <w:szCs w:val="21"/>
                      <w:lang w:val="en-US" w:eastAsia="zh-CN"/>
                    </w:rPr>
                    <w:t>639.567</w:t>
                  </w:r>
                </w:p>
              </w:tc>
              <w:tc>
                <w:tcPr>
                  <w:tcW w:w="486" w:type="pct"/>
                  <w:vAlign w:val="center"/>
                </w:tcPr>
                <w:p>
                  <w:pPr>
                    <w:spacing w:line="240" w:lineRule="auto"/>
                    <w:jc w:val="center"/>
                    <w:rPr>
                      <w:rFonts w:hint="default" w:eastAsia="宋体"/>
                      <w:szCs w:val="21"/>
                      <w:lang w:val="en-US" w:eastAsia="zh-CN"/>
                    </w:rPr>
                  </w:pPr>
                  <w:r>
                    <w:rPr>
                      <w:rFonts w:hint="eastAsia"/>
                      <w:szCs w:val="21"/>
                      <w:lang w:val="en-US" w:eastAsia="zh-CN"/>
                    </w:rPr>
                    <w:t>2.105</w:t>
                  </w:r>
                </w:p>
              </w:tc>
              <w:tc>
                <w:tcPr>
                  <w:tcW w:w="971" w:type="dxa"/>
                  <w:vAlign w:val="center"/>
                </w:tcPr>
                <w:p>
                  <w:pPr>
                    <w:spacing w:line="240" w:lineRule="auto"/>
                    <w:jc w:val="center"/>
                    <w:rPr>
                      <w:szCs w:val="21"/>
                    </w:rPr>
                  </w:pPr>
                  <w:r>
                    <w:rPr>
                      <w:rFonts w:hint="eastAsia"/>
                      <w:szCs w:val="21"/>
                    </w:rPr>
                    <w:t>0.374</w:t>
                  </w:r>
                </w:p>
              </w:tc>
              <w:tc>
                <w:tcPr>
                  <w:tcW w:w="696" w:type="pct"/>
                  <w:vAlign w:val="center"/>
                </w:tcPr>
                <w:p>
                  <w:pPr>
                    <w:spacing w:line="240" w:lineRule="auto"/>
                    <w:jc w:val="center"/>
                    <w:rPr>
                      <w:rFonts w:hint="default" w:eastAsia="宋体"/>
                      <w:szCs w:val="21"/>
                      <w:lang w:val="en-US" w:eastAsia="zh-CN"/>
                    </w:rPr>
                  </w:pPr>
                  <w:r>
                    <w:rPr>
                      <w:rFonts w:hint="eastAsia"/>
                      <w:szCs w:val="21"/>
                    </w:rPr>
                    <w:t>+</w:t>
                  </w:r>
                  <w:r>
                    <w:rPr>
                      <w:rFonts w:hint="eastAsia"/>
                      <w:szCs w:val="21"/>
                      <w:lang w:val="en-US" w:eastAsia="zh-CN"/>
                    </w:rPr>
                    <w:t>2.105</w:t>
                  </w:r>
                </w:p>
              </w:tc>
              <w:tc>
                <w:tcPr>
                  <w:tcW w:w="613" w:type="pct"/>
                  <w:vAlign w:val="center"/>
                </w:tcPr>
                <w:p>
                  <w:pPr>
                    <w:spacing w:line="240" w:lineRule="auto"/>
                    <w:jc w:val="center"/>
                    <w:rPr>
                      <w:rFonts w:hint="default" w:eastAsia="宋体"/>
                      <w:szCs w:val="21"/>
                      <w:lang w:val="en-US" w:eastAsia="zh-CN"/>
                    </w:rPr>
                  </w:pPr>
                  <w:r>
                    <w:rPr>
                      <w:rFonts w:hint="eastAsia"/>
                      <w:szCs w:val="21"/>
                      <w:lang w:val="en-US" w:eastAsia="zh-CN"/>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restart"/>
                  <w:vAlign w:val="center"/>
                </w:tcPr>
                <w:p>
                  <w:pPr>
                    <w:spacing w:line="240" w:lineRule="auto"/>
                    <w:jc w:val="center"/>
                    <w:rPr>
                      <w:szCs w:val="21"/>
                    </w:rPr>
                  </w:pPr>
                  <w:r>
                    <w:rPr>
                      <w:rFonts w:hint="eastAsia"/>
                      <w:szCs w:val="21"/>
                    </w:rPr>
                    <w:t>水污染物</w:t>
                  </w:r>
                </w:p>
              </w:tc>
              <w:tc>
                <w:tcPr>
                  <w:tcW w:w="614" w:type="pct"/>
                  <w:vAlign w:val="center"/>
                </w:tcPr>
                <w:p>
                  <w:pPr>
                    <w:spacing w:line="240" w:lineRule="auto"/>
                    <w:jc w:val="center"/>
                    <w:rPr>
                      <w:szCs w:val="21"/>
                    </w:rPr>
                  </w:pPr>
                  <w:r>
                    <w:rPr>
                      <w:rFonts w:hint="eastAsia"/>
                      <w:szCs w:val="21"/>
                    </w:rPr>
                    <w:t>COD</w:t>
                  </w:r>
                </w:p>
              </w:tc>
              <w:tc>
                <w:tcPr>
                  <w:tcW w:w="512" w:type="pct"/>
                  <w:vAlign w:val="center"/>
                </w:tcPr>
                <w:p>
                  <w:pPr>
                    <w:spacing w:line="240" w:lineRule="auto"/>
                    <w:jc w:val="center"/>
                    <w:rPr>
                      <w:szCs w:val="21"/>
                    </w:rPr>
                  </w:pPr>
                  <w:r>
                    <w:rPr>
                      <w:rFonts w:hint="eastAsia"/>
                      <w:szCs w:val="21"/>
                    </w:rPr>
                    <w:t>0.223</w:t>
                  </w:r>
                </w:p>
              </w:tc>
              <w:tc>
                <w:tcPr>
                  <w:tcW w:w="529" w:type="pct"/>
                  <w:vAlign w:val="center"/>
                </w:tcPr>
                <w:p>
                  <w:pPr>
                    <w:spacing w:line="240" w:lineRule="auto"/>
                    <w:jc w:val="center"/>
                    <w:rPr>
                      <w:rFonts w:hint="eastAsia"/>
                      <w:szCs w:val="21"/>
                    </w:rPr>
                  </w:pPr>
                  <w:r>
                    <w:rPr>
                      <w:rFonts w:hint="eastAsia"/>
                      <w:szCs w:val="21"/>
                    </w:rPr>
                    <w:t>0</w:t>
                  </w:r>
                </w:p>
              </w:tc>
              <w:tc>
                <w:tcPr>
                  <w:tcW w:w="472" w:type="pct"/>
                  <w:vAlign w:val="center"/>
                </w:tcPr>
                <w:p>
                  <w:pPr>
                    <w:spacing w:line="240" w:lineRule="auto"/>
                    <w:jc w:val="center"/>
                    <w:rPr>
                      <w:rFonts w:hint="eastAsia"/>
                      <w:szCs w:val="21"/>
                    </w:rPr>
                  </w:pPr>
                  <w:r>
                    <w:rPr>
                      <w:rFonts w:hint="eastAsia"/>
                      <w:szCs w:val="21"/>
                    </w:rPr>
                    <w:t>0</w:t>
                  </w:r>
                </w:p>
              </w:tc>
              <w:tc>
                <w:tcPr>
                  <w:tcW w:w="486" w:type="pct"/>
                  <w:vAlign w:val="center"/>
                </w:tcPr>
                <w:p>
                  <w:pPr>
                    <w:spacing w:line="240" w:lineRule="auto"/>
                    <w:jc w:val="center"/>
                    <w:rPr>
                      <w:rFonts w:hint="eastAsia"/>
                      <w:szCs w:val="21"/>
                    </w:rPr>
                  </w:pPr>
                  <w:r>
                    <w:rPr>
                      <w:rFonts w:hint="eastAsia"/>
                      <w:szCs w:val="21"/>
                    </w:rPr>
                    <w:t>0</w:t>
                  </w:r>
                </w:p>
              </w:tc>
              <w:tc>
                <w:tcPr>
                  <w:tcW w:w="971" w:type="dxa"/>
                  <w:vAlign w:val="center"/>
                </w:tcPr>
                <w:p>
                  <w:pPr>
                    <w:spacing w:line="240" w:lineRule="auto"/>
                    <w:jc w:val="center"/>
                    <w:rPr>
                      <w:rFonts w:hint="eastAsia"/>
                      <w:szCs w:val="21"/>
                    </w:rPr>
                  </w:pPr>
                  <w:r>
                    <w:rPr>
                      <w:rFonts w:hint="eastAsia"/>
                      <w:szCs w:val="21"/>
                    </w:rPr>
                    <w:t>0.223</w:t>
                  </w:r>
                </w:p>
              </w:tc>
              <w:tc>
                <w:tcPr>
                  <w:tcW w:w="696" w:type="pct"/>
                  <w:vAlign w:val="center"/>
                </w:tcPr>
                <w:p>
                  <w:pPr>
                    <w:spacing w:line="240" w:lineRule="auto"/>
                    <w:jc w:val="center"/>
                    <w:rPr>
                      <w:rFonts w:hint="eastAsia"/>
                      <w:szCs w:val="21"/>
                    </w:rPr>
                  </w:pPr>
                  <w:r>
                    <w:rPr>
                      <w:rFonts w:hint="eastAsia"/>
                      <w:szCs w:val="21"/>
                    </w:rPr>
                    <w:t>0</w:t>
                  </w:r>
                </w:p>
              </w:tc>
              <w:tc>
                <w:tcPr>
                  <w:tcW w:w="613" w:type="pct"/>
                  <w:vAlign w:val="center"/>
                </w:tcPr>
                <w:p>
                  <w:pPr>
                    <w:spacing w:line="240" w:lineRule="auto"/>
                    <w:jc w:val="center"/>
                    <w:rPr>
                      <w:szCs w:val="21"/>
                    </w:rPr>
                  </w:pPr>
                  <w:r>
                    <w:rPr>
                      <w:rFonts w:hint="eastAsia"/>
                      <w:szCs w:val="21"/>
                    </w:rPr>
                    <w:t>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 w:type="pct"/>
                  <w:vMerge w:val="continue"/>
                  <w:vAlign w:val="center"/>
                </w:tcPr>
                <w:p>
                  <w:pPr>
                    <w:spacing w:line="240" w:lineRule="auto"/>
                    <w:jc w:val="center"/>
                    <w:rPr>
                      <w:rFonts w:hint="eastAsia"/>
                      <w:szCs w:val="21"/>
                    </w:rPr>
                  </w:pPr>
                </w:p>
              </w:tc>
              <w:tc>
                <w:tcPr>
                  <w:tcW w:w="614" w:type="pct"/>
                  <w:vAlign w:val="center"/>
                </w:tcPr>
                <w:p>
                  <w:pPr>
                    <w:spacing w:line="240" w:lineRule="auto"/>
                    <w:jc w:val="center"/>
                    <w:rPr>
                      <w:szCs w:val="21"/>
                    </w:rPr>
                  </w:pPr>
                  <w:r>
                    <w:rPr>
                      <w:rFonts w:hint="eastAsia"/>
                      <w:szCs w:val="21"/>
                    </w:rPr>
                    <w:t>NH</w:t>
                  </w:r>
                  <w:r>
                    <w:rPr>
                      <w:rFonts w:hint="eastAsia"/>
                      <w:szCs w:val="21"/>
                      <w:vertAlign w:val="subscript"/>
                    </w:rPr>
                    <w:t>3</w:t>
                  </w:r>
                  <w:r>
                    <w:rPr>
                      <w:rFonts w:hint="eastAsia"/>
                      <w:szCs w:val="21"/>
                    </w:rPr>
                    <w:t>-N</w:t>
                  </w:r>
                </w:p>
              </w:tc>
              <w:tc>
                <w:tcPr>
                  <w:tcW w:w="512" w:type="pct"/>
                  <w:vAlign w:val="center"/>
                </w:tcPr>
                <w:p>
                  <w:pPr>
                    <w:spacing w:line="240" w:lineRule="auto"/>
                    <w:jc w:val="center"/>
                    <w:rPr>
                      <w:szCs w:val="21"/>
                    </w:rPr>
                  </w:pPr>
                  <w:r>
                    <w:rPr>
                      <w:rFonts w:hint="eastAsia"/>
                      <w:szCs w:val="21"/>
                    </w:rPr>
                    <w:t>0.026</w:t>
                  </w:r>
                </w:p>
              </w:tc>
              <w:tc>
                <w:tcPr>
                  <w:tcW w:w="529" w:type="pct"/>
                  <w:vAlign w:val="center"/>
                </w:tcPr>
                <w:p>
                  <w:pPr>
                    <w:spacing w:line="240" w:lineRule="auto"/>
                    <w:jc w:val="center"/>
                    <w:rPr>
                      <w:szCs w:val="21"/>
                    </w:rPr>
                  </w:pPr>
                  <w:r>
                    <w:rPr>
                      <w:rFonts w:hint="eastAsia"/>
                      <w:szCs w:val="21"/>
                    </w:rPr>
                    <w:t>0</w:t>
                  </w:r>
                </w:p>
              </w:tc>
              <w:tc>
                <w:tcPr>
                  <w:tcW w:w="472" w:type="pct"/>
                  <w:vAlign w:val="center"/>
                </w:tcPr>
                <w:p>
                  <w:pPr>
                    <w:spacing w:line="240" w:lineRule="auto"/>
                    <w:jc w:val="center"/>
                    <w:rPr>
                      <w:szCs w:val="21"/>
                    </w:rPr>
                  </w:pPr>
                  <w:r>
                    <w:rPr>
                      <w:rFonts w:hint="eastAsia"/>
                      <w:szCs w:val="21"/>
                    </w:rPr>
                    <w:t>0</w:t>
                  </w:r>
                </w:p>
              </w:tc>
              <w:tc>
                <w:tcPr>
                  <w:tcW w:w="486" w:type="pct"/>
                  <w:vAlign w:val="center"/>
                </w:tcPr>
                <w:p>
                  <w:pPr>
                    <w:spacing w:line="240" w:lineRule="auto"/>
                    <w:jc w:val="center"/>
                    <w:rPr>
                      <w:szCs w:val="21"/>
                    </w:rPr>
                  </w:pPr>
                  <w:r>
                    <w:rPr>
                      <w:rFonts w:hint="eastAsia"/>
                      <w:szCs w:val="21"/>
                    </w:rPr>
                    <w:t>0</w:t>
                  </w:r>
                </w:p>
              </w:tc>
              <w:tc>
                <w:tcPr>
                  <w:tcW w:w="971" w:type="dxa"/>
                  <w:vAlign w:val="center"/>
                </w:tcPr>
                <w:p>
                  <w:pPr>
                    <w:spacing w:line="240" w:lineRule="auto"/>
                    <w:jc w:val="center"/>
                    <w:rPr>
                      <w:szCs w:val="21"/>
                    </w:rPr>
                  </w:pPr>
                  <w:r>
                    <w:rPr>
                      <w:rFonts w:hint="eastAsia"/>
                      <w:szCs w:val="21"/>
                    </w:rPr>
                    <w:t>0.026</w:t>
                  </w:r>
                </w:p>
              </w:tc>
              <w:tc>
                <w:tcPr>
                  <w:tcW w:w="696" w:type="pct"/>
                  <w:vAlign w:val="center"/>
                </w:tcPr>
                <w:p>
                  <w:pPr>
                    <w:spacing w:line="240" w:lineRule="auto"/>
                    <w:jc w:val="center"/>
                    <w:rPr>
                      <w:szCs w:val="21"/>
                    </w:rPr>
                  </w:pPr>
                  <w:r>
                    <w:rPr>
                      <w:rFonts w:hint="eastAsia"/>
                      <w:szCs w:val="21"/>
                    </w:rPr>
                    <w:t>0</w:t>
                  </w:r>
                </w:p>
              </w:tc>
              <w:tc>
                <w:tcPr>
                  <w:tcW w:w="613" w:type="pct"/>
                  <w:vAlign w:val="center"/>
                </w:tcPr>
                <w:p>
                  <w:pPr>
                    <w:spacing w:line="240" w:lineRule="auto"/>
                    <w:jc w:val="center"/>
                    <w:rPr>
                      <w:szCs w:val="21"/>
                    </w:rPr>
                  </w:pPr>
                  <w:r>
                    <w:rPr>
                      <w:rFonts w:hint="eastAsia"/>
                      <w:szCs w:val="21"/>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restart"/>
                  <w:vAlign w:val="center"/>
                </w:tcPr>
                <w:p>
                  <w:pPr>
                    <w:spacing w:line="240" w:lineRule="auto"/>
                    <w:jc w:val="center"/>
                    <w:rPr>
                      <w:szCs w:val="21"/>
                    </w:rPr>
                  </w:pPr>
                  <w:r>
                    <w:rPr>
                      <w:rFonts w:hint="eastAsia"/>
                      <w:szCs w:val="21"/>
                    </w:rPr>
                    <w:t>固体废物</w:t>
                  </w:r>
                </w:p>
              </w:tc>
              <w:tc>
                <w:tcPr>
                  <w:tcW w:w="614" w:type="pct"/>
                  <w:vAlign w:val="center"/>
                </w:tcPr>
                <w:p>
                  <w:pPr>
                    <w:spacing w:line="240" w:lineRule="auto"/>
                    <w:jc w:val="center"/>
                    <w:rPr>
                      <w:szCs w:val="21"/>
                    </w:rPr>
                  </w:pPr>
                  <w:r>
                    <w:rPr>
                      <w:rFonts w:hint="eastAsia"/>
                      <w:szCs w:val="21"/>
                    </w:rPr>
                    <w:t>除尘灰</w:t>
                  </w:r>
                </w:p>
              </w:tc>
              <w:tc>
                <w:tcPr>
                  <w:tcW w:w="512" w:type="pct"/>
                  <w:vAlign w:val="center"/>
                </w:tcPr>
                <w:p>
                  <w:pPr>
                    <w:spacing w:line="240" w:lineRule="auto"/>
                    <w:jc w:val="center"/>
                    <w:rPr>
                      <w:szCs w:val="21"/>
                    </w:rPr>
                  </w:pPr>
                  <w:r>
                    <w:rPr>
                      <w:rFonts w:hint="eastAsia"/>
                      <w:szCs w:val="21"/>
                    </w:rPr>
                    <w:t>216.88</w:t>
                  </w:r>
                </w:p>
              </w:tc>
              <w:tc>
                <w:tcPr>
                  <w:tcW w:w="529" w:type="pct"/>
                  <w:vAlign w:val="center"/>
                </w:tcPr>
                <w:p>
                  <w:pPr>
                    <w:spacing w:line="240" w:lineRule="auto"/>
                    <w:jc w:val="center"/>
                    <w:rPr>
                      <w:szCs w:val="21"/>
                    </w:rPr>
                  </w:pPr>
                  <w:r>
                    <w:rPr>
                      <w:rFonts w:hint="eastAsia"/>
                      <w:szCs w:val="21"/>
                      <w:lang w:val="en-US" w:eastAsia="zh-CN"/>
                    </w:rPr>
                    <w:t>639.567</w:t>
                  </w:r>
                </w:p>
              </w:tc>
              <w:tc>
                <w:tcPr>
                  <w:tcW w:w="472" w:type="pct"/>
                  <w:vAlign w:val="center"/>
                </w:tcPr>
                <w:p>
                  <w:pPr>
                    <w:spacing w:line="240" w:lineRule="auto"/>
                    <w:jc w:val="center"/>
                    <w:rPr>
                      <w:rFonts w:hint="eastAsia"/>
                      <w:szCs w:val="21"/>
                    </w:rPr>
                  </w:pPr>
                  <w:r>
                    <w:rPr>
                      <w:rFonts w:hint="eastAsia"/>
                      <w:szCs w:val="21"/>
                      <w:lang w:val="en-US" w:eastAsia="zh-CN"/>
                    </w:rPr>
                    <w:t>639.567</w:t>
                  </w:r>
                </w:p>
              </w:tc>
              <w:tc>
                <w:tcPr>
                  <w:tcW w:w="486" w:type="pct"/>
                  <w:vAlign w:val="center"/>
                </w:tcPr>
                <w:p>
                  <w:pPr>
                    <w:spacing w:line="240" w:lineRule="auto"/>
                    <w:jc w:val="center"/>
                    <w:rPr>
                      <w:szCs w:val="21"/>
                    </w:rPr>
                  </w:pPr>
                  <w:r>
                    <w:rPr>
                      <w:rFonts w:hint="eastAsia"/>
                      <w:szCs w:val="21"/>
                    </w:rPr>
                    <w:t>0</w:t>
                  </w:r>
                </w:p>
              </w:tc>
              <w:tc>
                <w:tcPr>
                  <w:tcW w:w="971" w:type="dxa"/>
                  <w:vAlign w:val="center"/>
                </w:tcPr>
                <w:p>
                  <w:pPr>
                    <w:spacing w:line="240" w:lineRule="auto"/>
                    <w:jc w:val="center"/>
                    <w:rPr>
                      <w:szCs w:val="21"/>
                    </w:rPr>
                  </w:pPr>
                  <w:r>
                    <w:rPr>
                      <w:rFonts w:hint="eastAsia"/>
                      <w:szCs w:val="21"/>
                    </w:rPr>
                    <w:t>216.88</w:t>
                  </w:r>
                </w:p>
              </w:tc>
              <w:tc>
                <w:tcPr>
                  <w:tcW w:w="696" w:type="pct"/>
                  <w:vAlign w:val="center"/>
                </w:tcPr>
                <w:p>
                  <w:pPr>
                    <w:spacing w:line="240" w:lineRule="auto"/>
                    <w:jc w:val="center"/>
                    <w:rPr>
                      <w:szCs w:val="21"/>
                    </w:rPr>
                  </w:pPr>
                  <w:r>
                    <w:rPr>
                      <w:rFonts w:hint="eastAsia"/>
                      <w:szCs w:val="21"/>
                    </w:rPr>
                    <w:t>0</w:t>
                  </w:r>
                </w:p>
              </w:tc>
              <w:tc>
                <w:tcPr>
                  <w:tcW w:w="613" w:type="pct"/>
                  <w:vAlign w:val="center"/>
                </w:tcPr>
                <w:p>
                  <w:pPr>
                    <w:spacing w:line="240" w:lineRule="auto"/>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vAlign w:val="center"/>
                </w:tcPr>
                <w:p>
                  <w:pPr>
                    <w:spacing w:line="240" w:lineRule="auto"/>
                    <w:jc w:val="center"/>
                    <w:rPr>
                      <w:rFonts w:hint="eastAsia"/>
                      <w:szCs w:val="21"/>
                    </w:rPr>
                  </w:pPr>
                </w:p>
              </w:tc>
              <w:tc>
                <w:tcPr>
                  <w:tcW w:w="614" w:type="pct"/>
                  <w:vAlign w:val="center"/>
                </w:tcPr>
                <w:p>
                  <w:pPr>
                    <w:spacing w:line="240" w:lineRule="auto"/>
                    <w:jc w:val="center"/>
                    <w:rPr>
                      <w:szCs w:val="21"/>
                    </w:rPr>
                  </w:pPr>
                  <w:r>
                    <w:rPr>
                      <w:rFonts w:hint="eastAsia"/>
                      <w:szCs w:val="21"/>
                    </w:rPr>
                    <w:t>沉淀底泥</w:t>
                  </w:r>
                </w:p>
              </w:tc>
              <w:tc>
                <w:tcPr>
                  <w:tcW w:w="512" w:type="pct"/>
                  <w:vAlign w:val="center"/>
                </w:tcPr>
                <w:p>
                  <w:pPr>
                    <w:spacing w:line="240" w:lineRule="auto"/>
                    <w:jc w:val="center"/>
                    <w:rPr>
                      <w:szCs w:val="21"/>
                    </w:rPr>
                  </w:pPr>
                  <w:r>
                    <w:rPr>
                      <w:rFonts w:hint="eastAsia"/>
                      <w:szCs w:val="21"/>
                    </w:rPr>
                    <w:t>19.78</w:t>
                  </w:r>
                </w:p>
              </w:tc>
              <w:tc>
                <w:tcPr>
                  <w:tcW w:w="529" w:type="pct"/>
                  <w:vAlign w:val="center"/>
                </w:tcPr>
                <w:p>
                  <w:pPr>
                    <w:spacing w:line="240" w:lineRule="auto"/>
                    <w:jc w:val="center"/>
                    <w:rPr>
                      <w:szCs w:val="21"/>
                    </w:rPr>
                  </w:pPr>
                  <w:r>
                    <w:rPr>
                      <w:rFonts w:hint="eastAsia"/>
                      <w:szCs w:val="21"/>
                    </w:rPr>
                    <w:t>0</w:t>
                  </w:r>
                </w:p>
              </w:tc>
              <w:tc>
                <w:tcPr>
                  <w:tcW w:w="472" w:type="pct"/>
                  <w:vAlign w:val="center"/>
                </w:tcPr>
                <w:p>
                  <w:pPr>
                    <w:spacing w:line="240" w:lineRule="auto"/>
                    <w:jc w:val="center"/>
                    <w:rPr>
                      <w:szCs w:val="21"/>
                    </w:rPr>
                  </w:pPr>
                  <w:r>
                    <w:rPr>
                      <w:rFonts w:hint="eastAsia"/>
                      <w:szCs w:val="21"/>
                    </w:rPr>
                    <w:t>0</w:t>
                  </w:r>
                </w:p>
              </w:tc>
              <w:tc>
                <w:tcPr>
                  <w:tcW w:w="486" w:type="pct"/>
                  <w:vAlign w:val="center"/>
                </w:tcPr>
                <w:p>
                  <w:pPr>
                    <w:spacing w:line="240" w:lineRule="auto"/>
                    <w:jc w:val="center"/>
                    <w:rPr>
                      <w:szCs w:val="21"/>
                    </w:rPr>
                  </w:pPr>
                  <w:r>
                    <w:rPr>
                      <w:rFonts w:hint="eastAsia"/>
                      <w:szCs w:val="21"/>
                    </w:rPr>
                    <w:t>0</w:t>
                  </w:r>
                </w:p>
              </w:tc>
              <w:tc>
                <w:tcPr>
                  <w:tcW w:w="971" w:type="dxa"/>
                  <w:vAlign w:val="center"/>
                </w:tcPr>
                <w:p>
                  <w:pPr>
                    <w:spacing w:line="240" w:lineRule="auto"/>
                    <w:jc w:val="center"/>
                    <w:rPr>
                      <w:szCs w:val="21"/>
                    </w:rPr>
                  </w:pPr>
                  <w:r>
                    <w:rPr>
                      <w:rFonts w:hint="eastAsia"/>
                      <w:szCs w:val="21"/>
                    </w:rPr>
                    <w:t>19.78</w:t>
                  </w:r>
                </w:p>
              </w:tc>
              <w:tc>
                <w:tcPr>
                  <w:tcW w:w="696" w:type="pct"/>
                  <w:vAlign w:val="center"/>
                </w:tcPr>
                <w:p>
                  <w:pPr>
                    <w:spacing w:line="240" w:lineRule="auto"/>
                    <w:jc w:val="center"/>
                    <w:rPr>
                      <w:szCs w:val="21"/>
                    </w:rPr>
                  </w:pPr>
                  <w:r>
                    <w:rPr>
                      <w:rFonts w:hint="eastAsia"/>
                      <w:szCs w:val="21"/>
                    </w:rPr>
                    <w:t>0</w:t>
                  </w:r>
                </w:p>
              </w:tc>
              <w:tc>
                <w:tcPr>
                  <w:tcW w:w="613" w:type="pct"/>
                  <w:vAlign w:val="center"/>
                </w:tcPr>
                <w:p>
                  <w:pPr>
                    <w:spacing w:line="240" w:lineRule="auto"/>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vAlign w:val="center"/>
                </w:tcPr>
                <w:p>
                  <w:pPr>
                    <w:spacing w:line="240" w:lineRule="auto"/>
                    <w:jc w:val="center"/>
                    <w:rPr>
                      <w:rFonts w:hint="eastAsia"/>
                      <w:szCs w:val="21"/>
                    </w:rPr>
                  </w:pPr>
                </w:p>
              </w:tc>
              <w:tc>
                <w:tcPr>
                  <w:tcW w:w="614" w:type="pct"/>
                  <w:vAlign w:val="center"/>
                </w:tcPr>
                <w:p>
                  <w:pPr>
                    <w:spacing w:line="240" w:lineRule="auto"/>
                    <w:jc w:val="center"/>
                    <w:rPr>
                      <w:szCs w:val="21"/>
                    </w:rPr>
                  </w:pPr>
                  <w:r>
                    <w:rPr>
                      <w:rFonts w:hint="eastAsia"/>
                      <w:szCs w:val="21"/>
                    </w:rPr>
                    <w:t>废钢筋料</w:t>
                  </w:r>
                </w:p>
              </w:tc>
              <w:tc>
                <w:tcPr>
                  <w:tcW w:w="512" w:type="pct"/>
                  <w:vAlign w:val="center"/>
                </w:tcPr>
                <w:p>
                  <w:pPr>
                    <w:spacing w:line="240" w:lineRule="auto"/>
                    <w:jc w:val="center"/>
                    <w:rPr>
                      <w:szCs w:val="21"/>
                    </w:rPr>
                  </w:pPr>
                  <w:r>
                    <w:rPr>
                      <w:rFonts w:hint="eastAsia"/>
                      <w:szCs w:val="21"/>
                    </w:rPr>
                    <w:t>1818</w:t>
                  </w:r>
                </w:p>
              </w:tc>
              <w:tc>
                <w:tcPr>
                  <w:tcW w:w="529" w:type="pct"/>
                  <w:vAlign w:val="center"/>
                </w:tcPr>
                <w:p>
                  <w:pPr>
                    <w:spacing w:line="240" w:lineRule="auto"/>
                    <w:jc w:val="center"/>
                    <w:rPr>
                      <w:szCs w:val="21"/>
                    </w:rPr>
                  </w:pPr>
                  <w:r>
                    <w:rPr>
                      <w:rFonts w:hint="eastAsia"/>
                      <w:szCs w:val="21"/>
                    </w:rPr>
                    <w:t>0</w:t>
                  </w:r>
                </w:p>
              </w:tc>
              <w:tc>
                <w:tcPr>
                  <w:tcW w:w="472" w:type="pct"/>
                  <w:vAlign w:val="center"/>
                </w:tcPr>
                <w:p>
                  <w:pPr>
                    <w:spacing w:line="240" w:lineRule="auto"/>
                    <w:jc w:val="center"/>
                    <w:rPr>
                      <w:rFonts w:hint="eastAsia"/>
                      <w:szCs w:val="21"/>
                    </w:rPr>
                  </w:pPr>
                  <w:r>
                    <w:rPr>
                      <w:rFonts w:hint="eastAsia"/>
                      <w:szCs w:val="21"/>
                    </w:rPr>
                    <w:t>0</w:t>
                  </w:r>
                </w:p>
              </w:tc>
              <w:tc>
                <w:tcPr>
                  <w:tcW w:w="486" w:type="pct"/>
                  <w:vAlign w:val="center"/>
                </w:tcPr>
                <w:p>
                  <w:pPr>
                    <w:spacing w:line="240" w:lineRule="auto"/>
                    <w:jc w:val="center"/>
                    <w:rPr>
                      <w:rFonts w:hint="eastAsia"/>
                      <w:szCs w:val="21"/>
                    </w:rPr>
                  </w:pPr>
                  <w:r>
                    <w:rPr>
                      <w:rFonts w:hint="eastAsia"/>
                      <w:szCs w:val="21"/>
                    </w:rPr>
                    <w:t>0</w:t>
                  </w:r>
                </w:p>
              </w:tc>
              <w:tc>
                <w:tcPr>
                  <w:tcW w:w="971" w:type="dxa"/>
                  <w:vAlign w:val="center"/>
                </w:tcPr>
                <w:p>
                  <w:pPr>
                    <w:spacing w:line="240" w:lineRule="auto"/>
                    <w:jc w:val="center"/>
                    <w:rPr>
                      <w:rFonts w:hint="eastAsia"/>
                      <w:szCs w:val="21"/>
                    </w:rPr>
                  </w:pPr>
                  <w:r>
                    <w:rPr>
                      <w:rFonts w:hint="eastAsia"/>
                      <w:szCs w:val="21"/>
                    </w:rPr>
                    <w:t>1818</w:t>
                  </w:r>
                </w:p>
              </w:tc>
              <w:tc>
                <w:tcPr>
                  <w:tcW w:w="696" w:type="pct"/>
                  <w:vAlign w:val="center"/>
                </w:tcPr>
                <w:p>
                  <w:pPr>
                    <w:spacing w:line="240" w:lineRule="auto"/>
                    <w:jc w:val="center"/>
                    <w:rPr>
                      <w:rFonts w:hint="eastAsia"/>
                      <w:szCs w:val="21"/>
                    </w:rPr>
                  </w:pPr>
                  <w:r>
                    <w:rPr>
                      <w:rFonts w:hint="eastAsia"/>
                      <w:szCs w:val="21"/>
                    </w:rPr>
                    <w:t>0</w:t>
                  </w:r>
                </w:p>
              </w:tc>
              <w:tc>
                <w:tcPr>
                  <w:tcW w:w="613" w:type="pct"/>
                  <w:vAlign w:val="center"/>
                </w:tcPr>
                <w:p>
                  <w:pPr>
                    <w:spacing w:line="240" w:lineRule="auto"/>
                    <w:jc w:val="center"/>
                    <w:rPr>
                      <w:rFonts w:hint="eastAsia"/>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Merge w:val="continue"/>
                  <w:vAlign w:val="center"/>
                </w:tcPr>
                <w:p>
                  <w:pPr>
                    <w:spacing w:line="240" w:lineRule="auto"/>
                    <w:jc w:val="center"/>
                    <w:rPr>
                      <w:rFonts w:hint="eastAsia"/>
                      <w:szCs w:val="21"/>
                    </w:rPr>
                  </w:pPr>
                </w:p>
              </w:tc>
              <w:tc>
                <w:tcPr>
                  <w:tcW w:w="614" w:type="pct"/>
                  <w:vAlign w:val="center"/>
                </w:tcPr>
                <w:p>
                  <w:pPr>
                    <w:spacing w:line="240" w:lineRule="auto"/>
                    <w:jc w:val="center"/>
                    <w:rPr>
                      <w:szCs w:val="21"/>
                    </w:rPr>
                  </w:pPr>
                  <w:r>
                    <w:rPr>
                      <w:rFonts w:hint="eastAsia"/>
                      <w:szCs w:val="21"/>
                    </w:rPr>
                    <w:t>生活垃圾</w:t>
                  </w:r>
                </w:p>
              </w:tc>
              <w:tc>
                <w:tcPr>
                  <w:tcW w:w="512" w:type="pct"/>
                  <w:vAlign w:val="center"/>
                </w:tcPr>
                <w:p>
                  <w:pPr>
                    <w:spacing w:line="240" w:lineRule="auto"/>
                    <w:jc w:val="center"/>
                    <w:rPr>
                      <w:szCs w:val="21"/>
                    </w:rPr>
                  </w:pPr>
                  <w:r>
                    <w:rPr>
                      <w:rFonts w:hint="eastAsia"/>
                      <w:szCs w:val="21"/>
                    </w:rPr>
                    <w:t>5.7</w:t>
                  </w:r>
                </w:p>
              </w:tc>
              <w:tc>
                <w:tcPr>
                  <w:tcW w:w="529" w:type="pct"/>
                  <w:vAlign w:val="center"/>
                </w:tcPr>
                <w:p>
                  <w:pPr>
                    <w:spacing w:line="240" w:lineRule="auto"/>
                    <w:jc w:val="center"/>
                    <w:rPr>
                      <w:rFonts w:hint="eastAsia"/>
                      <w:szCs w:val="21"/>
                    </w:rPr>
                  </w:pPr>
                  <w:r>
                    <w:rPr>
                      <w:rFonts w:hint="eastAsia"/>
                      <w:szCs w:val="21"/>
                    </w:rPr>
                    <w:t>0</w:t>
                  </w:r>
                </w:p>
              </w:tc>
              <w:tc>
                <w:tcPr>
                  <w:tcW w:w="472" w:type="pct"/>
                  <w:vAlign w:val="center"/>
                </w:tcPr>
                <w:p>
                  <w:pPr>
                    <w:spacing w:line="240" w:lineRule="auto"/>
                    <w:jc w:val="center"/>
                    <w:rPr>
                      <w:rFonts w:hint="eastAsia"/>
                      <w:szCs w:val="21"/>
                    </w:rPr>
                  </w:pPr>
                  <w:r>
                    <w:rPr>
                      <w:rFonts w:hint="eastAsia"/>
                      <w:szCs w:val="21"/>
                    </w:rPr>
                    <w:t>0</w:t>
                  </w:r>
                </w:p>
              </w:tc>
              <w:tc>
                <w:tcPr>
                  <w:tcW w:w="486" w:type="pct"/>
                  <w:vAlign w:val="center"/>
                </w:tcPr>
                <w:p>
                  <w:pPr>
                    <w:spacing w:line="240" w:lineRule="auto"/>
                    <w:jc w:val="center"/>
                    <w:rPr>
                      <w:rFonts w:hint="eastAsia"/>
                      <w:szCs w:val="21"/>
                    </w:rPr>
                  </w:pPr>
                  <w:r>
                    <w:rPr>
                      <w:rFonts w:hint="eastAsia"/>
                      <w:szCs w:val="21"/>
                    </w:rPr>
                    <w:t>0</w:t>
                  </w:r>
                </w:p>
              </w:tc>
              <w:tc>
                <w:tcPr>
                  <w:tcW w:w="971" w:type="dxa"/>
                  <w:vAlign w:val="center"/>
                </w:tcPr>
                <w:p>
                  <w:pPr>
                    <w:spacing w:line="240" w:lineRule="auto"/>
                    <w:jc w:val="center"/>
                    <w:rPr>
                      <w:rFonts w:hint="eastAsia"/>
                      <w:szCs w:val="21"/>
                    </w:rPr>
                  </w:pPr>
                  <w:r>
                    <w:rPr>
                      <w:rFonts w:hint="eastAsia"/>
                      <w:szCs w:val="21"/>
                    </w:rPr>
                    <w:t>5.7</w:t>
                  </w:r>
                </w:p>
              </w:tc>
              <w:tc>
                <w:tcPr>
                  <w:tcW w:w="696" w:type="pct"/>
                  <w:vAlign w:val="center"/>
                </w:tcPr>
                <w:p>
                  <w:pPr>
                    <w:spacing w:line="240" w:lineRule="auto"/>
                    <w:jc w:val="center"/>
                    <w:rPr>
                      <w:rFonts w:hint="eastAsia"/>
                      <w:szCs w:val="21"/>
                    </w:rPr>
                  </w:pPr>
                  <w:r>
                    <w:rPr>
                      <w:rFonts w:hint="eastAsia"/>
                      <w:szCs w:val="21"/>
                    </w:rPr>
                    <w:t>0</w:t>
                  </w:r>
                </w:p>
              </w:tc>
              <w:tc>
                <w:tcPr>
                  <w:tcW w:w="613" w:type="pct"/>
                  <w:vAlign w:val="center"/>
                </w:tcPr>
                <w:p>
                  <w:pPr>
                    <w:spacing w:line="240" w:lineRule="auto"/>
                    <w:jc w:val="center"/>
                    <w:rPr>
                      <w:rFonts w:hint="eastAsia"/>
                      <w:szCs w:val="21"/>
                    </w:rPr>
                  </w:pPr>
                  <w:r>
                    <w:rPr>
                      <w:rFonts w:hint="eastAsia"/>
                      <w:szCs w:val="21"/>
                    </w:rPr>
                    <w:t>0</w:t>
                  </w:r>
                </w:p>
              </w:tc>
            </w:tr>
          </w:tbl>
          <w:p/>
        </w:tc>
      </w:tr>
    </w:tbl>
    <w:p>
      <w:pPr>
        <w:adjustRightInd w:val="0"/>
        <w:snapToGrid w:val="0"/>
        <w:rPr>
          <w:rFonts w:hint="eastAsia" w:ascii="宋体" w:cs="宋体"/>
          <w:b/>
          <w:kern w:val="0"/>
          <w:sz w:val="28"/>
          <w:szCs w:val="28"/>
        </w:rPr>
        <w:sectPr>
          <w:pgSz w:w="11907" w:h="16840"/>
          <w:pgMar w:top="1701" w:right="1531" w:bottom="2127" w:left="1531" w:header="851" w:footer="851" w:gutter="0"/>
          <w:cols w:space="720" w:num="1"/>
          <w:docGrid w:linePitch="312" w:charSpace="0"/>
        </w:sectPr>
      </w:pPr>
    </w:p>
    <w:p>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 w:name="_Hlk54167917"/>
      <w:r>
        <w:rPr>
          <w:rFonts w:hint="eastAsia" w:ascii="黑体" w:hAnsi="黑体" w:eastAsia="黑体"/>
          <w:snapToGrid w:val="0"/>
          <w:sz w:val="30"/>
          <w:szCs w:val="30"/>
        </w:rPr>
        <w:t>环境保护措施监督检查清单</w:t>
      </w:r>
      <w:bookmarkEnd w:id="1"/>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37"/>
        <w:gridCol w:w="248"/>
        <w:gridCol w:w="990"/>
        <w:gridCol w:w="1125"/>
        <w:gridCol w:w="675"/>
        <w:gridCol w:w="1080"/>
        <w:gridCol w:w="19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tcBorders>
              <w:tl2br w:val="single" w:color="auto" w:sz="4" w:space="0"/>
            </w:tcBorders>
          </w:tcPr>
          <w:p>
            <w:pPr>
              <w:adjustRightInd w:val="0"/>
              <w:snapToGrid w:val="0"/>
              <w:spacing w:line="240" w:lineRule="auto"/>
              <w:ind w:firstLine="720" w:firstLineChars="300"/>
              <w:rPr>
                <w:sz w:val="24"/>
              </w:rPr>
            </w:pPr>
            <w:r>
              <w:rPr>
                <w:sz w:val="24"/>
              </w:rPr>
              <w:t>内容</w:t>
            </w:r>
          </w:p>
          <w:p>
            <w:pPr>
              <w:adjustRightInd w:val="0"/>
              <w:snapToGrid w:val="0"/>
              <w:spacing w:line="240" w:lineRule="auto"/>
              <w:rPr>
                <w:sz w:val="24"/>
              </w:rPr>
            </w:pPr>
            <w:r>
              <w:rPr>
                <w:sz w:val="24"/>
              </w:rPr>
              <w:t>要素</w:t>
            </w:r>
          </w:p>
        </w:tc>
        <w:tc>
          <w:tcPr>
            <w:tcW w:w="1485" w:type="dxa"/>
            <w:gridSpan w:val="2"/>
            <w:vAlign w:val="center"/>
          </w:tcPr>
          <w:p>
            <w:pPr>
              <w:adjustRightInd w:val="0"/>
              <w:snapToGrid w:val="0"/>
              <w:spacing w:line="240" w:lineRule="auto"/>
              <w:jc w:val="center"/>
              <w:rPr>
                <w:sz w:val="24"/>
              </w:rPr>
            </w:pPr>
            <w:r>
              <w:rPr>
                <w:sz w:val="24"/>
              </w:rPr>
              <w:t>排放口(编号、</w:t>
            </w:r>
          </w:p>
          <w:p>
            <w:pPr>
              <w:adjustRightInd w:val="0"/>
              <w:snapToGrid w:val="0"/>
              <w:spacing w:line="240" w:lineRule="auto"/>
              <w:jc w:val="center"/>
              <w:rPr>
                <w:sz w:val="24"/>
              </w:rPr>
            </w:pPr>
            <w:r>
              <w:rPr>
                <w:sz w:val="24"/>
              </w:rPr>
              <w:t>名称)/污染源</w:t>
            </w:r>
          </w:p>
        </w:tc>
        <w:tc>
          <w:tcPr>
            <w:tcW w:w="990" w:type="dxa"/>
            <w:vAlign w:val="center"/>
          </w:tcPr>
          <w:p>
            <w:pPr>
              <w:adjustRightInd w:val="0"/>
              <w:snapToGrid w:val="0"/>
              <w:spacing w:line="240" w:lineRule="auto"/>
              <w:jc w:val="center"/>
              <w:rPr>
                <w:sz w:val="24"/>
              </w:rPr>
            </w:pPr>
            <w:r>
              <w:rPr>
                <w:sz w:val="24"/>
              </w:rPr>
              <w:t>污染物项目</w:t>
            </w:r>
          </w:p>
        </w:tc>
        <w:tc>
          <w:tcPr>
            <w:tcW w:w="1800" w:type="dxa"/>
            <w:gridSpan w:val="2"/>
            <w:vAlign w:val="center"/>
          </w:tcPr>
          <w:p>
            <w:pPr>
              <w:adjustRightInd w:val="0"/>
              <w:snapToGrid w:val="0"/>
              <w:spacing w:line="240" w:lineRule="auto"/>
              <w:jc w:val="center"/>
              <w:rPr>
                <w:sz w:val="24"/>
              </w:rPr>
            </w:pPr>
            <w:r>
              <w:rPr>
                <w:sz w:val="24"/>
              </w:rPr>
              <w:t>环境保护措施</w:t>
            </w:r>
          </w:p>
        </w:tc>
        <w:tc>
          <w:tcPr>
            <w:tcW w:w="3072" w:type="dxa"/>
            <w:gridSpan w:val="2"/>
            <w:vAlign w:val="center"/>
          </w:tcPr>
          <w:p>
            <w:pPr>
              <w:adjustRightInd w:val="0"/>
              <w:snapToGrid w:val="0"/>
              <w:spacing w:line="240" w:lineRule="auto"/>
              <w:jc w:val="center"/>
              <w:rPr>
                <w:sz w:val="24"/>
              </w:rPr>
            </w:pPr>
            <w:r>
              <w:rPr>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restart"/>
            <w:vAlign w:val="center"/>
          </w:tcPr>
          <w:p>
            <w:pPr>
              <w:adjustRightInd w:val="0"/>
              <w:snapToGrid w:val="0"/>
              <w:spacing w:line="240" w:lineRule="auto"/>
              <w:jc w:val="center"/>
              <w:rPr>
                <w:sz w:val="24"/>
              </w:rPr>
            </w:pPr>
            <w:r>
              <w:rPr>
                <w:sz w:val="24"/>
              </w:rPr>
              <w:t>大气环境</w:t>
            </w:r>
          </w:p>
        </w:tc>
        <w:tc>
          <w:tcPr>
            <w:tcW w:w="1485" w:type="dxa"/>
            <w:gridSpan w:val="2"/>
            <w:vAlign w:val="center"/>
          </w:tcPr>
          <w:p>
            <w:pPr>
              <w:adjustRightInd w:val="0"/>
              <w:snapToGrid w:val="0"/>
              <w:spacing w:line="240" w:lineRule="auto"/>
              <w:jc w:val="center"/>
              <w:rPr>
                <w:rFonts w:hint="default" w:eastAsia="宋体"/>
                <w:sz w:val="24"/>
                <w:lang w:val="en-US" w:eastAsia="zh-CN"/>
              </w:rPr>
            </w:pPr>
            <w:r>
              <w:rPr>
                <w:rFonts w:hint="eastAsia"/>
                <w:sz w:val="24"/>
                <w:lang w:val="en-US" w:eastAsia="zh-CN"/>
              </w:rPr>
              <w:t>骨料破碎、筛分废气（P1）</w:t>
            </w:r>
          </w:p>
        </w:tc>
        <w:tc>
          <w:tcPr>
            <w:tcW w:w="990" w:type="dxa"/>
            <w:vAlign w:val="center"/>
          </w:tcPr>
          <w:p>
            <w:pPr>
              <w:adjustRightInd w:val="0"/>
              <w:snapToGrid w:val="0"/>
              <w:spacing w:line="240" w:lineRule="auto"/>
              <w:jc w:val="center"/>
              <w:rPr>
                <w:sz w:val="24"/>
              </w:rPr>
            </w:pPr>
            <w:r>
              <w:rPr>
                <w:sz w:val="24"/>
              </w:rPr>
              <w:t>颗粒物</w:t>
            </w:r>
          </w:p>
        </w:tc>
        <w:tc>
          <w:tcPr>
            <w:tcW w:w="1800" w:type="dxa"/>
            <w:gridSpan w:val="2"/>
            <w:vAlign w:val="center"/>
          </w:tcPr>
          <w:p>
            <w:pPr>
              <w:snapToGrid w:val="0"/>
              <w:spacing w:line="240" w:lineRule="auto"/>
              <w:jc w:val="center"/>
              <w:rPr>
                <w:rFonts w:hint="default" w:eastAsia="宋体"/>
                <w:sz w:val="24"/>
                <w:lang w:val="en-US" w:eastAsia="zh-CN"/>
              </w:rPr>
            </w:pPr>
            <w:r>
              <w:rPr>
                <w:rFonts w:hint="eastAsia"/>
                <w:sz w:val="24"/>
                <w:lang w:val="en-US" w:eastAsia="zh-CN"/>
              </w:rPr>
              <w:t>密闭车间+1套脉冲式袋式除尘器+15m高排气筒P1排放</w:t>
            </w:r>
          </w:p>
        </w:tc>
        <w:tc>
          <w:tcPr>
            <w:tcW w:w="3072" w:type="dxa"/>
            <w:gridSpan w:val="2"/>
            <w:vMerge w:val="restart"/>
            <w:vAlign w:val="center"/>
          </w:tcPr>
          <w:p>
            <w:pPr>
              <w:adjustRightInd w:val="0"/>
              <w:snapToGrid w:val="0"/>
              <w:spacing w:line="240" w:lineRule="auto"/>
              <w:jc w:val="center"/>
              <w:rPr>
                <w:sz w:val="24"/>
              </w:rPr>
            </w:pPr>
            <w:r>
              <w:rPr>
                <w:rFonts w:hint="eastAsia"/>
                <w:sz w:val="24"/>
              </w:rPr>
              <w:t>《水泥工业大气污染物超低排放标准》（DB13/2167-2020）表1中散装水泥中转站及水泥制品生产中颗粒物有组织排放限值即颗粒物</w:t>
            </w:r>
            <w:r>
              <w:rPr>
                <w:rFonts w:ascii="Arial" w:hAnsi="Arial" w:cs="Arial"/>
                <w:sz w:val="24"/>
              </w:rPr>
              <w:t>≤</w:t>
            </w:r>
            <w:r>
              <w:rPr>
                <w:rFonts w:hint="eastAsia"/>
                <w:sz w:val="24"/>
              </w:rPr>
              <w:t>10mg/m</w:t>
            </w:r>
            <w:r>
              <w:rPr>
                <w:rFonts w:hint="eastAsia"/>
                <w:sz w:val="24"/>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1#、2#粉料仓上料废气</w:t>
            </w:r>
            <w:r>
              <w:rPr>
                <w:sz w:val="24"/>
              </w:rPr>
              <w:t>（</w:t>
            </w:r>
            <w:r>
              <w:rPr>
                <w:rFonts w:hint="eastAsia"/>
                <w:sz w:val="24"/>
              </w:rPr>
              <w:t>P2</w:t>
            </w:r>
            <w:r>
              <w:rPr>
                <w:sz w:val="24"/>
              </w:rPr>
              <w:t>）</w:t>
            </w:r>
          </w:p>
        </w:tc>
        <w:tc>
          <w:tcPr>
            <w:tcW w:w="990" w:type="dxa"/>
            <w:vAlign w:val="center"/>
          </w:tcPr>
          <w:p>
            <w:pPr>
              <w:adjustRightInd w:val="0"/>
              <w:snapToGrid w:val="0"/>
              <w:spacing w:line="240" w:lineRule="auto"/>
              <w:jc w:val="center"/>
              <w:rPr>
                <w:sz w:val="24"/>
              </w:rPr>
            </w:pPr>
            <w:r>
              <w:rPr>
                <w:sz w:val="24"/>
              </w:rPr>
              <w:t>颗粒物</w:t>
            </w:r>
          </w:p>
        </w:tc>
        <w:tc>
          <w:tcPr>
            <w:tcW w:w="1800" w:type="dxa"/>
            <w:gridSpan w:val="2"/>
            <w:vAlign w:val="center"/>
          </w:tcPr>
          <w:p>
            <w:pPr>
              <w:snapToGrid w:val="0"/>
              <w:spacing w:line="240" w:lineRule="auto"/>
              <w:jc w:val="center"/>
              <w:rPr>
                <w:sz w:val="24"/>
              </w:rPr>
            </w:pPr>
            <w:r>
              <w:rPr>
                <w:rFonts w:hint="eastAsia"/>
                <w:sz w:val="24"/>
              </w:rPr>
              <w:t>封闭式进仓+1套脉冲式袋式除尘器+28m排气筒P2排放</w:t>
            </w:r>
          </w:p>
        </w:tc>
        <w:tc>
          <w:tcPr>
            <w:tcW w:w="3072" w:type="dxa"/>
            <w:gridSpan w:val="2"/>
            <w:vMerge w:val="continue"/>
            <w:vAlign w:val="center"/>
          </w:tcPr>
          <w:p>
            <w:pPr>
              <w:adjustRightInd w:val="0"/>
              <w:snapToGrid w:val="0"/>
              <w:spacing w:line="24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3#、4#粉料仓上料废气</w:t>
            </w:r>
            <w:r>
              <w:rPr>
                <w:sz w:val="24"/>
              </w:rPr>
              <w:t>（</w:t>
            </w:r>
            <w:r>
              <w:rPr>
                <w:rFonts w:hint="eastAsia"/>
                <w:sz w:val="24"/>
              </w:rPr>
              <w:t>P3</w:t>
            </w:r>
            <w:r>
              <w:rPr>
                <w:sz w:val="24"/>
              </w:rPr>
              <w:t>）</w:t>
            </w:r>
          </w:p>
        </w:tc>
        <w:tc>
          <w:tcPr>
            <w:tcW w:w="990" w:type="dxa"/>
            <w:vAlign w:val="center"/>
          </w:tcPr>
          <w:p>
            <w:pPr>
              <w:adjustRightInd w:val="0"/>
              <w:snapToGrid w:val="0"/>
              <w:spacing w:line="240" w:lineRule="auto"/>
              <w:jc w:val="center"/>
              <w:rPr>
                <w:sz w:val="24"/>
              </w:rPr>
            </w:pPr>
            <w:r>
              <w:rPr>
                <w:sz w:val="24"/>
              </w:rPr>
              <w:t>颗粒物</w:t>
            </w:r>
          </w:p>
        </w:tc>
        <w:tc>
          <w:tcPr>
            <w:tcW w:w="1800" w:type="dxa"/>
            <w:gridSpan w:val="2"/>
            <w:vAlign w:val="center"/>
          </w:tcPr>
          <w:p>
            <w:pPr>
              <w:snapToGrid w:val="0"/>
              <w:spacing w:line="240" w:lineRule="auto"/>
              <w:jc w:val="center"/>
              <w:rPr>
                <w:sz w:val="24"/>
              </w:rPr>
            </w:pPr>
            <w:r>
              <w:rPr>
                <w:rFonts w:hint="eastAsia"/>
                <w:sz w:val="24"/>
              </w:rPr>
              <w:t>封闭式进仓+1套脉冲式袋式除尘器+28m排气筒P3排放</w:t>
            </w:r>
          </w:p>
        </w:tc>
        <w:tc>
          <w:tcPr>
            <w:tcW w:w="3072" w:type="dxa"/>
            <w:gridSpan w:val="2"/>
            <w:vMerge w:val="continue"/>
            <w:vAlign w:val="center"/>
          </w:tcPr>
          <w:p>
            <w:pPr>
              <w:adjustRightInd w:val="0"/>
              <w:snapToGrid w:val="0"/>
              <w:spacing w:line="240" w:lineRule="auto"/>
              <w:jc w:val="center"/>
              <w:rPr>
                <w:rFonts w:hint="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5#、6#粉料仓上料废气</w:t>
            </w:r>
            <w:r>
              <w:rPr>
                <w:sz w:val="24"/>
              </w:rPr>
              <w:t>（</w:t>
            </w:r>
            <w:r>
              <w:rPr>
                <w:rFonts w:hint="eastAsia"/>
                <w:sz w:val="24"/>
              </w:rPr>
              <w:t>P4</w:t>
            </w:r>
            <w:r>
              <w:rPr>
                <w:sz w:val="24"/>
              </w:rPr>
              <w:t>）</w:t>
            </w:r>
          </w:p>
        </w:tc>
        <w:tc>
          <w:tcPr>
            <w:tcW w:w="990" w:type="dxa"/>
            <w:vAlign w:val="center"/>
          </w:tcPr>
          <w:p>
            <w:pPr>
              <w:adjustRightInd w:val="0"/>
              <w:snapToGrid w:val="0"/>
              <w:spacing w:line="240" w:lineRule="auto"/>
              <w:jc w:val="center"/>
              <w:rPr>
                <w:sz w:val="24"/>
              </w:rPr>
            </w:pPr>
            <w:r>
              <w:rPr>
                <w:sz w:val="24"/>
              </w:rPr>
              <w:t>颗粒物</w:t>
            </w:r>
          </w:p>
        </w:tc>
        <w:tc>
          <w:tcPr>
            <w:tcW w:w="1800" w:type="dxa"/>
            <w:gridSpan w:val="2"/>
            <w:vAlign w:val="center"/>
          </w:tcPr>
          <w:p>
            <w:pPr>
              <w:snapToGrid w:val="0"/>
              <w:spacing w:line="240" w:lineRule="auto"/>
              <w:jc w:val="center"/>
              <w:rPr>
                <w:sz w:val="24"/>
              </w:rPr>
            </w:pPr>
            <w:r>
              <w:rPr>
                <w:rFonts w:hint="eastAsia"/>
                <w:sz w:val="24"/>
              </w:rPr>
              <w:t>封闭式进仓+1套脉冲式袋式除尘器+28m排气筒P4排放</w:t>
            </w:r>
          </w:p>
        </w:tc>
        <w:tc>
          <w:tcPr>
            <w:tcW w:w="3072" w:type="dxa"/>
            <w:gridSpan w:val="2"/>
            <w:vMerge w:val="continue"/>
            <w:vAlign w:val="center"/>
          </w:tcPr>
          <w:p>
            <w:pPr>
              <w:adjustRightInd w:val="0"/>
              <w:snapToGrid w:val="0"/>
              <w:spacing w:line="24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7#、8#粉料仓上料废气</w:t>
            </w:r>
            <w:r>
              <w:rPr>
                <w:sz w:val="24"/>
              </w:rPr>
              <w:t>（</w:t>
            </w:r>
            <w:r>
              <w:rPr>
                <w:rFonts w:hint="eastAsia"/>
                <w:sz w:val="24"/>
              </w:rPr>
              <w:t>P5</w:t>
            </w:r>
            <w:r>
              <w:rPr>
                <w:sz w:val="24"/>
              </w:rPr>
              <w:t>）</w:t>
            </w:r>
          </w:p>
        </w:tc>
        <w:tc>
          <w:tcPr>
            <w:tcW w:w="990" w:type="dxa"/>
            <w:vAlign w:val="center"/>
          </w:tcPr>
          <w:p>
            <w:pPr>
              <w:adjustRightInd w:val="0"/>
              <w:snapToGrid w:val="0"/>
              <w:spacing w:line="240" w:lineRule="auto"/>
              <w:jc w:val="center"/>
              <w:rPr>
                <w:sz w:val="24"/>
              </w:rPr>
            </w:pPr>
            <w:r>
              <w:rPr>
                <w:sz w:val="24"/>
              </w:rPr>
              <w:t>颗粒物</w:t>
            </w:r>
          </w:p>
        </w:tc>
        <w:tc>
          <w:tcPr>
            <w:tcW w:w="1800" w:type="dxa"/>
            <w:gridSpan w:val="2"/>
            <w:vAlign w:val="center"/>
          </w:tcPr>
          <w:p>
            <w:pPr>
              <w:snapToGrid w:val="0"/>
              <w:spacing w:line="240" w:lineRule="auto"/>
              <w:jc w:val="center"/>
              <w:rPr>
                <w:rFonts w:hint="eastAsia"/>
                <w:sz w:val="24"/>
              </w:rPr>
            </w:pPr>
            <w:r>
              <w:rPr>
                <w:rFonts w:hint="eastAsia"/>
                <w:sz w:val="24"/>
              </w:rPr>
              <w:t>封闭式进仓+1套脉冲式袋式除尘器+28m排气筒P5排放</w:t>
            </w:r>
          </w:p>
        </w:tc>
        <w:tc>
          <w:tcPr>
            <w:tcW w:w="3072" w:type="dxa"/>
            <w:gridSpan w:val="2"/>
            <w:vMerge w:val="continue"/>
            <w:vAlign w:val="center"/>
          </w:tcPr>
          <w:p>
            <w:pPr>
              <w:adjustRightInd w:val="0"/>
              <w:snapToGrid w:val="0"/>
              <w:spacing w:line="24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1#、2#砂仓废气（P6）</w:t>
            </w:r>
          </w:p>
        </w:tc>
        <w:tc>
          <w:tcPr>
            <w:tcW w:w="990" w:type="dxa"/>
            <w:vAlign w:val="center"/>
          </w:tcPr>
          <w:p>
            <w:pPr>
              <w:spacing w:line="240" w:lineRule="auto"/>
              <w:jc w:val="center"/>
              <w:rPr>
                <w:rFonts w:hint="eastAsia"/>
                <w:sz w:val="24"/>
              </w:rPr>
            </w:pPr>
            <w:r>
              <w:rPr>
                <w:rFonts w:hint="eastAsia"/>
                <w:sz w:val="24"/>
              </w:rPr>
              <w:t>颗粒物</w:t>
            </w:r>
          </w:p>
        </w:tc>
        <w:tc>
          <w:tcPr>
            <w:tcW w:w="1800" w:type="dxa"/>
            <w:gridSpan w:val="2"/>
            <w:vAlign w:val="center"/>
          </w:tcPr>
          <w:p>
            <w:pPr>
              <w:snapToGrid w:val="0"/>
              <w:spacing w:line="240" w:lineRule="auto"/>
              <w:jc w:val="center"/>
              <w:rPr>
                <w:sz w:val="24"/>
              </w:rPr>
            </w:pPr>
            <w:r>
              <w:rPr>
                <w:rFonts w:hint="eastAsia"/>
                <w:sz w:val="24"/>
              </w:rPr>
              <w:t>集气罩+2套脉冲式袋式除尘器+1根15m排气筒P6排放</w:t>
            </w:r>
          </w:p>
        </w:tc>
        <w:tc>
          <w:tcPr>
            <w:tcW w:w="3072" w:type="dxa"/>
            <w:gridSpan w:val="2"/>
            <w:vMerge w:val="continue"/>
            <w:vAlign w:val="center"/>
          </w:tcPr>
          <w:p>
            <w:pPr>
              <w:adjustRightInd w:val="0"/>
              <w:snapToGrid w:val="0"/>
              <w:spacing w:line="24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搅拌工序废气（P7）</w:t>
            </w:r>
          </w:p>
        </w:tc>
        <w:tc>
          <w:tcPr>
            <w:tcW w:w="990" w:type="dxa"/>
            <w:vAlign w:val="center"/>
          </w:tcPr>
          <w:p>
            <w:pPr>
              <w:adjustRightInd w:val="0"/>
              <w:snapToGrid w:val="0"/>
              <w:spacing w:line="240" w:lineRule="auto"/>
              <w:jc w:val="center"/>
              <w:rPr>
                <w:rFonts w:hint="eastAsia"/>
                <w:sz w:val="24"/>
              </w:rPr>
            </w:pPr>
            <w:r>
              <w:rPr>
                <w:rFonts w:hint="eastAsia"/>
                <w:sz w:val="24"/>
              </w:rPr>
              <w:t>颗粒物</w:t>
            </w:r>
          </w:p>
        </w:tc>
        <w:tc>
          <w:tcPr>
            <w:tcW w:w="1800" w:type="dxa"/>
            <w:gridSpan w:val="2"/>
            <w:vAlign w:val="center"/>
          </w:tcPr>
          <w:p>
            <w:pPr>
              <w:snapToGrid w:val="0"/>
              <w:spacing w:line="240" w:lineRule="auto"/>
              <w:jc w:val="center"/>
              <w:rPr>
                <w:rFonts w:hint="eastAsia"/>
                <w:sz w:val="24"/>
              </w:rPr>
            </w:pPr>
            <w:r>
              <w:rPr>
                <w:rFonts w:hint="eastAsia"/>
                <w:sz w:val="24"/>
              </w:rPr>
              <w:t>封闭式搅拌+1套脉冲式袋式除尘器+1根15m排气筒P7排放</w:t>
            </w:r>
          </w:p>
        </w:tc>
        <w:tc>
          <w:tcPr>
            <w:tcW w:w="3072" w:type="dxa"/>
            <w:gridSpan w:val="2"/>
            <w:vMerge w:val="continue"/>
            <w:vAlign w:val="center"/>
          </w:tcPr>
          <w:p>
            <w:pPr>
              <w:adjustRightInd w:val="0"/>
              <w:snapToGrid w:val="0"/>
              <w:spacing w:line="24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Merge w:val="continue"/>
            <w:vAlign w:val="center"/>
          </w:tcPr>
          <w:p>
            <w:pPr>
              <w:adjustRightInd w:val="0"/>
              <w:snapToGrid w:val="0"/>
              <w:spacing w:line="240" w:lineRule="auto"/>
              <w:jc w:val="center"/>
              <w:rPr>
                <w:sz w:val="24"/>
              </w:rPr>
            </w:pPr>
          </w:p>
        </w:tc>
        <w:tc>
          <w:tcPr>
            <w:tcW w:w="1485" w:type="dxa"/>
            <w:gridSpan w:val="2"/>
            <w:vAlign w:val="center"/>
          </w:tcPr>
          <w:p>
            <w:pPr>
              <w:adjustRightInd w:val="0"/>
              <w:snapToGrid w:val="0"/>
              <w:spacing w:line="240" w:lineRule="auto"/>
              <w:jc w:val="center"/>
              <w:rPr>
                <w:sz w:val="24"/>
              </w:rPr>
            </w:pPr>
            <w:r>
              <w:rPr>
                <w:rFonts w:hint="eastAsia"/>
                <w:sz w:val="24"/>
              </w:rPr>
              <w:t>厂区无组织废气</w:t>
            </w:r>
          </w:p>
        </w:tc>
        <w:tc>
          <w:tcPr>
            <w:tcW w:w="990" w:type="dxa"/>
            <w:vAlign w:val="center"/>
          </w:tcPr>
          <w:p>
            <w:pPr>
              <w:adjustRightInd w:val="0"/>
              <w:snapToGrid w:val="0"/>
              <w:spacing w:line="240" w:lineRule="auto"/>
              <w:jc w:val="center"/>
              <w:rPr>
                <w:rFonts w:hint="eastAsia"/>
                <w:sz w:val="24"/>
              </w:rPr>
            </w:pPr>
            <w:r>
              <w:rPr>
                <w:rFonts w:hint="eastAsia"/>
                <w:sz w:val="24"/>
              </w:rPr>
              <w:t>颗粒物</w:t>
            </w:r>
          </w:p>
        </w:tc>
        <w:tc>
          <w:tcPr>
            <w:tcW w:w="1800" w:type="dxa"/>
            <w:gridSpan w:val="2"/>
            <w:vAlign w:val="center"/>
          </w:tcPr>
          <w:p>
            <w:pPr>
              <w:adjustRightInd w:val="0"/>
              <w:snapToGrid w:val="0"/>
              <w:spacing w:line="240" w:lineRule="auto"/>
              <w:jc w:val="center"/>
              <w:rPr>
                <w:sz w:val="24"/>
              </w:rPr>
            </w:pPr>
            <w:r>
              <w:rPr>
                <w:rFonts w:hint="eastAsia"/>
                <w:sz w:val="24"/>
              </w:rPr>
              <w:t>重力沉降，车间密闭，车间喷雾抑尘</w:t>
            </w:r>
          </w:p>
        </w:tc>
        <w:tc>
          <w:tcPr>
            <w:tcW w:w="3072" w:type="dxa"/>
            <w:gridSpan w:val="2"/>
            <w:vAlign w:val="center"/>
          </w:tcPr>
          <w:p>
            <w:pPr>
              <w:adjustRightInd w:val="0"/>
              <w:snapToGrid w:val="0"/>
              <w:spacing w:line="240" w:lineRule="auto"/>
              <w:jc w:val="center"/>
              <w:rPr>
                <w:rFonts w:hint="eastAsia"/>
                <w:sz w:val="24"/>
              </w:rPr>
            </w:pPr>
            <w:r>
              <w:rPr>
                <w:rFonts w:hint="eastAsia"/>
                <w:sz w:val="24"/>
              </w:rPr>
              <w:t>《水泥工业大气污染物超低排放标准》（DB13/2167-2020）表2中颗粒物监控点与参照点总悬浮颗粒物1h浓度值的差值，即颗粒物</w:t>
            </w:r>
            <w:r>
              <w:rPr>
                <w:rFonts w:ascii="Arial" w:hAnsi="Arial" w:cs="Arial"/>
                <w:sz w:val="24"/>
              </w:rPr>
              <w:t>≤</w:t>
            </w:r>
            <w:r>
              <w:rPr>
                <w:rFonts w:hint="eastAsia"/>
                <w:sz w:val="24"/>
              </w:rPr>
              <w:t>0.5mg/m</w:t>
            </w:r>
            <w:r>
              <w:rPr>
                <w:rFonts w:hint="eastAsia"/>
                <w:sz w:val="24"/>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Align w:val="center"/>
          </w:tcPr>
          <w:p>
            <w:pPr>
              <w:adjustRightInd w:val="0"/>
              <w:snapToGrid w:val="0"/>
              <w:spacing w:line="240" w:lineRule="auto"/>
              <w:jc w:val="center"/>
              <w:rPr>
                <w:sz w:val="24"/>
              </w:rPr>
            </w:pPr>
            <w:r>
              <w:rPr>
                <w:sz w:val="24"/>
              </w:rPr>
              <w:t>地表水环境</w:t>
            </w:r>
          </w:p>
        </w:tc>
        <w:tc>
          <w:tcPr>
            <w:tcW w:w="1485" w:type="dxa"/>
            <w:gridSpan w:val="2"/>
            <w:vAlign w:val="center"/>
          </w:tcPr>
          <w:p>
            <w:pPr>
              <w:adjustRightInd w:val="0"/>
              <w:snapToGrid w:val="0"/>
              <w:spacing w:line="240" w:lineRule="auto"/>
              <w:jc w:val="center"/>
              <w:rPr>
                <w:sz w:val="24"/>
              </w:rPr>
            </w:pPr>
            <w:r>
              <w:rPr>
                <w:sz w:val="24"/>
              </w:rPr>
              <w:t>/</w:t>
            </w:r>
          </w:p>
        </w:tc>
        <w:tc>
          <w:tcPr>
            <w:tcW w:w="990" w:type="dxa"/>
            <w:vAlign w:val="center"/>
          </w:tcPr>
          <w:p>
            <w:pPr>
              <w:adjustRightInd w:val="0"/>
              <w:snapToGrid w:val="0"/>
              <w:spacing w:line="240" w:lineRule="auto"/>
              <w:jc w:val="center"/>
              <w:rPr>
                <w:sz w:val="24"/>
              </w:rPr>
            </w:pPr>
            <w:r>
              <w:rPr>
                <w:sz w:val="24"/>
              </w:rPr>
              <w:t>/</w:t>
            </w:r>
          </w:p>
        </w:tc>
        <w:tc>
          <w:tcPr>
            <w:tcW w:w="1800" w:type="dxa"/>
            <w:gridSpan w:val="2"/>
            <w:vAlign w:val="center"/>
          </w:tcPr>
          <w:p>
            <w:pPr>
              <w:adjustRightInd w:val="0"/>
              <w:snapToGrid w:val="0"/>
              <w:spacing w:line="240" w:lineRule="auto"/>
              <w:jc w:val="center"/>
              <w:rPr>
                <w:sz w:val="24"/>
              </w:rPr>
            </w:pPr>
            <w:r>
              <w:rPr>
                <w:sz w:val="24"/>
              </w:rPr>
              <w:t>/</w:t>
            </w:r>
          </w:p>
        </w:tc>
        <w:tc>
          <w:tcPr>
            <w:tcW w:w="3072" w:type="dxa"/>
            <w:gridSpan w:val="2"/>
            <w:vAlign w:val="center"/>
          </w:tcPr>
          <w:p>
            <w:pPr>
              <w:adjustRightInd w:val="0"/>
              <w:snapToGrid w:val="0"/>
              <w:spacing w:line="240" w:lineRule="auto"/>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453" w:type="dxa"/>
            <w:vAlign w:val="center"/>
          </w:tcPr>
          <w:p>
            <w:pPr>
              <w:adjustRightInd w:val="0"/>
              <w:snapToGrid w:val="0"/>
              <w:spacing w:line="240" w:lineRule="auto"/>
              <w:jc w:val="center"/>
              <w:rPr>
                <w:sz w:val="24"/>
              </w:rPr>
            </w:pPr>
            <w:r>
              <w:rPr>
                <w:sz w:val="24"/>
              </w:rPr>
              <w:t>声环境</w:t>
            </w:r>
          </w:p>
        </w:tc>
        <w:tc>
          <w:tcPr>
            <w:tcW w:w="1485" w:type="dxa"/>
            <w:gridSpan w:val="2"/>
            <w:vAlign w:val="center"/>
          </w:tcPr>
          <w:p>
            <w:pPr>
              <w:adjustRightInd w:val="0"/>
              <w:snapToGrid w:val="0"/>
              <w:spacing w:line="240" w:lineRule="auto"/>
              <w:jc w:val="center"/>
              <w:rPr>
                <w:sz w:val="24"/>
              </w:rPr>
            </w:pPr>
            <w:r>
              <w:rPr>
                <w:sz w:val="24"/>
              </w:rPr>
              <w:t>生产设备</w:t>
            </w:r>
          </w:p>
        </w:tc>
        <w:tc>
          <w:tcPr>
            <w:tcW w:w="990" w:type="dxa"/>
            <w:vAlign w:val="center"/>
          </w:tcPr>
          <w:p>
            <w:pPr>
              <w:adjustRightInd w:val="0"/>
              <w:snapToGrid w:val="0"/>
              <w:spacing w:line="240" w:lineRule="auto"/>
              <w:jc w:val="center"/>
              <w:rPr>
                <w:sz w:val="24"/>
              </w:rPr>
            </w:pPr>
            <w:r>
              <w:rPr>
                <w:sz w:val="24"/>
              </w:rPr>
              <w:t>等效噪声</w:t>
            </w:r>
          </w:p>
        </w:tc>
        <w:tc>
          <w:tcPr>
            <w:tcW w:w="1800" w:type="dxa"/>
            <w:gridSpan w:val="2"/>
            <w:vAlign w:val="center"/>
          </w:tcPr>
          <w:p>
            <w:pPr>
              <w:adjustRightInd w:val="0"/>
              <w:snapToGrid w:val="0"/>
              <w:spacing w:line="240" w:lineRule="auto"/>
              <w:jc w:val="center"/>
              <w:rPr>
                <w:sz w:val="24"/>
              </w:rPr>
            </w:pPr>
            <w:r>
              <w:rPr>
                <w:sz w:val="24"/>
              </w:rPr>
              <w:t>低噪设备、基础减震、厂房隔声、距离衰减</w:t>
            </w:r>
          </w:p>
        </w:tc>
        <w:tc>
          <w:tcPr>
            <w:tcW w:w="3072" w:type="dxa"/>
            <w:gridSpan w:val="2"/>
            <w:vAlign w:val="center"/>
          </w:tcPr>
          <w:p>
            <w:pPr>
              <w:spacing w:line="240" w:lineRule="auto"/>
              <w:jc w:val="center"/>
              <w:rPr>
                <w:kern w:val="24"/>
                <w:sz w:val="24"/>
              </w:rPr>
            </w:pPr>
            <w:r>
              <w:rPr>
                <w:kern w:val="24"/>
                <w:sz w:val="24"/>
              </w:rPr>
              <w:t>《工业企业厂界环境噪声排放标准》(GB12348-2008)</w:t>
            </w:r>
            <w:r>
              <w:rPr>
                <w:rFonts w:hint="eastAsia"/>
                <w:kern w:val="24"/>
                <w:sz w:val="24"/>
              </w:rPr>
              <w:t>3</w:t>
            </w:r>
            <w:r>
              <w:rPr>
                <w:kern w:val="24"/>
                <w:sz w:val="24"/>
              </w:rPr>
              <w:t>类标准</w:t>
            </w:r>
            <w:r>
              <w:rPr>
                <w:rFonts w:hint="eastAsia"/>
                <w:kern w:val="24"/>
                <w:sz w:val="24"/>
              </w:rPr>
              <w:t>：</w:t>
            </w:r>
            <w:r>
              <w:rPr>
                <w:kern w:val="24"/>
                <w:sz w:val="24"/>
              </w:rPr>
              <w:t>昼间</w:t>
            </w:r>
            <w:r>
              <w:rPr>
                <w:rFonts w:hint="eastAsia"/>
                <w:kern w:val="24"/>
                <w:sz w:val="24"/>
              </w:rPr>
              <w:t>65</w:t>
            </w:r>
            <w:r>
              <w:rPr>
                <w:kern w:val="24"/>
                <w:sz w:val="24"/>
              </w:rPr>
              <w:t>dB（A）</w:t>
            </w:r>
          </w:p>
          <w:p>
            <w:pPr>
              <w:adjustRightInd w:val="0"/>
              <w:snapToGrid w:val="0"/>
              <w:spacing w:line="240" w:lineRule="auto"/>
              <w:jc w:val="center"/>
              <w:rPr>
                <w:rFonts w:hint="eastAsia"/>
                <w:sz w:val="24"/>
              </w:rPr>
            </w:pPr>
            <w:r>
              <w:rPr>
                <w:kern w:val="24"/>
                <w:sz w:val="24"/>
              </w:rPr>
              <w:t>夜间</w:t>
            </w:r>
            <w:r>
              <w:rPr>
                <w:rFonts w:hint="eastAsia"/>
                <w:kern w:val="24"/>
                <w:sz w:val="24"/>
              </w:rPr>
              <w:t>55</w:t>
            </w:r>
            <w:r>
              <w:rPr>
                <w:kern w:val="24"/>
                <w:sz w:val="24"/>
              </w:rPr>
              <w:t>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53" w:type="dxa"/>
            <w:vAlign w:val="center"/>
          </w:tcPr>
          <w:p>
            <w:pPr>
              <w:adjustRightInd w:val="0"/>
              <w:snapToGrid w:val="0"/>
              <w:spacing w:line="240" w:lineRule="auto"/>
              <w:jc w:val="center"/>
              <w:rPr>
                <w:sz w:val="24"/>
              </w:rPr>
            </w:pPr>
            <w:r>
              <w:rPr>
                <w:sz w:val="24"/>
              </w:rPr>
              <w:t>电磁辐射</w:t>
            </w:r>
          </w:p>
        </w:tc>
        <w:tc>
          <w:tcPr>
            <w:tcW w:w="1485" w:type="dxa"/>
            <w:gridSpan w:val="2"/>
            <w:vAlign w:val="center"/>
          </w:tcPr>
          <w:p>
            <w:pPr>
              <w:adjustRightInd w:val="0"/>
              <w:snapToGrid w:val="0"/>
              <w:spacing w:line="240" w:lineRule="auto"/>
              <w:jc w:val="center"/>
              <w:rPr>
                <w:sz w:val="24"/>
              </w:rPr>
            </w:pPr>
            <w:r>
              <w:rPr>
                <w:sz w:val="24"/>
              </w:rPr>
              <w:t>/</w:t>
            </w:r>
          </w:p>
        </w:tc>
        <w:tc>
          <w:tcPr>
            <w:tcW w:w="990" w:type="dxa"/>
            <w:vAlign w:val="center"/>
          </w:tcPr>
          <w:p>
            <w:pPr>
              <w:adjustRightInd w:val="0"/>
              <w:snapToGrid w:val="0"/>
              <w:spacing w:line="240" w:lineRule="auto"/>
              <w:jc w:val="center"/>
              <w:rPr>
                <w:sz w:val="24"/>
              </w:rPr>
            </w:pPr>
            <w:r>
              <w:rPr>
                <w:sz w:val="24"/>
              </w:rPr>
              <w:t>/</w:t>
            </w:r>
          </w:p>
        </w:tc>
        <w:tc>
          <w:tcPr>
            <w:tcW w:w="1800" w:type="dxa"/>
            <w:gridSpan w:val="2"/>
            <w:vAlign w:val="center"/>
          </w:tcPr>
          <w:p>
            <w:pPr>
              <w:adjustRightInd w:val="0"/>
              <w:snapToGrid w:val="0"/>
              <w:spacing w:line="240" w:lineRule="auto"/>
              <w:jc w:val="center"/>
              <w:rPr>
                <w:sz w:val="24"/>
              </w:rPr>
            </w:pPr>
            <w:r>
              <w:rPr>
                <w:sz w:val="24"/>
              </w:rPr>
              <w:t>/</w:t>
            </w:r>
          </w:p>
        </w:tc>
        <w:tc>
          <w:tcPr>
            <w:tcW w:w="3072" w:type="dxa"/>
            <w:gridSpan w:val="2"/>
            <w:vAlign w:val="center"/>
          </w:tcPr>
          <w:p>
            <w:pPr>
              <w:adjustRightInd w:val="0"/>
              <w:snapToGrid w:val="0"/>
              <w:spacing w:line="240" w:lineRule="auto"/>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453" w:type="dxa"/>
            <w:vMerge w:val="restart"/>
            <w:vAlign w:val="center"/>
          </w:tcPr>
          <w:p>
            <w:pPr>
              <w:adjustRightInd w:val="0"/>
              <w:snapToGrid w:val="0"/>
              <w:spacing w:line="240" w:lineRule="auto"/>
              <w:jc w:val="center"/>
              <w:rPr>
                <w:sz w:val="24"/>
              </w:rPr>
            </w:pPr>
            <w:r>
              <w:rPr>
                <w:sz w:val="24"/>
              </w:rPr>
              <w:t>固体废物</w:t>
            </w:r>
          </w:p>
        </w:tc>
        <w:tc>
          <w:tcPr>
            <w:tcW w:w="1237" w:type="dxa"/>
            <w:vMerge w:val="restart"/>
            <w:vAlign w:val="center"/>
          </w:tcPr>
          <w:p>
            <w:pPr>
              <w:adjustRightInd w:val="0"/>
              <w:snapToGrid w:val="0"/>
              <w:spacing w:line="240" w:lineRule="auto"/>
              <w:jc w:val="center"/>
              <w:rPr>
                <w:sz w:val="24"/>
              </w:rPr>
            </w:pPr>
            <w:r>
              <w:rPr>
                <w:rFonts w:hint="eastAsia"/>
                <w:sz w:val="24"/>
              </w:rPr>
              <w:t>一般固废</w:t>
            </w:r>
          </w:p>
        </w:tc>
        <w:tc>
          <w:tcPr>
            <w:tcW w:w="1238" w:type="dxa"/>
            <w:gridSpan w:val="2"/>
            <w:vAlign w:val="center"/>
          </w:tcPr>
          <w:p>
            <w:pPr>
              <w:adjustRightInd w:val="0"/>
              <w:snapToGrid w:val="0"/>
              <w:spacing w:line="240" w:lineRule="auto"/>
              <w:jc w:val="center"/>
              <w:rPr>
                <w:sz w:val="24"/>
              </w:rPr>
            </w:pPr>
            <w:r>
              <w:rPr>
                <w:rFonts w:hint="eastAsia"/>
                <w:sz w:val="24"/>
              </w:rPr>
              <w:t>布袋除尘器</w:t>
            </w:r>
          </w:p>
        </w:tc>
        <w:tc>
          <w:tcPr>
            <w:tcW w:w="1125" w:type="dxa"/>
            <w:vAlign w:val="center"/>
          </w:tcPr>
          <w:p>
            <w:pPr>
              <w:spacing w:line="240" w:lineRule="auto"/>
              <w:jc w:val="center"/>
              <w:rPr>
                <w:rFonts w:hint="eastAsia"/>
                <w:sz w:val="24"/>
              </w:rPr>
            </w:pPr>
            <w:r>
              <w:rPr>
                <w:rFonts w:hint="eastAsia"/>
                <w:szCs w:val="21"/>
              </w:rPr>
              <w:t>除尘灰</w:t>
            </w:r>
          </w:p>
        </w:tc>
        <w:tc>
          <w:tcPr>
            <w:tcW w:w="1755" w:type="dxa"/>
            <w:gridSpan w:val="2"/>
            <w:vMerge w:val="restart"/>
            <w:vAlign w:val="center"/>
          </w:tcPr>
          <w:p>
            <w:pPr>
              <w:adjustRightInd w:val="0"/>
              <w:snapToGrid w:val="0"/>
              <w:spacing w:line="240" w:lineRule="auto"/>
              <w:jc w:val="center"/>
              <w:rPr>
                <w:sz w:val="24"/>
              </w:rPr>
            </w:pPr>
            <w:r>
              <w:rPr>
                <w:rFonts w:hint="eastAsia"/>
                <w:sz w:val="24"/>
              </w:rPr>
              <w:t>统一收集后回用于生产</w:t>
            </w:r>
          </w:p>
        </w:tc>
        <w:tc>
          <w:tcPr>
            <w:tcW w:w="1992" w:type="dxa"/>
            <w:vMerge w:val="restart"/>
            <w:vAlign w:val="center"/>
          </w:tcPr>
          <w:p>
            <w:pPr>
              <w:adjustRightInd w:val="0"/>
              <w:snapToGrid w:val="0"/>
              <w:spacing w:line="240" w:lineRule="auto"/>
              <w:jc w:val="center"/>
              <w:rPr>
                <w:rFonts w:hint="eastAsia"/>
                <w:sz w:val="24"/>
              </w:rPr>
            </w:pPr>
            <w:r>
              <w:rPr>
                <w:rFonts w:hint="eastAsia"/>
                <w:sz w:val="24"/>
              </w:rPr>
              <w:t>一般固体废物执行</w:t>
            </w:r>
            <w:r>
              <w:rPr>
                <w:sz w:val="24"/>
              </w:rPr>
              <w:t>《一般工业固体废物贮存</w:t>
            </w:r>
            <w:r>
              <w:rPr>
                <w:rFonts w:hint="eastAsia"/>
                <w:sz w:val="24"/>
              </w:rPr>
              <w:t>和填埋</w:t>
            </w:r>
            <w:r>
              <w:rPr>
                <w:sz w:val="24"/>
              </w:rPr>
              <w:t>污染控制标准》（GB18599-20</w:t>
            </w:r>
            <w:r>
              <w:rPr>
                <w:rFonts w:hint="eastAsia"/>
                <w:sz w:val="24"/>
              </w:rPr>
              <w:t>20</w:t>
            </w: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53" w:type="dxa"/>
            <w:vMerge w:val="continue"/>
            <w:vAlign w:val="center"/>
          </w:tcPr>
          <w:p>
            <w:pPr>
              <w:adjustRightInd w:val="0"/>
              <w:snapToGrid w:val="0"/>
              <w:spacing w:line="240" w:lineRule="auto"/>
              <w:jc w:val="center"/>
            </w:pPr>
          </w:p>
        </w:tc>
        <w:tc>
          <w:tcPr>
            <w:tcW w:w="1237" w:type="dxa"/>
            <w:vMerge w:val="continue"/>
            <w:vAlign w:val="center"/>
          </w:tcPr>
          <w:p>
            <w:pPr>
              <w:adjustRightInd w:val="0"/>
              <w:snapToGrid w:val="0"/>
              <w:spacing w:line="240" w:lineRule="auto"/>
              <w:jc w:val="center"/>
              <w:rPr>
                <w:sz w:val="24"/>
              </w:rPr>
            </w:pPr>
          </w:p>
        </w:tc>
        <w:tc>
          <w:tcPr>
            <w:tcW w:w="1238" w:type="dxa"/>
            <w:gridSpan w:val="2"/>
            <w:vAlign w:val="center"/>
          </w:tcPr>
          <w:p>
            <w:pPr>
              <w:adjustRightInd w:val="0"/>
              <w:snapToGrid w:val="0"/>
              <w:spacing w:line="240" w:lineRule="auto"/>
              <w:jc w:val="center"/>
              <w:rPr>
                <w:sz w:val="24"/>
              </w:rPr>
            </w:pPr>
            <w:r>
              <w:rPr>
                <w:rFonts w:hint="eastAsia"/>
                <w:sz w:val="24"/>
              </w:rPr>
              <w:t>循环沉淀池</w:t>
            </w:r>
          </w:p>
        </w:tc>
        <w:tc>
          <w:tcPr>
            <w:tcW w:w="1125" w:type="dxa"/>
            <w:vAlign w:val="center"/>
          </w:tcPr>
          <w:p>
            <w:pPr>
              <w:spacing w:line="240" w:lineRule="auto"/>
              <w:jc w:val="center"/>
              <w:rPr>
                <w:sz w:val="24"/>
              </w:rPr>
            </w:pPr>
            <w:r>
              <w:rPr>
                <w:rFonts w:hint="eastAsia"/>
                <w:sz w:val="24"/>
              </w:rPr>
              <w:t>沉淀底泥</w:t>
            </w:r>
          </w:p>
        </w:tc>
        <w:tc>
          <w:tcPr>
            <w:tcW w:w="1755" w:type="dxa"/>
            <w:gridSpan w:val="2"/>
            <w:vMerge w:val="continue"/>
            <w:vAlign w:val="center"/>
          </w:tcPr>
          <w:p>
            <w:pPr>
              <w:adjustRightInd w:val="0"/>
              <w:snapToGrid w:val="0"/>
              <w:spacing w:line="240" w:lineRule="auto"/>
              <w:jc w:val="center"/>
              <w:rPr>
                <w:sz w:val="24"/>
              </w:rPr>
            </w:pPr>
          </w:p>
        </w:tc>
        <w:tc>
          <w:tcPr>
            <w:tcW w:w="1992" w:type="dxa"/>
            <w:vMerge w:val="continue"/>
            <w:vAlign w:val="center"/>
          </w:tcPr>
          <w:p>
            <w:pPr>
              <w:adjustRightInd w:val="0"/>
              <w:snapToGrid w:val="0"/>
              <w:spacing w:line="240" w:lineRule="auto"/>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53" w:type="dxa"/>
            <w:vAlign w:val="center"/>
          </w:tcPr>
          <w:p>
            <w:pPr>
              <w:adjustRightInd w:val="0"/>
              <w:snapToGrid w:val="0"/>
              <w:spacing w:line="240" w:lineRule="auto"/>
              <w:jc w:val="center"/>
              <w:rPr>
                <w:sz w:val="24"/>
              </w:rPr>
            </w:pPr>
            <w:r>
              <w:rPr>
                <w:sz w:val="24"/>
              </w:rPr>
              <w:t>土壤及地水</w:t>
            </w:r>
          </w:p>
          <w:p>
            <w:pPr>
              <w:adjustRightInd w:val="0"/>
              <w:snapToGrid w:val="0"/>
              <w:spacing w:line="240" w:lineRule="auto"/>
              <w:jc w:val="center"/>
              <w:rPr>
                <w:sz w:val="24"/>
              </w:rPr>
            </w:pPr>
            <w:r>
              <w:rPr>
                <w:sz w:val="24"/>
              </w:rPr>
              <w:t>污染防治措施</w:t>
            </w:r>
          </w:p>
        </w:tc>
        <w:tc>
          <w:tcPr>
            <w:tcW w:w="7347" w:type="dxa"/>
            <w:gridSpan w:val="7"/>
            <w:vAlign w:val="center"/>
          </w:tcPr>
          <w:p>
            <w:pPr>
              <w:adjustRightInd w:val="0"/>
              <w:snapToGrid w:val="0"/>
              <w:spacing w:line="240" w:lineRule="auto"/>
              <w:jc w:val="center"/>
              <w:rPr>
                <w:sz w:val="24"/>
              </w:rPr>
            </w:pPr>
            <w:r>
              <w:rPr>
                <w:sz w:val="24"/>
              </w:rPr>
              <w:t>本项目不存在地下水和土壤污染途径。生产车间地面硬化；沉淀池做简单防渗处理；公司应对废气治理设施定期检查，确保废气净化后稳定达标排放，制定严格的操作规范。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53" w:type="dxa"/>
            <w:vAlign w:val="center"/>
          </w:tcPr>
          <w:p>
            <w:pPr>
              <w:adjustRightInd w:val="0"/>
              <w:snapToGrid w:val="0"/>
              <w:spacing w:line="240" w:lineRule="auto"/>
              <w:jc w:val="center"/>
              <w:rPr>
                <w:sz w:val="24"/>
              </w:rPr>
            </w:pPr>
            <w:r>
              <w:rPr>
                <w:sz w:val="24"/>
              </w:rPr>
              <w:t>生态保护措施</w:t>
            </w:r>
          </w:p>
        </w:tc>
        <w:tc>
          <w:tcPr>
            <w:tcW w:w="7347" w:type="dxa"/>
            <w:gridSpan w:val="7"/>
            <w:vAlign w:val="center"/>
          </w:tcPr>
          <w:p>
            <w:pPr>
              <w:adjustRightInd w:val="0"/>
              <w:snapToGrid w:val="0"/>
              <w:spacing w:line="240" w:lineRule="auto"/>
              <w:rPr>
                <w:sz w:val="24"/>
              </w:rPr>
            </w:pPr>
            <w:r>
              <w:rPr>
                <w:sz w:val="24"/>
              </w:rPr>
              <w:t>本项目周围无生态敏感点，本项目不会对区域生态环境产生明显影响。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53" w:type="dxa"/>
            <w:vAlign w:val="center"/>
          </w:tcPr>
          <w:p>
            <w:pPr>
              <w:adjustRightInd w:val="0"/>
              <w:snapToGrid w:val="0"/>
              <w:spacing w:line="240" w:lineRule="auto"/>
              <w:jc w:val="center"/>
              <w:rPr>
                <w:spacing w:val="-8"/>
                <w:sz w:val="24"/>
              </w:rPr>
            </w:pPr>
            <w:r>
              <w:rPr>
                <w:spacing w:val="-8"/>
                <w:sz w:val="24"/>
              </w:rPr>
              <w:t>环境风险</w:t>
            </w:r>
          </w:p>
          <w:p>
            <w:pPr>
              <w:adjustRightInd w:val="0"/>
              <w:snapToGrid w:val="0"/>
              <w:spacing w:line="240" w:lineRule="auto"/>
              <w:jc w:val="center"/>
              <w:rPr>
                <w:spacing w:val="-8"/>
                <w:sz w:val="24"/>
              </w:rPr>
            </w:pPr>
            <w:r>
              <w:rPr>
                <w:spacing w:val="-8"/>
                <w:sz w:val="24"/>
              </w:rPr>
              <w:t>防范措施</w:t>
            </w:r>
          </w:p>
        </w:tc>
        <w:tc>
          <w:tcPr>
            <w:tcW w:w="7347" w:type="dxa"/>
            <w:gridSpan w:val="7"/>
            <w:vAlign w:val="center"/>
          </w:tcPr>
          <w:p>
            <w:pPr>
              <w:widowControl/>
              <w:ind w:firstLine="480" w:firstLineChars="200"/>
              <w:rPr>
                <w:sz w:val="24"/>
              </w:rPr>
            </w:pPr>
            <w:r>
              <w:rPr>
                <w:sz w:val="24"/>
              </w:rPr>
              <w:t>管理措施：</w:t>
            </w:r>
          </w:p>
          <w:p>
            <w:pPr>
              <w:widowControl/>
              <w:ind w:firstLine="480" w:firstLineChars="200"/>
              <w:rPr>
                <w:sz w:val="24"/>
              </w:rPr>
            </w:pPr>
            <w:r>
              <w:rPr>
                <w:sz w:val="24"/>
              </w:rPr>
              <w:t>①在管理方面要有一系列详细的安全管理制度及有效的安全管理组织，确保各种有关的安全管理规定能够在各环节上得到充分落实，并能有所改进与提高。</w:t>
            </w:r>
          </w:p>
          <w:p>
            <w:pPr>
              <w:widowControl/>
              <w:ind w:firstLine="480" w:firstLineChars="200"/>
              <w:rPr>
                <w:sz w:val="24"/>
              </w:rPr>
            </w:pPr>
            <w:r>
              <w:rPr>
                <w:sz w:val="24"/>
              </w:rPr>
              <w:t>②在投产前应制定出正常、异常或紧急状态下的操作手册和维修手册，并对操作、维修人员进行培训，持证上岗，避免引严重操作失误而造成事故。</w:t>
            </w:r>
          </w:p>
          <w:p>
            <w:pPr>
              <w:widowControl/>
              <w:ind w:firstLine="480" w:firstLineChars="200"/>
              <w:rPr>
                <w:sz w:val="24"/>
              </w:rPr>
            </w:pPr>
            <w:r>
              <w:rPr>
                <w:sz w:val="24"/>
              </w:rPr>
              <w:t>③加强对工作人员安全素质方面的教育及训练，包括安全知识、安全技术、安全心理、职业卫生及排险与消防活动等，而且要时常演练与考核。</w:t>
            </w:r>
          </w:p>
          <w:p>
            <w:pPr>
              <w:adjustRightInd w:val="0"/>
              <w:snapToGrid w:val="0"/>
              <w:ind w:firstLine="480" w:firstLineChars="200"/>
              <w:rPr>
                <w:sz w:val="24"/>
              </w:rPr>
            </w:pPr>
            <w:r>
              <w:rPr>
                <w:sz w:val="24"/>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53" w:type="dxa"/>
            <w:vAlign w:val="center"/>
          </w:tcPr>
          <w:p>
            <w:pPr>
              <w:adjustRightInd w:val="0"/>
              <w:snapToGrid w:val="0"/>
              <w:spacing w:line="240" w:lineRule="auto"/>
              <w:jc w:val="center"/>
              <w:rPr>
                <w:spacing w:val="-8"/>
                <w:sz w:val="24"/>
              </w:rPr>
            </w:pPr>
            <w:r>
              <w:rPr>
                <w:spacing w:val="-8"/>
                <w:sz w:val="24"/>
              </w:rPr>
              <w:t>其他环境</w:t>
            </w:r>
          </w:p>
          <w:p>
            <w:pPr>
              <w:adjustRightInd w:val="0"/>
              <w:snapToGrid w:val="0"/>
              <w:spacing w:line="240" w:lineRule="auto"/>
              <w:jc w:val="center"/>
              <w:rPr>
                <w:spacing w:val="-8"/>
                <w:sz w:val="24"/>
              </w:rPr>
            </w:pPr>
            <w:r>
              <w:rPr>
                <w:spacing w:val="-8"/>
                <w:sz w:val="24"/>
              </w:rPr>
              <w:t>管理要求</w:t>
            </w:r>
          </w:p>
        </w:tc>
        <w:tc>
          <w:tcPr>
            <w:tcW w:w="7347" w:type="dxa"/>
            <w:gridSpan w:val="7"/>
            <w:vAlign w:val="center"/>
          </w:tcPr>
          <w:p>
            <w:pPr>
              <w:adjustRightInd w:val="0"/>
              <w:snapToGrid w:val="0"/>
              <w:spacing w:line="480" w:lineRule="exact"/>
              <w:ind w:firstLine="480" w:firstLineChars="200"/>
              <w:rPr>
                <w:sz w:val="24"/>
              </w:rPr>
            </w:pPr>
            <w:r>
              <w:rPr>
                <w:sz w:val="24"/>
              </w:rPr>
              <w:t>1、环境管理</w:t>
            </w:r>
          </w:p>
          <w:p>
            <w:pPr>
              <w:adjustRightInd w:val="0"/>
              <w:snapToGrid w:val="0"/>
              <w:spacing w:line="480" w:lineRule="exact"/>
              <w:ind w:firstLine="480" w:firstLineChars="200"/>
              <w:rPr>
                <w:sz w:val="24"/>
              </w:rPr>
            </w:pPr>
            <w:r>
              <w:rPr>
                <w:sz w:val="24"/>
              </w:rPr>
              <w:t>（1）环境保护机构的设置</w:t>
            </w:r>
          </w:p>
          <w:p>
            <w:pPr>
              <w:adjustRightInd w:val="0"/>
              <w:snapToGrid w:val="0"/>
              <w:spacing w:line="480" w:lineRule="exact"/>
              <w:ind w:firstLine="480" w:firstLineChars="200"/>
              <w:rPr>
                <w:sz w:val="24"/>
              </w:rPr>
            </w:pPr>
            <w:r>
              <w:rPr>
                <w:sz w:val="24"/>
              </w:rPr>
              <w:t>项目的污染物排放水平与厂区环境管理水平密切相关，因此在采取环境保护工程措施和生态保护措施的同时，必须设立环境管理机构，配备专职环境管理人员，加强环境管理。</w:t>
            </w:r>
          </w:p>
          <w:p>
            <w:pPr>
              <w:adjustRightInd w:val="0"/>
              <w:snapToGrid w:val="0"/>
              <w:spacing w:line="480" w:lineRule="exact"/>
              <w:ind w:firstLine="480" w:firstLineChars="200"/>
              <w:rPr>
                <w:sz w:val="24"/>
              </w:rPr>
            </w:pPr>
            <w:r>
              <w:rPr>
                <w:sz w:val="24"/>
              </w:rPr>
              <w:t>（2）环境管理要点</w:t>
            </w:r>
          </w:p>
          <w:p>
            <w:pPr>
              <w:adjustRightInd w:val="0"/>
              <w:snapToGrid w:val="0"/>
              <w:spacing w:line="480" w:lineRule="exact"/>
              <w:ind w:firstLine="480" w:firstLineChars="200"/>
              <w:rPr>
                <w:sz w:val="24"/>
              </w:rPr>
            </w:pPr>
            <w:r>
              <w:rPr>
                <w:sz w:val="24"/>
              </w:rPr>
              <w:t>1）</w:t>
            </w:r>
            <w:r>
              <w:rPr>
                <w:rFonts w:hint="eastAsia" w:ascii="宋体" w:hAnsi="宋体" w:cs="宋体"/>
                <w:sz w:val="24"/>
              </w:rPr>
              <w:t>“三同时”</w:t>
            </w:r>
            <w:r>
              <w:rPr>
                <w:sz w:val="24"/>
              </w:rPr>
              <w:t>验收</w:t>
            </w:r>
          </w:p>
          <w:p>
            <w:pPr>
              <w:adjustRightInd w:val="0"/>
              <w:snapToGrid w:val="0"/>
              <w:spacing w:line="480" w:lineRule="exact"/>
              <w:ind w:firstLine="480" w:firstLineChars="200"/>
              <w:rPr>
                <w:sz w:val="24"/>
              </w:rPr>
            </w:pPr>
            <w:r>
              <w:rPr>
                <w:sz w:val="24"/>
              </w:rPr>
              <w:t>根据《建设项目环境保护管理条例》及其修改决定（国务院令第 682号），建设项目竣工后，建设单位应进行竣工验收，然后本项目方可正式投产运行。</w:t>
            </w:r>
          </w:p>
          <w:p>
            <w:pPr>
              <w:adjustRightInd w:val="0"/>
              <w:snapToGrid w:val="0"/>
              <w:spacing w:line="480" w:lineRule="exact"/>
              <w:ind w:firstLine="480" w:firstLineChars="200"/>
              <w:rPr>
                <w:sz w:val="24"/>
              </w:rPr>
            </w:pPr>
            <w:r>
              <w:rPr>
                <w:sz w:val="24"/>
              </w:rPr>
              <w:t>2）信息公开</w:t>
            </w:r>
          </w:p>
          <w:p>
            <w:pPr>
              <w:adjustRightInd w:val="0"/>
              <w:snapToGrid w:val="0"/>
              <w:spacing w:line="480" w:lineRule="exact"/>
              <w:ind w:firstLine="480" w:firstLineChars="200"/>
              <w:rPr>
                <w:sz w:val="24"/>
              </w:rPr>
            </w:pPr>
            <w:r>
              <w:rPr>
                <w:sz w:val="24"/>
              </w:rPr>
              <w:t>根据《建设项目环境保护事中事后监督管理办法（试行）》要求，建设单位应当主动向社会公开建设项目环境影响评价文件、污染防治设施建设运行情况、污染物排放情况、突发环境事件应急预案及应对情况等环境信息。</w:t>
            </w:r>
          </w:p>
          <w:p>
            <w:pPr>
              <w:adjustRightInd w:val="0"/>
              <w:snapToGrid w:val="0"/>
              <w:spacing w:line="480" w:lineRule="exact"/>
              <w:ind w:firstLine="480" w:firstLineChars="200"/>
              <w:rPr>
                <w:sz w:val="24"/>
              </w:rPr>
            </w:pPr>
            <w:r>
              <w:rPr>
                <w:sz w:val="24"/>
              </w:rPr>
              <w:t>2、环境监测口及采样平台</w:t>
            </w:r>
          </w:p>
          <w:p>
            <w:pPr>
              <w:adjustRightInd w:val="0"/>
              <w:snapToGrid w:val="0"/>
              <w:spacing w:line="480" w:lineRule="exact"/>
              <w:ind w:firstLine="480" w:firstLineChars="200"/>
              <w:rPr>
                <w:sz w:val="24"/>
              </w:rPr>
            </w:pPr>
            <w:r>
              <w:rPr>
                <w:sz w:val="24"/>
              </w:rPr>
              <w:t>建设单位应根据《排污单位自行监测技术指南 总则》（HJ 819-2017）、《固定污染源废气监测点位设置技术规范》（DB37/T3535-2019）预留专门的采样监测口和设置符合规范的采样平台，具体要求如下：</w:t>
            </w:r>
          </w:p>
          <w:p>
            <w:pPr>
              <w:adjustRightInd w:val="0"/>
              <w:snapToGrid w:val="0"/>
              <w:spacing w:line="480" w:lineRule="exact"/>
              <w:ind w:firstLine="480" w:firstLineChars="200"/>
              <w:rPr>
                <w:sz w:val="24"/>
              </w:rPr>
            </w:pPr>
            <w:r>
              <w:rPr>
                <w:sz w:val="24"/>
              </w:rPr>
              <w:t>1）采样位置应避开对测试人员操作有危险的场所。</w:t>
            </w:r>
          </w:p>
          <w:p>
            <w:pPr>
              <w:adjustRightInd w:val="0"/>
              <w:snapToGrid w:val="0"/>
              <w:spacing w:line="480" w:lineRule="exact"/>
              <w:ind w:firstLine="480" w:firstLineChars="200"/>
              <w:rPr>
                <w:sz w:val="24"/>
              </w:rPr>
            </w:pPr>
            <w:r>
              <w:rPr>
                <w:sz w:val="24"/>
              </w:rPr>
              <w:t>2）采样位置应优先选择在垂直管段，应避开烟道弯头和断面急剧变化的部位。采样位置应设置在距弯头、阀门、变径管下游方向不小于6倍直径，和距上述部件上游方向不小于3倍直径处。</w:t>
            </w:r>
          </w:p>
          <w:p>
            <w:pPr>
              <w:adjustRightInd w:val="0"/>
              <w:snapToGrid w:val="0"/>
              <w:spacing w:line="480" w:lineRule="exact"/>
              <w:ind w:firstLine="480" w:firstLineChars="200"/>
              <w:rPr>
                <w:sz w:val="24"/>
              </w:rPr>
            </w:pPr>
            <w:r>
              <w:rPr>
                <w:sz w:val="24"/>
              </w:rPr>
              <w:t>3）测试现场空间位置有限，很难满足上述要求时，可选择比较适宜的管段采样，但采样断面与弯头等的距离至少是烟道直径的1.5倍，并应适当增加测点的数量和采样频次。</w:t>
            </w:r>
          </w:p>
          <w:p>
            <w:pPr>
              <w:adjustRightInd w:val="0"/>
              <w:snapToGrid w:val="0"/>
              <w:spacing w:line="480" w:lineRule="exact"/>
              <w:ind w:firstLine="480" w:firstLineChars="200"/>
              <w:rPr>
                <w:sz w:val="24"/>
              </w:rPr>
            </w:pPr>
            <w:r>
              <w:rPr>
                <w:sz w:val="24"/>
              </w:rPr>
              <w:t>4）对于气态污染物，由于混合比较均匀，其采样位置可不受上述规定限制，但应避开涡流区。</w:t>
            </w:r>
          </w:p>
          <w:p>
            <w:pPr>
              <w:adjustRightInd w:val="0"/>
              <w:snapToGrid w:val="0"/>
              <w:spacing w:line="480" w:lineRule="exact"/>
              <w:ind w:firstLine="480" w:firstLineChars="200"/>
              <w:rPr>
                <w:sz w:val="24"/>
              </w:rPr>
            </w:pPr>
            <w:r>
              <w:rPr>
                <w:sz w:val="24"/>
              </w:rPr>
              <w:t>5）必要时应设置采样平台，采样平台应有足够的工作面积使工作人员安全、方便地操作。平台面积应不小于1.5m</w:t>
            </w:r>
            <w:r>
              <w:rPr>
                <w:sz w:val="24"/>
                <w:vertAlign w:val="superscript"/>
              </w:rPr>
              <w:t>2</w:t>
            </w:r>
            <w:r>
              <w:rPr>
                <w:sz w:val="24"/>
              </w:rPr>
              <w:t>，并设有1.1m 高的护栏和不低于10cm的脚部挡板，采样平台的承重应不小于200kg/m</w:t>
            </w:r>
            <w:r>
              <w:rPr>
                <w:sz w:val="24"/>
                <w:vertAlign w:val="superscript"/>
              </w:rPr>
              <w:t>2</w:t>
            </w:r>
            <w:r>
              <w:rPr>
                <w:sz w:val="24"/>
              </w:rPr>
              <w:t xml:space="preserve">，采样孔距平台面约为1.2m～1.3m。 </w:t>
            </w:r>
          </w:p>
          <w:p>
            <w:pPr>
              <w:adjustRightInd w:val="0"/>
              <w:snapToGrid w:val="0"/>
              <w:spacing w:line="480" w:lineRule="exact"/>
              <w:ind w:firstLine="480" w:firstLineChars="200"/>
              <w:rPr>
                <w:sz w:val="24"/>
              </w:rPr>
            </w:pPr>
            <w:r>
              <w:rPr>
                <w:sz w:val="24"/>
              </w:rPr>
              <w:t xml:space="preserve">6）在选定的测定位置上开设采样孔，采样孔的内径应不小于 80mm，采样孔管长应不大于 50mm。不使用时应用盖板、管堵或管帽封闭。当采样孔仅用于采集气态污染物时，其内径应不小于 40mm。 </w:t>
            </w:r>
          </w:p>
          <w:p>
            <w:pPr>
              <w:adjustRightInd w:val="0"/>
              <w:snapToGrid w:val="0"/>
              <w:spacing w:line="480" w:lineRule="exact"/>
              <w:ind w:firstLine="480" w:firstLineChars="200"/>
              <w:rPr>
                <w:sz w:val="24"/>
              </w:rPr>
            </w:pPr>
            <w:r>
              <w:rPr>
                <w:sz w:val="24"/>
              </w:rPr>
              <w:t>7）对圆形烟道，采样孔应设在包括各测点在内的互相垂直的直径线上。</w:t>
            </w:r>
          </w:p>
          <w:p>
            <w:pPr>
              <w:adjustRightInd w:val="0"/>
              <w:snapToGrid w:val="0"/>
              <w:spacing w:line="480" w:lineRule="exact"/>
              <w:ind w:firstLine="480" w:firstLineChars="200"/>
              <w:rPr>
                <w:sz w:val="24"/>
              </w:rPr>
            </w:pPr>
            <w:r>
              <w:rPr>
                <w:sz w:val="24"/>
              </w:rPr>
              <w:t>3、排污口规范化</w:t>
            </w:r>
          </w:p>
          <w:p>
            <w:pPr>
              <w:adjustRightInd w:val="0"/>
              <w:snapToGrid w:val="0"/>
              <w:spacing w:line="480" w:lineRule="exact"/>
              <w:ind w:firstLine="480" w:firstLineChars="200"/>
              <w:rPr>
                <w:sz w:val="24"/>
              </w:rPr>
            </w:pPr>
            <w:r>
              <w:rPr>
                <w:sz w:val="24"/>
              </w:rPr>
              <w:t>（1）排污口管理</w:t>
            </w:r>
          </w:p>
          <w:p>
            <w:pPr>
              <w:adjustRightInd w:val="0"/>
              <w:snapToGrid w:val="0"/>
              <w:spacing w:line="480" w:lineRule="exact"/>
              <w:ind w:firstLine="480" w:firstLineChars="200"/>
              <w:rPr>
                <w:sz w:val="24"/>
              </w:rPr>
            </w:pPr>
            <w:r>
              <w:rPr>
                <w:sz w:val="24"/>
              </w:rPr>
              <w:t>建设单位应在各个排污口处树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adjustRightInd w:val="0"/>
              <w:snapToGrid w:val="0"/>
              <w:spacing w:line="480" w:lineRule="exact"/>
              <w:ind w:firstLine="480" w:firstLineChars="200"/>
              <w:rPr>
                <w:sz w:val="24"/>
              </w:rPr>
            </w:pPr>
            <w:r>
              <w:rPr>
                <w:sz w:val="24"/>
              </w:rPr>
              <w:t>（2）环境保护图形标志</w:t>
            </w:r>
          </w:p>
          <w:p>
            <w:pPr>
              <w:adjustRightInd w:val="0"/>
              <w:snapToGrid w:val="0"/>
              <w:spacing w:line="480" w:lineRule="exact"/>
              <w:ind w:firstLine="480" w:firstLineChars="200"/>
              <w:rPr>
                <w:sz w:val="24"/>
              </w:rPr>
            </w:pPr>
            <w:r>
              <w:rPr>
                <w:sz w:val="24"/>
              </w:rPr>
              <w:t>在废气排放口、固体废物贮存处置场、噪声产生点应设置环境保护图形标志，图形符号分为提示图形和警告图形符号两种，分别GB15562.1-1995、GB15562.2-1995 执行。</w:t>
            </w:r>
          </w:p>
          <w:p>
            <w:pPr>
              <w:adjustRightInd w:val="0"/>
              <w:snapToGrid w:val="0"/>
              <w:spacing w:line="480" w:lineRule="exact"/>
              <w:jc w:val="center"/>
              <w:rPr>
                <w:b/>
                <w:bCs/>
                <w:sz w:val="24"/>
              </w:rPr>
            </w:pPr>
            <w:r>
              <w:rPr>
                <w:b/>
                <w:bCs/>
                <w:sz w:val="21"/>
                <w:szCs w:val="21"/>
              </w:rPr>
              <w:t>表</w:t>
            </w:r>
            <w:r>
              <w:rPr>
                <w:rFonts w:hint="eastAsia"/>
                <w:b/>
                <w:bCs/>
                <w:sz w:val="21"/>
                <w:szCs w:val="21"/>
                <w:lang w:val="en-US" w:eastAsia="zh-CN"/>
              </w:rPr>
              <w:t>27</w:t>
            </w:r>
            <w:r>
              <w:rPr>
                <w:b/>
                <w:bCs/>
                <w:sz w:val="21"/>
                <w:szCs w:val="21"/>
              </w:rPr>
              <w:t xml:space="preserve">   环境保护图形符号</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88"/>
              <w:gridCol w:w="2142"/>
              <w:gridCol w:w="2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 w:hRule="atLeast"/>
                <w:tblHeader/>
              </w:trPr>
              <w:tc>
                <w:tcPr>
                  <w:tcW w:w="1540" w:type="pct"/>
                  <w:vAlign w:val="center"/>
                </w:tcPr>
                <w:p>
                  <w:pPr>
                    <w:spacing w:line="240" w:lineRule="exact"/>
                    <w:jc w:val="center"/>
                    <w:rPr>
                      <w:bCs/>
                      <w:sz w:val="24"/>
                    </w:rPr>
                  </w:pPr>
                  <w:r>
                    <w:rPr>
                      <w:bCs/>
                      <w:sz w:val="24"/>
                    </w:rPr>
                    <w:t>排放口名称</w:t>
                  </w:r>
                </w:p>
              </w:tc>
              <w:tc>
                <w:tcPr>
                  <w:tcW w:w="1508" w:type="pct"/>
                  <w:vAlign w:val="center"/>
                </w:tcPr>
                <w:p>
                  <w:pPr>
                    <w:spacing w:line="240" w:lineRule="exact"/>
                    <w:jc w:val="center"/>
                    <w:rPr>
                      <w:bCs/>
                      <w:sz w:val="24"/>
                    </w:rPr>
                  </w:pPr>
                  <w:r>
                    <w:rPr>
                      <w:bCs/>
                      <w:sz w:val="24"/>
                    </w:rPr>
                    <w:t>编号示例</w:t>
                  </w:r>
                </w:p>
              </w:tc>
              <w:tc>
                <w:tcPr>
                  <w:tcW w:w="1951" w:type="pct"/>
                  <w:vAlign w:val="center"/>
                </w:tcPr>
                <w:p>
                  <w:pPr>
                    <w:spacing w:line="240" w:lineRule="exact"/>
                    <w:jc w:val="center"/>
                    <w:rPr>
                      <w:bCs/>
                      <w:sz w:val="24"/>
                    </w:rPr>
                  </w:pPr>
                  <w:r>
                    <w:rPr>
                      <w:bCs/>
                      <w:sz w:val="24"/>
                    </w:rPr>
                    <w:t>图形标志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40" w:type="pct"/>
                  <w:vAlign w:val="center"/>
                </w:tcPr>
                <w:p>
                  <w:pPr>
                    <w:jc w:val="center"/>
                    <w:rPr>
                      <w:sz w:val="24"/>
                    </w:rPr>
                  </w:pPr>
                  <w:r>
                    <w:rPr>
                      <w:sz w:val="24"/>
                    </w:rPr>
                    <w:t>排气筒</w:t>
                  </w:r>
                </w:p>
              </w:tc>
              <w:tc>
                <w:tcPr>
                  <w:tcW w:w="1508" w:type="pct"/>
                  <w:vAlign w:val="center"/>
                </w:tcPr>
                <w:p>
                  <w:pPr>
                    <w:jc w:val="center"/>
                    <w:rPr>
                      <w:rFonts w:hint="eastAsia" w:eastAsia="宋体"/>
                      <w:sz w:val="24"/>
                      <w:lang w:eastAsia="zh-CN"/>
                    </w:rPr>
                  </w:pPr>
                  <w:r>
                    <w:rPr>
                      <w:sz w:val="24"/>
                    </w:rPr>
                    <w:t>DA00</w:t>
                  </w:r>
                  <w:r>
                    <w:rPr>
                      <w:rFonts w:hint="eastAsia"/>
                      <w:sz w:val="24"/>
                      <w:lang w:val="en-US" w:eastAsia="zh-CN"/>
                    </w:rPr>
                    <w:t>1</w:t>
                  </w:r>
                </w:p>
              </w:tc>
              <w:tc>
                <w:tcPr>
                  <w:tcW w:w="1951" w:type="pct"/>
                  <w:vAlign w:val="center"/>
                </w:tcPr>
                <w:p>
                  <w:pPr>
                    <w:jc w:val="center"/>
                    <w:rPr>
                      <w:sz w:val="24"/>
                    </w:rPr>
                  </w:pPr>
                  <w:r>
                    <w:rPr>
                      <w:sz w:val="24"/>
                    </w:rPr>
                    <w:drawing>
                      <wp:inline distT="0" distB="0" distL="0" distR="0">
                        <wp:extent cx="723900" cy="723900"/>
                        <wp:effectExtent l="19050" t="0" r="0" b="0"/>
                        <wp:docPr id="4" name="图片 22">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2188" w:type="dxa"/>
                  <w:vAlign w:val="center"/>
                </w:tcPr>
                <w:p>
                  <w:pPr>
                    <w:jc w:val="center"/>
                    <w:rPr>
                      <w:sz w:val="24"/>
                    </w:rPr>
                  </w:pPr>
                  <w:r>
                    <w:rPr>
                      <w:sz w:val="24"/>
                    </w:rPr>
                    <w:t>排气筒</w:t>
                  </w:r>
                </w:p>
              </w:tc>
              <w:tc>
                <w:tcPr>
                  <w:tcW w:w="2142" w:type="dxa"/>
                  <w:vAlign w:val="center"/>
                </w:tcPr>
                <w:p>
                  <w:pPr>
                    <w:jc w:val="center"/>
                    <w:rPr>
                      <w:sz w:val="24"/>
                    </w:rPr>
                  </w:pPr>
                  <w:r>
                    <w:rPr>
                      <w:sz w:val="24"/>
                    </w:rPr>
                    <w:t>DA00</w:t>
                  </w:r>
                  <w:r>
                    <w:rPr>
                      <w:rFonts w:hint="eastAsia"/>
                      <w:sz w:val="24"/>
                    </w:rPr>
                    <w:t>2</w:t>
                  </w:r>
                </w:p>
              </w:tc>
              <w:tc>
                <w:tcPr>
                  <w:tcW w:w="2771" w:type="dxa"/>
                  <w:vAlign w:val="center"/>
                </w:tcPr>
                <w:p>
                  <w:pPr>
                    <w:jc w:val="center"/>
                    <w:rPr>
                      <w:sz w:val="24"/>
                    </w:rPr>
                  </w:pPr>
                  <w:r>
                    <w:rPr>
                      <w:sz w:val="24"/>
                    </w:rPr>
                    <w:drawing>
                      <wp:inline distT="0" distB="0" distL="0" distR="0">
                        <wp:extent cx="723900" cy="723900"/>
                        <wp:effectExtent l="0" t="0" r="0" b="0"/>
                        <wp:docPr id="2" name="图片 22">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40" w:type="pct"/>
                  <w:vAlign w:val="center"/>
                </w:tcPr>
                <w:p>
                  <w:pPr>
                    <w:jc w:val="center"/>
                    <w:rPr>
                      <w:sz w:val="24"/>
                    </w:rPr>
                  </w:pPr>
                  <w:r>
                    <w:rPr>
                      <w:sz w:val="24"/>
                    </w:rPr>
                    <w:t>排气筒</w:t>
                  </w:r>
                </w:p>
              </w:tc>
              <w:tc>
                <w:tcPr>
                  <w:tcW w:w="1508" w:type="pct"/>
                  <w:vAlign w:val="center"/>
                </w:tcPr>
                <w:p>
                  <w:pPr>
                    <w:jc w:val="center"/>
                    <w:rPr>
                      <w:rFonts w:hint="eastAsia"/>
                      <w:sz w:val="24"/>
                    </w:rPr>
                  </w:pPr>
                  <w:r>
                    <w:rPr>
                      <w:sz w:val="24"/>
                    </w:rPr>
                    <w:t>DA00</w:t>
                  </w:r>
                  <w:r>
                    <w:rPr>
                      <w:rFonts w:hint="eastAsia"/>
                      <w:sz w:val="24"/>
                    </w:rPr>
                    <w:t>3</w:t>
                  </w:r>
                </w:p>
              </w:tc>
              <w:tc>
                <w:tcPr>
                  <w:tcW w:w="1951" w:type="pct"/>
                  <w:vAlign w:val="center"/>
                </w:tcPr>
                <w:p>
                  <w:pPr>
                    <w:jc w:val="center"/>
                    <w:rPr>
                      <w:sz w:val="24"/>
                    </w:rPr>
                  </w:pPr>
                  <w:r>
                    <w:rPr>
                      <w:sz w:val="24"/>
                    </w:rPr>
                    <w:drawing>
                      <wp:inline distT="0" distB="0" distL="0" distR="0">
                        <wp:extent cx="723900" cy="723900"/>
                        <wp:effectExtent l="19050" t="0" r="0" b="0"/>
                        <wp:docPr id="5" name="图片 23">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5" name="图片 23"/>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40" w:type="pct"/>
                  <w:vAlign w:val="center"/>
                </w:tcPr>
                <w:p>
                  <w:pPr>
                    <w:jc w:val="center"/>
                    <w:rPr>
                      <w:sz w:val="24"/>
                    </w:rPr>
                  </w:pPr>
                  <w:r>
                    <w:rPr>
                      <w:sz w:val="24"/>
                    </w:rPr>
                    <w:t>排气筒</w:t>
                  </w:r>
                </w:p>
              </w:tc>
              <w:tc>
                <w:tcPr>
                  <w:tcW w:w="1508" w:type="pct"/>
                  <w:vAlign w:val="center"/>
                </w:tcPr>
                <w:p>
                  <w:pPr>
                    <w:jc w:val="center"/>
                    <w:rPr>
                      <w:rFonts w:hint="eastAsia"/>
                      <w:sz w:val="24"/>
                    </w:rPr>
                  </w:pPr>
                  <w:r>
                    <w:rPr>
                      <w:sz w:val="24"/>
                    </w:rPr>
                    <w:t>DA00</w:t>
                  </w:r>
                  <w:r>
                    <w:rPr>
                      <w:rFonts w:hint="eastAsia"/>
                      <w:sz w:val="24"/>
                    </w:rPr>
                    <w:t>4</w:t>
                  </w:r>
                </w:p>
              </w:tc>
              <w:tc>
                <w:tcPr>
                  <w:tcW w:w="1951" w:type="pct"/>
                  <w:vAlign w:val="center"/>
                </w:tcPr>
                <w:p>
                  <w:pPr>
                    <w:jc w:val="center"/>
                    <w:rPr>
                      <w:sz w:val="24"/>
                    </w:rPr>
                  </w:pPr>
                  <w:r>
                    <w:rPr>
                      <w:sz w:val="24"/>
                    </w:rPr>
                    <w:drawing>
                      <wp:inline distT="0" distB="0" distL="0" distR="0">
                        <wp:extent cx="723900" cy="723900"/>
                        <wp:effectExtent l="19050" t="0" r="0" b="0"/>
                        <wp:docPr id="6" name="图片 24">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40" w:type="pct"/>
                  <w:vAlign w:val="center"/>
                </w:tcPr>
                <w:p>
                  <w:pPr>
                    <w:jc w:val="center"/>
                    <w:rPr>
                      <w:sz w:val="24"/>
                    </w:rPr>
                  </w:pPr>
                  <w:r>
                    <w:rPr>
                      <w:sz w:val="24"/>
                    </w:rPr>
                    <w:t>排气筒</w:t>
                  </w:r>
                </w:p>
              </w:tc>
              <w:tc>
                <w:tcPr>
                  <w:tcW w:w="1508" w:type="pct"/>
                  <w:vAlign w:val="center"/>
                </w:tcPr>
                <w:p>
                  <w:pPr>
                    <w:jc w:val="center"/>
                    <w:rPr>
                      <w:rFonts w:hint="eastAsia"/>
                      <w:sz w:val="24"/>
                    </w:rPr>
                  </w:pPr>
                  <w:r>
                    <w:rPr>
                      <w:sz w:val="24"/>
                    </w:rPr>
                    <w:t>DA00</w:t>
                  </w:r>
                  <w:r>
                    <w:rPr>
                      <w:rFonts w:hint="eastAsia"/>
                      <w:sz w:val="24"/>
                    </w:rPr>
                    <w:t>5</w:t>
                  </w:r>
                </w:p>
              </w:tc>
              <w:tc>
                <w:tcPr>
                  <w:tcW w:w="1951" w:type="pct"/>
                  <w:vAlign w:val="center"/>
                </w:tcPr>
                <w:p>
                  <w:pPr>
                    <w:jc w:val="center"/>
                    <w:rPr>
                      <w:sz w:val="24"/>
                    </w:rPr>
                  </w:pPr>
                  <w:r>
                    <w:rPr>
                      <w:sz w:val="24"/>
                    </w:rPr>
                    <w:drawing>
                      <wp:inline distT="0" distB="0" distL="0" distR="0">
                        <wp:extent cx="723900" cy="723900"/>
                        <wp:effectExtent l="19050" t="0" r="0" b="0"/>
                        <wp:docPr id="7" name="图片 55">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7" name="图片 55"/>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40" w:type="pct"/>
                  <w:vAlign w:val="center"/>
                </w:tcPr>
                <w:p>
                  <w:pPr>
                    <w:jc w:val="center"/>
                    <w:rPr>
                      <w:sz w:val="24"/>
                    </w:rPr>
                  </w:pPr>
                  <w:r>
                    <w:rPr>
                      <w:sz w:val="24"/>
                    </w:rPr>
                    <w:t>排气筒</w:t>
                  </w:r>
                </w:p>
              </w:tc>
              <w:tc>
                <w:tcPr>
                  <w:tcW w:w="1508" w:type="pct"/>
                  <w:vAlign w:val="center"/>
                </w:tcPr>
                <w:p>
                  <w:pPr>
                    <w:jc w:val="center"/>
                    <w:rPr>
                      <w:rFonts w:hint="eastAsia"/>
                      <w:sz w:val="24"/>
                    </w:rPr>
                  </w:pPr>
                  <w:r>
                    <w:rPr>
                      <w:sz w:val="24"/>
                    </w:rPr>
                    <w:t>DA00</w:t>
                  </w:r>
                  <w:r>
                    <w:rPr>
                      <w:rFonts w:hint="eastAsia"/>
                      <w:sz w:val="24"/>
                    </w:rPr>
                    <w:t>6</w:t>
                  </w:r>
                </w:p>
              </w:tc>
              <w:tc>
                <w:tcPr>
                  <w:tcW w:w="1951" w:type="pct"/>
                  <w:vAlign w:val="center"/>
                </w:tcPr>
                <w:p>
                  <w:pPr>
                    <w:jc w:val="center"/>
                    <w:rPr>
                      <w:sz w:val="24"/>
                    </w:rPr>
                  </w:pPr>
                  <w:r>
                    <w:rPr>
                      <w:sz w:val="24"/>
                    </w:rPr>
                    <w:drawing>
                      <wp:inline distT="0" distB="0" distL="0" distR="0">
                        <wp:extent cx="723900" cy="723900"/>
                        <wp:effectExtent l="19050" t="0" r="0" b="0"/>
                        <wp:docPr id="8" name="图片 56">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8" name="图片 56"/>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1540" w:type="pct"/>
                  <w:vAlign w:val="center"/>
                </w:tcPr>
                <w:p>
                  <w:pPr>
                    <w:jc w:val="center"/>
                    <w:rPr>
                      <w:sz w:val="24"/>
                    </w:rPr>
                  </w:pPr>
                  <w:r>
                    <w:rPr>
                      <w:sz w:val="24"/>
                    </w:rPr>
                    <w:t>排气筒</w:t>
                  </w:r>
                </w:p>
              </w:tc>
              <w:tc>
                <w:tcPr>
                  <w:tcW w:w="1508" w:type="pct"/>
                  <w:vAlign w:val="center"/>
                </w:tcPr>
                <w:p>
                  <w:pPr>
                    <w:jc w:val="center"/>
                    <w:rPr>
                      <w:rFonts w:hint="eastAsia"/>
                      <w:sz w:val="24"/>
                    </w:rPr>
                  </w:pPr>
                  <w:r>
                    <w:rPr>
                      <w:sz w:val="24"/>
                    </w:rPr>
                    <w:t>DA00</w:t>
                  </w:r>
                  <w:r>
                    <w:rPr>
                      <w:rFonts w:hint="eastAsia"/>
                      <w:sz w:val="24"/>
                    </w:rPr>
                    <w:t>7</w:t>
                  </w:r>
                </w:p>
              </w:tc>
              <w:tc>
                <w:tcPr>
                  <w:tcW w:w="1951" w:type="pct"/>
                  <w:vAlign w:val="center"/>
                </w:tcPr>
                <w:p>
                  <w:pPr>
                    <w:jc w:val="center"/>
                    <w:rPr>
                      <w:sz w:val="24"/>
                    </w:rPr>
                  </w:pPr>
                  <w:r>
                    <w:rPr>
                      <w:sz w:val="24"/>
                    </w:rPr>
                    <w:drawing>
                      <wp:inline distT="0" distB="0" distL="0" distR="0">
                        <wp:extent cx="723900" cy="723900"/>
                        <wp:effectExtent l="19050" t="0" r="0" b="0"/>
                        <wp:docPr id="9" name="图片 57">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9" name="图片 57"/>
                                <pic:cNvPicPr>
                                  <a:picLocks noChangeArrowheads="1"/>
                                </pic:cNvPicPr>
                              </pic:nvPicPr>
                              <pic:blipFill>
                                <a:blip r:embed="rId16"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540" w:type="pct"/>
                  <w:vAlign w:val="center"/>
                </w:tcPr>
                <w:p>
                  <w:pPr>
                    <w:jc w:val="center"/>
                    <w:rPr>
                      <w:sz w:val="24"/>
                    </w:rPr>
                  </w:pPr>
                  <w:r>
                    <w:rPr>
                      <w:sz w:val="24"/>
                    </w:rPr>
                    <w:t>噪声源</w:t>
                  </w:r>
                </w:p>
              </w:tc>
              <w:tc>
                <w:tcPr>
                  <w:tcW w:w="1508" w:type="pct"/>
                  <w:vAlign w:val="center"/>
                </w:tcPr>
                <w:p>
                  <w:pPr>
                    <w:jc w:val="center"/>
                    <w:rPr>
                      <w:sz w:val="24"/>
                    </w:rPr>
                  </w:pPr>
                  <w:r>
                    <w:rPr>
                      <w:sz w:val="24"/>
                    </w:rPr>
                    <w:t>ZS-001</w:t>
                  </w:r>
                </w:p>
              </w:tc>
              <w:tc>
                <w:tcPr>
                  <w:tcW w:w="1951" w:type="pct"/>
                  <w:vAlign w:val="center"/>
                </w:tcPr>
                <w:p>
                  <w:pPr>
                    <w:jc w:val="center"/>
                    <w:rPr>
                      <w:sz w:val="24"/>
                    </w:rPr>
                  </w:pPr>
                  <w:r>
                    <w:rPr>
                      <w:sz w:val="24"/>
                    </w:rPr>
                    <w:drawing>
                      <wp:inline distT="0" distB="0" distL="0" distR="0">
                        <wp:extent cx="723900" cy="723900"/>
                        <wp:effectExtent l="19050" t="0" r="0" b="0"/>
                        <wp:docPr id="10" name="图片 25">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rrowheads="1"/>
                                </pic:cNvPicPr>
                              </pic:nvPicPr>
                              <pic:blipFill>
                                <a:blip r:embed="rId18" cstate="print"/>
                                <a:srcRect/>
                                <a:stretch>
                                  <a:fillRect/>
                                </a:stretch>
                              </pic:blipFill>
                              <pic:spPr>
                                <a:xfrm>
                                  <a:off x="0" y="0"/>
                                  <a:ext cx="723900" cy="723900"/>
                                </a:xfrm>
                                <a:prstGeom prst="rect">
                                  <a:avLst/>
                                </a:prstGeom>
                                <a:noFill/>
                                <a:ln w="9525" cmpd="sng">
                                  <a:noFill/>
                                  <a:miter lim="800000"/>
                                  <a:headEnd/>
                                  <a:tailEnd/>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540" w:type="pct"/>
                  <w:vAlign w:val="center"/>
                </w:tcPr>
                <w:p>
                  <w:pPr>
                    <w:jc w:val="center"/>
                    <w:rPr>
                      <w:sz w:val="24"/>
                    </w:rPr>
                  </w:pPr>
                  <w:r>
                    <w:rPr>
                      <w:sz w:val="24"/>
                    </w:rPr>
                    <w:t>固体废物贮存处置场</w:t>
                  </w:r>
                </w:p>
              </w:tc>
              <w:tc>
                <w:tcPr>
                  <w:tcW w:w="1508" w:type="pct"/>
                  <w:vAlign w:val="center"/>
                </w:tcPr>
                <w:p>
                  <w:pPr>
                    <w:jc w:val="center"/>
                    <w:rPr>
                      <w:sz w:val="24"/>
                    </w:rPr>
                  </w:pPr>
                  <w:r>
                    <w:rPr>
                      <w:sz w:val="24"/>
                    </w:rPr>
                    <w:t>GF-001</w:t>
                  </w:r>
                </w:p>
              </w:tc>
              <w:tc>
                <w:tcPr>
                  <w:tcW w:w="1951" w:type="pct"/>
                  <w:vAlign w:val="center"/>
                </w:tcPr>
                <w:p>
                  <w:pPr>
                    <w:jc w:val="center"/>
                    <w:rPr>
                      <w:sz w:val="24"/>
                    </w:rPr>
                  </w:pPr>
                  <w:r>
                    <w:rPr>
                      <w:sz w:val="24"/>
                    </w:rPr>
                    <w:drawing>
                      <wp:inline distT="0" distB="0" distL="0" distR="0">
                        <wp:extent cx="723900" cy="723900"/>
                        <wp:effectExtent l="19050" t="0" r="0" b="0"/>
                        <wp:docPr id="11" name="图片 26"/>
                        <wp:cNvGraphicFramePr/>
                        <a:graphic xmlns:a="http://schemas.openxmlformats.org/drawingml/2006/main">
                          <a:graphicData uri="http://schemas.openxmlformats.org/drawingml/2006/picture">
                            <pic:pic xmlns:pic="http://schemas.openxmlformats.org/drawingml/2006/picture">
                              <pic:nvPicPr>
                                <pic:cNvPr id="11" name="图片 26"/>
                                <pic:cNvPicPr>
                                  <a:picLocks noChangeArrowheads="1"/>
                                </pic:cNvPicPr>
                              </pic:nvPicPr>
                              <pic:blipFill>
                                <a:blip r:embed="rId19" cstate="print"/>
                                <a:srcRect t="4446" b="4199"/>
                                <a:stretch>
                                  <a:fillRect/>
                                </a:stretch>
                              </pic:blipFill>
                              <pic:spPr>
                                <a:xfrm>
                                  <a:off x="0" y="0"/>
                                  <a:ext cx="723900" cy="723900"/>
                                </a:xfrm>
                                <a:prstGeom prst="rect">
                                  <a:avLst/>
                                </a:prstGeom>
                                <a:noFill/>
                                <a:ln w="9525" cmpd="sng">
                                  <a:noFill/>
                                  <a:miter lim="800000"/>
                                  <a:headEnd/>
                                  <a:tailEnd/>
                                </a:ln>
                              </pic:spPr>
                            </pic:pic>
                          </a:graphicData>
                        </a:graphic>
                      </wp:inline>
                    </w:drawing>
                  </w:r>
                </w:p>
              </w:tc>
            </w:tr>
          </w:tbl>
          <w:p>
            <w:pPr>
              <w:rPr>
                <w:rFonts w:hint="eastAsia"/>
                <w:sz w:val="24"/>
              </w:rPr>
            </w:pPr>
          </w:p>
          <w:p>
            <w:pPr>
              <w:adjustRightInd w:val="0"/>
              <w:snapToGrid w:val="0"/>
              <w:spacing w:line="240" w:lineRule="auto"/>
              <w:rPr>
                <w:sz w:val="24"/>
              </w:rPr>
            </w:pPr>
          </w:p>
        </w:tc>
      </w:tr>
    </w:tbl>
    <w:p>
      <w:pPr>
        <w:pStyle w:val="19"/>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400" w:lineRule="exact"/>
              <w:ind w:firstLine="480" w:firstLineChars="200"/>
              <w:rPr>
                <w:sz w:val="24"/>
              </w:rPr>
            </w:pPr>
            <w:r>
              <w:rPr>
                <w:sz w:val="24"/>
              </w:rPr>
              <w:t>本项目符合国家产业政策，项目污染源治理措施可靠有效，污染物均能够达标排放，固体废物能得到合理处置，处置率为100%，外排污染物对周围环境影响不大，可以满足当地的环境功能区划的要求；污染物排放总量符合污染物总量控制要求，项目具有良好的经济和社会效益。</w:t>
            </w:r>
          </w:p>
          <w:p>
            <w:pPr>
              <w:spacing w:line="400" w:lineRule="exact"/>
              <w:ind w:firstLine="480" w:firstLineChars="200"/>
              <w:rPr>
                <w:sz w:val="24"/>
              </w:rPr>
            </w:pPr>
            <w:r>
              <w:rPr>
                <w:sz w:val="24"/>
              </w:rPr>
              <w:t>综上所述，在全面加强监督管理，执行环保</w:t>
            </w:r>
            <w:r>
              <w:rPr>
                <w:rFonts w:hint="eastAsia" w:ascii="宋体" w:hAnsi="宋体" w:cs="宋体"/>
                <w:sz w:val="24"/>
              </w:rPr>
              <w:t>“三同时”</w:t>
            </w:r>
            <w:r>
              <w:rPr>
                <w:sz w:val="24"/>
              </w:rPr>
              <w:t>制度和认真落实各项环保措施的条件下，从环境保护角度分析，项目的建设是可行的。</w:t>
            </w:r>
          </w:p>
          <w:p>
            <w:pPr>
              <w:rPr>
                <w:rFonts w:ascii="宋体" w:cs="宋体"/>
                <w:sz w:val="24"/>
              </w:rPr>
            </w:pPr>
          </w:p>
        </w:tc>
      </w:tr>
    </w:tbl>
    <w:p>
      <w:pPr>
        <w:rPr>
          <w:rFonts w:ascii="宋体"/>
        </w:rPr>
        <w:sectPr>
          <w:pgSz w:w="11906" w:h="16838"/>
          <w:pgMar w:top="1701" w:right="1531" w:bottom="1701" w:left="1531" w:header="851" w:footer="851" w:gutter="0"/>
          <w:cols w:space="720" w:num="1"/>
          <w:docGrid w:linePitch="312" w:charSpace="0"/>
        </w:sectPr>
      </w:pPr>
    </w:p>
    <w:p>
      <w:pPr>
        <w:pStyle w:val="19"/>
        <w:adjustRightInd w:val="0"/>
        <w:snapToGrid w:val="0"/>
        <w:spacing w:before="0" w:beforeAutospacing="0" w:after="0" w:afterAutospacing="0" w:line="648" w:lineRule="auto"/>
        <w:outlineLvl w:val="0"/>
        <w:rPr>
          <w:rFonts w:ascii="Times New Roman" w:hAnsi="Times New Roman"/>
          <w:snapToGrid w:val="0"/>
          <w:sz w:val="32"/>
          <w:szCs w:val="32"/>
        </w:rPr>
      </w:pPr>
      <w:r>
        <w:rPr>
          <w:rFonts w:ascii="Times New Roman" w:hAnsi="Times New Roman"/>
          <w:snapToGrid w:val="0"/>
          <w:sz w:val="32"/>
          <w:szCs w:val="32"/>
        </w:rPr>
        <w:t>附表</w:t>
      </w:r>
    </w:p>
    <w:p>
      <w:pPr>
        <w:pStyle w:val="19"/>
        <w:adjustRightInd w:val="0"/>
        <w:snapToGrid w:val="0"/>
        <w:spacing w:before="0" w:beforeAutospacing="0" w:after="0" w:afterAutospacing="0" w:line="600" w:lineRule="exact"/>
        <w:jc w:val="center"/>
        <w:outlineLvl w:val="0"/>
        <w:rPr>
          <w:rFonts w:ascii="Times New Roman" w:hAnsi="Times New Roman"/>
          <w:snapToGrid w:val="0"/>
          <w:sz w:val="38"/>
          <w:szCs w:val="38"/>
        </w:rPr>
      </w:pPr>
      <w:r>
        <w:rPr>
          <w:rFonts w:hint="eastAsia" w:ascii="Times New Roman" w:hAnsi="Times New Roman"/>
          <w:snapToGrid w:val="0"/>
          <w:sz w:val="38"/>
          <w:szCs w:val="38"/>
        </w:rPr>
        <w:t xml:space="preserve">                  </w:t>
      </w:r>
      <w:r>
        <w:rPr>
          <w:rFonts w:ascii="Times New Roman" w:hAnsi="Times New Roman"/>
          <w:snapToGrid w:val="0"/>
          <w:sz w:val="38"/>
          <w:szCs w:val="38"/>
        </w:rPr>
        <w:t>建设项目污染物排放量汇总表</w:t>
      </w:r>
      <w:r>
        <w:rPr>
          <w:rFonts w:hint="eastAsia" w:ascii="Times New Roman" w:hAnsi="Times New Roman"/>
          <w:snapToGrid w:val="0"/>
          <w:sz w:val="38"/>
          <w:szCs w:val="38"/>
        </w:rPr>
        <w:t xml:space="preserve">            </w:t>
      </w:r>
      <w:r>
        <w:rPr>
          <w:rFonts w:hint="eastAsia" w:ascii="Times New Roman" w:hAnsi="Times New Roman"/>
          <w:snapToGrid w:val="0"/>
          <w:sz w:val="21"/>
          <w:szCs w:val="21"/>
        </w:rPr>
        <w:t>单位：t/a</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3"/>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43"/>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417" w:type="dxa"/>
            <w:tcMar>
              <w:left w:w="28" w:type="dxa"/>
              <w:right w:w="28" w:type="dxa"/>
            </w:tcMar>
            <w:vAlign w:val="center"/>
          </w:tcPr>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701" w:type="dxa"/>
            <w:tcMar>
              <w:left w:w="28" w:type="dxa"/>
              <w:right w:w="28" w:type="dxa"/>
            </w:tcMar>
            <w:vAlign w:val="center"/>
          </w:tcPr>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ascii="Times New Roman" w:cs="宋体"/>
                <w:kern w:val="2"/>
                <w:szCs w:val="21"/>
              </w:rPr>
              <w:t>①</w:t>
            </w:r>
            <w:r>
              <w:rPr>
                <w:rFonts w:ascii="Times New Roman"/>
                <w:snapToGrid w:val="0"/>
                <w:color w:val="000000"/>
                <w:spacing w:val="-6"/>
                <w:kern w:val="21"/>
                <w:szCs w:val="21"/>
              </w:rPr>
              <w:fldChar w:fldCharType="end"/>
            </w:r>
          </w:p>
        </w:tc>
        <w:tc>
          <w:tcPr>
            <w:tcW w:w="1276" w:type="dxa"/>
            <w:tcMar>
              <w:left w:w="28" w:type="dxa"/>
              <w:right w:w="28" w:type="dxa"/>
            </w:tcMar>
            <w:vAlign w:val="center"/>
          </w:tcPr>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43"/>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hint="eastAsia" w:ascii="Times New Roman" w:cs="宋体"/>
                <w:snapToGrid w:val="0"/>
                <w:color w:val="000000"/>
                <w:spacing w:val="-6"/>
                <w:kern w:val="21"/>
                <w:szCs w:val="21"/>
              </w:rPr>
              <w:t>②</w:t>
            </w:r>
            <w:r>
              <w:rPr>
                <w:rFonts w:ascii="Times New Roman"/>
                <w:snapToGrid w:val="0"/>
                <w:color w:val="000000"/>
                <w:spacing w:val="-6"/>
                <w:kern w:val="21"/>
                <w:szCs w:val="21"/>
              </w:rPr>
              <w:fldChar w:fldCharType="end"/>
            </w:r>
          </w:p>
        </w:tc>
        <w:tc>
          <w:tcPr>
            <w:tcW w:w="1701" w:type="dxa"/>
            <w:tcMar>
              <w:left w:w="28" w:type="dxa"/>
              <w:right w:w="28" w:type="dxa"/>
            </w:tcMar>
            <w:vAlign w:val="center"/>
          </w:tcPr>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ascii="Times New Roman" w:cs="宋体"/>
                <w:kern w:val="2"/>
                <w:szCs w:val="21"/>
              </w:rPr>
              <w:t>③</w:t>
            </w:r>
            <w:r>
              <w:rPr>
                <w:rFonts w:ascii="Times New Roman"/>
                <w:snapToGrid w:val="0"/>
                <w:color w:val="000000"/>
                <w:spacing w:val="-6"/>
                <w:kern w:val="21"/>
                <w:szCs w:val="21"/>
              </w:rPr>
              <w:fldChar w:fldCharType="end"/>
            </w:r>
          </w:p>
        </w:tc>
        <w:tc>
          <w:tcPr>
            <w:tcW w:w="1559" w:type="dxa"/>
            <w:tcMar>
              <w:left w:w="28" w:type="dxa"/>
              <w:right w:w="28" w:type="dxa"/>
            </w:tcMar>
            <w:vAlign w:val="center"/>
          </w:tcPr>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ascii="Times New Roman" w:cs="宋体"/>
                <w:kern w:val="2"/>
                <w:szCs w:val="21"/>
              </w:rPr>
              <w:t>④</w:t>
            </w:r>
            <w:r>
              <w:rPr>
                <w:rFonts w:ascii="Times New Roman"/>
                <w:snapToGrid w:val="0"/>
                <w:color w:val="000000"/>
                <w:spacing w:val="-6"/>
                <w:kern w:val="21"/>
                <w:szCs w:val="21"/>
              </w:rPr>
              <w:fldChar w:fldCharType="end"/>
            </w:r>
          </w:p>
        </w:tc>
        <w:tc>
          <w:tcPr>
            <w:tcW w:w="1761" w:type="dxa"/>
            <w:tcMar>
              <w:left w:w="28" w:type="dxa"/>
              <w:right w:w="28" w:type="dxa"/>
            </w:tcMar>
            <w:vAlign w:val="center"/>
          </w:tcPr>
          <w:p>
            <w:pPr>
              <w:pStyle w:val="4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4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ascii="Times New Roman" w:cs="宋体"/>
                <w:kern w:val="2"/>
                <w:szCs w:val="21"/>
              </w:rPr>
              <w:t>⑤</w:t>
            </w:r>
            <w:r>
              <w:rPr>
                <w:rFonts w:ascii="Times New Roman"/>
                <w:snapToGrid w:val="0"/>
                <w:color w:val="000000"/>
                <w:spacing w:val="-16"/>
                <w:kern w:val="21"/>
                <w:szCs w:val="21"/>
              </w:rPr>
              <w:fldChar w:fldCharType="end"/>
            </w:r>
          </w:p>
        </w:tc>
        <w:tc>
          <w:tcPr>
            <w:tcW w:w="1959" w:type="dxa"/>
            <w:tcMar>
              <w:left w:w="28" w:type="dxa"/>
              <w:right w:w="28" w:type="dxa"/>
            </w:tcMar>
            <w:vAlign w:val="center"/>
          </w:tcPr>
          <w:p>
            <w:pPr>
              <w:pStyle w:val="4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4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ascii="Times New Roman" w:cs="宋体"/>
                <w:kern w:val="2"/>
                <w:szCs w:val="21"/>
              </w:rPr>
              <w:t>⑥</w:t>
            </w:r>
            <w:r>
              <w:rPr>
                <w:rFonts w:ascii="Times New Roman"/>
                <w:snapToGrid w:val="0"/>
                <w:color w:val="000000"/>
                <w:spacing w:val="-16"/>
                <w:kern w:val="21"/>
                <w:szCs w:val="21"/>
              </w:rPr>
              <w:fldChar w:fldCharType="end"/>
            </w:r>
          </w:p>
        </w:tc>
        <w:tc>
          <w:tcPr>
            <w:tcW w:w="826" w:type="dxa"/>
            <w:tcMar>
              <w:left w:w="28" w:type="dxa"/>
              <w:right w:w="28" w:type="dxa"/>
            </w:tcMar>
            <w:vAlign w:val="center"/>
          </w:tcPr>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4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ascii="Times New Roman" w:cs="宋体"/>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颗粒物</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0.374</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line="240" w:lineRule="auto"/>
              <w:jc w:val="center"/>
              <w:rPr>
                <w:rFonts w:hint="default" w:eastAsia="宋体"/>
                <w:snapToGrid w:val="0"/>
                <w:color w:val="000000"/>
                <w:kern w:val="21"/>
                <w:szCs w:val="21"/>
                <w:lang w:val="en-US" w:eastAsia="zh-CN"/>
              </w:rPr>
            </w:pPr>
            <w:r>
              <w:rPr>
                <w:rFonts w:hint="eastAsia"/>
                <w:lang w:val="en-US" w:eastAsia="zh-CN"/>
              </w:rPr>
              <w:t>2.105</w:t>
            </w:r>
          </w:p>
        </w:tc>
        <w:tc>
          <w:tcPr>
            <w:tcW w:w="1761"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c>
          <w:tcPr>
            <w:tcW w:w="1959" w:type="dxa"/>
            <w:vAlign w:val="center"/>
          </w:tcPr>
          <w:p>
            <w:pPr>
              <w:pStyle w:val="43"/>
              <w:spacing w:beforeLines="0" w:afterLines="0" w:line="240" w:lineRule="auto"/>
              <w:rPr>
                <w:rFonts w:hint="default" w:ascii="Times New Roman" w:eastAsia="宋体"/>
                <w:snapToGrid w:val="0"/>
                <w:color w:val="000000"/>
                <w:kern w:val="21"/>
                <w:szCs w:val="21"/>
                <w:lang w:val="en-US" w:eastAsia="zh-CN"/>
              </w:rPr>
            </w:pPr>
            <w:r>
              <w:rPr>
                <w:rFonts w:hint="eastAsia" w:ascii="Times New Roman"/>
                <w:snapToGrid w:val="0"/>
                <w:color w:val="000000"/>
                <w:kern w:val="21"/>
                <w:szCs w:val="21"/>
                <w:lang w:val="en-US" w:eastAsia="zh-CN"/>
              </w:rPr>
              <w:t>2.105</w:t>
            </w:r>
          </w:p>
        </w:tc>
        <w:tc>
          <w:tcPr>
            <w:tcW w:w="826" w:type="dxa"/>
            <w:vAlign w:val="center"/>
          </w:tcPr>
          <w:p>
            <w:pPr>
              <w:spacing w:line="240" w:lineRule="auto"/>
              <w:jc w:val="center"/>
              <w:rPr>
                <w:rFonts w:hint="default" w:eastAsia="宋体"/>
                <w:snapToGrid w:val="0"/>
                <w:color w:val="000000"/>
                <w:kern w:val="21"/>
                <w:szCs w:val="21"/>
                <w:lang w:val="en-US" w:eastAsia="zh-CN"/>
              </w:rPr>
            </w:pPr>
            <w:r>
              <w:rPr>
                <w:rFonts w:hint="eastAsia"/>
              </w:rPr>
              <w:t>+</w:t>
            </w:r>
            <w:r>
              <w:rPr>
                <w:rFonts w:hint="eastAsia"/>
                <w:lang w:val="en-US" w:eastAsia="zh-CN"/>
              </w:rPr>
              <w:t>1.731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SO</w:t>
            </w:r>
            <w:r>
              <w:rPr>
                <w:rFonts w:ascii="Times New Roman"/>
                <w:snapToGrid w:val="0"/>
                <w:color w:val="000000"/>
                <w:kern w:val="21"/>
                <w:szCs w:val="21"/>
                <w:vertAlign w:val="subscript"/>
              </w:rPr>
              <w:t>2</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276" w:type="dxa"/>
            <w:vAlign w:val="center"/>
          </w:tcPr>
          <w:p>
            <w:pPr>
              <w:pStyle w:val="4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w:t>
            </w:r>
          </w:p>
        </w:tc>
        <w:tc>
          <w:tcPr>
            <w:tcW w:w="1559"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c>
          <w:tcPr>
            <w:tcW w:w="1761"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w:t>
            </w:r>
          </w:p>
        </w:tc>
        <w:tc>
          <w:tcPr>
            <w:tcW w:w="1959"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c>
          <w:tcPr>
            <w:tcW w:w="826"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NO</w:t>
            </w:r>
            <w:r>
              <w:rPr>
                <w:rFonts w:ascii="Times New Roman"/>
                <w:snapToGrid w:val="0"/>
                <w:color w:val="000000"/>
                <w:kern w:val="21"/>
                <w:szCs w:val="21"/>
                <w:vertAlign w:val="subscript"/>
              </w:rPr>
              <w:t>X</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276" w:type="dxa"/>
            <w:vAlign w:val="center"/>
          </w:tcPr>
          <w:p>
            <w:pPr>
              <w:pStyle w:val="4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w:t>
            </w:r>
          </w:p>
        </w:tc>
        <w:tc>
          <w:tcPr>
            <w:tcW w:w="1559"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c>
          <w:tcPr>
            <w:tcW w:w="1761"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w:t>
            </w:r>
          </w:p>
        </w:tc>
        <w:tc>
          <w:tcPr>
            <w:tcW w:w="1959"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c>
          <w:tcPr>
            <w:tcW w:w="826"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非甲烷总烃</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w:t>
            </w:r>
          </w:p>
        </w:tc>
        <w:tc>
          <w:tcPr>
            <w:tcW w:w="1559" w:type="dxa"/>
            <w:vAlign w:val="center"/>
          </w:tcPr>
          <w:p>
            <w:pPr>
              <w:spacing w:line="240" w:lineRule="auto"/>
              <w:jc w:val="center"/>
            </w:pPr>
            <w:r>
              <w:rPr>
                <w:rFonts w:hint="eastAsia"/>
                <w:snapToGrid w:val="0"/>
                <w:color w:val="000000"/>
                <w:kern w:val="21"/>
                <w:szCs w:val="21"/>
              </w:rPr>
              <w:t>/</w:t>
            </w:r>
          </w:p>
        </w:tc>
        <w:tc>
          <w:tcPr>
            <w:tcW w:w="1761"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c>
          <w:tcPr>
            <w:tcW w:w="1959" w:type="dxa"/>
            <w:vAlign w:val="center"/>
          </w:tcPr>
          <w:p>
            <w:pPr>
              <w:spacing w:line="240" w:lineRule="auto"/>
              <w:jc w:val="center"/>
            </w:pPr>
            <w:r>
              <w:rPr>
                <w:rFonts w:hint="eastAsia"/>
                <w:snapToGrid w:val="0"/>
                <w:color w:val="000000"/>
                <w:kern w:val="21"/>
                <w:szCs w:val="21"/>
              </w:rPr>
              <w:t>/</w:t>
            </w:r>
          </w:p>
        </w:tc>
        <w:tc>
          <w:tcPr>
            <w:tcW w:w="826" w:type="dxa"/>
            <w:vAlign w:val="center"/>
          </w:tcPr>
          <w:p>
            <w:pPr>
              <w:spacing w:line="240" w:lineRule="auto"/>
              <w:jc w:val="center"/>
              <w:rPr>
                <w:snapToGrid w:val="0"/>
                <w:color w:val="000000"/>
                <w:kern w:val="21"/>
                <w:szCs w:val="21"/>
              </w:rPr>
            </w:pPr>
            <w:r>
              <w:rPr>
                <w:rFonts w:hint="eastAsia"/>
                <w:snapToGrid w:val="0"/>
                <w:color w:val="000000"/>
                <w:kern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COD</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0.223</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0</w:t>
            </w:r>
          </w:p>
        </w:tc>
        <w:tc>
          <w:tcPr>
            <w:tcW w:w="1761"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c>
          <w:tcPr>
            <w:tcW w:w="1959" w:type="dxa"/>
            <w:vAlign w:val="center"/>
          </w:tcPr>
          <w:p>
            <w:pPr>
              <w:pStyle w:val="43"/>
              <w:spacing w:beforeLines="0" w:afterLines="0" w:line="240" w:lineRule="auto"/>
              <w:rPr>
                <w:snapToGrid w:val="0"/>
                <w:color w:val="000000"/>
                <w:kern w:val="21"/>
                <w:szCs w:val="21"/>
              </w:rPr>
            </w:pPr>
            <w:r>
              <w:rPr>
                <w:rFonts w:hint="eastAsia" w:ascii="Times New Roman"/>
                <w:snapToGrid w:val="0"/>
                <w:color w:val="000000"/>
                <w:kern w:val="21"/>
                <w:szCs w:val="21"/>
              </w:rPr>
              <w:t>0.223</w:t>
            </w:r>
          </w:p>
        </w:tc>
        <w:tc>
          <w:tcPr>
            <w:tcW w:w="826"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NH</w:t>
            </w:r>
            <w:r>
              <w:rPr>
                <w:rFonts w:hint="eastAsia" w:ascii="Times New Roman"/>
                <w:snapToGrid w:val="0"/>
                <w:color w:val="000000"/>
                <w:kern w:val="21"/>
                <w:szCs w:val="21"/>
                <w:vertAlign w:val="subscript"/>
              </w:rPr>
              <w:t>3</w:t>
            </w:r>
            <w:r>
              <w:rPr>
                <w:rFonts w:hint="eastAsia" w:ascii="Times New Roman"/>
                <w:snapToGrid w:val="0"/>
                <w:color w:val="000000"/>
                <w:kern w:val="21"/>
                <w:szCs w:val="21"/>
              </w:rPr>
              <w:t>-N</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0.026</w:t>
            </w:r>
          </w:p>
        </w:tc>
        <w:tc>
          <w:tcPr>
            <w:tcW w:w="1276" w:type="dxa"/>
            <w:vAlign w:val="center"/>
          </w:tcPr>
          <w:p>
            <w:pPr>
              <w:pStyle w:val="4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0</w:t>
            </w:r>
          </w:p>
        </w:tc>
        <w:tc>
          <w:tcPr>
            <w:tcW w:w="1761"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0</w:t>
            </w:r>
          </w:p>
        </w:tc>
        <w:tc>
          <w:tcPr>
            <w:tcW w:w="1959" w:type="dxa"/>
            <w:vAlign w:val="center"/>
          </w:tcPr>
          <w:p>
            <w:pPr>
              <w:pStyle w:val="43"/>
              <w:spacing w:beforeLines="0" w:afterLines="0" w:line="240" w:lineRule="auto"/>
              <w:rPr>
                <w:rFonts w:hint="eastAsia"/>
                <w:snapToGrid w:val="0"/>
                <w:color w:val="000000"/>
                <w:kern w:val="21"/>
                <w:szCs w:val="21"/>
              </w:rPr>
            </w:pPr>
            <w:r>
              <w:rPr>
                <w:rFonts w:hint="eastAsia" w:ascii="Times New Roman"/>
                <w:snapToGrid w:val="0"/>
                <w:color w:val="000000"/>
                <w:kern w:val="21"/>
                <w:szCs w:val="21"/>
              </w:rPr>
              <w:t>0.026</w:t>
            </w:r>
          </w:p>
        </w:tc>
        <w:tc>
          <w:tcPr>
            <w:tcW w:w="826" w:type="dxa"/>
            <w:vAlign w:val="center"/>
          </w:tcPr>
          <w:p>
            <w:pPr>
              <w:spacing w:line="240" w:lineRule="auto"/>
              <w:jc w:val="center"/>
              <w:rPr>
                <w:rFonts w:hint="eastAsia"/>
                <w:snapToGrid w:val="0"/>
                <w:color w:val="000000"/>
                <w:kern w:val="21"/>
                <w:szCs w:val="21"/>
              </w:rPr>
            </w:pPr>
            <w:r>
              <w:rPr>
                <w:rFonts w:hint="eastAsia"/>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43"/>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417" w:type="dxa"/>
            <w:vAlign w:val="center"/>
          </w:tcPr>
          <w:p>
            <w:pPr>
              <w:pStyle w:val="4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除尘灰</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216.88</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pStyle w:val="43"/>
              <w:spacing w:beforeLines="0" w:afterLines="0" w:line="240" w:lineRule="auto"/>
              <w:rPr>
                <w:rFonts w:hint="default" w:ascii="Times New Roman" w:eastAsia="宋体"/>
                <w:snapToGrid w:val="0"/>
                <w:color w:val="000000"/>
                <w:kern w:val="21"/>
                <w:szCs w:val="21"/>
                <w:lang w:val="en-US" w:eastAsia="zh-CN"/>
              </w:rPr>
            </w:pPr>
            <w:r>
              <w:rPr>
                <w:rFonts w:hint="default" w:ascii="Times New Roman" w:hAnsi="Times New Roman" w:cs="Times New Roman"/>
                <w:snapToGrid w:val="0"/>
                <w:color w:val="000000"/>
                <w:kern w:val="21"/>
                <w:szCs w:val="21"/>
                <w:lang w:val="en-US" w:eastAsia="zh-CN"/>
              </w:rPr>
              <w:t>639.567</w:t>
            </w:r>
          </w:p>
        </w:tc>
        <w:tc>
          <w:tcPr>
            <w:tcW w:w="176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959" w:type="dxa"/>
            <w:vAlign w:val="center"/>
          </w:tcPr>
          <w:p>
            <w:pPr>
              <w:spacing w:line="240" w:lineRule="auto"/>
              <w:jc w:val="center"/>
              <w:rPr>
                <w:rFonts w:hint="default" w:eastAsia="宋体"/>
                <w:snapToGrid w:val="0"/>
                <w:color w:val="000000"/>
                <w:kern w:val="21"/>
                <w:szCs w:val="21"/>
                <w:lang w:val="en-US" w:eastAsia="zh-CN"/>
              </w:rPr>
            </w:pPr>
            <w:r>
              <w:rPr>
                <w:rFonts w:hint="eastAsia"/>
                <w:snapToGrid w:val="0"/>
                <w:color w:val="000000"/>
                <w:kern w:val="21"/>
                <w:szCs w:val="21"/>
                <w:lang w:val="en-US" w:eastAsia="zh-CN"/>
              </w:rPr>
              <w:t>639.567</w:t>
            </w:r>
          </w:p>
        </w:tc>
        <w:tc>
          <w:tcPr>
            <w:tcW w:w="826" w:type="dxa"/>
            <w:vAlign w:val="center"/>
          </w:tcPr>
          <w:p>
            <w:pPr>
              <w:spacing w:line="240" w:lineRule="auto"/>
              <w:jc w:val="center"/>
              <w:rPr>
                <w:rFonts w:hint="default" w:eastAsia="宋体"/>
                <w:snapToGrid w:val="0"/>
                <w:color w:val="000000"/>
                <w:kern w:val="21"/>
                <w:szCs w:val="21"/>
                <w:lang w:val="en-US" w:eastAsia="zh-CN"/>
              </w:rPr>
            </w:pPr>
            <w:r>
              <w:rPr>
                <w:rFonts w:hint="eastAsia"/>
                <w:snapToGrid w:val="0"/>
                <w:color w:val="000000"/>
                <w:kern w:val="21"/>
                <w:szCs w:val="21"/>
              </w:rPr>
              <w:t>+</w:t>
            </w:r>
            <w:r>
              <w:rPr>
                <w:rFonts w:hint="eastAsia"/>
                <w:snapToGrid w:val="0"/>
                <w:color w:val="000000"/>
                <w:kern w:val="21"/>
                <w:szCs w:val="21"/>
                <w:lang w:val="en-US" w:eastAsia="zh-CN"/>
              </w:rPr>
              <w:t>422.687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沉淀底泥</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19.78</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c>
          <w:tcPr>
            <w:tcW w:w="176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959" w:type="dxa"/>
            <w:vAlign w:val="center"/>
          </w:tcPr>
          <w:p>
            <w:pPr>
              <w:pStyle w:val="43"/>
              <w:spacing w:beforeLines="0" w:afterLines="0" w:line="240" w:lineRule="auto"/>
              <w:rPr>
                <w:rFonts w:hint="eastAsia"/>
                <w:snapToGrid w:val="0"/>
                <w:color w:val="000000"/>
                <w:kern w:val="21"/>
                <w:szCs w:val="21"/>
              </w:rPr>
            </w:pPr>
            <w:r>
              <w:rPr>
                <w:rFonts w:hint="eastAsia" w:ascii="Times New Roman"/>
                <w:snapToGrid w:val="0"/>
                <w:color w:val="000000"/>
                <w:kern w:val="21"/>
                <w:szCs w:val="21"/>
              </w:rPr>
              <w:t>19.78</w:t>
            </w:r>
          </w:p>
        </w:tc>
        <w:tc>
          <w:tcPr>
            <w:tcW w:w="826"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废钢筋料</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1818</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c>
          <w:tcPr>
            <w:tcW w:w="176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959" w:type="dxa"/>
            <w:vAlign w:val="center"/>
          </w:tcPr>
          <w:p>
            <w:pPr>
              <w:pStyle w:val="43"/>
              <w:spacing w:beforeLines="0" w:afterLines="0" w:line="240" w:lineRule="auto"/>
              <w:rPr>
                <w:snapToGrid w:val="0"/>
                <w:color w:val="000000"/>
                <w:kern w:val="21"/>
                <w:szCs w:val="21"/>
              </w:rPr>
            </w:pPr>
            <w:r>
              <w:rPr>
                <w:rFonts w:hint="eastAsia" w:ascii="Times New Roman"/>
                <w:snapToGrid w:val="0"/>
                <w:color w:val="000000"/>
                <w:kern w:val="21"/>
                <w:szCs w:val="21"/>
              </w:rPr>
              <w:t>1818</w:t>
            </w:r>
          </w:p>
        </w:tc>
        <w:tc>
          <w:tcPr>
            <w:tcW w:w="826"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43"/>
              <w:spacing w:beforeLines="0" w:afterLines="0" w:line="240" w:lineRule="auto"/>
              <w:rPr>
                <w:rFonts w:ascii="Times New Roman"/>
                <w:snapToGrid w:val="0"/>
                <w:color w:val="000000"/>
                <w:kern w:val="21"/>
                <w:szCs w:val="21"/>
              </w:rPr>
            </w:pPr>
          </w:p>
        </w:tc>
        <w:tc>
          <w:tcPr>
            <w:tcW w:w="1417"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生活垃圾</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5.7</w:t>
            </w:r>
          </w:p>
        </w:tc>
        <w:tc>
          <w:tcPr>
            <w:tcW w:w="1276"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70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p>
        </w:tc>
        <w:tc>
          <w:tcPr>
            <w:tcW w:w="1559"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c>
          <w:tcPr>
            <w:tcW w:w="1761" w:type="dxa"/>
            <w:vAlign w:val="center"/>
          </w:tcPr>
          <w:p>
            <w:pPr>
              <w:pStyle w:val="4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p>
        </w:tc>
        <w:tc>
          <w:tcPr>
            <w:tcW w:w="1959" w:type="dxa"/>
            <w:vAlign w:val="center"/>
          </w:tcPr>
          <w:p>
            <w:pPr>
              <w:pStyle w:val="43"/>
              <w:spacing w:beforeLines="0" w:afterLines="0" w:line="240" w:lineRule="auto"/>
              <w:rPr>
                <w:rFonts w:hint="eastAsia"/>
                <w:snapToGrid w:val="0"/>
                <w:color w:val="000000"/>
                <w:kern w:val="21"/>
                <w:szCs w:val="21"/>
              </w:rPr>
            </w:pPr>
            <w:r>
              <w:rPr>
                <w:rFonts w:hint="eastAsia" w:ascii="Times New Roman"/>
                <w:snapToGrid w:val="0"/>
                <w:color w:val="000000"/>
                <w:kern w:val="21"/>
                <w:szCs w:val="21"/>
              </w:rPr>
              <w:t>5.7</w:t>
            </w:r>
          </w:p>
        </w:tc>
        <w:tc>
          <w:tcPr>
            <w:tcW w:w="826" w:type="dxa"/>
            <w:vAlign w:val="center"/>
          </w:tcPr>
          <w:p>
            <w:pPr>
              <w:spacing w:line="240" w:lineRule="auto"/>
              <w:jc w:val="center"/>
              <w:rPr>
                <w:snapToGrid w:val="0"/>
                <w:color w:val="000000"/>
                <w:kern w:val="21"/>
                <w:szCs w:val="21"/>
              </w:rPr>
            </w:pPr>
            <w:r>
              <w:rPr>
                <w:rFonts w:hint="eastAsia"/>
                <w:snapToGrid w:val="0"/>
                <w:color w:val="000000"/>
                <w:kern w:val="21"/>
                <w:szCs w:val="21"/>
              </w:rPr>
              <w:t>0</w:t>
            </w:r>
          </w:p>
        </w:tc>
      </w:tr>
    </w:tbl>
    <w:p>
      <w:pPr>
        <w:pStyle w:val="43"/>
        <w:spacing w:beforeLines="80" w:after="24"/>
        <w:jc w:val="left"/>
        <w:rPr>
          <w:rFonts w:hint="eastAsia"/>
        </w:rPr>
        <w:sectPr>
          <w:footerReference r:id="rId8" w:type="default"/>
          <w:pgSz w:w="16838" w:h="11906" w:orient="landscape"/>
          <w:pgMar w:top="1701" w:right="1531" w:bottom="1701" w:left="1531" w:header="851" w:footer="851" w:gutter="0"/>
          <w:cols w:space="720" w:num="1"/>
          <w:docGrid w:linePitch="312" w:charSpace="0"/>
        </w:sect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ascii="Times New Roman"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ascii="Times New Roman" w:cs="宋体"/>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int="eastAsia" w:ascii="Times New Roman" w:cs="宋体"/>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int="eastAsia" w:ascii="Times New Roman" w:cs="宋体"/>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int="eastAsia" w:ascii="Times New Roman" w:cs="宋体"/>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int="eastAsia" w:ascii="Times New Roman" w:cs="宋体"/>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int="eastAsia" w:ascii="Times New Roman" w:cs="宋体"/>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int="eastAsia" w:ascii="Times New Roman" w:cs="宋体"/>
          <w:szCs w:val="21"/>
        </w:rPr>
        <w:t>①</w:t>
      </w:r>
      <w:r>
        <w:rPr>
          <w:rFonts w:ascii="Times New Roman"/>
          <w:snapToGrid w:val="0"/>
          <w:color w:val="000000"/>
          <w:spacing w:val="-6"/>
          <w:kern w:val="21"/>
          <w:szCs w:val="21"/>
        </w:rPr>
        <w:fldChar w:fldCharType="end"/>
      </w:r>
    </w:p>
    <w:p>
      <w:pPr>
        <w:rPr>
          <w:rFonts w:ascii="宋体" w:hAnsi="宋体" w:eastAsia="黑体"/>
        </w:rPr>
      </w:pPr>
    </w:p>
    <w:sectPr>
      <w:footerReference r:id="rId9" w:type="default"/>
      <w:pgSz w:w="11906" w:h="16838"/>
      <w:pgMar w:top="1701" w:right="1531" w:bottom="1701" w:left="1531" w:header="851" w:footer="851"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0288" behindDoc="0" locked="0" layoutInCell="1" allowOverlap="1">
              <wp:simplePos x="0" y="0"/>
              <wp:positionH relativeFrom="margin">
                <wp:posOffset>2607945</wp:posOffset>
              </wp:positionH>
              <wp:positionV relativeFrom="paragraph">
                <wp:posOffset>175260</wp:posOffset>
              </wp:positionV>
              <wp:extent cx="257175" cy="30988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257175" cy="309880"/>
                      </a:xfrm>
                      <a:prstGeom prst="rect">
                        <a:avLst/>
                      </a:prstGeom>
                      <a:noFill/>
                      <a:ln>
                        <a:noFill/>
                      </a:ln>
                    </wps:spPr>
                    <wps:txbx>
                      <w:txbxContent>
                        <w:p>
                          <w:pPr>
                            <w:pStyle w:val="17"/>
                          </w:pPr>
                          <w:r>
                            <w:fldChar w:fldCharType="begin"/>
                          </w:r>
                          <w:r>
                            <w:instrText xml:space="preserve"> PAGE  \* MERGEFORMAT </w:instrText>
                          </w:r>
                          <w:r>
                            <w:fldChar w:fldCharType="separate"/>
                          </w:r>
                          <w:r>
                            <w:t>26</w:t>
                          </w:r>
                          <w:r>
                            <w:fldChar w:fldCharType="end"/>
                          </w:r>
                        </w:p>
                      </w:txbxContent>
                    </wps:txbx>
                    <wps:bodyPr lIns="0" tIns="0" rIns="0" bIns="0" upright="1"/>
                  </wps:wsp>
                </a:graphicData>
              </a:graphic>
            </wp:anchor>
          </w:drawing>
        </mc:Choice>
        <mc:Fallback>
          <w:pict>
            <v:shape id="文本框 2" o:spid="_x0000_s1026" o:spt="202" type="#_x0000_t202" style="position:absolute;left:0pt;margin-left:205.35pt;margin-top:13.8pt;height:24.4pt;width:20.25pt;mso-position-horizontal-relative:margin;z-index:251660288;mso-width-relative:page;mso-height-relative:page;" filled="f" stroked="f" coordsize="21600,21600" o:gfxdata="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eJoqn2AAAAAkBAAAPAAAAAAAAAAEAIAAAACIAAABkcnMvZG93bnJldi54bWxQSwEC&#10;FAAUAAAACACHTuJAPBMj3bsBAAByAwAADgAAAAAAAAABACAAAAAnAQAAZHJzL2Uyb0RvYy54bWxQ&#10;SwUGAAAAAAYABgBZAQAAVAUAAAAA&#10;">
              <v:fill on="f" focussize="0,0"/>
              <v:stroke on="f"/>
              <v:imagedata o:title=""/>
              <o:lock v:ext="edit" aspectratio="f"/>
              <v:textbox inset="0mm,0mm,0mm,0mm">
                <w:txbxContent>
                  <w:p>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atrMg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4Bzd9zixC/fv11+/Lr8/Epe&#10;5/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AGrazIAQAAmg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7xwMkBAACa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a8pcdzixC/fv11+/Lr8/Epe&#10;5v70AWpMuwuYmIa3fsDc2Q/ozLIHFW3+oiCCcezu+dpdOSQi8qP1ar2uMCQwNl8Qnz08DxHSO+kt&#10;yUZDI46vdJWfPkAaU+eUXM35W21MGaFxfzkQM3tY5j5yzFYa9sMkaO/bM+rpcfINdbjolJj3Dhub&#10;l2Q24mzsZ+MYoj50SG1ZeEF4c0xIonDLFUbYqTCOrKib1ivvxJ/3kvXw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vHAyQEAAJo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6552"/>
    <w:multiLevelType w:val="singleLevel"/>
    <w:tmpl w:val="8C636552"/>
    <w:lvl w:ilvl="0" w:tentative="0">
      <w:start w:val="1"/>
      <w:numFmt w:val="decimal"/>
      <w:suff w:val="nothing"/>
      <w:lvlText w:val="（%1）"/>
      <w:lvlJc w:val="left"/>
    </w:lvl>
  </w:abstractNum>
  <w:abstractNum w:abstractNumId="1">
    <w:nsid w:val="A79CD8B6"/>
    <w:multiLevelType w:val="singleLevel"/>
    <w:tmpl w:val="A79CD8B6"/>
    <w:lvl w:ilvl="0" w:tentative="0">
      <w:start w:val="13"/>
      <w:numFmt w:val="decimal"/>
      <w:suff w:val="nothing"/>
      <w:lvlText w:val="%1、"/>
      <w:lvlJc w:val="left"/>
    </w:lvl>
  </w:abstractNum>
  <w:abstractNum w:abstractNumId="2">
    <w:nsid w:val="B63CCBAB"/>
    <w:multiLevelType w:val="singleLevel"/>
    <w:tmpl w:val="B63CCBAB"/>
    <w:lvl w:ilvl="0" w:tentative="0">
      <w:start w:val="1"/>
      <w:numFmt w:val="decimal"/>
      <w:suff w:val="nothing"/>
      <w:lvlText w:val="（%1）"/>
      <w:lvlJc w:val="left"/>
    </w:lvl>
  </w:abstractNum>
  <w:abstractNum w:abstractNumId="3">
    <w:nsid w:val="0000006C"/>
    <w:multiLevelType w:val="multilevel"/>
    <w:tmpl w:val="0000006C"/>
    <w:lvl w:ilvl="0" w:tentative="0">
      <w:start w:val="1"/>
      <w:numFmt w:val="decimal"/>
      <w:pStyle w:val="51"/>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45C4E"/>
    <w:multiLevelType w:val="singleLevel"/>
    <w:tmpl w:val="08645C4E"/>
    <w:lvl w:ilvl="0" w:tentative="0">
      <w:start w:val="1"/>
      <w:numFmt w:val="decimal"/>
      <w:suff w:val="nothing"/>
      <w:lvlText w:val="（%1）"/>
      <w:lvlJc w:val="left"/>
    </w:lvl>
  </w:abstractNum>
  <w:abstractNum w:abstractNumId="5">
    <w:nsid w:val="43643676"/>
    <w:multiLevelType w:val="singleLevel"/>
    <w:tmpl w:val="43643676"/>
    <w:lvl w:ilvl="0" w:tentative="0">
      <w:start w:val="2"/>
      <w:numFmt w:val="decimal"/>
      <w:suff w:val="nothing"/>
      <w:lvlText w:val="%1、"/>
      <w:lvlJc w:val="left"/>
    </w:lvl>
  </w:abstractNum>
  <w:abstractNum w:abstractNumId="6">
    <w:nsid w:val="622527C4"/>
    <w:multiLevelType w:val="singleLevel"/>
    <w:tmpl w:val="622527C4"/>
    <w:lvl w:ilvl="0" w:tentative="0">
      <w:start w:val="1"/>
      <w:numFmt w:val="decimal"/>
      <w:suff w:val="nothing"/>
      <w:lvlText w:val="%1、"/>
      <w:lvlJc w:val="left"/>
    </w:lvl>
  </w:abstractNum>
  <w:abstractNum w:abstractNumId="7">
    <w:nsid w:val="79C76C02"/>
    <w:multiLevelType w:val="singleLevel"/>
    <w:tmpl w:val="79C76C02"/>
    <w:lvl w:ilvl="0" w:tentative="0">
      <w:start w:val="2"/>
      <w:numFmt w:val="decimal"/>
      <w:suff w:val="nothing"/>
      <w:lvlText w:val="（%1）"/>
      <w:lvlJc w:val="left"/>
    </w:lvl>
  </w:abstractNum>
  <w:num w:numId="1">
    <w:abstractNumId w:val="3"/>
  </w:num>
  <w:num w:numId="2">
    <w:abstractNumId w:val="5"/>
  </w:num>
  <w:num w:numId="3">
    <w:abstractNumId w:val="6"/>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trackedChanges" w:enforcement="0"/>
  <w:defaultTabStop w:val="420"/>
  <w:doNotHyphenateCaps/>
  <w:drawingGridVerticalSpacing w:val="156"/>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60B3"/>
    <w:rsid w:val="00016079"/>
    <w:rsid w:val="0004364B"/>
    <w:rsid w:val="000560A0"/>
    <w:rsid w:val="00061B1F"/>
    <w:rsid w:val="000733C4"/>
    <w:rsid w:val="00074783"/>
    <w:rsid w:val="0008070B"/>
    <w:rsid w:val="000810AC"/>
    <w:rsid w:val="00081A02"/>
    <w:rsid w:val="00082231"/>
    <w:rsid w:val="00092D38"/>
    <w:rsid w:val="0009377B"/>
    <w:rsid w:val="000A10BF"/>
    <w:rsid w:val="000A20C9"/>
    <w:rsid w:val="000B058F"/>
    <w:rsid w:val="000B4467"/>
    <w:rsid w:val="000B4DB9"/>
    <w:rsid w:val="000C09AC"/>
    <w:rsid w:val="000C767F"/>
    <w:rsid w:val="000D5A44"/>
    <w:rsid w:val="000D7D95"/>
    <w:rsid w:val="000E3ED2"/>
    <w:rsid w:val="001024F8"/>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4789"/>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41799"/>
    <w:rsid w:val="002506BC"/>
    <w:rsid w:val="00254345"/>
    <w:rsid w:val="00254DF2"/>
    <w:rsid w:val="00264557"/>
    <w:rsid w:val="00280237"/>
    <w:rsid w:val="002805AB"/>
    <w:rsid w:val="00284204"/>
    <w:rsid w:val="00291773"/>
    <w:rsid w:val="002956A4"/>
    <w:rsid w:val="002A168C"/>
    <w:rsid w:val="002A3DC7"/>
    <w:rsid w:val="002B3252"/>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3C23"/>
    <w:rsid w:val="00384676"/>
    <w:rsid w:val="00390857"/>
    <w:rsid w:val="003A4BF3"/>
    <w:rsid w:val="003B420D"/>
    <w:rsid w:val="003C2C4E"/>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43AD5"/>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0BF5"/>
    <w:rsid w:val="005411D0"/>
    <w:rsid w:val="00542E07"/>
    <w:rsid w:val="00545424"/>
    <w:rsid w:val="00554A7B"/>
    <w:rsid w:val="0055572C"/>
    <w:rsid w:val="0056106A"/>
    <w:rsid w:val="005720AE"/>
    <w:rsid w:val="00594D77"/>
    <w:rsid w:val="00596664"/>
    <w:rsid w:val="005969E4"/>
    <w:rsid w:val="005A06B7"/>
    <w:rsid w:val="005A1759"/>
    <w:rsid w:val="005A68A7"/>
    <w:rsid w:val="005D36AB"/>
    <w:rsid w:val="00607087"/>
    <w:rsid w:val="00617CC3"/>
    <w:rsid w:val="006377A6"/>
    <w:rsid w:val="00637A3D"/>
    <w:rsid w:val="006411EF"/>
    <w:rsid w:val="006748B8"/>
    <w:rsid w:val="006775C3"/>
    <w:rsid w:val="0069290A"/>
    <w:rsid w:val="0069775A"/>
    <w:rsid w:val="00697813"/>
    <w:rsid w:val="006A3EE8"/>
    <w:rsid w:val="006A6BAD"/>
    <w:rsid w:val="006A72BF"/>
    <w:rsid w:val="006B03F2"/>
    <w:rsid w:val="006B37DC"/>
    <w:rsid w:val="006B4F68"/>
    <w:rsid w:val="006C0592"/>
    <w:rsid w:val="006C272E"/>
    <w:rsid w:val="006C5479"/>
    <w:rsid w:val="006D13B5"/>
    <w:rsid w:val="006E12FF"/>
    <w:rsid w:val="006E5061"/>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45AC"/>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76405"/>
    <w:rsid w:val="00880364"/>
    <w:rsid w:val="008849ED"/>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4E38"/>
    <w:rsid w:val="009563CE"/>
    <w:rsid w:val="00976328"/>
    <w:rsid w:val="0097680D"/>
    <w:rsid w:val="00982438"/>
    <w:rsid w:val="0098404C"/>
    <w:rsid w:val="00985283"/>
    <w:rsid w:val="00985C7E"/>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41A0"/>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3EC"/>
    <w:rsid w:val="00B24F30"/>
    <w:rsid w:val="00B31ABF"/>
    <w:rsid w:val="00B33BE3"/>
    <w:rsid w:val="00B350EB"/>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859BB"/>
    <w:rsid w:val="00C972B1"/>
    <w:rsid w:val="00CA2CCE"/>
    <w:rsid w:val="00CA43FD"/>
    <w:rsid w:val="00CA7EF8"/>
    <w:rsid w:val="00CC489B"/>
    <w:rsid w:val="00CD2BCD"/>
    <w:rsid w:val="00CD3A4C"/>
    <w:rsid w:val="00CE10E9"/>
    <w:rsid w:val="00CE2910"/>
    <w:rsid w:val="00CE5393"/>
    <w:rsid w:val="00CF1131"/>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1AE1"/>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86D7D"/>
    <w:rsid w:val="00F9212D"/>
    <w:rsid w:val="00F965DA"/>
    <w:rsid w:val="00FA223A"/>
    <w:rsid w:val="00FA406A"/>
    <w:rsid w:val="00FB503A"/>
    <w:rsid w:val="00FB516C"/>
    <w:rsid w:val="00FD0236"/>
    <w:rsid w:val="00FD18F4"/>
    <w:rsid w:val="00FD54DB"/>
    <w:rsid w:val="00FD619F"/>
    <w:rsid w:val="01290F7E"/>
    <w:rsid w:val="01314F50"/>
    <w:rsid w:val="01407F92"/>
    <w:rsid w:val="01465B30"/>
    <w:rsid w:val="014E4CEB"/>
    <w:rsid w:val="015D1E09"/>
    <w:rsid w:val="016A78F9"/>
    <w:rsid w:val="01DE0819"/>
    <w:rsid w:val="01F928B2"/>
    <w:rsid w:val="021C6884"/>
    <w:rsid w:val="02697903"/>
    <w:rsid w:val="028F08E8"/>
    <w:rsid w:val="029E5821"/>
    <w:rsid w:val="02AD2602"/>
    <w:rsid w:val="02B27D66"/>
    <w:rsid w:val="02C42BEF"/>
    <w:rsid w:val="02F96569"/>
    <w:rsid w:val="03A71329"/>
    <w:rsid w:val="03EA7B21"/>
    <w:rsid w:val="0458082D"/>
    <w:rsid w:val="04FB6391"/>
    <w:rsid w:val="0579513F"/>
    <w:rsid w:val="05836D3E"/>
    <w:rsid w:val="05C0283B"/>
    <w:rsid w:val="05F83EAE"/>
    <w:rsid w:val="06066206"/>
    <w:rsid w:val="060C0C6B"/>
    <w:rsid w:val="063E7D85"/>
    <w:rsid w:val="067E50D5"/>
    <w:rsid w:val="06AE6950"/>
    <w:rsid w:val="070D6DBD"/>
    <w:rsid w:val="07293586"/>
    <w:rsid w:val="07295285"/>
    <w:rsid w:val="07636392"/>
    <w:rsid w:val="0771272A"/>
    <w:rsid w:val="07770C56"/>
    <w:rsid w:val="078A3715"/>
    <w:rsid w:val="07DB1D81"/>
    <w:rsid w:val="07F03282"/>
    <w:rsid w:val="08115CEA"/>
    <w:rsid w:val="08532C70"/>
    <w:rsid w:val="087A2B3A"/>
    <w:rsid w:val="08F96134"/>
    <w:rsid w:val="09196B92"/>
    <w:rsid w:val="092217DD"/>
    <w:rsid w:val="092642C0"/>
    <w:rsid w:val="093A7294"/>
    <w:rsid w:val="09957D0B"/>
    <w:rsid w:val="09F21547"/>
    <w:rsid w:val="09F57346"/>
    <w:rsid w:val="0A263993"/>
    <w:rsid w:val="0A2D3AC2"/>
    <w:rsid w:val="0A2E7806"/>
    <w:rsid w:val="0A315201"/>
    <w:rsid w:val="0A4E389B"/>
    <w:rsid w:val="0A5C499C"/>
    <w:rsid w:val="0A7C5F0B"/>
    <w:rsid w:val="0AA755DF"/>
    <w:rsid w:val="0AE8128E"/>
    <w:rsid w:val="0B0F7083"/>
    <w:rsid w:val="0B120D44"/>
    <w:rsid w:val="0B134F60"/>
    <w:rsid w:val="0B182B64"/>
    <w:rsid w:val="0B433A68"/>
    <w:rsid w:val="0BAE1280"/>
    <w:rsid w:val="0BD27BF6"/>
    <w:rsid w:val="0C3B3C7D"/>
    <w:rsid w:val="0C6444CA"/>
    <w:rsid w:val="0CAB2EAE"/>
    <w:rsid w:val="0CEC0A25"/>
    <w:rsid w:val="0D4926E3"/>
    <w:rsid w:val="0D621C7D"/>
    <w:rsid w:val="0D9C3B21"/>
    <w:rsid w:val="0DC67607"/>
    <w:rsid w:val="0DD53ACB"/>
    <w:rsid w:val="0E420D6C"/>
    <w:rsid w:val="0E5841ED"/>
    <w:rsid w:val="0E73034D"/>
    <w:rsid w:val="0E861644"/>
    <w:rsid w:val="0EAB5C75"/>
    <w:rsid w:val="0EE92918"/>
    <w:rsid w:val="0F13775A"/>
    <w:rsid w:val="0F50626D"/>
    <w:rsid w:val="0F5F45FE"/>
    <w:rsid w:val="0F9A112B"/>
    <w:rsid w:val="0FB91E2A"/>
    <w:rsid w:val="0FC0368D"/>
    <w:rsid w:val="100C44EC"/>
    <w:rsid w:val="103F7D31"/>
    <w:rsid w:val="106D2F64"/>
    <w:rsid w:val="1082078B"/>
    <w:rsid w:val="10B63710"/>
    <w:rsid w:val="10BD4CBF"/>
    <w:rsid w:val="10F10820"/>
    <w:rsid w:val="111C2F7A"/>
    <w:rsid w:val="113C31B0"/>
    <w:rsid w:val="11665CA1"/>
    <w:rsid w:val="11790742"/>
    <w:rsid w:val="117C30FC"/>
    <w:rsid w:val="11AD0393"/>
    <w:rsid w:val="11B02A55"/>
    <w:rsid w:val="11ED1E48"/>
    <w:rsid w:val="121612CF"/>
    <w:rsid w:val="12362B8C"/>
    <w:rsid w:val="12607482"/>
    <w:rsid w:val="12744713"/>
    <w:rsid w:val="12B13040"/>
    <w:rsid w:val="13184C7C"/>
    <w:rsid w:val="13360291"/>
    <w:rsid w:val="13765BB2"/>
    <w:rsid w:val="13951726"/>
    <w:rsid w:val="13C777E3"/>
    <w:rsid w:val="14014D60"/>
    <w:rsid w:val="140F4A0A"/>
    <w:rsid w:val="14396509"/>
    <w:rsid w:val="14705ECE"/>
    <w:rsid w:val="148323F6"/>
    <w:rsid w:val="148F15E8"/>
    <w:rsid w:val="14952734"/>
    <w:rsid w:val="149B4ADC"/>
    <w:rsid w:val="14AC63E8"/>
    <w:rsid w:val="14B1050B"/>
    <w:rsid w:val="14DD2C3C"/>
    <w:rsid w:val="16087E1D"/>
    <w:rsid w:val="170460DC"/>
    <w:rsid w:val="170469D9"/>
    <w:rsid w:val="173B4F05"/>
    <w:rsid w:val="174E7DCD"/>
    <w:rsid w:val="17701D14"/>
    <w:rsid w:val="17735226"/>
    <w:rsid w:val="17782BEC"/>
    <w:rsid w:val="17B02EA8"/>
    <w:rsid w:val="17E55543"/>
    <w:rsid w:val="18471898"/>
    <w:rsid w:val="18614072"/>
    <w:rsid w:val="189F624C"/>
    <w:rsid w:val="1909068C"/>
    <w:rsid w:val="193B7444"/>
    <w:rsid w:val="19555A46"/>
    <w:rsid w:val="19C04266"/>
    <w:rsid w:val="19F46F83"/>
    <w:rsid w:val="1A1C66C0"/>
    <w:rsid w:val="1A42393B"/>
    <w:rsid w:val="1A4D7D22"/>
    <w:rsid w:val="1A545AD3"/>
    <w:rsid w:val="1A672682"/>
    <w:rsid w:val="1AA13F2E"/>
    <w:rsid w:val="1AAD45DE"/>
    <w:rsid w:val="1AB3059B"/>
    <w:rsid w:val="1AED6EA8"/>
    <w:rsid w:val="1B046F80"/>
    <w:rsid w:val="1B3267B5"/>
    <w:rsid w:val="1B3B7510"/>
    <w:rsid w:val="1B40161D"/>
    <w:rsid w:val="1B441859"/>
    <w:rsid w:val="1B6606B1"/>
    <w:rsid w:val="1B807F08"/>
    <w:rsid w:val="1C5E7925"/>
    <w:rsid w:val="1CA279F8"/>
    <w:rsid w:val="1CFD070F"/>
    <w:rsid w:val="1D4122A5"/>
    <w:rsid w:val="1D5F6196"/>
    <w:rsid w:val="1D6132A5"/>
    <w:rsid w:val="1D8E56D5"/>
    <w:rsid w:val="1DA07F2F"/>
    <w:rsid w:val="1DE37533"/>
    <w:rsid w:val="1E5E7902"/>
    <w:rsid w:val="1E7A43DA"/>
    <w:rsid w:val="1E824C17"/>
    <w:rsid w:val="1EA04F86"/>
    <w:rsid w:val="1EEB737C"/>
    <w:rsid w:val="1EED329D"/>
    <w:rsid w:val="1EF72866"/>
    <w:rsid w:val="1F3848CD"/>
    <w:rsid w:val="1F3A3EAE"/>
    <w:rsid w:val="1F4117EF"/>
    <w:rsid w:val="1F614217"/>
    <w:rsid w:val="1FA4456D"/>
    <w:rsid w:val="1FAF590A"/>
    <w:rsid w:val="1FCC246D"/>
    <w:rsid w:val="1FD03582"/>
    <w:rsid w:val="1FDD579F"/>
    <w:rsid w:val="1FE7539E"/>
    <w:rsid w:val="20671BE0"/>
    <w:rsid w:val="20817DAE"/>
    <w:rsid w:val="2091129C"/>
    <w:rsid w:val="20963CB8"/>
    <w:rsid w:val="20A81A1B"/>
    <w:rsid w:val="20B07FB6"/>
    <w:rsid w:val="20B646FB"/>
    <w:rsid w:val="21230AF8"/>
    <w:rsid w:val="213B74B1"/>
    <w:rsid w:val="214A1E8D"/>
    <w:rsid w:val="215A2310"/>
    <w:rsid w:val="218604E4"/>
    <w:rsid w:val="21CD297E"/>
    <w:rsid w:val="21D80338"/>
    <w:rsid w:val="21DE318A"/>
    <w:rsid w:val="21EF5B80"/>
    <w:rsid w:val="21F16D78"/>
    <w:rsid w:val="21F71EC4"/>
    <w:rsid w:val="21F97D77"/>
    <w:rsid w:val="221F78A6"/>
    <w:rsid w:val="22227303"/>
    <w:rsid w:val="22576990"/>
    <w:rsid w:val="226958FF"/>
    <w:rsid w:val="22854BD9"/>
    <w:rsid w:val="228B505F"/>
    <w:rsid w:val="22F47480"/>
    <w:rsid w:val="23374AE7"/>
    <w:rsid w:val="23B829F2"/>
    <w:rsid w:val="23C75ACA"/>
    <w:rsid w:val="23DE1C48"/>
    <w:rsid w:val="240210CD"/>
    <w:rsid w:val="24311E4C"/>
    <w:rsid w:val="24BF09F7"/>
    <w:rsid w:val="24FA5FD6"/>
    <w:rsid w:val="25096232"/>
    <w:rsid w:val="252D53FE"/>
    <w:rsid w:val="25437867"/>
    <w:rsid w:val="25697279"/>
    <w:rsid w:val="25C052E6"/>
    <w:rsid w:val="25EC2D81"/>
    <w:rsid w:val="25F00793"/>
    <w:rsid w:val="25FC032D"/>
    <w:rsid w:val="26586A15"/>
    <w:rsid w:val="26627B88"/>
    <w:rsid w:val="26923F5B"/>
    <w:rsid w:val="27631370"/>
    <w:rsid w:val="277057A2"/>
    <w:rsid w:val="2793686C"/>
    <w:rsid w:val="279F1240"/>
    <w:rsid w:val="281766F1"/>
    <w:rsid w:val="28EB60D2"/>
    <w:rsid w:val="29096031"/>
    <w:rsid w:val="29206EB8"/>
    <w:rsid w:val="29345157"/>
    <w:rsid w:val="29595666"/>
    <w:rsid w:val="298200AF"/>
    <w:rsid w:val="29833A53"/>
    <w:rsid w:val="29874881"/>
    <w:rsid w:val="29AA5501"/>
    <w:rsid w:val="29B17984"/>
    <w:rsid w:val="29D16A4D"/>
    <w:rsid w:val="29D66FD3"/>
    <w:rsid w:val="29E325E0"/>
    <w:rsid w:val="29E85A83"/>
    <w:rsid w:val="2A1A2874"/>
    <w:rsid w:val="2A35526A"/>
    <w:rsid w:val="2A38088C"/>
    <w:rsid w:val="2A452503"/>
    <w:rsid w:val="2B0534D7"/>
    <w:rsid w:val="2B24163B"/>
    <w:rsid w:val="2B6A1CB1"/>
    <w:rsid w:val="2B7C7FA3"/>
    <w:rsid w:val="2BA936A8"/>
    <w:rsid w:val="2BE45C00"/>
    <w:rsid w:val="2C315A5A"/>
    <w:rsid w:val="2C3E4862"/>
    <w:rsid w:val="2C4B1C25"/>
    <w:rsid w:val="2CB97BA3"/>
    <w:rsid w:val="2D2776F6"/>
    <w:rsid w:val="2D9E56F5"/>
    <w:rsid w:val="2DD7415D"/>
    <w:rsid w:val="2E5C1741"/>
    <w:rsid w:val="2E667F96"/>
    <w:rsid w:val="2E6A0A6E"/>
    <w:rsid w:val="2E8226AB"/>
    <w:rsid w:val="2EBE7E22"/>
    <w:rsid w:val="2EF45EB3"/>
    <w:rsid w:val="2F3B2ABD"/>
    <w:rsid w:val="2F4641BA"/>
    <w:rsid w:val="2F570A5C"/>
    <w:rsid w:val="2F69561F"/>
    <w:rsid w:val="2F9467EA"/>
    <w:rsid w:val="2FD065E6"/>
    <w:rsid w:val="2FD96870"/>
    <w:rsid w:val="30580BC9"/>
    <w:rsid w:val="309B7EA5"/>
    <w:rsid w:val="30BA322D"/>
    <w:rsid w:val="30E72191"/>
    <w:rsid w:val="30E75921"/>
    <w:rsid w:val="311E2ED7"/>
    <w:rsid w:val="311F14B3"/>
    <w:rsid w:val="3150006A"/>
    <w:rsid w:val="315619EE"/>
    <w:rsid w:val="315C449C"/>
    <w:rsid w:val="31781E1C"/>
    <w:rsid w:val="319B0560"/>
    <w:rsid w:val="31B82709"/>
    <w:rsid w:val="31D05482"/>
    <w:rsid w:val="32283DF6"/>
    <w:rsid w:val="323B2F68"/>
    <w:rsid w:val="32400B34"/>
    <w:rsid w:val="32573ADE"/>
    <w:rsid w:val="329E6876"/>
    <w:rsid w:val="333015F2"/>
    <w:rsid w:val="334B6320"/>
    <w:rsid w:val="33870508"/>
    <w:rsid w:val="33D934D4"/>
    <w:rsid w:val="33FE2F6A"/>
    <w:rsid w:val="340E07E5"/>
    <w:rsid w:val="34235BF7"/>
    <w:rsid w:val="34516407"/>
    <w:rsid w:val="355064BD"/>
    <w:rsid w:val="358C5FA8"/>
    <w:rsid w:val="35A8685E"/>
    <w:rsid w:val="35BB3EAE"/>
    <w:rsid w:val="35C15DF1"/>
    <w:rsid w:val="35FD3A04"/>
    <w:rsid w:val="36074A7F"/>
    <w:rsid w:val="365D5CDF"/>
    <w:rsid w:val="36815184"/>
    <w:rsid w:val="36923549"/>
    <w:rsid w:val="36B75FBF"/>
    <w:rsid w:val="36BD0C45"/>
    <w:rsid w:val="36EA0C69"/>
    <w:rsid w:val="36F4302F"/>
    <w:rsid w:val="37682829"/>
    <w:rsid w:val="37E00298"/>
    <w:rsid w:val="38517BE2"/>
    <w:rsid w:val="38B302F9"/>
    <w:rsid w:val="38C269D2"/>
    <w:rsid w:val="38CC337A"/>
    <w:rsid w:val="38DA276E"/>
    <w:rsid w:val="38F12CD3"/>
    <w:rsid w:val="38F94775"/>
    <w:rsid w:val="392971ED"/>
    <w:rsid w:val="39325651"/>
    <w:rsid w:val="3A40187F"/>
    <w:rsid w:val="3A872856"/>
    <w:rsid w:val="3ACE379D"/>
    <w:rsid w:val="3AD40DC9"/>
    <w:rsid w:val="3AF61C1A"/>
    <w:rsid w:val="3B3763D1"/>
    <w:rsid w:val="3BBD355F"/>
    <w:rsid w:val="3BE551F9"/>
    <w:rsid w:val="3C230742"/>
    <w:rsid w:val="3C2F6E1E"/>
    <w:rsid w:val="3C4F64BA"/>
    <w:rsid w:val="3C6E0518"/>
    <w:rsid w:val="3CB2518D"/>
    <w:rsid w:val="3CCA1393"/>
    <w:rsid w:val="3CDA245A"/>
    <w:rsid w:val="3CF74B04"/>
    <w:rsid w:val="3D1E06B7"/>
    <w:rsid w:val="3D371F6D"/>
    <w:rsid w:val="3D4B7720"/>
    <w:rsid w:val="3DEF39BB"/>
    <w:rsid w:val="3E4F50E3"/>
    <w:rsid w:val="3E5103DA"/>
    <w:rsid w:val="3E587CE7"/>
    <w:rsid w:val="3E6A20E5"/>
    <w:rsid w:val="3E6F3D10"/>
    <w:rsid w:val="3E942A39"/>
    <w:rsid w:val="3ED1400F"/>
    <w:rsid w:val="3EDA0523"/>
    <w:rsid w:val="3EEB26A5"/>
    <w:rsid w:val="3F170A3C"/>
    <w:rsid w:val="3F3326F3"/>
    <w:rsid w:val="3F9F3229"/>
    <w:rsid w:val="3FA81F2E"/>
    <w:rsid w:val="3FF713C3"/>
    <w:rsid w:val="400E2D63"/>
    <w:rsid w:val="407A6407"/>
    <w:rsid w:val="40975E41"/>
    <w:rsid w:val="412B2F46"/>
    <w:rsid w:val="418C7389"/>
    <w:rsid w:val="41F04E24"/>
    <w:rsid w:val="41F70592"/>
    <w:rsid w:val="4200449D"/>
    <w:rsid w:val="42324916"/>
    <w:rsid w:val="423A3BCC"/>
    <w:rsid w:val="424E57D2"/>
    <w:rsid w:val="42883D69"/>
    <w:rsid w:val="42B26C49"/>
    <w:rsid w:val="42B72176"/>
    <w:rsid w:val="42D85F0B"/>
    <w:rsid w:val="42E8433B"/>
    <w:rsid w:val="42FE7A15"/>
    <w:rsid w:val="433A6FE6"/>
    <w:rsid w:val="43480868"/>
    <w:rsid w:val="4350713C"/>
    <w:rsid w:val="436653E0"/>
    <w:rsid w:val="43874542"/>
    <w:rsid w:val="43C4431A"/>
    <w:rsid w:val="44792FF5"/>
    <w:rsid w:val="44AA5320"/>
    <w:rsid w:val="44B951CC"/>
    <w:rsid w:val="44CD14E0"/>
    <w:rsid w:val="44F20B0B"/>
    <w:rsid w:val="452E5F4C"/>
    <w:rsid w:val="45612018"/>
    <w:rsid w:val="4576732A"/>
    <w:rsid w:val="458946E9"/>
    <w:rsid w:val="45957018"/>
    <w:rsid w:val="45993640"/>
    <w:rsid w:val="45A47C0E"/>
    <w:rsid w:val="45C60701"/>
    <w:rsid w:val="465163C8"/>
    <w:rsid w:val="46577FD6"/>
    <w:rsid w:val="46D3388B"/>
    <w:rsid w:val="46D955A7"/>
    <w:rsid w:val="46ED4F5A"/>
    <w:rsid w:val="46F32C6A"/>
    <w:rsid w:val="47133957"/>
    <w:rsid w:val="47285C41"/>
    <w:rsid w:val="47537F2D"/>
    <w:rsid w:val="47A07E0C"/>
    <w:rsid w:val="47C06D61"/>
    <w:rsid w:val="4870272E"/>
    <w:rsid w:val="48CC4400"/>
    <w:rsid w:val="49524609"/>
    <w:rsid w:val="49995CC8"/>
    <w:rsid w:val="49C31341"/>
    <w:rsid w:val="49DC7715"/>
    <w:rsid w:val="49DE5DEC"/>
    <w:rsid w:val="49E04B96"/>
    <w:rsid w:val="4A023139"/>
    <w:rsid w:val="4A0E6FD1"/>
    <w:rsid w:val="4A7B576F"/>
    <w:rsid w:val="4A862357"/>
    <w:rsid w:val="4AF561A9"/>
    <w:rsid w:val="4B423E79"/>
    <w:rsid w:val="4B454B9E"/>
    <w:rsid w:val="4BE72F90"/>
    <w:rsid w:val="4C4A0649"/>
    <w:rsid w:val="4C5142AA"/>
    <w:rsid w:val="4C7E5ECA"/>
    <w:rsid w:val="4C876AA5"/>
    <w:rsid w:val="4D0E00FB"/>
    <w:rsid w:val="4D176606"/>
    <w:rsid w:val="4D79379B"/>
    <w:rsid w:val="4D7B417F"/>
    <w:rsid w:val="4DEC4FB0"/>
    <w:rsid w:val="4E075D8A"/>
    <w:rsid w:val="4E4908B0"/>
    <w:rsid w:val="4E521789"/>
    <w:rsid w:val="4E86208A"/>
    <w:rsid w:val="4E94036E"/>
    <w:rsid w:val="4EC00FAD"/>
    <w:rsid w:val="4EE97D72"/>
    <w:rsid w:val="4F3824FD"/>
    <w:rsid w:val="4F6D0F2A"/>
    <w:rsid w:val="4F9843DC"/>
    <w:rsid w:val="4FA7284A"/>
    <w:rsid w:val="4FC62A8C"/>
    <w:rsid w:val="4FE20F0D"/>
    <w:rsid w:val="4FE51552"/>
    <w:rsid w:val="4FF21E9E"/>
    <w:rsid w:val="50504C4B"/>
    <w:rsid w:val="50556863"/>
    <w:rsid w:val="5057793B"/>
    <w:rsid w:val="509C6E7C"/>
    <w:rsid w:val="50AC09ED"/>
    <w:rsid w:val="5162104E"/>
    <w:rsid w:val="518B2305"/>
    <w:rsid w:val="51A05662"/>
    <w:rsid w:val="52173085"/>
    <w:rsid w:val="525A06FA"/>
    <w:rsid w:val="52AD2EDE"/>
    <w:rsid w:val="52E840BA"/>
    <w:rsid w:val="5380085D"/>
    <w:rsid w:val="538D1C82"/>
    <w:rsid w:val="53A039CC"/>
    <w:rsid w:val="53A1505A"/>
    <w:rsid w:val="54032212"/>
    <w:rsid w:val="54033172"/>
    <w:rsid w:val="54063E08"/>
    <w:rsid w:val="543437E8"/>
    <w:rsid w:val="546F5C75"/>
    <w:rsid w:val="54AE5650"/>
    <w:rsid w:val="54D54724"/>
    <w:rsid w:val="54F73313"/>
    <w:rsid w:val="54F80955"/>
    <w:rsid w:val="555170A7"/>
    <w:rsid w:val="556A130C"/>
    <w:rsid w:val="5587536D"/>
    <w:rsid w:val="559B174B"/>
    <w:rsid w:val="55C976AC"/>
    <w:rsid w:val="55CE0CF4"/>
    <w:rsid w:val="55D66D23"/>
    <w:rsid w:val="56452CCA"/>
    <w:rsid w:val="56480338"/>
    <w:rsid w:val="56A53415"/>
    <w:rsid w:val="56B22A9C"/>
    <w:rsid w:val="56B52CB8"/>
    <w:rsid w:val="56C32928"/>
    <w:rsid w:val="57B72A76"/>
    <w:rsid w:val="57C3426C"/>
    <w:rsid w:val="57CE1F93"/>
    <w:rsid w:val="57F75FC7"/>
    <w:rsid w:val="582568A0"/>
    <w:rsid w:val="583A3BBE"/>
    <w:rsid w:val="584947AF"/>
    <w:rsid w:val="58714FAC"/>
    <w:rsid w:val="588743D1"/>
    <w:rsid w:val="5887701A"/>
    <w:rsid w:val="5899264B"/>
    <w:rsid w:val="58AF3F2B"/>
    <w:rsid w:val="5958743C"/>
    <w:rsid w:val="5961192A"/>
    <w:rsid w:val="59C0439F"/>
    <w:rsid w:val="59F44F90"/>
    <w:rsid w:val="5A331056"/>
    <w:rsid w:val="5A7F4744"/>
    <w:rsid w:val="5ABE2233"/>
    <w:rsid w:val="5B77172C"/>
    <w:rsid w:val="5BA86008"/>
    <w:rsid w:val="5BDF5D95"/>
    <w:rsid w:val="5BFE7528"/>
    <w:rsid w:val="5C67394C"/>
    <w:rsid w:val="5CCE6B27"/>
    <w:rsid w:val="5CED1AFF"/>
    <w:rsid w:val="5D3E7A77"/>
    <w:rsid w:val="5D4B3673"/>
    <w:rsid w:val="5D8434AB"/>
    <w:rsid w:val="5E2467F1"/>
    <w:rsid w:val="5EC27A9F"/>
    <w:rsid w:val="5ED32A70"/>
    <w:rsid w:val="5EF267C3"/>
    <w:rsid w:val="5F0271A4"/>
    <w:rsid w:val="5F0C4320"/>
    <w:rsid w:val="5F1A2B43"/>
    <w:rsid w:val="5F4577F4"/>
    <w:rsid w:val="5F712DBE"/>
    <w:rsid w:val="5FB837BB"/>
    <w:rsid w:val="602239E2"/>
    <w:rsid w:val="6023143A"/>
    <w:rsid w:val="607B6498"/>
    <w:rsid w:val="60C1442C"/>
    <w:rsid w:val="60CC405A"/>
    <w:rsid w:val="61405EE0"/>
    <w:rsid w:val="61661BA2"/>
    <w:rsid w:val="61E215D8"/>
    <w:rsid w:val="621B3775"/>
    <w:rsid w:val="62364782"/>
    <w:rsid w:val="62DE5B80"/>
    <w:rsid w:val="62E70AB8"/>
    <w:rsid w:val="63916F7A"/>
    <w:rsid w:val="6394356A"/>
    <w:rsid w:val="63A131BA"/>
    <w:rsid w:val="63C61B2C"/>
    <w:rsid w:val="63CD3CE8"/>
    <w:rsid w:val="63D40BE9"/>
    <w:rsid w:val="63DA12B1"/>
    <w:rsid w:val="64102431"/>
    <w:rsid w:val="646F6BCF"/>
    <w:rsid w:val="6496167C"/>
    <w:rsid w:val="649C01FF"/>
    <w:rsid w:val="64A5243A"/>
    <w:rsid w:val="64A83AAF"/>
    <w:rsid w:val="64F531DE"/>
    <w:rsid w:val="653276E4"/>
    <w:rsid w:val="6533621B"/>
    <w:rsid w:val="65373578"/>
    <w:rsid w:val="653C1D8C"/>
    <w:rsid w:val="658953D2"/>
    <w:rsid w:val="65BA1586"/>
    <w:rsid w:val="65CD7BC5"/>
    <w:rsid w:val="662C6AA6"/>
    <w:rsid w:val="66CB69E8"/>
    <w:rsid w:val="66CB7DBC"/>
    <w:rsid w:val="66D62A80"/>
    <w:rsid w:val="671F124A"/>
    <w:rsid w:val="677A33C6"/>
    <w:rsid w:val="67E64608"/>
    <w:rsid w:val="67EF22C3"/>
    <w:rsid w:val="6804667C"/>
    <w:rsid w:val="681F6961"/>
    <w:rsid w:val="683971B0"/>
    <w:rsid w:val="685F387C"/>
    <w:rsid w:val="68610066"/>
    <w:rsid w:val="68610A2F"/>
    <w:rsid w:val="68805514"/>
    <w:rsid w:val="688B5BC6"/>
    <w:rsid w:val="691D3802"/>
    <w:rsid w:val="69316E2F"/>
    <w:rsid w:val="694E2071"/>
    <w:rsid w:val="695D6547"/>
    <w:rsid w:val="69766163"/>
    <w:rsid w:val="697A3B33"/>
    <w:rsid w:val="69D44760"/>
    <w:rsid w:val="69D83BD0"/>
    <w:rsid w:val="6A520EC7"/>
    <w:rsid w:val="6A6331B9"/>
    <w:rsid w:val="6A6619C1"/>
    <w:rsid w:val="6A682A47"/>
    <w:rsid w:val="6A8862FF"/>
    <w:rsid w:val="6A902624"/>
    <w:rsid w:val="6ABC2F18"/>
    <w:rsid w:val="6AEC2669"/>
    <w:rsid w:val="6AF87E20"/>
    <w:rsid w:val="6B2C7F90"/>
    <w:rsid w:val="6B322639"/>
    <w:rsid w:val="6B32371B"/>
    <w:rsid w:val="6B8232A6"/>
    <w:rsid w:val="6BDE38E8"/>
    <w:rsid w:val="6C012212"/>
    <w:rsid w:val="6C1B27A7"/>
    <w:rsid w:val="6C4F707F"/>
    <w:rsid w:val="6C636C38"/>
    <w:rsid w:val="6CC545B0"/>
    <w:rsid w:val="6CDD0AFC"/>
    <w:rsid w:val="6D1F321B"/>
    <w:rsid w:val="6D347923"/>
    <w:rsid w:val="6D646D05"/>
    <w:rsid w:val="6D7E65C0"/>
    <w:rsid w:val="6DB34098"/>
    <w:rsid w:val="6DB545B6"/>
    <w:rsid w:val="6DC65FFE"/>
    <w:rsid w:val="6DE02FB4"/>
    <w:rsid w:val="6DFD1143"/>
    <w:rsid w:val="6DFE2C7D"/>
    <w:rsid w:val="6E2D75D4"/>
    <w:rsid w:val="6E417241"/>
    <w:rsid w:val="6E514CED"/>
    <w:rsid w:val="6EB563D5"/>
    <w:rsid w:val="6ECB2E51"/>
    <w:rsid w:val="6ED92677"/>
    <w:rsid w:val="6EE16BAE"/>
    <w:rsid w:val="6EE46520"/>
    <w:rsid w:val="6F0C12D0"/>
    <w:rsid w:val="6F225983"/>
    <w:rsid w:val="6F61547B"/>
    <w:rsid w:val="6F905C6C"/>
    <w:rsid w:val="6FD44FB2"/>
    <w:rsid w:val="6FFC5590"/>
    <w:rsid w:val="70286C28"/>
    <w:rsid w:val="7062169C"/>
    <w:rsid w:val="706D1DD0"/>
    <w:rsid w:val="70856B87"/>
    <w:rsid w:val="708877C6"/>
    <w:rsid w:val="70A02F9C"/>
    <w:rsid w:val="70D527EE"/>
    <w:rsid w:val="715B5300"/>
    <w:rsid w:val="715D6DAE"/>
    <w:rsid w:val="718321F1"/>
    <w:rsid w:val="71887723"/>
    <w:rsid w:val="71894C57"/>
    <w:rsid w:val="71970E20"/>
    <w:rsid w:val="71AB4FCA"/>
    <w:rsid w:val="71BE12FE"/>
    <w:rsid w:val="71D27F8A"/>
    <w:rsid w:val="71F64825"/>
    <w:rsid w:val="722933A4"/>
    <w:rsid w:val="72553024"/>
    <w:rsid w:val="73122968"/>
    <w:rsid w:val="731F5D5E"/>
    <w:rsid w:val="739060B6"/>
    <w:rsid w:val="73C51AD5"/>
    <w:rsid w:val="73E31049"/>
    <w:rsid w:val="741E793C"/>
    <w:rsid w:val="745E3944"/>
    <w:rsid w:val="747068F0"/>
    <w:rsid w:val="749F4563"/>
    <w:rsid w:val="74EC7B05"/>
    <w:rsid w:val="75224C2B"/>
    <w:rsid w:val="7547404A"/>
    <w:rsid w:val="75717307"/>
    <w:rsid w:val="75742E81"/>
    <w:rsid w:val="762C2E6C"/>
    <w:rsid w:val="7635099D"/>
    <w:rsid w:val="76744941"/>
    <w:rsid w:val="774C3DD9"/>
    <w:rsid w:val="77762421"/>
    <w:rsid w:val="77B56B1F"/>
    <w:rsid w:val="780F09F4"/>
    <w:rsid w:val="782C1414"/>
    <w:rsid w:val="782F1C3A"/>
    <w:rsid w:val="78312E78"/>
    <w:rsid w:val="784B025E"/>
    <w:rsid w:val="78784872"/>
    <w:rsid w:val="78A90480"/>
    <w:rsid w:val="79774C5D"/>
    <w:rsid w:val="79A01642"/>
    <w:rsid w:val="7A364017"/>
    <w:rsid w:val="7A8265E1"/>
    <w:rsid w:val="7AB33B80"/>
    <w:rsid w:val="7AB574C6"/>
    <w:rsid w:val="7AC23AA3"/>
    <w:rsid w:val="7AE9039C"/>
    <w:rsid w:val="7AF16361"/>
    <w:rsid w:val="7B637D6C"/>
    <w:rsid w:val="7B686D42"/>
    <w:rsid w:val="7B841746"/>
    <w:rsid w:val="7BD92668"/>
    <w:rsid w:val="7BF914BE"/>
    <w:rsid w:val="7C581BA1"/>
    <w:rsid w:val="7C6C5AC7"/>
    <w:rsid w:val="7CA92DCF"/>
    <w:rsid w:val="7CC6544B"/>
    <w:rsid w:val="7CE531B3"/>
    <w:rsid w:val="7D0217F7"/>
    <w:rsid w:val="7D0239FF"/>
    <w:rsid w:val="7D17657C"/>
    <w:rsid w:val="7D5D727D"/>
    <w:rsid w:val="7D5E40CD"/>
    <w:rsid w:val="7DA5178F"/>
    <w:rsid w:val="7DB459AE"/>
    <w:rsid w:val="7DCD2B6E"/>
    <w:rsid w:val="7DCD56F2"/>
    <w:rsid w:val="7E0437B0"/>
    <w:rsid w:val="7E472807"/>
    <w:rsid w:val="7E5F5F40"/>
    <w:rsid w:val="7EB56D0D"/>
    <w:rsid w:val="7EED1D12"/>
    <w:rsid w:val="7EF2518C"/>
    <w:rsid w:val="7F001CE7"/>
    <w:rsid w:val="7FB71A5B"/>
    <w:rsid w:val="7FE47E50"/>
    <w:rsid w:val="7FE845BD"/>
    <w:rsid w:val="7FF2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qFormat/>
    <w:locked/>
    <w:uiPriority w:val="9"/>
    <w:pPr>
      <w:keepNext/>
      <w:keepLines/>
      <w:spacing w:before="260" w:after="260" w:line="416" w:lineRule="auto"/>
      <w:outlineLvl w:val="2"/>
    </w:pPr>
    <w:rPr>
      <w:b/>
      <w:bCs/>
      <w:sz w:val="32"/>
      <w:szCs w:val="32"/>
    </w:rPr>
  </w:style>
  <w:style w:type="paragraph" w:styleId="6">
    <w:name w:val="heading 4"/>
    <w:basedOn w:val="1"/>
    <w:next w:val="1"/>
    <w:link w:val="31"/>
    <w:qFormat/>
    <w:locked/>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locked/>
    <w:uiPriority w:val="0"/>
    <w:pPr>
      <w:ind w:firstLine="420"/>
    </w:pPr>
    <w:rPr>
      <w:kern w:val="0"/>
      <w:sz w:val="20"/>
      <w:szCs w:val="20"/>
    </w:rPr>
  </w:style>
  <w:style w:type="paragraph" w:styleId="3">
    <w:name w:val="toc 1"/>
    <w:basedOn w:val="1"/>
    <w:next w:val="1"/>
    <w:qFormat/>
    <w:locked/>
    <w:uiPriority w:val="0"/>
    <w:pPr>
      <w:adjustRightInd w:val="0"/>
      <w:snapToGrid w:val="0"/>
      <w:spacing w:line="280" w:lineRule="exact"/>
      <w:jc w:val="center"/>
    </w:pPr>
    <w:rPr>
      <w:sz w:val="24"/>
      <w:szCs w:val="20"/>
    </w:rPr>
  </w:style>
  <w:style w:type="paragraph" w:styleId="7">
    <w:name w:val="annotation text"/>
    <w:basedOn w:val="1"/>
    <w:link w:val="32"/>
    <w:semiHidden/>
    <w:qFormat/>
    <w:uiPriority w:val="0"/>
    <w:pPr>
      <w:jc w:val="left"/>
    </w:pPr>
    <w:rPr>
      <w:kern w:val="0"/>
      <w:sz w:val="24"/>
      <w:szCs w:val="20"/>
    </w:rPr>
  </w:style>
  <w:style w:type="paragraph" w:styleId="8">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9">
    <w:name w:val="Body Text Indent"/>
    <w:basedOn w:val="1"/>
    <w:next w:val="10"/>
    <w:link w:val="33"/>
    <w:qFormat/>
    <w:uiPriority w:val="0"/>
    <w:pPr>
      <w:spacing w:after="120"/>
      <w:ind w:left="420" w:leftChars="200"/>
    </w:pPr>
    <w:rPr>
      <w:kern w:val="0"/>
      <w:sz w:val="24"/>
      <w:szCs w:val="20"/>
    </w:rPr>
  </w:style>
  <w:style w:type="paragraph" w:styleId="10">
    <w:name w:val="header"/>
    <w:basedOn w:val="1"/>
    <w:next w:val="11"/>
    <w:link w:val="34"/>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1">
    <w:name w:val="样式5"/>
    <w:basedOn w:val="12"/>
    <w:qFormat/>
    <w:uiPriority w:val="0"/>
    <w:pPr>
      <w:keepNext/>
      <w:spacing w:line="240" w:lineRule="auto"/>
      <w:jc w:val="left"/>
      <w:outlineLvl w:val="0"/>
    </w:pPr>
    <w:rPr>
      <w:rFonts w:ascii="黑体" w:hAnsi="黑体"/>
      <w:spacing w:val="5"/>
      <w:sz w:val="25"/>
      <w:szCs w:val="25"/>
    </w:rPr>
  </w:style>
  <w:style w:type="paragraph" w:customStyle="1" w:styleId="12">
    <w:name w:val="正文1"/>
    <w:basedOn w:val="1"/>
    <w:qFormat/>
    <w:uiPriority w:val="0"/>
    <w:pPr>
      <w:adjustRightInd w:val="0"/>
    </w:pPr>
    <w:rPr>
      <w:rFonts w:eastAsia="楷体_GB2312"/>
      <w:sz w:val="24"/>
    </w:rPr>
  </w:style>
  <w:style w:type="paragraph" w:styleId="13">
    <w:name w:val="Block Text"/>
    <w:basedOn w:val="1"/>
    <w:next w:val="1"/>
    <w:qFormat/>
    <w:locked/>
    <w:uiPriority w:val="0"/>
    <w:pPr>
      <w:ind w:left="113" w:right="113" w:firstLine="595"/>
      <w:jc w:val="left"/>
    </w:pPr>
    <w:rPr>
      <w:sz w:val="28"/>
    </w:rPr>
  </w:style>
  <w:style w:type="paragraph" w:styleId="14">
    <w:name w:val="Plain Text"/>
    <w:basedOn w:val="1"/>
    <w:qFormat/>
    <w:locked/>
    <w:uiPriority w:val="0"/>
    <w:pPr>
      <w:adjustRightInd w:val="0"/>
      <w:spacing w:line="312" w:lineRule="atLeast"/>
    </w:pPr>
    <w:rPr>
      <w:rFonts w:ascii="宋体" w:hAnsi="Courier New"/>
      <w:kern w:val="0"/>
      <w:szCs w:val="20"/>
    </w:rPr>
  </w:style>
  <w:style w:type="paragraph" w:styleId="15">
    <w:name w:val="Date"/>
    <w:basedOn w:val="1"/>
    <w:next w:val="1"/>
    <w:link w:val="35"/>
    <w:qFormat/>
    <w:uiPriority w:val="0"/>
    <w:pPr>
      <w:ind w:left="100" w:leftChars="2500"/>
    </w:pPr>
    <w:rPr>
      <w:kern w:val="0"/>
      <w:sz w:val="24"/>
      <w:szCs w:val="20"/>
    </w:rPr>
  </w:style>
  <w:style w:type="paragraph" w:styleId="16">
    <w:name w:val="Balloon Text"/>
    <w:basedOn w:val="1"/>
    <w:link w:val="36"/>
    <w:semiHidden/>
    <w:qFormat/>
    <w:uiPriority w:val="0"/>
    <w:rPr>
      <w:kern w:val="0"/>
      <w:sz w:val="18"/>
      <w:szCs w:val="20"/>
    </w:rPr>
  </w:style>
  <w:style w:type="paragraph" w:styleId="17">
    <w:name w:val="footer"/>
    <w:basedOn w:val="1"/>
    <w:link w:val="37"/>
    <w:qFormat/>
    <w:uiPriority w:val="99"/>
    <w:pPr>
      <w:tabs>
        <w:tab w:val="center" w:pos="4153"/>
        <w:tab w:val="right" w:pos="8306"/>
      </w:tabs>
      <w:snapToGrid w:val="0"/>
      <w:jc w:val="left"/>
    </w:pPr>
    <w:rPr>
      <w:kern w:val="0"/>
      <w:sz w:val="18"/>
      <w:szCs w:val="20"/>
    </w:rPr>
  </w:style>
  <w:style w:type="paragraph" w:styleId="18">
    <w:name w:val="toc 2"/>
    <w:basedOn w:val="1"/>
    <w:next w:val="1"/>
    <w:qFormat/>
    <w:locked/>
    <w:uiPriority w:val="0"/>
    <w:pPr>
      <w:ind w:left="420" w:leftChars="200"/>
    </w:pPr>
  </w:style>
  <w:style w:type="paragraph" w:styleId="19">
    <w:name w:val="Normal (Web)"/>
    <w:basedOn w:val="1"/>
    <w:link w:val="38"/>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7"/>
    <w:next w:val="7"/>
    <w:link w:val="39"/>
    <w:semiHidden/>
    <w:qFormat/>
    <w:uiPriority w:val="0"/>
    <w:rPr>
      <w:b/>
    </w:rPr>
  </w:style>
  <w:style w:type="paragraph" w:styleId="21">
    <w:name w:val="Body Text First Indent"/>
    <w:basedOn w:val="8"/>
    <w:qFormat/>
    <w:locked/>
    <w:uiPriority w:val="0"/>
    <w:pPr>
      <w:widowControl w:val="0"/>
      <w:snapToGrid/>
      <w:spacing w:before="0" w:after="120" w:line="240" w:lineRule="auto"/>
      <w:ind w:right="0" w:firstLine="420" w:firstLineChars="100"/>
    </w:pPr>
    <w:rPr>
      <w:kern w:val="2"/>
      <w:sz w:val="21"/>
      <w:szCs w:val="24"/>
    </w:rPr>
  </w:style>
  <w:style w:type="paragraph" w:styleId="22">
    <w:name w:val="Body Text First Indent 2"/>
    <w:basedOn w:val="9"/>
    <w:next w:val="23"/>
    <w:qFormat/>
    <w:locked/>
    <w:uiPriority w:val="0"/>
    <w:pPr>
      <w:ind w:firstLine="420" w:firstLineChars="200"/>
    </w:pPr>
    <w:rPr>
      <w:kern w:val="2"/>
      <w:sz w:val="21"/>
      <w:szCs w:val="24"/>
    </w:rPr>
  </w:style>
  <w:style w:type="paragraph" w:customStyle="1" w:styleId="23">
    <w:name w:val="Default"/>
    <w:qFormat/>
    <w:uiPriority w:val="99"/>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locked/>
    <w:uiPriority w:val="0"/>
  </w:style>
  <w:style w:type="character" w:styleId="28">
    <w:name w:val="Hyperlink"/>
    <w:basedOn w:val="26"/>
    <w:qFormat/>
    <w:locked/>
    <w:uiPriority w:val="0"/>
    <w:rPr>
      <w:color w:val="0000FF"/>
      <w:u w:val="single"/>
    </w:rPr>
  </w:style>
  <w:style w:type="character" w:styleId="29">
    <w:name w:val="annotation reference"/>
    <w:semiHidden/>
    <w:qFormat/>
    <w:uiPriority w:val="0"/>
    <w:rPr>
      <w:sz w:val="21"/>
    </w:rPr>
  </w:style>
  <w:style w:type="character" w:customStyle="1" w:styleId="30">
    <w:name w:val="正文文本 Char"/>
    <w:link w:val="8"/>
    <w:qFormat/>
    <w:locked/>
    <w:uiPriority w:val="0"/>
    <w:rPr>
      <w:sz w:val="18"/>
    </w:rPr>
  </w:style>
  <w:style w:type="character" w:customStyle="1" w:styleId="31">
    <w:name w:val="标题 4 Char"/>
    <w:link w:val="6"/>
    <w:qFormat/>
    <w:uiPriority w:val="0"/>
    <w:rPr>
      <w:rFonts w:ascii="Arial" w:hAnsi="Arial" w:eastAsia="黑体"/>
      <w:b/>
      <w:sz w:val="28"/>
    </w:rPr>
  </w:style>
  <w:style w:type="character" w:customStyle="1" w:styleId="32">
    <w:name w:val="批注文字 Char"/>
    <w:link w:val="7"/>
    <w:qFormat/>
    <w:locked/>
    <w:uiPriority w:val="0"/>
    <w:rPr>
      <w:rFonts w:ascii="Times New Roman" w:hAnsi="Times New Roman" w:eastAsia="宋体"/>
      <w:sz w:val="24"/>
    </w:rPr>
  </w:style>
  <w:style w:type="character" w:customStyle="1" w:styleId="33">
    <w:name w:val="正文文本缩进 Char"/>
    <w:link w:val="9"/>
    <w:semiHidden/>
    <w:qFormat/>
    <w:locked/>
    <w:uiPriority w:val="0"/>
    <w:rPr>
      <w:rFonts w:ascii="Times New Roman" w:hAnsi="Times New Roman" w:eastAsia="宋体"/>
      <w:sz w:val="24"/>
    </w:rPr>
  </w:style>
  <w:style w:type="character" w:customStyle="1" w:styleId="34">
    <w:name w:val="页眉 Char"/>
    <w:link w:val="10"/>
    <w:qFormat/>
    <w:locked/>
    <w:uiPriority w:val="0"/>
    <w:rPr>
      <w:sz w:val="18"/>
    </w:rPr>
  </w:style>
  <w:style w:type="character" w:customStyle="1" w:styleId="35">
    <w:name w:val="日期 Char"/>
    <w:link w:val="15"/>
    <w:qFormat/>
    <w:locked/>
    <w:uiPriority w:val="0"/>
    <w:rPr>
      <w:rFonts w:ascii="Times New Roman" w:hAnsi="Times New Roman" w:eastAsia="宋体"/>
      <w:sz w:val="24"/>
    </w:rPr>
  </w:style>
  <w:style w:type="character" w:customStyle="1" w:styleId="36">
    <w:name w:val="批注框文本 Char"/>
    <w:link w:val="16"/>
    <w:semiHidden/>
    <w:qFormat/>
    <w:locked/>
    <w:uiPriority w:val="0"/>
    <w:rPr>
      <w:rFonts w:ascii="Times New Roman" w:hAnsi="Times New Roman" w:eastAsia="宋体"/>
      <w:sz w:val="18"/>
    </w:rPr>
  </w:style>
  <w:style w:type="character" w:customStyle="1" w:styleId="37">
    <w:name w:val="页脚 Char"/>
    <w:link w:val="17"/>
    <w:qFormat/>
    <w:locked/>
    <w:uiPriority w:val="99"/>
    <w:rPr>
      <w:sz w:val="18"/>
    </w:rPr>
  </w:style>
  <w:style w:type="character" w:customStyle="1" w:styleId="38">
    <w:name w:val="普通(网站) Char"/>
    <w:link w:val="19"/>
    <w:qFormat/>
    <w:locked/>
    <w:uiPriority w:val="0"/>
    <w:rPr>
      <w:rFonts w:ascii="宋体" w:hAnsi="宋体" w:eastAsia="宋体"/>
      <w:sz w:val="24"/>
    </w:rPr>
  </w:style>
  <w:style w:type="character" w:customStyle="1" w:styleId="39">
    <w:name w:val="批注主题 Char"/>
    <w:link w:val="20"/>
    <w:semiHidden/>
    <w:qFormat/>
    <w:locked/>
    <w:uiPriority w:val="0"/>
    <w:rPr>
      <w:rFonts w:ascii="Times New Roman" w:hAnsi="Times New Roman" w:eastAsia="宋体"/>
      <w:b/>
      <w:kern w:val="2"/>
      <w:sz w:val="24"/>
    </w:rPr>
  </w:style>
  <w:style w:type="character" w:customStyle="1" w:styleId="40">
    <w:name w:val="页脚 字符"/>
    <w:qFormat/>
    <w:uiPriority w:val="99"/>
  </w:style>
  <w:style w:type="character" w:customStyle="1" w:styleId="41">
    <w:name w:val="正文文本 字符1"/>
    <w:semiHidden/>
    <w:qFormat/>
    <w:uiPriority w:val="0"/>
    <w:rPr>
      <w:rFonts w:ascii="Times New Roman" w:hAnsi="Times New Roman" w:eastAsia="宋体"/>
      <w:sz w:val="24"/>
    </w:rPr>
  </w:style>
  <w:style w:type="character" w:customStyle="1" w:styleId="42">
    <w:name w:val="表格 Char"/>
    <w:link w:val="43"/>
    <w:qFormat/>
    <w:locked/>
    <w:uiPriority w:val="0"/>
    <w:rPr>
      <w:rFonts w:ascii="宋体"/>
      <w:sz w:val="21"/>
    </w:rPr>
  </w:style>
  <w:style w:type="paragraph" w:customStyle="1" w:styleId="43">
    <w:name w:val="表格"/>
    <w:basedOn w:val="1"/>
    <w:next w:val="1"/>
    <w:link w:val="42"/>
    <w:qFormat/>
    <w:uiPriority w:val="0"/>
    <w:pPr>
      <w:adjustRightInd w:val="0"/>
      <w:snapToGrid w:val="0"/>
      <w:spacing w:beforeLines="10" w:afterLines="10" w:line="259" w:lineRule="auto"/>
      <w:jc w:val="center"/>
    </w:pPr>
    <w:rPr>
      <w:rFonts w:ascii="宋体"/>
      <w:kern w:val="0"/>
      <w:szCs w:val="20"/>
    </w:rPr>
  </w:style>
  <w:style w:type="character" w:customStyle="1" w:styleId="44">
    <w:name w:val="日期 字符"/>
    <w:semiHidden/>
    <w:qFormat/>
    <w:uiPriority w:val="0"/>
    <w:rPr>
      <w:rFonts w:ascii="Times New Roman" w:hAnsi="Times New Roman" w:eastAsia="宋体"/>
      <w:sz w:val="24"/>
    </w:rPr>
  </w:style>
  <w:style w:type="character" w:customStyle="1" w:styleId="45">
    <w:name w:val="批注文字 字符1"/>
    <w:semiHidden/>
    <w:qFormat/>
    <w:uiPriority w:val="0"/>
    <w:rPr>
      <w:rFonts w:ascii="Times New Roman" w:hAnsi="Times New Roman" w:eastAsia="宋体"/>
      <w:sz w:val="24"/>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8">
    <w:name w:val="表格正文"/>
    <w:basedOn w:val="1"/>
    <w:qFormat/>
    <w:uiPriority w:val="0"/>
    <w:pPr>
      <w:spacing w:line="240" w:lineRule="exact"/>
      <w:jc w:val="center"/>
    </w:pPr>
    <w:rPr>
      <w:rFonts w:hAnsi="宋体"/>
    </w:rPr>
  </w:style>
  <w:style w:type="paragraph" w:customStyle="1" w:styleId="49">
    <w:name w:val="表"/>
    <w:basedOn w:val="1"/>
    <w:qFormat/>
    <w:uiPriority w:val="0"/>
    <w:pPr>
      <w:keepNext/>
      <w:keepLines/>
      <w:autoSpaceDE w:val="0"/>
      <w:autoSpaceDN w:val="0"/>
      <w:adjustRightInd w:val="0"/>
      <w:spacing w:line="240" w:lineRule="exact"/>
      <w:jc w:val="center"/>
    </w:pPr>
    <w:rPr>
      <w:rFonts w:ascii="宋体" w:hAnsi="宋体" w:cs="宋体"/>
      <w:kern w:val="21"/>
      <w:szCs w:val="21"/>
    </w:rPr>
  </w:style>
  <w:style w:type="character" w:customStyle="1" w:styleId="50">
    <w:name w:val="fontstyle11"/>
    <w:qFormat/>
    <w:uiPriority w:val="0"/>
    <w:rPr>
      <w:rFonts w:ascii="TimesNewRomanPSMT" w:hAnsi="TimesNewRomanPSMT" w:eastAsia="TimesNewRomanPSMT" w:cs="TimesNewRomanPSMT"/>
      <w:color w:val="000000"/>
      <w:sz w:val="24"/>
      <w:szCs w:val="24"/>
    </w:rPr>
  </w:style>
  <w:style w:type="paragraph" w:customStyle="1" w:styleId="51">
    <w:name w:val="我的标题3"/>
    <w:basedOn w:val="5"/>
    <w:qFormat/>
    <w:uiPriority w:val="0"/>
    <w:pPr>
      <w:numPr>
        <w:ilvl w:val="0"/>
        <w:numId w:val="1"/>
      </w:numPr>
      <w:spacing w:before="0" w:after="0" w:line="360" w:lineRule="auto"/>
    </w:pPr>
    <w:rPr>
      <w:rFonts w:eastAsia="黑体"/>
      <w:color w:val="000000"/>
      <w:sz w:val="24"/>
      <w:szCs w:val="24"/>
      <w:lang w:val="zh-CN"/>
    </w:rPr>
  </w:style>
  <w:style w:type="paragraph" w:customStyle="1" w:styleId="52">
    <w:name w:val="Table Paragraph"/>
    <w:basedOn w:val="1"/>
    <w:qFormat/>
    <w:uiPriority w:val="1"/>
    <w:rPr>
      <w:rFonts w:ascii="宋体" w:hAnsi="宋体" w:cs="宋体"/>
      <w:lang w:val="zh-CN" w:bidi="zh-CN"/>
    </w:rPr>
  </w:style>
  <w:style w:type="paragraph" w:customStyle="1" w:styleId="53">
    <w:name w:val="样式 样式 样式 四号 左侧:  1.53 厘米 + 首行缩进:  2 字符 + 居中 左侧:  2 字符 首行缩进:  2..."/>
    <w:basedOn w:val="54"/>
    <w:qFormat/>
    <w:uiPriority w:val="0"/>
    <w:pPr>
      <w:jc w:val="center"/>
    </w:pPr>
  </w:style>
  <w:style w:type="paragraph" w:customStyle="1" w:styleId="54">
    <w:name w:val="样式 样式 四号 左侧:  1.53 厘米 + 首行缩进:  2 字符"/>
    <w:basedOn w:val="55"/>
    <w:qFormat/>
    <w:uiPriority w:val="0"/>
    <w:pPr>
      <w:ind w:left="200" w:leftChars="200"/>
    </w:pPr>
    <w:rPr>
      <w:szCs w:val="20"/>
    </w:rPr>
  </w:style>
  <w:style w:type="paragraph" w:customStyle="1" w:styleId="55">
    <w:name w:val="样式 四号 左侧:  1.53 厘米"/>
    <w:basedOn w:val="1"/>
    <w:qFormat/>
    <w:uiPriority w:val="0"/>
    <w:pPr>
      <w:adjustRightInd w:val="0"/>
    </w:pPr>
    <w:rPr>
      <w:w w:val="90"/>
      <w:sz w:val="28"/>
      <w:szCs w:val="28"/>
    </w:rPr>
  </w:style>
  <w:style w:type="paragraph" w:customStyle="1" w:styleId="56">
    <w:name w:val="兰天新建，正文字体，蓝色"/>
    <w:basedOn w:val="1"/>
    <w:qFormat/>
    <w:uiPriority w:val="0"/>
    <w:pPr>
      <w:spacing w:line="500" w:lineRule="exact"/>
      <w:ind w:firstLine="200" w:firstLineChars="200"/>
    </w:pPr>
    <w:rPr>
      <w:color w:val="0070C0"/>
      <w:sz w:val="24"/>
    </w:rPr>
  </w:style>
  <w:style w:type="paragraph" w:customStyle="1" w:styleId="57">
    <w:name w:val="aaa正文"/>
    <w:basedOn w:val="1"/>
    <w:qFormat/>
    <w:uiPriority w:val="0"/>
    <w:pPr>
      <w:spacing w:line="480" w:lineRule="exact"/>
      <w:ind w:firstLine="200" w:firstLineChars="200"/>
    </w:pPr>
    <w:rPr>
      <w:kern w:val="0"/>
      <w:sz w:val="24"/>
    </w:rPr>
  </w:style>
  <w:style w:type="paragraph" w:customStyle="1" w:styleId="58">
    <w:name w:val="正文正"/>
    <w:basedOn w:val="1"/>
    <w:qFormat/>
    <w:uiPriority w:val="0"/>
    <w:pPr>
      <w:ind w:firstLine="560" w:firstLineChars="200"/>
    </w:pPr>
    <w:rPr>
      <w:sz w:val="28"/>
    </w:rPr>
  </w:style>
  <w:style w:type="table" w:customStyle="1" w:styleId="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png"/><Relationship Id="rId17" Type="http://schemas.openxmlformats.org/officeDocument/2006/relationships/hyperlink" Target="http://www.biaozhi.net/eNews/news/200602/0029_0000000909.shtml" TargetMode="External"/><Relationship Id="rId16" Type="http://schemas.openxmlformats.org/officeDocument/2006/relationships/image" Target="media/image5.png"/><Relationship Id="rId15" Type="http://schemas.openxmlformats.org/officeDocument/2006/relationships/hyperlink" Target="http://www.biaozhi.net/eNews/news/200602/0029_0000000907.shtml" TargetMode="Externa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43</Pages>
  <Words>4285</Words>
  <Characters>24427</Characters>
  <Lines>203</Lines>
  <Paragraphs>57</Paragraphs>
  <TotalTime>2</TotalTime>
  <ScaleCrop>false</ScaleCrop>
  <LinksUpToDate>false</LinksUpToDate>
  <CharactersWithSpaces>28655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2021-10-15T07:27:00Z</dcterms:created>
  <dc:creator>lhj</dc:creator>
  <cp:lastModifiedBy>刘倩倩</cp:lastModifiedBy>
  <cp:lastPrinted>2021-07-01T09:17:00Z</cp:lastPrinted>
  <dcterms:modified xsi:type="dcterms:W3CDTF">2021-10-21T02:59:59Z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7B3CB931377F47EB84DF2FE09B2F4024</vt:lpwstr>
  </property>
</Properties>
</file>