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D077C">
      <w:pPr>
        <w:pStyle w:val="12"/>
        <w:rPr>
          <w:rFonts w:ascii="Times New Roman" w:hAnsi="Times New Roman" w:cs="Times New Roman"/>
          <w:color w:val="auto"/>
          <w:sz w:val="20"/>
        </w:rPr>
      </w:pPr>
    </w:p>
    <w:p w14:paraId="1124FDC9">
      <w:pPr>
        <w:pStyle w:val="12"/>
        <w:rPr>
          <w:rFonts w:ascii="Times New Roman" w:hAnsi="Times New Roman" w:cs="Times New Roman"/>
          <w:color w:val="auto"/>
          <w:sz w:val="20"/>
        </w:rPr>
      </w:pPr>
    </w:p>
    <w:p w14:paraId="5328C469">
      <w:pPr>
        <w:pStyle w:val="12"/>
        <w:rPr>
          <w:rFonts w:ascii="Times New Roman" w:hAnsi="Times New Roman" w:cs="Times New Roman"/>
          <w:color w:val="auto"/>
          <w:sz w:val="20"/>
        </w:rPr>
      </w:pPr>
    </w:p>
    <w:p w14:paraId="5E03D96B">
      <w:pPr>
        <w:pStyle w:val="12"/>
        <w:spacing w:before="2"/>
        <w:rPr>
          <w:rFonts w:ascii="Times New Roman" w:hAnsi="Times New Roman" w:cs="Times New Roman"/>
          <w:color w:val="auto"/>
          <w:sz w:val="21"/>
        </w:rPr>
      </w:pPr>
    </w:p>
    <w:p w14:paraId="54B8BF94">
      <w:pPr>
        <w:rPr>
          <w:rFonts w:ascii="Times New Roman" w:hAnsi="Times New Roman" w:eastAsia="仿宋_GB2312" w:cs="Times New Roman"/>
          <w:color w:val="auto"/>
          <w:sz w:val="36"/>
          <w:szCs w:val="36"/>
        </w:rPr>
      </w:pPr>
    </w:p>
    <w:p w14:paraId="4E9A6536">
      <w:pPr>
        <w:adjustRightInd w:val="0"/>
        <w:snapToGrid w:val="0"/>
        <w:spacing w:before="120" w:beforeLines="50"/>
        <w:jc w:val="center"/>
        <w:outlineLvl w:val="0"/>
        <w:rPr>
          <w:rFonts w:ascii="Times New Roman" w:hAnsi="Times New Roman" w:eastAsia="方正小标宋_GBK" w:cs="Times New Roman"/>
          <w:bCs/>
          <w:color w:val="auto"/>
          <w:sz w:val="72"/>
          <w:szCs w:val="72"/>
        </w:rPr>
      </w:pPr>
      <w:r>
        <w:rPr>
          <w:rFonts w:ascii="Times New Roman" w:hAnsi="Times New Roman" w:eastAsia="方正小标宋_GBK" w:cs="Times New Roman"/>
          <w:bCs/>
          <w:color w:val="auto"/>
          <w:sz w:val="72"/>
          <w:szCs w:val="72"/>
        </w:rPr>
        <w:t>建设项目环境影响报告表</w:t>
      </w:r>
    </w:p>
    <w:p w14:paraId="1429974B">
      <w:pPr>
        <w:adjustRightInd w:val="0"/>
        <w:snapToGrid w:val="0"/>
        <w:spacing w:before="192" w:beforeLines="80"/>
        <w:jc w:val="center"/>
        <w:rPr>
          <w:rFonts w:ascii="Times New Roman" w:hAnsi="Times New Roman" w:eastAsia="楷体_GB2312" w:cs="Times New Roman"/>
          <w:bCs/>
          <w:color w:val="auto"/>
          <w:sz w:val="48"/>
          <w:szCs w:val="48"/>
          <w:lang w:val="en-US"/>
        </w:rPr>
      </w:pPr>
      <w:r>
        <w:rPr>
          <w:rFonts w:ascii="Times New Roman" w:hAnsi="Times New Roman" w:eastAsia="楷体_GB2312" w:cs="Times New Roman"/>
          <w:bCs/>
          <w:color w:val="auto"/>
          <w:sz w:val="48"/>
          <w:szCs w:val="48"/>
        </w:rPr>
        <w:t>（污染影响类）</w:t>
      </w:r>
    </w:p>
    <w:p w14:paraId="1A9DE773">
      <w:pPr>
        <w:jc w:val="center"/>
        <w:rPr>
          <w:rFonts w:ascii="Times New Roman" w:hAnsi="Times New Roman" w:eastAsia="仿宋" w:cs="Times New Roman"/>
          <w:color w:val="auto"/>
          <w:sz w:val="52"/>
          <w:szCs w:val="52"/>
        </w:rPr>
      </w:pPr>
    </w:p>
    <w:p w14:paraId="36C4DA07">
      <w:pPr>
        <w:ind w:firstLine="1040"/>
        <w:rPr>
          <w:rFonts w:ascii="Times New Roman" w:hAnsi="Times New Roman" w:eastAsia="仿宋" w:cs="Times New Roman"/>
          <w:color w:val="auto"/>
          <w:sz w:val="44"/>
          <w:szCs w:val="44"/>
        </w:rPr>
      </w:pPr>
    </w:p>
    <w:p w14:paraId="38ED21AD">
      <w:pPr>
        <w:pStyle w:val="18"/>
        <w:rPr>
          <w:color w:val="auto"/>
        </w:rPr>
      </w:pPr>
    </w:p>
    <w:p w14:paraId="7C31A93C">
      <w:pPr>
        <w:ind w:firstLine="1040"/>
        <w:rPr>
          <w:rFonts w:ascii="Times New Roman" w:hAnsi="Times New Roman" w:eastAsia="仿宋" w:cs="Times New Roman"/>
          <w:color w:val="auto"/>
          <w:sz w:val="44"/>
          <w:szCs w:val="44"/>
        </w:rPr>
      </w:pPr>
    </w:p>
    <w:p w14:paraId="18365644">
      <w:pPr>
        <w:ind w:firstLine="1040"/>
        <w:rPr>
          <w:rFonts w:ascii="Times New Roman" w:hAnsi="Times New Roman" w:eastAsia="仿宋" w:cs="Times New Roman"/>
          <w:color w:val="auto"/>
          <w:sz w:val="44"/>
          <w:szCs w:val="44"/>
        </w:rPr>
      </w:pPr>
    </w:p>
    <w:p w14:paraId="77981EBB">
      <w:pPr>
        <w:ind w:firstLine="1040"/>
        <w:rPr>
          <w:rFonts w:ascii="Times New Roman" w:hAnsi="Times New Roman" w:eastAsia="仿宋" w:cs="Times New Roman"/>
          <w:color w:val="auto"/>
          <w:sz w:val="44"/>
          <w:szCs w:val="44"/>
        </w:rPr>
      </w:pPr>
    </w:p>
    <w:p w14:paraId="21DFD655">
      <w:pPr>
        <w:adjustRightInd w:val="0"/>
        <w:snapToGrid w:val="0"/>
        <w:spacing w:line="288" w:lineRule="auto"/>
        <w:ind w:firstLine="1040"/>
        <w:rPr>
          <w:rFonts w:ascii="Times New Roman" w:hAnsi="Times New Roman" w:eastAsia="仿宋_GB2312" w:cs="Times New Roman"/>
          <w:color w:val="auto"/>
          <w:sz w:val="36"/>
          <w:szCs w:val="36"/>
        </w:rPr>
      </w:pPr>
    </w:p>
    <w:p w14:paraId="232E5206">
      <w:pPr>
        <w:adjustRightInd w:val="0"/>
        <w:snapToGrid w:val="0"/>
        <w:spacing w:line="288" w:lineRule="auto"/>
        <w:ind w:firstLine="1040"/>
        <w:rPr>
          <w:rFonts w:ascii="Times New Roman" w:hAnsi="Times New Roman" w:eastAsia="仿宋_GB2312" w:cs="Times New Roman"/>
          <w:color w:val="auto"/>
          <w:sz w:val="36"/>
          <w:szCs w:val="36"/>
        </w:rPr>
      </w:pPr>
    </w:p>
    <w:p w14:paraId="430D6D2C">
      <w:pPr>
        <w:adjustRightInd w:val="0"/>
        <w:snapToGrid w:val="0"/>
        <w:spacing w:line="288" w:lineRule="auto"/>
        <w:ind w:left="2514" w:leftChars="300" w:right="669" w:rightChars="304" w:hanging="1854" w:hangingChars="515"/>
        <w:rPr>
          <w:rFonts w:ascii="Times New Roman" w:hAnsi="Times New Roman" w:eastAsia="仿宋_GB2312" w:cs="Times New Roman"/>
          <w:color w:val="auto"/>
          <w:sz w:val="32"/>
          <w:szCs w:val="32"/>
          <w:u w:val="single"/>
          <w:lang w:val="en-US"/>
        </w:rPr>
      </w:pPr>
      <w:r>
        <w:rPr>
          <w:rFonts w:ascii="Times New Roman" w:hAnsi="Times New Roman" w:eastAsia="仿宋_GB2312" w:cs="Times New Roman"/>
          <w:color w:val="auto"/>
          <w:sz w:val="36"/>
          <w:szCs w:val="36"/>
        </w:rPr>
        <w:t>项目名称</w:t>
      </w:r>
      <w:r>
        <w:rPr>
          <w:rFonts w:hint="eastAsia"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u w:val="single"/>
          <w:lang w:val="en-US" w:eastAsia="zh-CN"/>
        </w:rPr>
        <w:t>河北曼捷新型材料科技有限公司建筑美缝材料混合、分装项目</w:t>
      </w:r>
      <w:r>
        <w:rPr>
          <w:rFonts w:hint="eastAsia" w:ascii="Times New Roman" w:hAnsi="Times New Roman" w:eastAsia="仿宋_GB2312" w:cs="Times New Roman"/>
          <w:color w:val="auto"/>
          <w:sz w:val="32"/>
          <w:szCs w:val="32"/>
          <w:u w:val="single"/>
          <w:lang w:val="en-US"/>
        </w:rPr>
        <w:t xml:space="preserve">                           </w:t>
      </w:r>
    </w:p>
    <w:p w14:paraId="75220547">
      <w:pPr>
        <w:adjustRightInd w:val="0"/>
        <w:snapToGrid w:val="0"/>
        <w:spacing w:line="288" w:lineRule="auto"/>
        <w:ind w:left="2514" w:leftChars="300" w:right="669" w:rightChars="304" w:hanging="1854" w:hangingChars="515"/>
        <w:rPr>
          <w:rFonts w:ascii="Times New Roman" w:hAnsi="Times New Roman" w:eastAsia="仿宋_GB2312" w:cs="Times New Roman"/>
          <w:color w:val="auto"/>
          <w:sz w:val="36"/>
          <w:szCs w:val="36"/>
          <w:lang w:val="en-US"/>
        </w:rPr>
      </w:pPr>
      <w:r>
        <w:rPr>
          <w:rFonts w:ascii="Times New Roman" w:hAnsi="Times New Roman" w:eastAsia="仿宋_GB2312" w:cs="Times New Roman"/>
          <w:color w:val="auto"/>
          <w:sz w:val="36"/>
          <w:szCs w:val="36"/>
        </w:rPr>
        <w:t>建设单位（盖章）：</w:t>
      </w:r>
      <w:r>
        <w:rPr>
          <w:rFonts w:hint="eastAsia" w:ascii="Times New Roman" w:hAnsi="Times New Roman" w:eastAsia="仿宋_GB2312" w:cs="Times New Roman"/>
          <w:color w:val="auto"/>
          <w:sz w:val="32"/>
          <w:szCs w:val="32"/>
          <w:u w:val="single"/>
          <w:lang w:val="en-US" w:eastAsia="zh-CN"/>
        </w:rPr>
        <w:t>河北曼捷新型材料科技有限公司</w:t>
      </w:r>
      <w:r>
        <w:rPr>
          <w:rFonts w:hint="eastAsia" w:ascii="Times New Roman" w:hAnsi="Times New Roman" w:eastAsia="仿宋_GB2312" w:cs="Times New Roman"/>
          <w:color w:val="auto"/>
          <w:sz w:val="32"/>
          <w:szCs w:val="32"/>
          <w:u w:val="single"/>
          <w:lang w:val="en-US"/>
        </w:rPr>
        <w:t xml:space="preserve">   </w:t>
      </w:r>
    </w:p>
    <w:p w14:paraId="35315BE5">
      <w:pPr>
        <w:adjustRightInd w:val="0"/>
        <w:snapToGrid w:val="0"/>
        <w:spacing w:line="288" w:lineRule="auto"/>
        <w:ind w:left="2514" w:leftChars="300" w:right="669" w:rightChars="304" w:hanging="1854" w:hangingChars="515"/>
        <w:rPr>
          <w:rFonts w:ascii="Times New Roman" w:hAnsi="Times New Roman" w:eastAsia="仿宋_GB2312" w:cs="Times New Roman"/>
          <w:color w:val="auto"/>
          <w:sz w:val="36"/>
          <w:szCs w:val="36"/>
          <w:u w:val="single"/>
        </w:rPr>
      </w:pPr>
      <w:r>
        <w:rPr>
          <w:rFonts w:ascii="Times New Roman" w:hAnsi="Times New Roman" w:eastAsia="仿宋_GB2312" w:cs="Times New Roman"/>
          <w:color w:val="auto"/>
          <w:sz w:val="36"/>
          <w:szCs w:val="36"/>
        </w:rPr>
        <w:t>编制日期：</w:t>
      </w:r>
      <w:r>
        <w:rPr>
          <w:rFonts w:ascii="Times New Roman" w:hAnsi="Times New Roman" w:eastAsia="仿宋_GB2312" w:cs="Times New Roman"/>
          <w:color w:val="auto"/>
          <w:sz w:val="36"/>
          <w:szCs w:val="36"/>
          <w:u w:val="single"/>
        </w:rPr>
        <w:t xml:space="preserve"> </w:t>
      </w:r>
      <w:r>
        <w:rPr>
          <w:rFonts w:ascii="Times New Roman" w:hAnsi="Times New Roman" w:eastAsia="仿宋_GB2312" w:cs="Times New Roman"/>
          <w:color w:val="auto"/>
          <w:sz w:val="36"/>
          <w:szCs w:val="36"/>
          <w:u w:val="single"/>
          <w:lang w:val="en-US"/>
        </w:rPr>
        <w:t xml:space="preserve">       </w:t>
      </w:r>
      <w:r>
        <w:rPr>
          <w:rFonts w:hint="eastAsia" w:ascii="Times New Roman" w:hAnsi="Times New Roman" w:eastAsia="仿宋_GB2312" w:cs="Times New Roman"/>
          <w:color w:val="auto"/>
          <w:sz w:val="36"/>
          <w:szCs w:val="36"/>
          <w:u w:val="single"/>
          <w:lang w:val="en-US"/>
        </w:rPr>
        <w:t xml:space="preserve">    </w:t>
      </w:r>
      <w:r>
        <w:rPr>
          <w:rFonts w:ascii="Times New Roman" w:hAnsi="Times New Roman" w:eastAsia="仿宋_GB2312" w:cs="Times New Roman"/>
          <w:color w:val="auto"/>
          <w:sz w:val="36"/>
          <w:szCs w:val="36"/>
          <w:u w:val="single"/>
          <w:lang w:val="en-US"/>
        </w:rPr>
        <w:t>202</w:t>
      </w:r>
      <w:r>
        <w:rPr>
          <w:rFonts w:hint="eastAsia" w:ascii="Times New Roman" w:hAnsi="Times New Roman" w:eastAsia="仿宋_GB2312" w:cs="Times New Roman"/>
          <w:color w:val="auto"/>
          <w:sz w:val="36"/>
          <w:szCs w:val="36"/>
          <w:u w:val="single"/>
          <w:lang w:val="en-US" w:eastAsia="zh-CN"/>
        </w:rPr>
        <w:t>5</w:t>
      </w:r>
      <w:r>
        <w:rPr>
          <w:rFonts w:hint="eastAsia" w:ascii="Times New Roman" w:hAnsi="Times New Roman" w:eastAsia="仿宋_GB2312" w:cs="Times New Roman"/>
          <w:color w:val="auto"/>
          <w:sz w:val="36"/>
          <w:szCs w:val="36"/>
          <w:u w:val="single"/>
          <w:lang w:val="en-US"/>
        </w:rPr>
        <w:t xml:space="preserve"> </w:t>
      </w:r>
      <w:r>
        <w:rPr>
          <w:rFonts w:ascii="Times New Roman" w:hAnsi="Times New Roman" w:eastAsia="仿宋_GB2312" w:cs="Times New Roman"/>
          <w:color w:val="auto"/>
          <w:sz w:val="36"/>
          <w:szCs w:val="36"/>
          <w:u w:val="single"/>
          <w:lang w:val="en-US"/>
        </w:rPr>
        <w:t>年</w:t>
      </w:r>
      <w:r>
        <w:rPr>
          <w:rFonts w:hint="eastAsia" w:ascii="Times New Roman" w:hAnsi="Times New Roman" w:eastAsia="仿宋_GB2312" w:cs="Times New Roman"/>
          <w:color w:val="auto"/>
          <w:sz w:val="36"/>
          <w:szCs w:val="36"/>
          <w:u w:val="single"/>
          <w:lang w:val="en-US"/>
        </w:rPr>
        <w:t xml:space="preserve"> </w:t>
      </w:r>
      <w:r>
        <w:rPr>
          <w:rFonts w:hint="eastAsia" w:ascii="Times New Roman" w:hAnsi="Times New Roman" w:eastAsia="仿宋_GB2312" w:cs="Times New Roman"/>
          <w:color w:val="auto"/>
          <w:sz w:val="36"/>
          <w:szCs w:val="36"/>
          <w:u w:val="single"/>
          <w:lang w:val="en-US" w:eastAsia="zh-CN"/>
        </w:rPr>
        <w:t>6</w:t>
      </w:r>
      <w:r>
        <w:rPr>
          <w:rFonts w:hint="eastAsia" w:ascii="Times New Roman" w:hAnsi="Times New Roman" w:eastAsia="仿宋_GB2312" w:cs="Times New Roman"/>
          <w:color w:val="auto"/>
          <w:sz w:val="36"/>
          <w:szCs w:val="36"/>
          <w:u w:val="single"/>
          <w:lang w:val="en-US"/>
        </w:rPr>
        <w:t xml:space="preserve"> </w:t>
      </w:r>
      <w:r>
        <w:rPr>
          <w:rFonts w:ascii="Times New Roman" w:hAnsi="Times New Roman" w:eastAsia="仿宋_GB2312" w:cs="Times New Roman"/>
          <w:color w:val="auto"/>
          <w:sz w:val="36"/>
          <w:szCs w:val="36"/>
          <w:u w:val="single"/>
          <w:lang w:val="en-US"/>
        </w:rPr>
        <w:t xml:space="preserve">月 </w:t>
      </w:r>
      <w:r>
        <w:rPr>
          <w:rFonts w:ascii="Times New Roman" w:hAnsi="Times New Roman" w:eastAsia="仿宋_GB2312" w:cs="Times New Roman"/>
          <w:color w:val="auto"/>
          <w:sz w:val="36"/>
          <w:szCs w:val="36"/>
          <w:u w:val="single"/>
        </w:rPr>
        <w:t xml:space="preserve"> </w:t>
      </w:r>
      <w:r>
        <w:rPr>
          <w:rFonts w:hint="eastAsia" w:ascii="Times New Roman" w:hAnsi="Times New Roman" w:eastAsia="仿宋_GB2312" w:cs="Times New Roman"/>
          <w:color w:val="auto"/>
          <w:sz w:val="36"/>
          <w:szCs w:val="36"/>
          <w:u w:val="single"/>
          <w:lang w:val="en-US"/>
        </w:rPr>
        <w:t xml:space="preserve">  </w:t>
      </w:r>
      <w:r>
        <w:rPr>
          <w:rFonts w:ascii="Times New Roman" w:hAnsi="Times New Roman" w:eastAsia="仿宋_GB2312" w:cs="Times New Roman"/>
          <w:color w:val="auto"/>
          <w:sz w:val="36"/>
          <w:szCs w:val="36"/>
          <w:u w:val="single"/>
          <w:lang w:val="en-US"/>
        </w:rPr>
        <w:t xml:space="preserve"> </w:t>
      </w:r>
      <w:r>
        <w:rPr>
          <w:rFonts w:hint="eastAsia" w:ascii="Times New Roman" w:hAnsi="Times New Roman" w:eastAsia="仿宋_GB2312" w:cs="Times New Roman"/>
          <w:color w:val="auto"/>
          <w:sz w:val="36"/>
          <w:szCs w:val="36"/>
          <w:u w:val="single"/>
          <w:lang w:val="en-US"/>
        </w:rPr>
        <w:t xml:space="preserve"> </w:t>
      </w:r>
      <w:r>
        <w:rPr>
          <w:rFonts w:ascii="Times New Roman" w:hAnsi="Times New Roman" w:eastAsia="仿宋_GB2312" w:cs="Times New Roman"/>
          <w:color w:val="auto"/>
          <w:sz w:val="36"/>
          <w:szCs w:val="36"/>
          <w:u w:val="single"/>
          <w:lang w:val="en-US"/>
        </w:rPr>
        <w:t xml:space="preserve">     </w:t>
      </w:r>
      <w:bookmarkStart w:id="0" w:name="_Hlk57884087"/>
    </w:p>
    <w:p w14:paraId="419F37A2">
      <w:pPr>
        <w:adjustRightInd w:val="0"/>
        <w:snapToGrid w:val="0"/>
        <w:spacing w:line="288" w:lineRule="auto"/>
        <w:ind w:firstLine="1040"/>
        <w:rPr>
          <w:rFonts w:ascii="Times New Roman" w:hAnsi="Times New Roman" w:eastAsia="仿宋_GB2312" w:cs="Times New Roman"/>
          <w:color w:val="auto"/>
          <w:sz w:val="36"/>
          <w:szCs w:val="36"/>
        </w:rPr>
      </w:pPr>
    </w:p>
    <w:p w14:paraId="14261AB8">
      <w:pPr>
        <w:rPr>
          <w:color w:val="auto"/>
        </w:rPr>
      </w:pPr>
    </w:p>
    <w:p w14:paraId="14DBC8A8">
      <w:pPr>
        <w:pStyle w:val="5"/>
        <w:spacing w:before="120" w:after="120"/>
        <w:rPr>
          <w:color w:val="auto"/>
        </w:rPr>
      </w:pPr>
    </w:p>
    <w:p w14:paraId="4EAD9744">
      <w:pPr>
        <w:adjustRightInd w:val="0"/>
        <w:snapToGrid w:val="0"/>
        <w:spacing w:line="288" w:lineRule="auto"/>
        <w:ind w:firstLine="1040"/>
        <w:rPr>
          <w:rFonts w:ascii="Times New Roman" w:hAnsi="Times New Roman" w:eastAsia="仿宋_GB2312" w:cs="Times New Roman"/>
          <w:color w:val="auto"/>
          <w:sz w:val="36"/>
          <w:szCs w:val="36"/>
        </w:rPr>
      </w:pPr>
    </w:p>
    <w:p w14:paraId="7490FB6B">
      <w:pPr>
        <w:rPr>
          <w:color w:val="auto"/>
        </w:rPr>
      </w:pPr>
    </w:p>
    <w:bookmarkEnd w:id="0"/>
    <w:p w14:paraId="52CC118E">
      <w:pPr>
        <w:adjustRightInd w:val="0"/>
        <w:snapToGrid w:val="0"/>
        <w:spacing w:line="288" w:lineRule="auto"/>
        <w:jc w:val="center"/>
        <w:rPr>
          <w:rFonts w:ascii="Times New Roman" w:hAnsi="Times New Roman" w:eastAsia="楷体_GB2312" w:cs="Times New Roman"/>
          <w:color w:val="auto"/>
          <w:sz w:val="36"/>
          <w:szCs w:val="36"/>
        </w:rPr>
        <w:sectPr>
          <w:footerReference r:id="rId3" w:type="default"/>
          <w:footerReference r:id="rId4" w:type="even"/>
          <w:pgSz w:w="11910" w:h="16840"/>
          <w:pgMar w:top="1580" w:right="1320" w:bottom="1240" w:left="1340" w:header="0" w:footer="1043" w:gutter="0"/>
          <w:pgBorders>
            <w:top w:val="none" w:sz="0" w:space="0"/>
            <w:left w:val="none" w:sz="0" w:space="0"/>
            <w:bottom w:val="none" w:sz="0" w:space="0"/>
            <w:right w:val="none" w:sz="0" w:space="0"/>
          </w:pgBorders>
          <w:cols w:space="720" w:num="1"/>
        </w:sectPr>
      </w:pPr>
      <w:r>
        <w:rPr>
          <w:rFonts w:ascii="Times New Roman" w:hAnsi="Times New Roman" w:eastAsia="楷体_GB2312" w:cs="Times New Roman"/>
          <w:color w:val="auto"/>
          <w:sz w:val="36"/>
          <w:szCs w:val="36"/>
        </w:rPr>
        <w:t>中华人民共和国生态环境部制</w:t>
      </w:r>
    </w:p>
    <w:p w14:paraId="239078BF">
      <w:pPr>
        <w:rPr>
          <w:rFonts w:ascii="Times New Roman" w:hAnsi="Times New Roman" w:cs="Times New Roman"/>
          <w:color w:val="auto"/>
        </w:rPr>
        <w:sectPr>
          <w:pgSz w:w="11910" w:h="16840"/>
          <w:pgMar w:top="1580" w:right="1320" w:bottom="1240" w:left="1340" w:header="0" w:footer="1043" w:gutter="0"/>
          <w:pgBorders>
            <w:top w:val="none" w:sz="0" w:space="0"/>
            <w:left w:val="none" w:sz="0" w:space="0"/>
            <w:bottom w:val="none" w:sz="0" w:space="0"/>
            <w:right w:val="none" w:sz="0" w:space="0"/>
          </w:pgBorders>
          <w:cols w:space="720" w:num="1"/>
        </w:sectPr>
      </w:pPr>
    </w:p>
    <w:p w14:paraId="48F88A57">
      <w:pPr>
        <w:pStyle w:val="2"/>
        <w:rPr>
          <w:rFonts w:ascii="黑体" w:hAnsi="黑体" w:eastAsia="黑体" w:cs="黑体"/>
          <w:color w:val="auto"/>
          <w:sz w:val="30"/>
          <w:szCs w:val="30"/>
        </w:rPr>
      </w:pPr>
      <w:r>
        <w:rPr>
          <w:rFonts w:ascii="黑体" w:hAnsi="黑体" w:eastAsia="黑体" w:cs="黑体"/>
          <w:color w:val="auto"/>
          <w:sz w:val="30"/>
          <w:szCs w:val="30"/>
        </w:rPr>
        <w:t>一、建设项目基本情况</w:t>
      </w:r>
    </w:p>
    <w:tbl>
      <w:tblPr>
        <w:tblStyle w:val="34"/>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721"/>
        <w:gridCol w:w="3672"/>
      </w:tblGrid>
      <w:tr w14:paraId="41EA8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14:paraId="01DFFD95">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建设项目名称 </w:t>
            </w:r>
          </w:p>
        </w:tc>
        <w:tc>
          <w:tcPr>
            <w:tcW w:w="7918" w:type="dxa"/>
            <w:gridSpan w:val="3"/>
            <w:tcBorders>
              <w:left w:val="single" w:color="000000" w:sz="4" w:space="0"/>
              <w:bottom w:val="single" w:color="000000" w:sz="4" w:space="0"/>
            </w:tcBorders>
            <w:vAlign w:val="center"/>
          </w:tcPr>
          <w:p w14:paraId="090FE5AB">
            <w:pPr>
              <w:pStyle w:val="55"/>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河北曼捷新型材料科技有限公司建筑美缝材料混合、分装项目</w:t>
            </w:r>
          </w:p>
        </w:tc>
      </w:tr>
      <w:tr w14:paraId="41F26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14:paraId="5E779887">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项目代码 </w:t>
            </w:r>
          </w:p>
        </w:tc>
        <w:tc>
          <w:tcPr>
            <w:tcW w:w="7918" w:type="dxa"/>
            <w:gridSpan w:val="3"/>
            <w:tcBorders>
              <w:top w:val="single" w:color="000000" w:sz="4" w:space="0"/>
              <w:left w:val="single" w:color="000000" w:sz="4" w:space="0"/>
              <w:bottom w:val="single" w:color="000000" w:sz="4" w:space="0"/>
            </w:tcBorders>
            <w:vAlign w:val="center"/>
          </w:tcPr>
          <w:p w14:paraId="2D23654F">
            <w:pPr>
              <w:pStyle w:val="55"/>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2506-130434-89-01-189636</w:t>
            </w:r>
          </w:p>
        </w:tc>
      </w:tr>
      <w:tr w14:paraId="0896B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14:paraId="0A979CAE">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14:paraId="75626E1D">
            <w:pPr>
              <w:pStyle w:val="55"/>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郑慧彬</w:t>
            </w:r>
          </w:p>
        </w:tc>
        <w:tc>
          <w:tcPr>
            <w:tcW w:w="1721" w:type="dxa"/>
            <w:tcBorders>
              <w:top w:val="single" w:color="000000" w:sz="4" w:space="0"/>
              <w:left w:val="single" w:color="000000" w:sz="4" w:space="0"/>
              <w:bottom w:val="single" w:color="000000" w:sz="4" w:space="0"/>
              <w:right w:val="single" w:color="000000" w:sz="4" w:space="0"/>
            </w:tcBorders>
            <w:vAlign w:val="center"/>
          </w:tcPr>
          <w:p w14:paraId="5C27437F">
            <w:pPr>
              <w:pStyle w:val="55"/>
              <w:jc w:val="center"/>
              <w:rPr>
                <w:rFonts w:ascii="Times New Roman" w:hAnsi="Times New Roman" w:cs="Times New Roman"/>
                <w:color w:val="auto"/>
                <w:sz w:val="21"/>
                <w:szCs w:val="21"/>
              </w:rPr>
            </w:pPr>
            <w:r>
              <w:rPr>
                <w:rFonts w:ascii="Times New Roman" w:hAnsi="Times New Roman" w:cs="Times New Roman"/>
                <w:b/>
                <w:bCs/>
                <w:color w:val="auto"/>
                <w:sz w:val="21"/>
                <w:szCs w:val="21"/>
              </w:rPr>
              <w:t xml:space="preserve">联系方式 </w:t>
            </w:r>
          </w:p>
        </w:tc>
        <w:tc>
          <w:tcPr>
            <w:tcW w:w="3672" w:type="dxa"/>
            <w:tcBorders>
              <w:top w:val="single" w:color="000000" w:sz="4" w:space="0"/>
              <w:left w:val="single" w:color="000000" w:sz="4" w:space="0"/>
              <w:bottom w:val="single" w:color="000000" w:sz="4" w:space="0"/>
            </w:tcBorders>
            <w:vAlign w:val="center"/>
          </w:tcPr>
          <w:p w14:paraId="69554DCE">
            <w:pPr>
              <w:pStyle w:val="55"/>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15249627521</w:t>
            </w:r>
          </w:p>
        </w:tc>
      </w:tr>
      <w:tr w14:paraId="27BE4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14:paraId="19CBD8C5">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建设地点 </w:t>
            </w:r>
          </w:p>
        </w:tc>
        <w:tc>
          <w:tcPr>
            <w:tcW w:w="7918" w:type="dxa"/>
            <w:gridSpan w:val="3"/>
            <w:tcBorders>
              <w:top w:val="single" w:color="000000" w:sz="4" w:space="0"/>
              <w:left w:val="single" w:color="000000" w:sz="4" w:space="0"/>
              <w:bottom w:val="nil"/>
            </w:tcBorders>
            <w:vAlign w:val="center"/>
          </w:tcPr>
          <w:p w14:paraId="3C47C0DA">
            <w:pPr>
              <w:adjustRightInd w:val="0"/>
              <w:snapToGrid w:val="0"/>
              <w:jc w:val="center"/>
              <w:rPr>
                <w:rFonts w:hint="default" w:ascii="Times New Roman" w:hAnsi="Times New Roman" w:eastAsia="宋体" w:cs="Times New Roman"/>
                <w:color w:val="auto"/>
                <w:sz w:val="21"/>
                <w:szCs w:val="21"/>
                <w:lang w:val="en-US" w:eastAsia="zh-CN"/>
              </w:rPr>
            </w:pPr>
            <w:r>
              <w:rPr>
                <w:rFonts w:ascii="Times New Roman" w:hAnsi="Times New Roman" w:cs="Times New Roman"/>
                <w:color w:val="auto"/>
                <w:sz w:val="21"/>
                <w:szCs w:val="21"/>
                <w:lang w:val="en-US"/>
              </w:rPr>
              <w:t>河北省</w:t>
            </w:r>
            <w:r>
              <w:rPr>
                <w:rFonts w:hint="eastAsia" w:ascii="Times New Roman" w:hAnsi="Times New Roman" w:cs="Times New Roman"/>
                <w:color w:val="auto"/>
                <w:sz w:val="21"/>
                <w:szCs w:val="21"/>
                <w:lang w:val="en-US"/>
              </w:rPr>
              <w:t>邯郸市魏县</w:t>
            </w:r>
            <w:r>
              <w:rPr>
                <w:rFonts w:hint="eastAsia" w:ascii="Times New Roman" w:hAnsi="Times New Roman" w:cs="Times New Roman"/>
                <w:color w:val="auto"/>
                <w:sz w:val="21"/>
                <w:szCs w:val="21"/>
                <w:lang w:val="en-US" w:eastAsia="zh-CN"/>
              </w:rPr>
              <w:t>回隆镇南街西村平安南路路北</w:t>
            </w:r>
          </w:p>
        </w:tc>
      </w:tr>
      <w:tr w14:paraId="5488C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14:paraId="4A11F471">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地理坐标 </w:t>
            </w:r>
          </w:p>
        </w:tc>
        <w:tc>
          <w:tcPr>
            <w:tcW w:w="7918" w:type="dxa"/>
            <w:gridSpan w:val="3"/>
            <w:tcBorders>
              <w:top w:val="single" w:color="000000" w:sz="4" w:space="0"/>
              <w:left w:val="single" w:color="000000" w:sz="4" w:space="0"/>
              <w:bottom w:val="single" w:color="000000" w:sz="4" w:space="0"/>
            </w:tcBorders>
            <w:vAlign w:val="center"/>
          </w:tcPr>
          <w:p w14:paraId="2DDB639A">
            <w:pPr>
              <w:jc w:val="center"/>
              <w:rPr>
                <w:rFonts w:ascii="Times New Roman" w:hAnsi="Times New Roman" w:cs="Times New Roman"/>
                <w:color w:val="auto"/>
                <w:sz w:val="21"/>
                <w:szCs w:val="21"/>
              </w:rPr>
            </w:pPr>
            <w:r>
              <w:rPr>
                <w:rFonts w:hint="default" w:ascii="Times New Roman" w:hAnsi="Times New Roman" w:cs="Times New Roman"/>
                <w:color w:val="auto"/>
                <w:sz w:val="21"/>
                <w:szCs w:val="20"/>
              </w:rPr>
              <w:t>东经114°45′17.786″，北纬36°8′39.98</w:t>
            </w:r>
            <w:r>
              <w:rPr>
                <w:rFonts w:hint="default" w:ascii="Times New Roman" w:hAnsi="Times New Roman" w:cs="Times New Roman"/>
                <w:color w:val="auto"/>
                <w:sz w:val="21"/>
                <w:szCs w:val="20"/>
                <w:lang w:val="en-US" w:eastAsia="zh-CN"/>
              </w:rPr>
              <w:t>6</w:t>
            </w:r>
            <w:r>
              <w:rPr>
                <w:rFonts w:hint="default" w:ascii="Times New Roman" w:hAnsi="Times New Roman" w:cs="Times New Roman"/>
                <w:color w:val="auto"/>
                <w:sz w:val="21"/>
                <w:szCs w:val="20"/>
              </w:rPr>
              <w:t>″</w:t>
            </w:r>
          </w:p>
        </w:tc>
      </w:tr>
      <w:tr w14:paraId="1323B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14:paraId="1E821573">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14:paraId="7F7DA2E8">
            <w:pPr>
              <w:pStyle w:val="55"/>
              <w:jc w:val="center"/>
              <w:rPr>
                <w:rFonts w:ascii="Times New Roman" w:hAnsi="Times New Roman" w:cs="Times New Roman"/>
                <w:color w:val="auto"/>
                <w:sz w:val="21"/>
                <w:szCs w:val="21"/>
              </w:rPr>
            </w:pPr>
            <w:r>
              <w:rPr>
                <w:rFonts w:hint="default" w:ascii="Times New Roman" w:hAnsi="Times New Roman" w:cs="Times New Roman"/>
                <w:color w:val="auto"/>
                <w:sz w:val="21"/>
                <w:szCs w:val="21"/>
                <w:lang w:eastAsia="zh-CN"/>
              </w:rPr>
              <w:t>C2646</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eastAsia="zh-CN"/>
              </w:rPr>
              <w:t>密封用填料及类似品制造</w:t>
            </w:r>
          </w:p>
        </w:tc>
        <w:tc>
          <w:tcPr>
            <w:tcW w:w="1721" w:type="dxa"/>
            <w:tcBorders>
              <w:top w:val="single" w:color="000000" w:sz="4" w:space="0"/>
              <w:left w:val="single" w:color="000000" w:sz="4" w:space="0"/>
              <w:bottom w:val="single" w:color="000000" w:sz="4" w:space="0"/>
              <w:right w:val="single" w:color="000000" w:sz="4" w:space="0"/>
            </w:tcBorders>
            <w:vAlign w:val="center"/>
          </w:tcPr>
          <w:p w14:paraId="11DF9F16">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建设项目行业类别 </w:t>
            </w:r>
          </w:p>
        </w:tc>
        <w:tc>
          <w:tcPr>
            <w:tcW w:w="3672" w:type="dxa"/>
            <w:tcBorders>
              <w:top w:val="single" w:color="000000" w:sz="4" w:space="0"/>
              <w:left w:val="single" w:color="000000" w:sz="4" w:space="0"/>
              <w:bottom w:val="single" w:color="000000" w:sz="4" w:space="0"/>
            </w:tcBorders>
            <w:vAlign w:val="center"/>
          </w:tcPr>
          <w:p w14:paraId="4AE6CBC2">
            <w:pPr>
              <w:adjustRightInd w:val="0"/>
              <w:snapToGrid w:val="0"/>
              <w:jc w:val="center"/>
              <w:rPr>
                <w:rFonts w:ascii="Times New Roman" w:hAnsi="Times New Roman" w:cs="Times New Roman"/>
                <w:color w:val="auto"/>
                <w:sz w:val="21"/>
                <w:szCs w:val="21"/>
                <w:lang w:val="en-US"/>
              </w:rPr>
            </w:pPr>
            <w:r>
              <w:rPr>
                <w:rFonts w:hint="default" w:ascii="Times New Roman" w:hAnsi="Times New Roman" w:eastAsia="宋体" w:cs="Times New Roman"/>
                <w:color w:val="auto"/>
                <w:sz w:val="21"/>
                <w:szCs w:val="21"/>
                <w:lang w:val="en-US"/>
              </w:rPr>
              <w:t>二十三、化学原料和化学制品制造业26-涂料、油墨、颜料及类似产品制造264</w:t>
            </w:r>
            <w:r>
              <w:rPr>
                <w:rFonts w:hint="default" w:ascii="Times New Roman" w:hAnsi="Times New Roman" w:cs="Times New Roman"/>
                <w:color w:val="auto"/>
                <w:sz w:val="21"/>
                <w:szCs w:val="21"/>
                <w:lang w:val="en-US" w:eastAsia="zh-CN"/>
              </w:rPr>
              <w:t>-单纯物理分离、物理提纯、混合、分装的（不产生废水或挥发性有机物的除外）</w:t>
            </w:r>
          </w:p>
        </w:tc>
      </w:tr>
      <w:tr w14:paraId="4093C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14:paraId="5C391F89">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14:paraId="167BA117">
            <w:pPr>
              <w:pStyle w:val="55"/>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lang w:eastAsia="zh-CN"/>
              </w:rPr>
              <w:t>☑</w:t>
            </w:r>
            <w:r>
              <w:rPr>
                <w:rFonts w:ascii="Times New Roman" w:hAnsi="Times New Roman" w:cs="Times New Roman"/>
                <w:color w:val="auto"/>
                <w:sz w:val="21"/>
                <w:szCs w:val="21"/>
              </w:rPr>
              <w:t xml:space="preserve">新建（迁建） </w:t>
            </w:r>
          </w:p>
          <w:p w14:paraId="1FDFAC6D">
            <w:pPr>
              <w:pStyle w:val="55"/>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lang w:eastAsia="zh-CN"/>
              </w:rPr>
              <w:t>□</w:t>
            </w:r>
            <w:r>
              <w:rPr>
                <w:rFonts w:ascii="Times New Roman" w:hAnsi="Times New Roman" w:cs="Times New Roman"/>
                <w:color w:val="auto"/>
                <w:spacing w:val="-1"/>
                <w:sz w:val="21"/>
                <w:szCs w:val="21"/>
              </w:rPr>
              <w:t>改建</w:t>
            </w:r>
            <w:r>
              <w:rPr>
                <w:rFonts w:ascii="Times New Roman" w:hAnsi="Times New Roman" w:cs="Times New Roman"/>
                <w:color w:val="auto"/>
                <w:sz w:val="21"/>
                <w:szCs w:val="21"/>
              </w:rPr>
              <w:t xml:space="preserve"> </w:t>
            </w:r>
          </w:p>
          <w:p w14:paraId="62E6867F">
            <w:pPr>
              <w:pStyle w:val="55"/>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lang w:eastAsia="zh-CN"/>
              </w:rPr>
              <w:t>□</w:t>
            </w:r>
            <w:r>
              <w:rPr>
                <w:rFonts w:ascii="Times New Roman" w:hAnsi="Times New Roman" w:cs="Times New Roman"/>
                <w:color w:val="auto"/>
                <w:spacing w:val="-1"/>
                <w:sz w:val="21"/>
                <w:szCs w:val="21"/>
              </w:rPr>
              <w:t>扩建</w:t>
            </w:r>
            <w:r>
              <w:rPr>
                <w:rFonts w:ascii="Times New Roman" w:hAnsi="Times New Roman" w:cs="Times New Roman"/>
                <w:color w:val="auto"/>
                <w:sz w:val="21"/>
                <w:szCs w:val="21"/>
              </w:rPr>
              <w:t xml:space="preserve"> </w:t>
            </w:r>
          </w:p>
          <w:p w14:paraId="40C2991E">
            <w:pPr>
              <w:pStyle w:val="55"/>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z w:val="21"/>
                <w:szCs w:val="21"/>
              </w:rPr>
              <w:t xml:space="preserve">技术改造 </w:t>
            </w:r>
          </w:p>
        </w:tc>
        <w:tc>
          <w:tcPr>
            <w:tcW w:w="1721" w:type="dxa"/>
            <w:tcBorders>
              <w:top w:val="single" w:color="000000" w:sz="4" w:space="0"/>
              <w:left w:val="single" w:color="000000" w:sz="4" w:space="0"/>
              <w:bottom w:val="single" w:color="000000" w:sz="4" w:space="0"/>
              <w:right w:val="single" w:color="000000" w:sz="4" w:space="0"/>
            </w:tcBorders>
            <w:vAlign w:val="center"/>
          </w:tcPr>
          <w:p w14:paraId="0478EBB8">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建设项目申报情形 </w:t>
            </w:r>
          </w:p>
        </w:tc>
        <w:tc>
          <w:tcPr>
            <w:tcW w:w="3672" w:type="dxa"/>
            <w:tcBorders>
              <w:top w:val="single" w:color="000000" w:sz="4" w:space="0"/>
              <w:left w:val="single" w:color="000000" w:sz="4" w:space="0"/>
              <w:bottom w:val="single" w:color="000000" w:sz="4" w:space="0"/>
            </w:tcBorders>
            <w:vAlign w:val="center"/>
          </w:tcPr>
          <w:p w14:paraId="2DF7A0D3">
            <w:pPr>
              <w:pStyle w:val="55"/>
              <w:tabs>
                <w:tab w:val="left" w:pos="200"/>
              </w:tabs>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 xml:space="preserve">首次申报项目  </w:t>
            </w:r>
            <w:r>
              <w:rPr>
                <w:rFonts w:ascii="Times New Roman" w:hAnsi="Times New Roman" w:cs="Times New Roman"/>
                <w:color w:val="auto"/>
                <w:sz w:val="21"/>
                <w:szCs w:val="21"/>
              </w:rPr>
              <w:t xml:space="preserve">   </w:t>
            </w:r>
            <w:r>
              <w:rPr>
                <w:rFonts w:ascii="Times New Roman" w:hAnsi="Times New Roman" w:cs="Times New Roman"/>
                <w:color w:val="auto"/>
                <w:spacing w:val="-3"/>
                <w:sz w:val="21"/>
                <w:szCs w:val="21"/>
              </w:rPr>
              <w:t xml:space="preserve"> </w:t>
            </w:r>
            <w:r>
              <w:rPr>
                <w:rFonts w:ascii="Times New Roman" w:hAnsi="Times New Roman" w:cs="Times New Roman"/>
                <w:color w:val="auto"/>
                <w:sz w:val="21"/>
                <w:szCs w:val="21"/>
              </w:rPr>
              <w:t xml:space="preserve">  </w:t>
            </w:r>
            <w:r>
              <w:rPr>
                <w:rFonts w:ascii="Times New Roman" w:hAnsi="Times New Roman" w:cs="Times New Roman"/>
                <w:color w:val="auto"/>
                <w:spacing w:val="-3"/>
                <w:sz w:val="21"/>
                <w:szCs w:val="21"/>
              </w:rPr>
              <w:t xml:space="preserve"> </w:t>
            </w:r>
            <w:r>
              <w:rPr>
                <w:rFonts w:ascii="Times New Roman" w:hAnsi="Times New Roman" w:cs="Times New Roman"/>
                <w:color w:val="auto"/>
                <w:sz w:val="21"/>
                <w:szCs w:val="21"/>
              </w:rPr>
              <w:t xml:space="preserve">  </w:t>
            </w:r>
          </w:p>
          <w:p w14:paraId="0FE19439">
            <w:pPr>
              <w:pStyle w:val="55"/>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 xml:space="preserve">不予批准后再次申报项目 </w:t>
            </w:r>
          </w:p>
          <w:p w14:paraId="5C0012D1">
            <w:pPr>
              <w:pStyle w:val="55"/>
              <w:tabs>
                <w:tab w:val="left" w:pos="200"/>
              </w:tabs>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超五年重新审核项目</w:t>
            </w:r>
            <w:r>
              <w:rPr>
                <w:rFonts w:ascii="Times New Roman" w:hAnsi="Times New Roman" w:cs="Times New Roman"/>
                <w:color w:val="auto"/>
                <w:sz w:val="21"/>
                <w:szCs w:val="21"/>
              </w:rPr>
              <w:t xml:space="preserve">  </w:t>
            </w:r>
            <w:r>
              <w:rPr>
                <w:rFonts w:ascii="Times New Roman" w:hAnsi="Times New Roman" w:cs="Times New Roman"/>
                <w:color w:val="auto"/>
                <w:spacing w:val="-3"/>
                <w:sz w:val="21"/>
                <w:szCs w:val="21"/>
              </w:rPr>
              <w:t xml:space="preserve"> </w:t>
            </w:r>
            <w:r>
              <w:rPr>
                <w:rFonts w:ascii="Times New Roman" w:hAnsi="Times New Roman" w:cs="Times New Roman"/>
                <w:color w:val="auto"/>
                <w:sz w:val="21"/>
                <w:szCs w:val="21"/>
              </w:rPr>
              <w:t xml:space="preserve">  </w:t>
            </w:r>
          </w:p>
          <w:p w14:paraId="09DEBA0A">
            <w:pPr>
              <w:pStyle w:val="55"/>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重大变动重新报批项目</w:t>
            </w:r>
            <w:r>
              <w:rPr>
                <w:rFonts w:ascii="Times New Roman" w:hAnsi="Times New Roman" w:cs="Times New Roman"/>
                <w:color w:val="auto"/>
                <w:sz w:val="21"/>
                <w:szCs w:val="21"/>
              </w:rPr>
              <w:t xml:space="preserve"> </w:t>
            </w:r>
          </w:p>
        </w:tc>
      </w:tr>
      <w:tr w14:paraId="1E6C9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14:paraId="00CC8B89">
            <w:pPr>
              <w:pStyle w:val="55"/>
              <w:jc w:val="center"/>
              <w:rPr>
                <w:rFonts w:ascii="Times New Roman" w:hAnsi="Times New Roman" w:cs="Times New Roman"/>
                <w:b/>
                <w:bCs/>
                <w:color w:val="auto"/>
                <w:sz w:val="21"/>
                <w:szCs w:val="21"/>
              </w:rPr>
            </w:pPr>
            <w:r>
              <w:rPr>
                <w:rFonts w:ascii="Times New Roman" w:hAnsi="Times New Roman" w:cs="Times New Roman"/>
                <w:b/>
                <w:bCs/>
                <w:color w:val="auto"/>
                <w:spacing w:val="-1"/>
                <w:sz w:val="21"/>
                <w:szCs w:val="21"/>
              </w:rPr>
              <w:t>项目审批</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核准</w:t>
            </w:r>
            <w:r>
              <w:rPr>
                <w:rFonts w:ascii="Times New Roman" w:hAnsi="Times New Roman" w:cs="Times New Roman"/>
                <w:b/>
                <w:bCs/>
                <w:color w:val="auto"/>
                <w:spacing w:val="-3"/>
                <w:sz w:val="21"/>
                <w:szCs w:val="21"/>
              </w:rPr>
              <w:t xml:space="preserve">/ </w:t>
            </w:r>
            <w:r>
              <w:rPr>
                <w:rFonts w:ascii="Times New Roman" w:hAnsi="Times New Roman" w:cs="Times New Roman"/>
                <w:b/>
                <w:bCs/>
                <w:color w:val="auto"/>
                <w:sz w:val="21"/>
                <w:szCs w:val="21"/>
              </w:rPr>
              <w:t>备案</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部门</w:t>
            </w:r>
            <w:r>
              <w:rPr>
                <w:rFonts w:ascii="Times New Roman" w:hAnsi="Times New Roman" w:cs="Times New Roman"/>
                <w:b/>
                <w:bCs/>
                <w:color w:val="auto"/>
                <w:sz w:val="21"/>
                <w:szCs w:val="21"/>
              </w:rPr>
              <w:t>（</w:t>
            </w:r>
            <w:r>
              <w:rPr>
                <w:rFonts w:ascii="Times New Roman" w:hAnsi="Times New Roman" w:cs="Times New Roman"/>
                <w:b/>
                <w:bCs/>
                <w:color w:val="auto"/>
                <w:spacing w:val="-2"/>
                <w:sz w:val="21"/>
                <w:szCs w:val="21"/>
              </w:rPr>
              <w:t>选填</w:t>
            </w:r>
            <w:r>
              <w:rPr>
                <w:rFonts w:ascii="Times New Roman" w:hAnsi="Times New Roman" w:cs="Times New Roman"/>
                <w:b/>
                <w:bCs/>
                <w:color w:val="auto"/>
                <w:spacing w:val="-3"/>
                <w:sz w:val="21"/>
                <w:szCs w:val="21"/>
              </w:rPr>
              <w:t>）</w:t>
            </w:r>
            <w:r>
              <w:rPr>
                <w:rFonts w:ascii="Times New Roman" w:hAnsi="Times New Roman"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14:paraId="4211C3FC">
            <w:pPr>
              <w:pStyle w:val="55"/>
              <w:jc w:val="center"/>
              <w:rPr>
                <w:rFonts w:ascii="Times New Roman" w:hAnsi="Times New Roman" w:cs="Times New Roman"/>
                <w:color w:val="auto"/>
                <w:sz w:val="21"/>
                <w:szCs w:val="21"/>
              </w:rPr>
            </w:pPr>
            <w:r>
              <w:rPr>
                <w:rFonts w:ascii="Times New Roman" w:hAnsi="Times New Roman" w:cs="Times New Roman"/>
                <w:color w:val="auto"/>
                <w:sz w:val="21"/>
                <w:szCs w:val="21"/>
              </w:rPr>
              <w:t>魏县行政审批局</w:t>
            </w:r>
          </w:p>
        </w:tc>
        <w:tc>
          <w:tcPr>
            <w:tcW w:w="1721" w:type="dxa"/>
            <w:tcBorders>
              <w:top w:val="single" w:color="000000" w:sz="4" w:space="0"/>
              <w:left w:val="single" w:color="000000" w:sz="4" w:space="0"/>
              <w:bottom w:val="single" w:color="000000" w:sz="4" w:space="0"/>
              <w:right w:val="single" w:color="000000" w:sz="4" w:space="0"/>
            </w:tcBorders>
            <w:vAlign w:val="center"/>
          </w:tcPr>
          <w:p w14:paraId="3E9883BF">
            <w:pPr>
              <w:pStyle w:val="55"/>
              <w:jc w:val="center"/>
              <w:rPr>
                <w:rFonts w:ascii="Times New Roman" w:hAnsi="Times New Roman" w:cs="Times New Roman"/>
                <w:b/>
                <w:bCs/>
                <w:color w:val="auto"/>
                <w:sz w:val="21"/>
                <w:szCs w:val="21"/>
              </w:rPr>
            </w:pPr>
            <w:r>
              <w:rPr>
                <w:rFonts w:ascii="Times New Roman" w:hAnsi="Times New Roman" w:cs="Times New Roman"/>
                <w:b/>
                <w:bCs/>
                <w:color w:val="auto"/>
                <w:spacing w:val="-1"/>
                <w:sz w:val="21"/>
                <w:szCs w:val="21"/>
              </w:rPr>
              <w:t>项目审批</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核准</w:t>
            </w:r>
            <w:r>
              <w:rPr>
                <w:rFonts w:ascii="Times New Roman" w:hAnsi="Times New Roman" w:cs="Times New Roman"/>
                <w:b/>
                <w:bCs/>
                <w:color w:val="auto"/>
                <w:spacing w:val="-3"/>
                <w:sz w:val="21"/>
                <w:szCs w:val="21"/>
              </w:rPr>
              <w:t xml:space="preserve">/ </w:t>
            </w:r>
            <w:r>
              <w:rPr>
                <w:rFonts w:ascii="Times New Roman" w:hAnsi="Times New Roman" w:cs="Times New Roman"/>
                <w:b/>
                <w:bCs/>
                <w:color w:val="auto"/>
                <w:sz w:val="21"/>
                <w:szCs w:val="21"/>
              </w:rPr>
              <w:t>备案</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文号</w:t>
            </w:r>
            <w:r>
              <w:rPr>
                <w:rFonts w:ascii="Times New Roman" w:hAnsi="Times New Roman" w:cs="Times New Roman"/>
                <w:b/>
                <w:bCs/>
                <w:color w:val="auto"/>
                <w:sz w:val="21"/>
                <w:szCs w:val="21"/>
              </w:rPr>
              <w:t>（</w:t>
            </w:r>
            <w:r>
              <w:rPr>
                <w:rFonts w:ascii="Times New Roman" w:hAnsi="Times New Roman" w:cs="Times New Roman"/>
                <w:b/>
                <w:bCs/>
                <w:color w:val="auto"/>
                <w:spacing w:val="-2"/>
                <w:sz w:val="21"/>
                <w:szCs w:val="21"/>
              </w:rPr>
              <w:t>选填</w:t>
            </w:r>
            <w:r>
              <w:rPr>
                <w:rFonts w:ascii="Times New Roman" w:hAnsi="Times New Roman" w:cs="Times New Roman"/>
                <w:b/>
                <w:bCs/>
                <w:color w:val="auto"/>
                <w:spacing w:val="-3"/>
                <w:sz w:val="21"/>
                <w:szCs w:val="21"/>
              </w:rPr>
              <w:t>）</w:t>
            </w:r>
            <w:r>
              <w:rPr>
                <w:rFonts w:ascii="Times New Roman" w:hAnsi="Times New Roman"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14:paraId="7C031C96">
            <w:pPr>
              <w:tabs>
                <w:tab w:val="left" w:pos="713"/>
              </w:tabs>
              <w:ind w:left="210" w:hanging="210" w:hangingChars="10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魏审批备字</w:t>
            </w:r>
            <w:r>
              <w:rPr>
                <w:rFonts w:hint="default" w:ascii="Times New Roman" w:hAnsi="Times New Roman" w:cs="Times New Roman"/>
                <w:color w:val="auto"/>
                <w:sz w:val="21"/>
                <w:szCs w:val="21"/>
                <w:lang w:eastAsia="zh-CN"/>
              </w:rPr>
              <w:t>〔20</w:t>
            </w:r>
            <w:r>
              <w:rPr>
                <w:rFonts w:hint="eastAsia" w:ascii="Times New Roman" w:hAnsi="Times New Roman" w:cs="Times New Roman"/>
                <w:color w:val="auto"/>
                <w:sz w:val="21"/>
                <w:szCs w:val="21"/>
                <w:lang w:val="en-US" w:eastAsia="zh-CN"/>
              </w:rPr>
              <w:t>25</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692</w:t>
            </w:r>
            <w:r>
              <w:rPr>
                <w:rFonts w:hint="default" w:ascii="Times New Roman" w:hAnsi="Times New Roman" w:cs="Times New Roman"/>
                <w:color w:val="auto"/>
                <w:sz w:val="21"/>
                <w:szCs w:val="21"/>
                <w:lang w:eastAsia="zh-CN"/>
              </w:rPr>
              <w:t>号</w:t>
            </w:r>
          </w:p>
        </w:tc>
      </w:tr>
      <w:tr w14:paraId="46716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jc w:val="center"/>
        </w:trPr>
        <w:tc>
          <w:tcPr>
            <w:tcW w:w="1492" w:type="dxa"/>
            <w:tcBorders>
              <w:top w:val="single" w:color="000000" w:sz="4" w:space="0"/>
              <w:bottom w:val="single" w:color="000000" w:sz="4" w:space="0"/>
              <w:right w:val="single" w:color="000000" w:sz="4" w:space="0"/>
            </w:tcBorders>
            <w:vAlign w:val="center"/>
          </w:tcPr>
          <w:p w14:paraId="47DF5C72">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14:paraId="5EEA6E0F">
            <w:pPr>
              <w:pStyle w:val="55"/>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rPr>
              <w:t>00</w:t>
            </w:r>
          </w:p>
        </w:tc>
        <w:tc>
          <w:tcPr>
            <w:tcW w:w="1721" w:type="dxa"/>
            <w:tcBorders>
              <w:top w:val="single" w:color="000000" w:sz="4" w:space="0"/>
              <w:left w:val="single" w:color="000000" w:sz="4" w:space="0"/>
              <w:bottom w:val="single" w:color="000000" w:sz="4" w:space="0"/>
              <w:right w:val="single" w:color="000000" w:sz="4" w:space="0"/>
            </w:tcBorders>
            <w:vAlign w:val="center"/>
          </w:tcPr>
          <w:p w14:paraId="628D1DD3">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环保投资（万元） </w:t>
            </w:r>
          </w:p>
        </w:tc>
        <w:tc>
          <w:tcPr>
            <w:tcW w:w="3672" w:type="dxa"/>
            <w:tcBorders>
              <w:top w:val="single" w:color="000000" w:sz="4" w:space="0"/>
              <w:left w:val="single" w:color="000000" w:sz="4" w:space="0"/>
              <w:bottom w:val="single" w:color="000000" w:sz="4" w:space="0"/>
            </w:tcBorders>
            <w:vAlign w:val="center"/>
          </w:tcPr>
          <w:p w14:paraId="5ABE0277">
            <w:pPr>
              <w:pStyle w:val="55"/>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20</w:t>
            </w:r>
          </w:p>
        </w:tc>
      </w:tr>
      <w:tr w14:paraId="2AC7F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jc w:val="center"/>
        </w:trPr>
        <w:tc>
          <w:tcPr>
            <w:tcW w:w="1492" w:type="dxa"/>
            <w:tcBorders>
              <w:top w:val="single" w:color="000000" w:sz="4" w:space="0"/>
              <w:bottom w:val="single" w:color="000000" w:sz="4" w:space="0"/>
              <w:right w:val="single" w:color="000000" w:sz="4" w:space="0"/>
            </w:tcBorders>
            <w:vAlign w:val="center"/>
          </w:tcPr>
          <w:p w14:paraId="08B31F63">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环保投资占比</w:t>
            </w:r>
          </w:p>
          <w:p w14:paraId="5AC7C5B2">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14:paraId="3CF8285D">
            <w:pPr>
              <w:pStyle w:val="55"/>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10</w:t>
            </w:r>
            <w:r>
              <w:rPr>
                <w:rFonts w:ascii="Times New Roman" w:hAnsi="Times New Roman" w:cs="Times New Roman"/>
                <w:color w:val="auto"/>
                <w:sz w:val="21"/>
                <w:szCs w:val="21"/>
                <w:lang w:val="en-US"/>
              </w:rPr>
              <w:t>%</w:t>
            </w:r>
          </w:p>
        </w:tc>
        <w:tc>
          <w:tcPr>
            <w:tcW w:w="1721" w:type="dxa"/>
            <w:tcBorders>
              <w:top w:val="single" w:color="000000" w:sz="4" w:space="0"/>
              <w:left w:val="single" w:color="000000" w:sz="4" w:space="0"/>
              <w:bottom w:val="single" w:color="000000" w:sz="4" w:space="0"/>
              <w:right w:val="single" w:color="000000" w:sz="4" w:space="0"/>
            </w:tcBorders>
            <w:vAlign w:val="center"/>
          </w:tcPr>
          <w:p w14:paraId="17314471">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施工工期 </w:t>
            </w:r>
          </w:p>
        </w:tc>
        <w:tc>
          <w:tcPr>
            <w:tcW w:w="3672" w:type="dxa"/>
            <w:tcBorders>
              <w:top w:val="single" w:color="000000" w:sz="4" w:space="0"/>
              <w:left w:val="single" w:color="000000" w:sz="4" w:space="0"/>
              <w:bottom w:val="single" w:color="000000" w:sz="4" w:space="0"/>
            </w:tcBorders>
            <w:vAlign w:val="center"/>
          </w:tcPr>
          <w:p w14:paraId="581B4F8F">
            <w:pPr>
              <w:pStyle w:val="55"/>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3</w:t>
            </w:r>
            <w:r>
              <w:rPr>
                <w:rFonts w:ascii="Times New Roman" w:hAnsi="Times New Roman" w:cs="Times New Roman"/>
                <w:color w:val="auto"/>
                <w:sz w:val="21"/>
                <w:szCs w:val="21"/>
                <w:lang w:val="en-US"/>
              </w:rPr>
              <w:t>个月</w:t>
            </w:r>
          </w:p>
        </w:tc>
      </w:tr>
      <w:tr w14:paraId="21B01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jc w:val="center"/>
        </w:trPr>
        <w:tc>
          <w:tcPr>
            <w:tcW w:w="1492" w:type="dxa"/>
            <w:tcBorders>
              <w:top w:val="single" w:color="000000" w:sz="4" w:space="0"/>
              <w:bottom w:val="single" w:color="000000" w:sz="4" w:space="0"/>
              <w:right w:val="single" w:color="000000" w:sz="4" w:space="0"/>
            </w:tcBorders>
            <w:vAlign w:val="center"/>
          </w:tcPr>
          <w:p w14:paraId="5451B00A">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14:paraId="5CDB4161">
            <w:pPr>
              <w:pStyle w:val="55"/>
              <w:tabs>
                <w:tab w:val="left" w:pos="199"/>
              </w:tabs>
              <w:ind w:firstLine="210" w:firstLineChars="100"/>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pacing w:val="-3"/>
                <w:sz w:val="21"/>
                <w:szCs w:val="21"/>
              </w:rPr>
              <w:t>否</w:t>
            </w:r>
            <w:r>
              <w:rPr>
                <w:rFonts w:ascii="Times New Roman" w:hAnsi="Times New Roman" w:cs="Times New Roman"/>
                <w:color w:val="auto"/>
                <w:sz w:val="21"/>
                <w:szCs w:val="21"/>
              </w:rPr>
              <w:t xml:space="preserve"> </w:t>
            </w:r>
          </w:p>
          <w:p w14:paraId="62680698">
            <w:pPr>
              <w:pStyle w:val="55"/>
              <w:tabs>
                <w:tab w:val="left" w:pos="199"/>
              </w:tabs>
              <w:spacing w:line="250" w:lineRule="exact"/>
              <w:ind w:firstLine="210" w:firstLineChars="100"/>
              <w:rPr>
                <w:rFonts w:ascii="Times New Roman" w:hAnsi="Times New Roman" w:cs="Times New Roman"/>
                <w:color w:val="auto"/>
                <w:sz w:val="21"/>
                <w:szCs w:val="21"/>
              </w:rPr>
            </w:pPr>
            <w:r>
              <w:rPr>
                <w:rFonts w:ascii="Times New Roman" w:hAnsi="Times New Roman" w:cs="Times New Roman"/>
                <w:color w:val="auto"/>
                <w:sz w:val="21"/>
                <w:szCs w:val="21"/>
              </w:rPr>
              <w:t>□是：</w:t>
            </w:r>
            <w:r>
              <w:rPr>
                <w:rFonts w:ascii="Times New Roman" w:hAnsi="Times New Roman" w:cs="Times New Roman"/>
                <w:color w:val="auto"/>
                <w:spacing w:val="-3"/>
                <w:sz w:val="21"/>
                <w:szCs w:val="21"/>
                <w:u w:val="single"/>
              </w:rPr>
              <w:t xml:space="preserve"> </w:t>
            </w:r>
            <w:r>
              <w:rPr>
                <w:rFonts w:ascii="Times New Roman" w:hAnsi="Times New Roman" w:cs="Times New Roman"/>
                <w:color w:val="auto"/>
                <w:sz w:val="21"/>
                <w:szCs w:val="21"/>
                <w:u w:val="single"/>
              </w:rPr>
              <w:t xml:space="preserve">   </w:t>
            </w:r>
            <w:r>
              <w:rPr>
                <w:rFonts w:ascii="Times New Roman" w:hAnsi="Times New Roman" w:cs="Times New Roman"/>
                <w:color w:val="auto"/>
                <w:sz w:val="21"/>
                <w:szCs w:val="21"/>
                <w:u w:val="single"/>
                <w:lang w:val="en-US"/>
              </w:rPr>
              <w:t xml:space="preserve">          </w:t>
            </w:r>
            <w:r>
              <w:rPr>
                <w:rFonts w:ascii="Times New Roman" w:hAnsi="Times New Roman" w:cs="Times New Roman"/>
                <w:color w:val="auto"/>
                <w:sz w:val="21"/>
                <w:szCs w:val="21"/>
                <w:u w:val="single"/>
              </w:rPr>
              <w:t xml:space="preserve"> </w:t>
            </w:r>
            <w:r>
              <w:rPr>
                <w:rFonts w:ascii="Times New Roman" w:hAnsi="Times New Roman" w:cs="Times New Roman"/>
                <w:color w:val="auto"/>
                <w:spacing w:val="-3"/>
                <w:sz w:val="21"/>
                <w:szCs w:val="21"/>
                <w:u w:val="single"/>
              </w:rPr>
              <w:t xml:space="preserve"> </w:t>
            </w:r>
            <w:r>
              <w:rPr>
                <w:rFonts w:ascii="Times New Roman" w:hAnsi="Times New Roman" w:cs="Times New Roman"/>
                <w:color w:val="auto"/>
                <w:sz w:val="21"/>
                <w:szCs w:val="21"/>
              </w:rPr>
              <w:t xml:space="preserve"> </w:t>
            </w:r>
          </w:p>
        </w:tc>
        <w:tc>
          <w:tcPr>
            <w:tcW w:w="1721" w:type="dxa"/>
            <w:tcBorders>
              <w:top w:val="single" w:color="000000" w:sz="4" w:space="0"/>
              <w:left w:val="single" w:color="000000" w:sz="4" w:space="0"/>
              <w:bottom w:val="single" w:color="000000" w:sz="4" w:space="0"/>
              <w:right w:val="single" w:color="000000" w:sz="4" w:space="0"/>
            </w:tcBorders>
            <w:vAlign w:val="center"/>
          </w:tcPr>
          <w:p w14:paraId="4BD1E5B0">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用地（用海）面积（m</w:t>
            </w:r>
            <w:r>
              <w:rPr>
                <w:rFonts w:ascii="Times New Roman" w:hAnsi="Times New Roman" w:cs="Times New Roman"/>
                <w:b/>
                <w:bCs/>
                <w:color w:val="auto"/>
                <w:sz w:val="21"/>
                <w:szCs w:val="21"/>
                <w:vertAlign w:val="superscript"/>
                <w:lang w:val="en-US"/>
              </w:rPr>
              <w:t>2</w:t>
            </w:r>
            <w:r>
              <w:rPr>
                <w:rFonts w:ascii="Times New Roman" w:hAnsi="Times New Roman"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14:paraId="4E655D10">
            <w:pPr>
              <w:pStyle w:val="55"/>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w:t>
            </w:r>
            <w:r>
              <w:rPr>
                <w:rFonts w:hint="eastAsia" w:ascii="Times New Roman" w:hAnsi="Times New Roman" w:cs="Times New Roman"/>
                <w:color w:val="auto"/>
                <w:sz w:val="21"/>
                <w:szCs w:val="21"/>
                <w:lang w:val="en-US" w:eastAsia="zh-CN"/>
              </w:rPr>
              <w:t>000</w:t>
            </w:r>
          </w:p>
        </w:tc>
      </w:tr>
      <w:tr w14:paraId="167C9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jc w:val="center"/>
        </w:trPr>
        <w:tc>
          <w:tcPr>
            <w:tcW w:w="1492" w:type="dxa"/>
            <w:tcBorders>
              <w:top w:val="single" w:color="000000" w:sz="4" w:space="0"/>
              <w:bottom w:val="single" w:color="000000" w:sz="4" w:space="0"/>
              <w:right w:val="single" w:color="000000" w:sz="4" w:space="0"/>
            </w:tcBorders>
            <w:vAlign w:val="center"/>
          </w:tcPr>
          <w:p w14:paraId="7C6D9C20">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专项评价设置情况</w:t>
            </w:r>
          </w:p>
        </w:tc>
        <w:tc>
          <w:tcPr>
            <w:tcW w:w="7918" w:type="dxa"/>
            <w:gridSpan w:val="3"/>
            <w:tcBorders>
              <w:top w:val="single" w:color="000000" w:sz="4" w:space="0"/>
              <w:left w:val="single" w:color="000000" w:sz="4" w:space="0"/>
              <w:bottom w:val="single" w:color="000000" w:sz="4" w:space="0"/>
            </w:tcBorders>
            <w:vAlign w:val="center"/>
          </w:tcPr>
          <w:p w14:paraId="140B7462">
            <w:pPr>
              <w:adjustRightInd w:val="0"/>
              <w:snapToGrid w:val="0"/>
              <w:jc w:val="center"/>
              <w:rPr>
                <w:rFonts w:ascii="Times New Roman" w:hAnsi="Times New Roman" w:cs="Times New Roman"/>
                <w:color w:val="auto"/>
                <w:sz w:val="21"/>
                <w:szCs w:val="21"/>
                <w:lang w:val="en-US"/>
              </w:rPr>
            </w:pPr>
            <w:r>
              <w:rPr>
                <w:rFonts w:hint="eastAsia" w:ascii="Times New Roman" w:hAnsi="Times New Roman"/>
                <w:color w:val="auto"/>
                <w:sz w:val="21"/>
                <w:szCs w:val="21"/>
              </w:rPr>
              <w:t>无</w:t>
            </w:r>
          </w:p>
        </w:tc>
      </w:tr>
      <w:tr w14:paraId="31CD0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jc w:val="center"/>
        </w:trPr>
        <w:tc>
          <w:tcPr>
            <w:tcW w:w="1492" w:type="dxa"/>
            <w:tcBorders>
              <w:top w:val="single" w:color="000000" w:sz="4" w:space="0"/>
              <w:bottom w:val="single" w:color="000000" w:sz="4" w:space="0"/>
              <w:right w:val="single" w:color="000000" w:sz="4" w:space="0"/>
            </w:tcBorders>
            <w:vAlign w:val="center"/>
          </w:tcPr>
          <w:p w14:paraId="44D4FF3A">
            <w:pPr>
              <w:pStyle w:val="55"/>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规划情况</w:t>
            </w:r>
          </w:p>
        </w:tc>
        <w:tc>
          <w:tcPr>
            <w:tcW w:w="7918" w:type="dxa"/>
            <w:gridSpan w:val="3"/>
            <w:tcBorders>
              <w:top w:val="single" w:color="000000" w:sz="4" w:space="0"/>
              <w:left w:val="single" w:color="000000" w:sz="4" w:space="0"/>
              <w:bottom w:val="single" w:color="000000" w:sz="4" w:space="0"/>
            </w:tcBorders>
            <w:vAlign w:val="center"/>
          </w:tcPr>
          <w:p w14:paraId="3A50334E">
            <w:pPr>
              <w:spacing w:line="480" w:lineRule="exact"/>
              <w:jc w:val="center"/>
              <w:rPr>
                <w:rFonts w:ascii="Times New Roman" w:hAnsi="Times New Roman" w:cs="Times New Roman"/>
                <w:color w:val="auto"/>
                <w:sz w:val="21"/>
                <w:szCs w:val="21"/>
              </w:rPr>
            </w:pPr>
            <w:r>
              <w:rPr>
                <w:rFonts w:hint="eastAsia" w:ascii="Times New Roman" w:hAnsi="Times New Roman"/>
                <w:color w:val="auto"/>
                <w:sz w:val="21"/>
                <w:szCs w:val="21"/>
              </w:rPr>
              <w:t>无</w:t>
            </w:r>
          </w:p>
        </w:tc>
      </w:tr>
      <w:tr w14:paraId="756E6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1" w:hRule="atLeast"/>
          <w:jc w:val="center"/>
        </w:trPr>
        <w:tc>
          <w:tcPr>
            <w:tcW w:w="1492" w:type="dxa"/>
            <w:tcBorders>
              <w:top w:val="single" w:color="000000" w:sz="4" w:space="0"/>
              <w:bottom w:val="single" w:color="000000" w:sz="4" w:space="0"/>
              <w:right w:val="single" w:color="000000" w:sz="4" w:space="0"/>
            </w:tcBorders>
            <w:vAlign w:val="center"/>
          </w:tcPr>
          <w:p w14:paraId="225265F2">
            <w:pPr>
              <w:pStyle w:val="55"/>
              <w:spacing w:line="243"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规划环境影</w:t>
            </w:r>
          </w:p>
          <w:p w14:paraId="4E1DB7C0">
            <w:pPr>
              <w:pStyle w:val="55"/>
              <w:spacing w:line="243"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响评价情况</w:t>
            </w:r>
          </w:p>
        </w:tc>
        <w:tc>
          <w:tcPr>
            <w:tcW w:w="7918" w:type="dxa"/>
            <w:gridSpan w:val="3"/>
            <w:tcBorders>
              <w:top w:val="single" w:color="000000" w:sz="4" w:space="0"/>
              <w:left w:val="single" w:color="000000" w:sz="4" w:space="0"/>
              <w:bottom w:val="single" w:color="000000" w:sz="4" w:space="0"/>
            </w:tcBorders>
            <w:vAlign w:val="center"/>
          </w:tcPr>
          <w:p w14:paraId="651F1B7C">
            <w:pPr>
              <w:spacing w:line="480" w:lineRule="exact"/>
              <w:jc w:val="center"/>
              <w:rPr>
                <w:rFonts w:ascii="Times New Roman" w:hAnsi="Times New Roman" w:cs="Times New Roman"/>
                <w:color w:val="auto"/>
                <w:sz w:val="21"/>
                <w:szCs w:val="21"/>
              </w:rPr>
            </w:pPr>
            <w:r>
              <w:rPr>
                <w:rFonts w:hint="eastAsia" w:ascii="Times New Roman" w:hAnsi="Times New Roman"/>
                <w:color w:val="auto"/>
                <w:kern w:val="2"/>
                <w:sz w:val="21"/>
                <w:szCs w:val="21"/>
                <w:lang w:val="en-US" w:bidi="ar-SA"/>
              </w:rPr>
              <w:t>无</w:t>
            </w:r>
          </w:p>
        </w:tc>
      </w:tr>
      <w:tr w14:paraId="3E2FA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14:paraId="26D7DF1F">
            <w:pPr>
              <w:pStyle w:val="55"/>
              <w:spacing w:line="245"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规划及规划</w:t>
            </w:r>
          </w:p>
          <w:p w14:paraId="42977B0F">
            <w:pPr>
              <w:pStyle w:val="55"/>
              <w:spacing w:line="245"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环境影响评价</w:t>
            </w:r>
          </w:p>
          <w:p w14:paraId="4858BD46">
            <w:pPr>
              <w:pStyle w:val="55"/>
              <w:spacing w:line="245"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符合性分析</w:t>
            </w:r>
          </w:p>
        </w:tc>
        <w:tc>
          <w:tcPr>
            <w:tcW w:w="7918" w:type="dxa"/>
            <w:gridSpan w:val="3"/>
            <w:tcBorders>
              <w:top w:val="single" w:color="000000" w:sz="4" w:space="0"/>
              <w:left w:val="single" w:color="000000" w:sz="4" w:space="0"/>
              <w:bottom w:val="single" w:color="000000" w:sz="4" w:space="0"/>
            </w:tcBorders>
            <w:vAlign w:val="center"/>
          </w:tcPr>
          <w:p w14:paraId="0F620392">
            <w:pPr>
              <w:spacing w:line="480" w:lineRule="exact"/>
              <w:jc w:val="center"/>
              <w:rPr>
                <w:rFonts w:ascii="Times New Roman" w:hAnsi="Times New Roman" w:cs="Times New Roman"/>
                <w:color w:val="auto"/>
                <w:sz w:val="21"/>
                <w:szCs w:val="21"/>
              </w:rPr>
            </w:pPr>
            <w:r>
              <w:rPr>
                <w:rFonts w:hint="eastAsia" w:ascii="Times New Roman" w:hAnsi="Times New Roman"/>
                <w:color w:val="auto"/>
                <w:kern w:val="2"/>
                <w:sz w:val="21"/>
                <w:szCs w:val="21"/>
                <w:lang w:val="en-US" w:bidi="ar-SA"/>
              </w:rPr>
              <w:t>无</w:t>
            </w:r>
          </w:p>
        </w:tc>
      </w:tr>
      <w:tr w14:paraId="6CCA9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51" w:hRule="atLeast"/>
          <w:jc w:val="center"/>
        </w:trPr>
        <w:tc>
          <w:tcPr>
            <w:tcW w:w="1492" w:type="dxa"/>
            <w:tcBorders>
              <w:top w:val="single" w:color="000000" w:sz="4" w:space="0"/>
              <w:right w:val="single" w:color="000000" w:sz="4" w:space="0"/>
            </w:tcBorders>
            <w:vAlign w:val="center"/>
          </w:tcPr>
          <w:p w14:paraId="448EE73D">
            <w:pPr>
              <w:pStyle w:val="55"/>
              <w:spacing w:before="1"/>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其他符合性分析</w:t>
            </w:r>
          </w:p>
        </w:tc>
        <w:tc>
          <w:tcPr>
            <w:tcW w:w="7918" w:type="dxa"/>
            <w:gridSpan w:val="3"/>
            <w:tcBorders>
              <w:top w:val="single" w:color="000000" w:sz="4" w:space="0"/>
              <w:left w:val="single" w:color="000000" w:sz="4" w:space="0"/>
            </w:tcBorders>
            <w:vAlign w:val="center"/>
          </w:tcPr>
          <w:p w14:paraId="3949EDDF">
            <w:pPr>
              <w:spacing w:line="400" w:lineRule="exact"/>
              <w:ind w:left="110" w:leftChars="50" w:firstLine="422" w:firstLineChars="200"/>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1、产业政策符合性</w:t>
            </w:r>
          </w:p>
          <w:p w14:paraId="64374E44">
            <w:pPr>
              <w:wordWrap w:val="0"/>
              <w:spacing w:line="400" w:lineRule="exact"/>
              <w:ind w:left="110" w:leftChars="50" w:firstLine="420" w:firstLineChars="200"/>
              <w:rPr>
                <w:rFonts w:hint="eastAsia" w:ascii="Times New Roman" w:hAnsi="Times New Roman" w:eastAsia="宋体" w:cs="Times New Roman"/>
                <w:b/>
                <w:bCs/>
                <w:color w:val="auto"/>
                <w:sz w:val="21"/>
                <w:szCs w:val="21"/>
                <w:lang w:eastAsia="zh-CN"/>
              </w:rPr>
            </w:pPr>
            <w:r>
              <w:rPr>
                <w:rFonts w:ascii="Times New Roman" w:hAnsi="Times New Roman" w:cs="Times New Roman"/>
                <w:color w:val="auto"/>
                <w:sz w:val="21"/>
                <w:szCs w:val="21"/>
              </w:rPr>
              <w:t>根据《国民经济行业分类》（GB/T4754-2017）及其修改单，本项目属于</w:t>
            </w:r>
            <w:r>
              <w:rPr>
                <w:rFonts w:hint="eastAsia" w:ascii="Times New Roman" w:hAnsi="Times New Roman" w:cs="Times New Roman"/>
                <w:color w:val="auto"/>
                <w:sz w:val="21"/>
                <w:szCs w:val="21"/>
              </w:rPr>
              <w:t>“</w:t>
            </w:r>
            <w:r>
              <w:rPr>
                <w:rFonts w:hint="default" w:ascii="Times New Roman" w:hAnsi="Times New Roman" w:cs="Times New Roman"/>
                <w:color w:val="auto"/>
                <w:w w:val="100"/>
                <w:sz w:val="21"/>
                <w:szCs w:val="21"/>
                <w:lang w:eastAsia="zh-CN"/>
              </w:rPr>
              <w:t>C2646密封用填料及类似品制造</w:t>
            </w:r>
            <w:r>
              <w:rPr>
                <w:rFonts w:hint="eastAsia" w:ascii="Times New Roman" w:hAnsi="Times New Roman" w:cs="Times New Roman"/>
                <w:color w:val="auto"/>
                <w:sz w:val="21"/>
                <w:szCs w:val="21"/>
              </w:rPr>
              <w:t>”</w:t>
            </w:r>
            <w:r>
              <w:rPr>
                <w:rFonts w:ascii="Times New Roman" w:hAnsi="Times New Roman" w:cs="Times New Roman"/>
                <w:color w:val="auto"/>
                <w:sz w:val="21"/>
                <w:szCs w:val="21"/>
              </w:rPr>
              <w:t>，对照《产业结构调整指导目录（</w:t>
            </w:r>
            <w:r>
              <w:rPr>
                <w:rFonts w:hint="eastAsia" w:ascii="Times New Roman" w:hAnsi="Times New Roman" w:cs="Times New Roman"/>
                <w:color w:val="auto"/>
                <w:sz w:val="21"/>
                <w:szCs w:val="21"/>
                <w:lang w:val="en-US"/>
              </w:rPr>
              <w:t>202</w:t>
            </w:r>
            <w:r>
              <w:rPr>
                <w:rFonts w:hint="eastAsia" w:ascii="Times New Roman" w:hAnsi="Times New Roman" w:cs="Times New Roman"/>
                <w:color w:val="auto"/>
                <w:sz w:val="21"/>
                <w:szCs w:val="21"/>
                <w:lang w:val="en-US" w:eastAsia="zh-CN"/>
              </w:rPr>
              <w:t>4</w:t>
            </w:r>
            <w:r>
              <w:rPr>
                <w:rFonts w:ascii="Times New Roman" w:hAnsi="Times New Roman" w:cs="Times New Roman"/>
                <w:color w:val="auto"/>
                <w:sz w:val="21"/>
                <w:szCs w:val="21"/>
              </w:rPr>
              <w:t>年本）》，本项目不属于名录中限制及淘汰类项目，属于允许类。</w:t>
            </w:r>
            <w:r>
              <w:rPr>
                <w:rFonts w:hint="default" w:ascii="Times New Roman" w:hAnsi="Times New Roman" w:cs="Times New Roman"/>
                <w:color w:val="auto"/>
                <w:kern w:val="0"/>
                <w:sz w:val="21"/>
                <w:szCs w:val="21"/>
                <w:lang w:val="en-US" w:bidi="ar-SA"/>
              </w:rPr>
              <w:t>根据《环境保护综合名录》（2021年版），本项目不涉及名录中所列“高污染、高环境风险”产品</w:t>
            </w:r>
            <w:r>
              <w:rPr>
                <w:rFonts w:hint="default" w:ascii="Times New Roman" w:hAnsi="Times New Roman" w:cs="Times New Roman"/>
                <w:color w:val="auto"/>
                <w:kern w:val="0"/>
                <w:sz w:val="21"/>
                <w:szCs w:val="21"/>
                <w:lang w:val="en-US" w:eastAsia="zh-CN" w:bidi="ar-SA"/>
              </w:rPr>
              <w:t>，</w:t>
            </w:r>
            <w:r>
              <w:rPr>
                <w:rFonts w:ascii="Times New Roman" w:hAnsi="Times New Roman" w:cs="Times New Roman"/>
                <w:color w:val="auto"/>
                <w:sz w:val="21"/>
                <w:szCs w:val="21"/>
              </w:rPr>
              <w:t>且不属于《市场准入负面清单》（202</w:t>
            </w:r>
            <w:r>
              <w:rPr>
                <w:rFonts w:hint="eastAsia" w:ascii="Times New Roman" w:hAnsi="Times New Roman" w:cs="Times New Roman"/>
                <w:color w:val="auto"/>
                <w:sz w:val="21"/>
                <w:szCs w:val="21"/>
                <w:lang w:val="en-US" w:eastAsia="zh-CN"/>
              </w:rPr>
              <w:t>5</w:t>
            </w:r>
            <w:r>
              <w:rPr>
                <w:rFonts w:ascii="Times New Roman" w:hAnsi="Times New Roman" w:cs="Times New Roman"/>
                <w:color w:val="auto"/>
                <w:sz w:val="21"/>
                <w:szCs w:val="21"/>
              </w:rPr>
              <w:t>年）中禁止类项目，属于市场准入负面清单以外的行业、领域、业务等，市场主体可依法平等进入。</w:t>
            </w:r>
            <w:r>
              <w:rPr>
                <w:rFonts w:hint="eastAsia" w:ascii="Times New Roman" w:hAnsi="Times New Roman" w:cs="Times New Roman"/>
                <w:color w:val="auto"/>
                <w:sz w:val="21"/>
                <w:szCs w:val="21"/>
                <w:lang w:val="en-US" w:eastAsia="zh-CN"/>
              </w:rPr>
              <w:t>项目已在魏县行政审批局备案，备案编号为：魏审批备字</w:t>
            </w:r>
            <w:r>
              <w:rPr>
                <w:rFonts w:hint="default" w:ascii="Times New Roman" w:hAnsi="Times New Roman" w:cs="Times New Roman"/>
                <w:color w:val="auto"/>
                <w:sz w:val="21"/>
                <w:szCs w:val="21"/>
                <w:lang w:eastAsia="zh-CN"/>
              </w:rPr>
              <w:t>〔20</w:t>
            </w:r>
            <w:r>
              <w:rPr>
                <w:rFonts w:hint="eastAsia" w:ascii="Times New Roman" w:hAnsi="Times New Roman" w:cs="Times New Roman"/>
                <w:color w:val="auto"/>
                <w:sz w:val="21"/>
                <w:szCs w:val="21"/>
                <w:lang w:val="en-US" w:eastAsia="zh-CN"/>
              </w:rPr>
              <w:t>25</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692</w:t>
            </w:r>
            <w:r>
              <w:rPr>
                <w:rFonts w:hint="default" w:ascii="Times New Roman" w:hAnsi="Times New Roman" w:cs="Times New Roman"/>
                <w:color w:val="auto"/>
                <w:sz w:val="21"/>
                <w:szCs w:val="21"/>
                <w:lang w:eastAsia="zh-CN"/>
              </w:rPr>
              <w:t>号</w:t>
            </w:r>
            <w:r>
              <w:rPr>
                <w:rFonts w:hint="eastAsia" w:ascii="Times New Roman" w:hAnsi="Times New Roman" w:cs="Times New Roman"/>
                <w:color w:val="auto"/>
                <w:sz w:val="21"/>
                <w:szCs w:val="21"/>
                <w:lang w:val="en-US" w:eastAsia="zh-CN"/>
              </w:rPr>
              <w:t>。</w:t>
            </w:r>
          </w:p>
          <w:p w14:paraId="38C260C5">
            <w:pPr>
              <w:wordWrap w:val="0"/>
              <w:spacing w:line="400" w:lineRule="exact"/>
              <w:ind w:left="110" w:leftChars="50" w:firstLine="422"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rPr>
              <w:t>综上，本项目建设符合国家和地方产业政策要求。</w:t>
            </w:r>
          </w:p>
          <w:p w14:paraId="140725C8">
            <w:pPr>
              <w:pStyle w:val="55"/>
              <w:spacing w:line="400" w:lineRule="exact"/>
              <w:ind w:firstLine="422"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“三线一单”符合性分析</w:t>
            </w:r>
          </w:p>
          <w:p w14:paraId="714136AE">
            <w:pPr>
              <w:widowControl/>
              <w:autoSpaceDE/>
              <w:autoSpaceDN/>
              <w:spacing w:line="400" w:lineRule="exact"/>
              <w:ind w:firstLine="422" w:firstLineChars="200"/>
              <w:rPr>
                <w:rFonts w:ascii="Times New Roman" w:hAnsi="Times New Roman" w:cs="Times New Roman"/>
                <w:b/>
                <w:bCs/>
                <w:color w:val="auto"/>
                <w:kern w:val="2"/>
                <w:sz w:val="21"/>
                <w:szCs w:val="21"/>
                <w:lang w:val="en-US" w:bidi="ar-SA"/>
              </w:rPr>
            </w:pPr>
            <w:r>
              <w:rPr>
                <w:rFonts w:hint="eastAsia" w:ascii="Times New Roman" w:hAnsi="Times New Roman" w:cs="Times New Roman"/>
                <w:b/>
                <w:bCs/>
                <w:color w:val="auto"/>
                <w:kern w:val="2"/>
                <w:sz w:val="21"/>
                <w:szCs w:val="21"/>
                <w:lang w:val="en-US" w:bidi="ar-SA"/>
              </w:rPr>
              <w:t>1）</w:t>
            </w:r>
            <w:r>
              <w:rPr>
                <w:rFonts w:ascii="Times New Roman" w:hAnsi="Times New Roman" w:cs="Times New Roman"/>
                <w:b/>
                <w:bCs/>
                <w:color w:val="auto"/>
                <w:kern w:val="2"/>
                <w:sz w:val="21"/>
                <w:szCs w:val="21"/>
                <w:lang w:val="en-US" w:bidi="ar-SA"/>
              </w:rPr>
              <w:t>项目与《河北省人民政府关于加快实施“三线一单”生态环境分区管控的意见》(冀政字[2020]71号)的符合性</w:t>
            </w:r>
          </w:p>
          <w:p w14:paraId="6DDBA6EC">
            <w:pPr>
              <w:adjustRightInd w:val="0"/>
              <w:snapToGrid w:val="0"/>
              <w:spacing w:line="400" w:lineRule="exact"/>
              <w:ind w:firstLine="420" w:firstLineChars="200"/>
              <w:jc w:val="both"/>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1"/>
                <w:szCs w:val="21"/>
                <w:lang w:val="en-US" w:bidi="ar-SA"/>
              </w:rPr>
              <w:t>本项目与《河北省人民政府关于加快实施</w:t>
            </w:r>
            <w:r>
              <w:rPr>
                <w:rFonts w:hint="eastAsia" w:cs="Times New Roman"/>
                <w:color w:val="auto"/>
                <w:kern w:val="2"/>
                <w:sz w:val="21"/>
                <w:szCs w:val="21"/>
                <w:lang w:val="en-US" w:bidi="ar-SA"/>
              </w:rPr>
              <w:t>“</w:t>
            </w:r>
            <w:r>
              <w:rPr>
                <w:rFonts w:ascii="Times New Roman" w:hAnsi="Times New Roman" w:cs="Times New Roman"/>
                <w:color w:val="auto"/>
                <w:kern w:val="2"/>
                <w:sz w:val="21"/>
                <w:szCs w:val="21"/>
                <w:lang w:val="en-US" w:bidi="ar-SA"/>
              </w:rPr>
              <w:t>三线一单</w:t>
            </w:r>
            <w:r>
              <w:rPr>
                <w:rFonts w:hint="eastAsia" w:cs="Times New Roman"/>
                <w:color w:val="auto"/>
                <w:kern w:val="2"/>
                <w:sz w:val="21"/>
                <w:szCs w:val="21"/>
                <w:lang w:val="en-US" w:bidi="ar-SA"/>
              </w:rPr>
              <w:t>”</w:t>
            </w:r>
            <w:r>
              <w:rPr>
                <w:rFonts w:ascii="Times New Roman" w:hAnsi="Times New Roman" w:cs="Times New Roman"/>
                <w:color w:val="auto"/>
                <w:kern w:val="2"/>
                <w:sz w:val="21"/>
                <w:szCs w:val="21"/>
                <w:lang w:val="en-US" w:bidi="ar-SA"/>
              </w:rPr>
              <w:t>生态环境分区管控的意见》(冀政字[2020]71号)的符合性分析见表。</w:t>
            </w:r>
          </w:p>
          <w:p w14:paraId="1E9F935D">
            <w:pPr>
              <w:tabs>
                <w:tab w:val="right" w:leader="dot" w:pos="8300"/>
              </w:tabs>
              <w:autoSpaceDE/>
              <w:autoSpaceDN/>
              <w:spacing w:line="240" w:lineRule="exact"/>
              <w:ind w:left="220" w:leftChars="10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表</w:t>
            </w:r>
            <w:r>
              <w:rPr>
                <w:rFonts w:hint="eastAsia" w:ascii="Times New Roman" w:hAnsi="Times New Roman" w:cs="Times New Roman"/>
                <w:b/>
                <w:bCs/>
                <w:color w:val="auto"/>
                <w:kern w:val="2"/>
                <w:sz w:val="21"/>
                <w:szCs w:val="21"/>
                <w:lang w:val="en-US" w:bidi="ar-SA"/>
              </w:rPr>
              <w:t>1.1</w:t>
            </w:r>
            <w:r>
              <w:rPr>
                <w:rFonts w:ascii="Times New Roman" w:hAnsi="Times New Roman" w:cs="Times New Roman"/>
                <w:b/>
                <w:bCs/>
                <w:color w:val="auto"/>
                <w:kern w:val="2"/>
                <w:sz w:val="21"/>
                <w:szCs w:val="21"/>
                <w:lang w:val="en-US" w:bidi="ar-SA"/>
              </w:rPr>
              <w:t xml:space="preserve"> </w:t>
            </w:r>
            <w:r>
              <w:rPr>
                <w:rFonts w:hint="eastAsia" w:ascii="Times New Roman" w:hAnsi="Times New Roman" w:cs="Times New Roman"/>
                <w:b/>
                <w:bCs/>
                <w:color w:val="auto"/>
                <w:kern w:val="2"/>
                <w:sz w:val="21"/>
                <w:szCs w:val="21"/>
                <w:lang w:val="en-US" w:bidi="ar-SA"/>
              </w:rPr>
              <w:t xml:space="preserve"> </w:t>
            </w:r>
            <w:r>
              <w:rPr>
                <w:rFonts w:ascii="Times New Roman" w:hAnsi="Times New Roman" w:cs="Times New Roman"/>
                <w:b/>
                <w:bCs/>
                <w:color w:val="auto"/>
                <w:kern w:val="2"/>
                <w:sz w:val="21"/>
                <w:szCs w:val="21"/>
                <w:lang w:val="en-US" w:bidi="ar-SA"/>
              </w:rPr>
              <w:t>本项目与河北省“三线一单”对比结果一览表</w:t>
            </w:r>
          </w:p>
          <w:tbl>
            <w:tblPr>
              <w:tblStyle w:val="35"/>
              <w:tblW w:w="486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3247"/>
              <w:gridCol w:w="2633"/>
              <w:gridCol w:w="890"/>
            </w:tblGrid>
            <w:tr w14:paraId="66BD33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l2br w:val="nil"/>
                    <w:tr2bl w:val="nil"/>
                  </w:tcBorders>
                  <w:vAlign w:val="center"/>
                </w:tcPr>
                <w:p w14:paraId="6AE5125A">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分类</w:t>
                  </w:r>
                </w:p>
              </w:tc>
              <w:tc>
                <w:tcPr>
                  <w:tcW w:w="2112" w:type="pct"/>
                  <w:tcBorders>
                    <w:tl2br w:val="nil"/>
                    <w:tr2bl w:val="nil"/>
                  </w:tcBorders>
                  <w:vAlign w:val="center"/>
                </w:tcPr>
                <w:p w14:paraId="70FDF00B">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管控要求</w:t>
                  </w:r>
                </w:p>
              </w:tc>
              <w:tc>
                <w:tcPr>
                  <w:tcW w:w="1712" w:type="pct"/>
                  <w:tcBorders>
                    <w:tl2br w:val="nil"/>
                    <w:tr2bl w:val="nil"/>
                  </w:tcBorders>
                  <w:vAlign w:val="center"/>
                </w:tcPr>
                <w:p w14:paraId="58EEBED2">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本项目</w:t>
                  </w:r>
                </w:p>
              </w:tc>
              <w:tc>
                <w:tcPr>
                  <w:tcW w:w="578" w:type="pct"/>
                  <w:tcBorders>
                    <w:tl2br w:val="nil"/>
                    <w:tr2bl w:val="nil"/>
                  </w:tcBorders>
                  <w:vAlign w:val="center"/>
                </w:tcPr>
                <w:p w14:paraId="5A1B5C9F">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符合性</w:t>
                  </w:r>
                </w:p>
              </w:tc>
            </w:tr>
            <w:tr w14:paraId="1E1B7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95" w:type="pct"/>
                  <w:tcBorders>
                    <w:tl2br w:val="nil"/>
                    <w:tr2bl w:val="nil"/>
                  </w:tcBorders>
                  <w:vAlign w:val="center"/>
                </w:tcPr>
                <w:p w14:paraId="037CED3A">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生态保护红线</w:t>
                  </w:r>
                </w:p>
              </w:tc>
              <w:tc>
                <w:tcPr>
                  <w:tcW w:w="2112" w:type="pct"/>
                  <w:tcBorders>
                    <w:tl2br w:val="nil"/>
                    <w:tr2bl w:val="nil"/>
                  </w:tcBorders>
                  <w:vAlign w:val="center"/>
                </w:tcPr>
                <w:p w14:paraId="6AA58869">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重要生态功能区域生态功能不降低、面积不减少、性质不改变。</w:t>
                  </w:r>
                </w:p>
              </w:tc>
              <w:tc>
                <w:tcPr>
                  <w:tcW w:w="1712" w:type="pct"/>
                  <w:tcBorders>
                    <w:tl2br w:val="nil"/>
                    <w:tr2bl w:val="nil"/>
                  </w:tcBorders>
                  <w:vAlign w:val="center"/>
                </w:tcPr>
                <w:p w14:paraId="6B6F02C7">
                  <w:pPr>
                    <w:autoSpaceDE/>
                    <w:autoSpaceDN/>
                    <w:adjustRightInd w:val="0"/>
                    <w:snapToGrid w:val="0"/>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本项目</w:t>
                  </w:r>
                  <w:r>
                    <w:rPr>
                      <w:rFonts w:ascii="Times New Roman" w:hAnsi="Times New Roman" w:cs="Times New Roman"/>
                      <w:color w:val="auto"/>
                      <w:kern w:val="2"/>
                      <w:sz w:val="21"/>
                      <w:szCs w:val="21"/>
                      <w:lang w:val="en-US" w:bidi="ar-SA"/>
                    </w:rPr>
                    <w:t>占</w:t>
                  </w:r>
                  <w:r>
                    <w:rPr>
                      <w:rFonts w:ascii="Times New Roman" w:hAnsi="Times New Roman" w:cs="Times New Roman"/>
                      <w:color w:val="auto"/>
                      <w:kern w:val="2"/>
                      <w:sz w:val="21"/>
                      <w:szCs w:val="24"/>
                      <w:lang w:val="en-US" w:bidi="ar-SA"/>
                    </w:rPr>
                    <w:t>地为</w:t>
                  </w:r>
                  <w:r>
                    <w:rPr>
                      <w:rFonts w:hint="eastAsia" w:ascii="Times New Roman" w:hAnsi="Times New Roman" w:cs="Times New Roman"/>
                      <w:color w:val="auto"/>
                      <w:kern w:val="2"/>
                      <w:sz w:val="21"/>
                      <w:szCs w:val="24"/>
                      <w:lang w:val="en-US" w:eastAsia="zh-CN" w:bidi="ar-SA"/>
                    </w:rPr>
                    <w:t>工业用地</w:t>
                  </w:r>
                  <w:r>
                    <w:rPr>
                      <w:rFonts w:ascii="Times New Roman" w:hAnsi="Times New Roman" w:cs="Times New Roman"/>
                      <w:color w:val="auto"/>
                      <w:kern w:val="2"/>
                      <w:sz w:val="21"/>
                      <w:szCs w:val="24"/>
                      <w:lang w:val="en-US" w:bidi="ar-SA"/>
                    </w:rPr>
                    <w:t>，占地范围不涉及各类生态保护红线。</w:t>
                  </w:r>
                </w:p>
              </w:tc>
              <w:tc>
                <w:tcPr>
                  <w:tcW w:w="578" w:type="pct"/>
                  <w:tcBorders>
                    <w:tl2br w:val="nil"/>
                    <w:tr2bl w:val="nil"/>
                  </w:tcBorders>
                  <w:vAlign w:val="center"/>
                </w:tcPr>
                <w:p w14:paraId="1CCA75F2">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w:t>
                  </w:r>
                </w:p>
              </w:tc>
            </w:tr>
            <w:tr w14:paraId="192387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l2br w:val="nil"/>
                    <w:tr2bl w:val="nil"/>
                  </w:tcBorders>
                  <w:vAlign w:val="center"/>
                </w:tcPr>
                <w:p w14:paraId="1F92DE3E">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环境质量底线</w:t>
                  </w:r>
                </w:p>
              </w:tc>
              <w:tc>
                <w:tcPr>
                  <w:tcW w:w="2112" w:type="pct"/>
                  <w:tcBorders>
                    <w:tl2br w:val="nil"/>
                    <w:tr2bl w:val="nil"/>
                  </w:tcBorders>
                  <w:vAlign w:val="center"/>
                </w:tcPr>
                <w:p w14:paraId="6064B8D4">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到2025年，地表水国考断面优良(Ⅲ类以上)比例、近岸海域优良海水比例逐步提升；空气中PM</w:t>
                  </w:r>
                  <w:r>
                    <w:rPr>
                      <w:rFonts w:ascii="Times New Roman" w:hAnsi="Times New Roman" w:cs="Times New Roman"/>
                      <w:color w:val="auto"/>
                      <w:kern w:val="2"/>
                      <w:sz w:val="21"/>
                      <w:szCs w:val="24"/>
                      <w:vertAlign w:val="subscript"/>
                      <w:lang w:val="en-US" w:bidi="ar-SA"/>
                    </w:rPr>
                    <w:t>2.5</w:t>
                  </w:r>
                  <w:r>
                    <w:rPr>
                      <w:rFonts w:ascii="Times New Roman" w:hAnsi="Times New Roman" w:cs="Times New Roman"/>
                      <w:color w:val="auto"/>
                      <w:kern w:val="2"/>
                      <w:sz w:val="21"/>
                      <w:szCs w:val="24"/>
                      <w:lang w:val="en-US" w:bidi="ar-SA"/>
                    </w:rPr>
                    <w:t>年均浓度持续降低、优良天数比例稳步提升；土壤受污染耕地安全利用率、污染地块安全利用率进一步提升。</w:t>
                  </w:r>
                </w:p>
              </w:tc>
              <w:tc>
                <w:tcPr>
                  <w:tcW w:w="1712" w:type="pct"/>
                  <w:tcBorders>
                    <w:tl2br w:val="nil"/>
                    <w:tr2bl w:val="nil"/>
                  </w:tcBorders>
                  <w:vAlign w:val="center"/>
                </w:tcPr>
                <w:p w14:paraId="131381B9">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kern w:val="2"/>
                      <w:sz w:val="21"/>
                      <w:szCs w:val="24"/>
                      <w:lang w:val="en-US" w:bidi="ar-SA"/>
                    </w:rPr>
                    <w:t>本项目</w:t>
                  </w:r>
                  <w:r>
                    <w:rPr>
                      <w:rFonts w:hint="eastAsia" w:ascii="Times New Roman" w:hAnsi="Times New Roman" w:cs="Times New Roman"/>
                      <w:color w:val="auto"/>
                      <w:kern w:val="2"/>
                      <w:sz w:val="21"/>
                      <w:szCs w:val="24"/>
                      <w:lang w:val="en-US" w:eastAsia="zh-CN" w:bidi="ar-SA"/>
                    </w:rPr>
                    <w:t>冷却水循环使用，</w:t>
                  </w:r>
                  <w:r>
                    <w:rPr>
                      <w:rFonts w:hint="eastAsia" w:ascii="Times New Roman" w:hAnsi="Times New Roman" w:cs="Times New Roman"/>
                      <w:color w:val="auto"/>
                      <w:kern w:val="2"/>
                      <w:sz w:val="21"/>
                      <w:szCs w:val="24"/>
                      <w:lang w:val="en-US" w:bidi="ar-SA"/>
                    </w:rPr>
                    <w:t>生活污水</w:t>
                  </w:r>
                  <w:r>
                    <w:rPr>
                      <w:rFonts w:hint="eastAsia" w:ascii="Times New Roman" w:hAnsi="Times New Roman" w:cs="Times New Roman"/>
                      <w:color w:val="auto"/>
                      <w:kern w:val="2"/>
                      <w:sz w:val="21"/>
                      <w:szCs w:val="24"/>
                      <w:lang w:val="en-US" w:eastAsia="zh-CN" w:bidi="ar-SA"/>
                    </w:rPr>
                    <w:t>泼洒抑尘，厂区设防渗旱厕定期清掏，不外排</w:t>
                  </w:r>
                  <w:r>
                    <w:rPr>
                      <w:rFonts w:hint="eastAsia" w:ascii="Times New Roman" w:hAnsi="Times New Roman" w:cs="Times New Roman"/>
                      <w:color w:val="auto"/>
                      <w:kern w:val="2"/>
                      <w:sz w:val="21"/>
                      <w:szCs w:val="24"/>
                      <w:lang w:val="en-US" w:bidi="ar-SA"/>
                    </w:rPr>
                    <w:t>；废气经处理后均达标排放。项目占地为</w:t>
                  </w:r>
                  <w:r>
                    <w:rPr>
                      <w:rFonts w:hint="eastAsia" w:cs="Times New Roman"/>
                      <w:color w:val="auto"/>
                      <w:sz w:val="21"/>
                      <w:szCs w:val="21"/>
                    </w:rPr>
                    <w:t>建设用地</w:t>
                  </w:r>
                  <w:r>
                    <w:rPr>
                      <w:rFonts w:hint="eastAsia" w:ascii="Times New Roman" w:hAnsi="Times New Roman" w:cs="Times New Roman"/>
                      <w:color w:val="auto"/>
                      <w:kern w:val="2"/>
                      <w:sz w:val="21"/>
                      <w:szCs w:val="24"/>
                      <w:lang w:val="en-US" w:bidi="ar-SA"/>
                    </w:rPr>
                    <w:t>，符合环境质量底线要求。</w:t>
                  </w:r>
                </w:p>
              </w:tc>
              <w:tc>
                <w:tcPr>
                  <w:tcW w:w="578" w:type="pct"/>
                  <w:tcBorders>
                    <w:tl2br w:val="nil"/>
                    <w:tr2bl w:val="nil"/>
                  </w:tcBorders>
                  <w:vAlign w:val="center"/>
                </w:tcPr>
                <w:p w14:paraId="6E644E7A">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w:t>
                  </w:r>
                </w:p>
              </w:tc>
            </w:tr>
            <w:tr w14:paraId="4C8FF7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l2br w:val="nil"/>
                    <w:tr2bl w:val="nil"/>
                  </w:tcBorders>
                  <w:vAlign w:val="center"/>
                </w:tcPr>
                <w:p w14:paraId="0324136F">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资源利用上限</w:t>
                  </w:r>
                </w:p>
              </w:tc>
              <w:tc>
                <w:tcPr>
                  <w:tcW w:w="2112" w:type="pct"/>
                  <w:tcBorders>
                    <w:tl2br w:val="nil"/>
                    <w:tr2bl w:val="nil"/>
                  </w:tcBorders>
                  <w:vAlign w:val="center"/>
                </w:tcPr>
                <w:p w14:paraId="1A0A30BD">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1、以保障生态安全、改善环境质量为核心，合理确定全省资源利用上线目标，实现水资源与水环境、能源与大气环境、岸线与海洋环境的协同管控。</w:t>
                  </w:r>
                </w:p>
                <w:p w14:paraId="13FC8AF9">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2、到2035年，广泛形成绿色生产生活方式，生态环境根本转变，建成蓝天、碧水、净土的美丽河北。</w:t>
                  </w:r>
                </w:p>
              </w:tc>
              <w:tc>
                <w:tcPr>
                  <w:tcW w:w="1712" w:type="pct"/>
                  <w:tcBorders>
                    <w:tl2br w:val="nil"/>
                    <w:tr2bl w:val="nil"/>
                  </w:tcBorders>
                  <w:vAlign w:val="center"/>
                </w:tcPr>
                <w:p w14:paraId="5A6C2170">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sz w:val="21"/>
                      <w:szCs w:val="21"/>
                    </w:rPr>
                    <w:t>项目产品生产所需的原辅材料外购，供水、供电均由</w:t>
                  </w:r>
                  <w:r>
                    <w:rPr>
                      <w:rFonts w:hint="eastAsia" w:ascii="Times New Roman" w:hAnsi="Times New Roman" w:cs="Times New Roman"/>
                      <w:color w:val="auto"/>
                      <w:sz w:val="21"/>
                      <w:szCs w:val="21"/>
                    </w:rPr>
                    <w:t>当地管网</w:t>
                  </w:r>
                  <w:r>
                    <w:rPr>
                      <w:rFonts w:ascii="Times New Roman" w:hAnsi="Times New Roman" w:cs="Times New Roman"/>
                      <w:color w:val="auto"/>
                      <w:sz w:val="21"/>
                      <w:szCs w:val="21"/>
                    </w:rPr>
                    <w:t>供给，项目原料、水、电供应充足，生产过程节约用电，最大的减少物耗、能耗</w:t>
                  </w:r>
                  <w:r>
                    <w:rPr>
                      <w:rFonts w:hint="eastAsia" w:ascii="Times New Roman" w:hAnsi="Times New Roman" w:cs="Times New Roman"/>
                      <w:color w:val="auto"/>
                      <w:sz w:val="21"/>
                      <w:szCs w:val="21"/>
                    </w:rPr>
                    <w:t>。</w:t>
                  </w:r>
                </w:p>
              </w:tc>
              <w:tc>
                <w:tcPr>
                  <w:tcW w:w="578" w:type="pct"/>
                  <w:tcBorders>
                    <w:tl2br w:val="nil"/>
                    <w:tr2bl w:val="nil"/>
                  </w:tcBorders>
                  <w:vAlign w:val="center"/>
                </w:tcPr>
                <w:p w14:paraId="014B9B42">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w:t>
                  </w:r>
                </w:p>
              </w:tc>
            </w:tr>
            <w:tr w14:paraId="364B0E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5" w:type="pct"/>
                  <w:tcBorders>
                    <w:tl2br w:val="nil"/>
                    <w:tr2bl w:val="nil"/>
                  </w:tcBorders>
                  <w:vAlign w:val="center"/>
                </w:tcPr>
                <w:p w14:paraId="4A06E51A">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生态环境管控总体要求</w:t>
                  </w:r>
                </w:p>
              </w:tc>
              <w:tc>
                <w:tcPr>
                  <w:tcW w:w="2112" w:type="pct"/>
                  <w:tcBorders>
                    <w:tl2br w:val="nil"/>
                    <w:tr2bl w:val="nil"/>
                  </w:tcBorders>
                  <w:vAlign w:val="center"/>
                </w:tcPr>
                <w:p w14:paraId="05900126">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优先保护单元：严格落实生态保护红线管理要求，除有限人为活动外，依法依规禁止其他城镇和建设活动。一般生态空间突出生态保护，严禁不符合主体功能定位的各类开发活动，严禁任意改变用途。重大引水工程、白洋淀入淀河流两侧范围严格执行引调水工程等相关法律规定。</w:t>
                  </w:r>
                </w:p>
                <w:p w14:paraId="0088B519">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重点管控单元：省级以上产业园区重点管控单元。严格产业准入，完善园区设施建设，推动设施提标改造；实施污染物总量控制，落实排污许可证制度；强化资源利用效率和地下水开采管控。</w:t>
                  </w:r>
                </w:p>
                <w:p w14:paraId="17982C98">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一般管控单元：严格执行国家和省关于产业准入、总量控制和污染物排放标准等管控要求。</w:t>
                  </w:r>
                </w:p>
              </w:tc>
              <w:tc>
                <w:tcPr>
                  <w:tcW w:w="1712" w:type="pct"/>
                  <w:tcBorders>
                    <w:tl2br w:val="nil"/>
                    <w:tr2bl w:val="nil"/>
                  </w:tcBorders>
                  <w:vAlign w:val="center"/>
                </w:tcPr>
                <w:p w14:paraId="43F372A6">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sz w:val="21"/>
                      <w:szCs w:val="21"/>
                      <w:lang w:val="en-US"/>
                    </w:rPr>
                    <w:t>本项目位于</w:t>
                  </w:r>
                  <w:r>
                    <w:rPr>
                      <w:rFonts w:hint="eastAsia" w:ascii="Times New Roman" w:hAnsi="Times New Roman" w:cs="Times New Roman"/>
                      <w:color w:val="auto"/>
                      <w:sz w:val="21"/>
                      <w:szCs w:val="21"/>
                      <w:lang w:val="en-US"/>
                    </w:rPr>
                    <w:t>河北省邯郸市魏县</w:t>
                  </w:r>
                  <w:r>
                    <w:rPr>
                      <w:rFonts w:hint="eastAsia" w:ascii="Times New Roman" w:hAnsi="Times New Roman" w:cs="Times New Roman"/>
                      <w:color w:val="auto"/>
                      <w:sz w:val="21"/>
                      <w:szCs w:val="21"/>
                      <w:lang w:val="en-US" w:eastAsia="zh-CN"/>
                    </w:rPr>
                    <w:t>回隆镇南街西村平安南路路北</w:t>
                  </w:r>
                  <w:r>
                    <w:rPr>
                      <w:rFonts w:hint="eastAsia" w:ascii="Times New Roman" w:hAnsi="Times New Roman" w:cs="Times New Roman"/>
                      <w:color w:val="auto"/>
                      <w:sz w:val="21"/>
                      <w:szCs w:val="21"/>
                      <w:lang w:val="en-US"/>
                    </w:rPr>
                    <w:t>，所在单元类别为一般管控单元</w:t>
                  </w:r>
                  <w:r>
                    <w:rPr>
                      <w:rFonts w:ascii="Times New Roman" w:hAnsi="Times New Roman" w:cs="Times New Roman"/>
                      <w:color w:val="auto"/>
                      <w:kern w:val="2"/>
                      <w:sz w:val="21"/>
                      <w:szCs w:val="24"/>
                      <w:lang w:val="en-US" w:bidi="ar-SA"/>
                    </w:rPr>
                    <w:t>。</w:t>
                  </w:r>
                </w:p>
              </w:tc>
              <w:tc>
                <w:tcPr>
                  <w:tcW w:w="578" w:type="pct"/>
                  <w:tcBorders>
                    <w:tl2br w:val="nil"/>
                    <w:tr2bl w:val="nil"/>
                  </w:tcBorders>
                  <w:vAlign w:val="center"/>
                </w:tcPr>
                <w:p w14:paraId="6D822ED2">
                  <w:pPr>
                    <w:autoSpaceDE/>
                    <w:autoSpaceDN/>
                    <w:jc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kern w:val="2"/>
                      <w:sz w:val="21"/>
                      <w:szCs w:val="24"/>
                      <w:lang w:val="en-US" w:bidi="ar-SA"/>
                    </w:rPr>
                    <w:t>符合</w:t>
                  </w:r>
                </w:p>
              </w:tc>
            </w:tr>
          </w:tbl>
          <w:p w14:paraId="787DC08E">
            <w:pPr>
              <w:spacing w:line="400" w:lineRule="exact"/>
              <w:ind w:left="110" w:leftChars="50"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由上表分析可知，本项目符合河北省“三线一单”相关要求</w:t>
            </w:r>
            <w:r>
              <w:rPr>
                <w:rFonts w:hint="eastAsia" w:ascii="Times New Roman" w:hAnsi="Times New Roman" w:cs="Times New Roman"/>
                <w:color w:val="auto"/>
                <w:kern w:val="2"/>
                <w:sz w:val="21"/>
                <w:szCs w:val="21"/>
                <w:lang w:val="en-US" w:bidi="ar-SA"/>
              </w:rPr>
              <w:t>。</w:t>
            </w:r>
          </w:p>
          <w:p w14:paraId="0B510804">
            <w:pPr>
              <w:spacing w:line="400" w:lineRule="exact"/>
              <w:ind w:left="110" w:leftChars="50" w:firstLine="422" w:firstLineChars="200"/>
              <w:jc w:val="both"/>
              <w:rPr>
                <w:rFonts w:ascii="Times New Roman" w:hAnsi="Times New Roman" w:cs="Times New Roman"/>
                <w:b/>
                <w:bCs/>
                <w:color w:val="auto"/>
                <w:kern w:val="2"/>
                <w:sz w:val="21"/>
                <w:szCs w:val="21"/>
                <w:lang w:val="en-US" w:bidi="ar-SA"/>
              </w:rPr>
            </w:pPr>
            <w:r>
              <w:rPr>
                <w:rFonts w:hint="eastAsia" w:ascii="Times New Roman" w:hAnsi="Times New Roman" w:cs="Times New Roman"/>
                <w:b/>
                <w:bCs/>
                <w:color w:val="auto"/>
                <w:kern w:val="2"/>
                <w:sz w:val="21"/>
                <w:szCs w:val="21"/>
                <w:lang w:val="en-US" w:bidi="ar-SA"/>
              </w:rPr>
              <w:t>2）《邯郸市生态环境准入清单（202</w:t>
            </w:r>
            <w:r>
              <w:rPr>
                <w:rFonts w:hint="eastAsia" w:ascii="Times New Roman" w:hAnsi="Times New Roman" w:cs="Times New Roman"/>
                <w:b/>
                <w:bCs/>
                <w:color w:val="auto"/>
                <w:kern w:val="2"/>
                <w:sz w:val="21"/>
                <w:szCs w:val="21"/>
                <w:lang w:val="en-US" w:eastAsia="zh-CN" w:bidi="ar-SA"/>
              </w:rPr>
              <w:t>5</w:t>
            </w:r>
            <w:r>
              <w:rPr>
                <w:rFonts w:hint="eastAsia" w:ascii="Times New Roman" w:hAnsi="Times New Roman" w:cs="Times New Roman"/>
                <w:b/>
                <w:bCs/>
                <w:color w:val="auto"/>
                <w:kern w:val="2"/>
                <w:sz w:val="21"/>
                <w:szCs w:val="21"/>
                <w:lang w:val="en-US" w:bidi="ar-SA"/>
              </w:rPr>
              <w:t>年版）》符合性分析</w:t>
            </w:r>
          </w:p>
          <w:p w14:paraId="3EAD41D1">
            <w:pPr>
              <w:spacing w:line="400" w:lineRule="exact"/>
              <w:ind w:left="110" w:lef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kern w:val="2"/>
                <w:sz w:val="21"/>
                <w:szCs w:val="21"/>
                <w:lang w:val="en-US" w:bidi="ar-SA"/>
              </w:rPr>
              <w:t>根据《邯郸市生态环境准入清单（202</w:t>
            </w:r>
            <w:r>
              <w:rPr>
                <w:rFonts w:hint="eastAsia" w:ascii="Times New Roman" w:hAnsi="Times New Roman" w:cs="Times New Roman"/>
                <w:color w:val="auto"/>
                <w:kern w:val="2"/>
                <w:sz w:val="21"/>
                <w:szCs w:val="21"/>
                <w:lang w:val="en-US" w:eastAsia="zh-CN" w:bidi="ar-SA"/>
              </w:rPr>
              <w:t>5</w:t>
            </w:r>
            <w:r>
              <w:rPr>
                <w:rFonts w:hint="eastAsia" w:ascii="Times New Roman" w:hAnsi="Times New Roman" w:cs="Times New Roman"/>
                <w:color w:val="auto"/>
                <w:kern w:val="2"/>
                <w:sz w:val="21"/>
                <w:szCs w:val="21"/>
                <w:lang w:val="en-US" w:bidi="ar-SA"/>
              </w:rPr>
              <w:t>年版）》（二零二</w:t>
            </w:r>
            <w:r>
              <w:rPr>
                <w:rFonts w:hint="eastAsia" w:ascii="Times New Roman" w:hAnsi="Times New Roman" w:cs="Times New Roman"/>
                <w:color w:val="auto"/>
                <w:kern w:val="2"/>
                <w:sz w:val="21"/>
                <w:szCs w:val="21"/>
                <w:lang w:val="en-US" w:eastAsia="zh-CN" w:bidi="ar-SA"/>
              </w:rPr>
              <w:t>五</w:t>
            </w:r>
            <w:r>
              <w:rPr>
                <w:rFonts w:hint="eastAsia" w:ascii="Times New Roman" w:hAnsi="Times New Roman" w:cs="Times New Roman"/>
                <w:color w:val="auto"/>
                <w:kern w:val="2"/>
                <w:sz w:val="21"/>
                <w:szCs w:val="21"/>
                <w:lang w:val="en-US" w:bidi="ar-SA"/>
              </w:rPr>
              <w:t>年</w:t>
            </w:r>
            <w:r>
              <w:rPr>
                <w:rFonts w:hint="eastAsia" w:ascii="Times New Roman" w:hAnsi="Times New Roman" w:cs="Times New Roman"/>
                <w:color w:val="auto"/>
                <w:kern w:val="2"/>
                <w:sz w:val="21"/>
                <w:szCs w:val="21"/>
                <w:lang w:val="en-US" w:eastAsia="zh-CN" w:bidi="ar-SA"/>
              </w:rPr>
              <w:t>四</w:t>
            </w:r>
            <w:r>
              <w:rPr>
                <w:rFonts w:hint="eastAsia" w:ascii="Times New Roman" w:hAnsi="Times New Roman" w:cs="Times New Roman"/>
                <w:color w:val="auto"/>
                <w:kern w:val="2"/>
                <w:sz w:val="21"/>
                <w:szCs w:val="21"/>
                <w:lang w:val="en-US" w:bidi="ar-SA"/>
              </w:rPr>
              <w:t>月）要求。邯郸市环境管控单元图见附图</w:t>
            </w:r>
            <w:r>
              <w:rPr>
                <w:rFonts w:hint="eastAsia" w:ascii="Times New Roman" w:hAnsi="Times New Roman" w:cs="Times New Roman"/>
                <w:color w:val="auto"/>
                <w:kern w:val="2"/>
                <w:sz w:val="21"/>
                <w:szCs w:val="21"/>
                <w:lang w:val="en-US" w:eastAsia="zh-CN" w:bidi="ar-SA"/>
              </w:rPr>
              <w:t>7</w:t>
            </w:r>
            <w:r>
              <w:rPr>
                <w:rFonts w:hint="eastAsia" w:ascii="Times New Roman" w:hAnsi="Times New Roman" w:cs="Times New Roman"/>
                <w:color w:val="auto"/>
                <w:kern w:val="2"/>
                <w:sz w:val="21"/>
                <w:szCs w:val="21"/>
                <w:lang w:val="en-US" w:bidi="ar-SA"/>
              </w:rPr>
              <w:t>。逐条分析项目情况如下：</w:t>
            </w:r>
          </w:p>
          <w:p w14:paraId="17C2C9E4">
            <w:pPr>
              <w:adjustRightInd w:val="0"/>
              <w:snapToGrid w:val="0"/>
              <w:spacing w:line="40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2 </w:t>
            </w:r>
            <w:r>
              <w:rPr>
                <w:rFonts w:hint="eastAsia" w:ascii="Times New Roman" w:hAnsi="Times New Roman" w:cs="Times New Roman"/>
                <w:b/>
                <w:bCs/>
                <w:color w:val="auto"/>
                <w:sz w:val="21"/>
                <w:szCs w:val="21"/>
              </w:rPr>
              <w:t>全市大气环境总体管控符合性</w:t>
            </w:r>
          </w:p>
          <w:tbl>
            <w:tblPr>
              <w:tblStyle w:val="34"/>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1"/>
              <w:gridCol w:w="273"/>
              <w:gridCol w:w="273"/>
              <w:gridCol w:w="709"/>
              <w:gridCol w:w="5470"/>
              <w:gridCol w:w="797"/>
            </w:tblGrid>
            <w:tr w14:paraId="5F55A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gridSpan w:val="2"/>
                  <w:tcBorders>
                    <w:bottom w:val="single" w:color="000000" w:sz="4" w:space="0"/>
                    <w:right w:val="single" w:color="000000" w:sz="4" w:space="0"/>
                  </w:tcBorders>
                  <w:vAlign w:val="center"/>
                </w:tcPr>
                <w:p w14:paraId="26C7F6F0">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属性</w:t>
                  </w:r>
                </w:p>
              </w:tc>
              <w:tc>
                <w:tcPr>
                  <w:tcW w:w="972" w:type="dxa"/>
                  <w:gridSpan w:val="2"/>
                  <w:tcBorders>
                    <w:left w:val="single" w:color="000000" w:sz="4" w:space="0"/>
                    <w:bottom w:val="single" w:color="000000" w:sz="4" w:space="0"/>
                  </w:tcBorders>
                  <w:vAlign w:val="center"/>
                </w:tcPr>
                <w:p w14:paraId="6059171F">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w:t>
                  </w:r>
                </w:p>
              </w:tc>
              <w:tc>
                <w:tcPr>
                  <w:tcW w:w="5412" w:type="dxa"/>
                  <w:tcBorders>
                    <w:left w:val="single" w:color="000000" w:sz="4" w:space="0"/>
                    <w:bottom w:val="single" w:color="000000" w:sz="4" w:space="0"/>
                  </w:tcBorders>
                  <w:vAlign w:val="center"/>
                </w:tcPr>
                <w:p w14:paraId="54D8FA78">
                  <w:pPr>
                    <w:tabs>
                      <w:tab w:val="left" w:pos="759"/>
                    </w:tabs>
                    <w:autoSpaceDE/>
                    <w:autoSpaceDN/>
                    <w:jc w:val="center"/>
                    <w:rPr>
                      <w:rFonts w:ascii="Times New Roman" w:hAnsi="Times New Roman" w:cs="Times New Roman"/>
                      <w:b/>
                      <w:color w:val="auto"/>
                      <w:sz w:val="21"/>
                      <w:szCs w:val="21"/>
                      <w:lang w:val="en-US"/>
                    </w:rPr>
                  </w:pPr>
                  <w:r>
                    <w:rPr>
                      <w:rFonts w:hint="eastAsia" w:ascii="Times New Roman" w:hAnsi="Times New Roman" w:cs="Times New Roman"/>
                      <w:b/>
                      <w:color w:val="auto"/>
                      <w:sz w:val="21"/>
                      <w:szCs w:val="21"/>
                      <w:lang w:val="en-US"/>
                    </w:rPr>
                    <w:t>管控要求</w:t>
                  </w:r>
                </w:p>
              </w:tc>
              <w:tc>
                <w:tcPr>
                  <w:tcW w:w="789" w:type="dxa"/>
                  <w:tcBorders>
                    <w:left w:val="single" w:color="000000" w:sz="4" w:space="0"/>
                    <w:bottom w:val="single" w:color="000000" w:sz="4" w:space="0"/>
                  </w:tcBorders>
                  <w:vAlign w:val="center"/>
                </w:tcPr>
                <w:p w14:paraId="230DB140">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14:paraId="5B8BF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518" w:type="dxa"/>
                  <w:gridSpan w:val="2"/>
                  <w:vMerge w:val="restart"/>
                  <w:tcBorders>
                    <w:top w:val="single" w:color="000000" w:sz="4" w:space="0"/>
                    <w:right w:val="single" w:color="000000" w:sz="4" w:space="0"/>
                  </w:tcBorders>
                  <w:vAlign w:val="center"/>
                </w:tcPr>
                <w:p w14:paraId="750325B3">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生态保护红线</w:t>
                  </w:r>
                </w:p>
              </w:tc>
              <w:tc>
                <w:tcPr>
                  <w:tcW w:w="270" w:type="dxa"/>
                  <w:vMerge w:val="restart"/>
                  <w:tcBorders>
                    <w:top w:val="single" w:color="000000" w:sz="4" w:space="0"/>
                    <w:left w:val="single" w:color="000000" w:sz="4" w:space="0"/>
                  </w:tcBorders>
                  <w:vAlign w:val="center"/>
                </w:tcPr>
                <w:p w14:paraId="14CA4355">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空间布局约束</w:t>
                  </w:r>
                </w:p>
              </w:tc>
              <w:tc>
                <w:tcPr>
                  <w:tcW w:w="702" w:type="dxa"/>
                  <w:tcBorders>
                    <w:top w:val="single" w:color="000000" w:sz="4" w:space="0"/>
                    <w:left w:val="single" w:color="000000" w:sz="4" w:space="0"/>
                  </w:tcBorders>
                  <w:vAlign w:val="center"/>
                </w:tcPr>
                <w:p w14:paraId="2E85DEBC">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top w:val="single" w:color="000000" w:sz="4" w:space="0"/>
                    <w:left w:val="single" w:color="000000" w:sz="4" w:space="0"/>
                  </w:tcBorders>
                  <w:vAlign w:val="center"/>
                </w:tcPr>
                <w:p w14:paraId="128CE777">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1.生态保护红线原则上按禁止开发区域的要求进行管理。严禁不符合主体功能定位的各类开发活动，严禁任意改变用途。</w:t>
                  </w:r>
                </w:p>
                <w:p w14:paraId="121544C9">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2.严格禁止任何单位和个人擅自占用和改变用地性质。禁止生态保护红线内空间违法转为城镇空间和农业空间。</w:t>
                  </w:r>
                </w:p>
                <w:p w14:paraId="2173D94B">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r>
                    <w:rPr>
                      <w:rFonts w:hint="eastAsia"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rPr>
                    <w:t>生态保护红线内，自然保护地核心保护区原则上禁止人为活动，其他区域严格禁止开发性、生产性建设活动，法律法规另有规定的，从其规定。</w:t>
                  </w:r>
                </w:p>
              </w:tc>
              <w:tc>
                <w:tcPr>
                  <w:tcW w:w="789" w:type="dxa"/>
                  <w:vMerge w:val="restart"/>
                  <w:tcBorders>
                    <w:top w:val="single" w:color="000000" w:sz="4" w:space="0"/>
                    <w:left w:val="single" w:color="000000" w:sz="4" w:space="0"/>
                  </w:tcBorders>
                  <w:vAlign w:val="center"/>
                </w:tcPr>
                <w:p w14:paraId="0AC25037">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本项目不在生态保护红线内，本项目建设符合</w:t>
                  </w:r>
                  <w:r>
                    <w:rPr>
                      <w:rFonts w:hint="eastAsia" w:cs="Times New Roman"/>
                      <w:color w:val="auto"/>
                      <w:sz w:val="21"/>
                      <w:szCs w:val="21"/>
                    </w:rPr>
                    <w:t>当地</w:t>
                  </w:r>
                  <w:r>
                    <w:rPr>
                      <w:rFonts w:ascii="Times New Roman" w:hAnsi="Times New Roman" w:cs="Times New Roman"/>
                      <w:color w:val="auto"/>
                      <w:sz w:val="21"/>
                      <w:szCs w:val="21"/>
                    </w:rPr>
                    <w:t>规划</w:t>
                  </w:r>
                  <w:r>
                    <w:rPr>
                      <w:rFonts w:hint="eastAsia" w:cs="Times New Roman"/>
                      <w:color w:val="auto"/>
                      <w:sz w:val="21"/>
                      <w:szCs w:val="21"/>
                    </w:rPr>
                    <w:t>要求</w:t>
                  </w:r>
                </w:p>
              </w:tc>
            </w:tr>
            <w:tr w14:paraId="5FD8F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518" w:type="dxa"/>
                  <w:gridSpan w:val="2"/>
                  <w:vMerge w:val="continue"/>
                  <w:tcBorders>
                    <w:bottom w:val="single" w:color="000000" w:sz="4" w:space="0"/>
                    <w:right w:val="single" w:color="000000" w:sz="4" w:space="0"/>
                  </w:tcBorders>
                  <w:vAlign w:val="center"/>
                </w:tcPr>
                <w:p w14:paraId="23A8281F">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tcBorders>
                  <w:vAlign w:val="center"/>
                </w:tcPr>
                <w:p w14:paraId="0517E310">
                  <w:pPr>
                    <w:autoSpaceDE/>
                    <w:autoSpaceDN/>
                    <w:jc w:val="center"/>
                    <w:rPr>
                      <w:rFonts w:ascii="Times New Roman" w:hAnsi="Times New Roman" w:cs="Times New Roman"/>
                      <w:color w:val="auto"/>
                      <w:sz w:val="21"/>
                      <w:szCs w:val="21"/>
                    </w:rPr>
                  </w:pPr>
                </w:p>
              </w:tc>
              <w:tc>
                <w:tcPr>
                  <w:tcW w:w="702" w:type="dxa"/>
                  <w:tcBorders>
                    <w:top w:val="single" w:color="000000" w:sz="4" w:space="0"/>
                    <w:left w:val="single" w:color="000000" w:sz="4" w:space="0"/>
                  </w:tcBorders>
                  <w:vAlign w:val="center"/>
                </w:tcPr>
                <w:p w14:paraId="006EA054">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top w:val="single" w:color="000000" w:sz="4" w:space="0"/>
                    <w:left w:val="single" w:color="000000" w:sz="4" w:space="0"/>
                  </w:tcBorders>
                  <w:vAlign w:val="center"/>
                </w:tcPr>
                <w:p w14:paraId="6A408991">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1.因国家重大战略资源勘查需要，在不影响主体功能定位的前提下，经依法批准后予以安排勘查项目。</w:t>
                  </w:r>
                </w:p>
                <w:p w14:paraId="1D7C2809">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2.鼓励按照规划开展维护、修复和提升生态功能的活动。</w:t>
                  </w:r>
                </w:p>
                <w:p w14:paraId="44B5E0DE">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3.生态保护红线是国土空间规划中的重要管控边界，生态保护红线内自然保护地核心保护区外，禁止开发性、生产性建设活动，在符合法律法规的前提下，仅允许《自然资源部 生态环境部 国家林业和草原局关于加强生态保护红线管理的通知（试行）》（自然资发〔2022〕142号）中对生态功能不造成破坏的有限人为活动。</w:t>
                  </w:r>
                </w:p>
              </w:tc>
              <w:tc>
                <w:tcPr>
                  <w:tcW w:w="789" w:type="dxa"/>
                  <w:vMerge w:val="continue"/>
                  <w:tcBorders>
                    <w:left w:val="single" w:color="000000" w:sz="4" w:space="0"/>
                  </w:tcBorders>
                  <w:vAlign w:val="center"/>
                </w:tcPr>
                <w:p w14:paraId="153CFD95">
                  <w:pPr>
                    <w:autoSpaceDE/>
                    <w:autoSpaceDN/>
                    <w:jc w:val="center"/>
                    <w:rPr>
                      <w:rFonts w:ascii="Times New Roman" w:hAnsi="Times New Roman" w:cs="Times New Roman"/>
                      <w:color w:val="auto"/>
                      <w:sz w:val="21"/>
                      <w:szCs w:val="21"/>
                    </w:rPr>
                  </w:pPr>
                </w:p>
              </w:tc>
            </w:tr>
            <w:tr w14:paraId="3D34B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restart"/>
                  <w:tcBorders>
                    <w:top w:val="single" w:color="000000" w:sz="4" w:space="0"/>
                    <w:right w:val="single" w:color="000000" w:sz="4" w:space="0"/>
                  </w:tcBorders>
                  <w:vAlign w:val="center"/>
                </w:tcPr>
                <w:p w14:paraId="2113263A">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一般生态空间</w:t>
                  </w:r>
                </w:p>
              </w:tc>
              <w:tc>
                <w:tcPr>
                  <w:tcW w:w="270" w:type="dxa"/>
                  <w:vMerge w:val="restart"/>
                  <w:tcBorders>
                    <w:top w:val="single" w:color="000000" w:sz="4" w:space="0"/>
                    <w:left w:val="single" w:color="000000" w:sz="4" w:space="0"/>
                    <w:right w:val="single" w:color="000000" w:sz="4" w:space="0"/>
                  </w:tcBorders>
                  <w:vAlign w:val="center"/>
                </w:tcPr>
                <w:p w14:paraId="76AE4DBE">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总体要求</w:t>
                  </w:r>
                </w:p>
              </w:tc>
              <w:tc>
                <w:tcPr>
                  <w:tcW w:w="270" w:type="dxa"/>
                  <w:vMerge w:val="restart"/>
                  <w:tcBorders>
                    <w:top w:val="nil"/>
                    <w:left w:val="single" w:color="000000" w:sz="4" w:space="0"/>
                  </w:tcBorders>
                  <w:vAlign w:val="center"/>
                </w:tcPr>
                <w:p w14:paraId="17E96797">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top w:val="nil"/>
                    <w:left w:val="single" w:color="000000" w:sz="4" w:space="0"/>
                  </w:tcBorders>
                  <w:vAlign w:val="center"/>
                </w:tcPr>
                <w:p w14:paraId="7037BF2E">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限制类活动</w:t>
                  </w:r>
                </w:p>
              </w:tc>
              <w:tc>
                <w:tcPr>
                  <w:tcW w:w="5412" w:type="dxa"/>
                  <w:tcBorders>
                    <w:top w:val="nil"/>
                    <w:left w:val="single" w:color="000000" w:sz="4" w:space="0"/>
                  </w:tcBorders>
                  <w:vAlign w:val="center"/>
                </w:tcPr>
                <w:p w14:paraId="258FF3C3">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1.生态保护红线外的生态空间，原则上按限制开发区域的要求进行管理。</w:t>
                  </w:r>
                </w:p>
                <w:p w14:paraId="2D3A949C">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2.从严控制生态空间转为城镇空间和农业空间。</w:t>
                  </w:r>
                </w:p>
                <w:p w14:paraId="4F58A75C">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严格控制新增建设占用生态保护红线外的生态空间。符合区域准入条件的建设项目，涉及占用生态空间中的林地、草原等，按有关法律法规规定办理；涉及占用生态空间中其他未作明确规定的用地，应当加强论证和管理。</w:t>
                  </w:r>
                </w:p>
                <w:p w14:paraId="78E443EF">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789" w:type="dxa"/>
                  <w:vMerge w:val="restart"/>
                  <w:tcBorders>
                    <w:top w:val="nil"/>
                    <w:left w:val="single" w:color="000000" w:sz="4" w:space="0"/>
                  </w:tcBorders>
                  <w:vAlign w:val="center"/>
                </w:tcPr>
                <w:p w14:paraId="26B9B3D5">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本项目占地为</w:t>
                  </w:r>
                  <w:r>
                    <w:rPr>
                      <w:rFonts w:hint="eastAsia" w:cs="Times New Roman"/>
                      <w:color w:val="auto"/>
                      <w:sz w:val="21"/>
                      <w:szCs w:val="21"/>
                    </w:rPr>
                    <w:t>建设</w:t>
                  </w:r>
                  <w:r>
                    <w:rPr>
                      <w:rFonts w:hint="eastAsia" w:ascii="Times New Roman" w:hAnsi="Times New Roman" w:cs="Times New Roman"/>
                      <w:color w:val="auto"/>
                      <w:sz w:val="21"/>
                      <w:szCs w:val="21"/>
                    </w:rPr>
                    <w:t>用地</w:t>
                  </w:r>
                  <w:r>
                    <w:rPr>
                      <w:rFonts w:ascii="Times New Roman" w:hAnsi="Times New Roman" w:cs="Times New Roman"/>
                      <w:color w:val="auto"/>
                      <w:sz w:val="21"/>
                      <w:szCs w:val="21"/>
                    </w:rPr>
                    <w:t>，未占用生态空间</w:t>
                  </w:r>
                </w:p>
              </w:tc>
            </w:tr>
            <w:tr w14:paraId="5D32A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2BB1075B">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14:paraId="4173FCE2">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tcBorders>
                  <w:vAlign w:val="center"/>
                </w:tcPr>
                <w:p w14:paraId="19B9473D">
                  <w:pPr>
                    <w:autoSpaceDE/>
                    <w:autoSpaceDN/>
                    <w:jc w:val="center"/>
                    <w:rPr>
                      <w:rFonts w:ascii="Times New Roman" w:hAnsi="Times New Roman" w:cs="Times New Roman"/>
                      <w:color w:val="auto"/>
                      <w:sz w:val="21"/>
                      <w:szCs w:val="21"/>
                    </w:rPr>
                  </w:pPr>
                </w:p>
              </w:tc>
              <w:tc>
                <w:tcPr>
                  <w:tcW w:w="702" w:type="dxa"/>
                  <w:tcBorders>
                    <w:top w:val="nil"/>
                    <w:left w:val="single" w:color="000000" w:sz="4" w:space="0"/>
                  </w:tcBorders>
                  <w:vAlign w:val="center"/>
                </w:tcPr>
                <w:p w14:paraId="73EEC088">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允许类活动相关要求</w:t>
                  </w:r>
                </w:p>
              </w:tc>
              <w:tc>
                <w:tcPr>
                  <w:tcW w:w="5412" w:type="dxa"/>
                  <w:tcBorders>
                    <w:top w:val="nil"/>
                    <w:left w:val="single" w:color="000000" w:sz="4" w:space="0"/>
                  </w:tcBorders>
                  <w:vAlign w:val="center"/>
                </w:tcPr>
                <w:p w14:paraId="240DD8DC">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1.鼓励城镇空间和符合国家生态退耕条件的农业空间转为生态空间。</w:t>
                  </w:r>
                </w:p>
                <w:p w14:paraId="62A4F582">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2.鼓励各地根据生态保护需要和规划，结合土地综合整治、工矿废弃地复垦利用、矿山环境恢复治理等各类工程实施，因地制宜促进生态空间内建设用地逐步有序退出。</w:t>
                  </w:r>
                </w:p>
              </w:tc>
              <w:tc>
                <w:tcPr>
                  <w:tcW w:w="789" w:type="dxa"/>
                  <w:vMerge w:val="continue"/>
                  <w:tcBorders>
                    <w:left w:val="single" w:color="000000" w:sz="4" w:space="0"/>
                  </w:tcBorders>
                  <w:vAlign w:val="center"/>
                </w:tcPr>
                <w:p w14:paraId="70A0A04D">
                  <w:pPr>
                    <w:autoSpaceDE/>
                    <w:autoSpaceDN/>
                    <w:jc w:val="center"/>
                    <w:rPr>
                      <w:rFonts w:ascii="Times New Roman" w:hAnsi="Times New Roman" w:cs="Times New Roman"/>
                      <w:color w:val="auto"/>
                      <w:sz w:val="21"/>
                      <w:szCs w:val="21"/>
                    </w:rPr>
                  </w:pPr>
                </w:p>
              </w:tc>
            </w:tr>
            <w:tr w14:paraId="42530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7A6CC0E4">
                  <w:pPr>
                    <w:autoSpaceDE/>
                    <w:autoSpaceDN/>
                    <w:jc w:val="center"/>
                    <w:rPr>
                      <w:rFonts w:ascii="Times New Roman" w:hAnsi="Times New Roman" w:cs="Times New Roman"/>
                      <w:color w:val="auto"/>
                      <w:sz w:val="21"/>
                      <w:szCs w:val="21"/>
                    </w:rPr>
                  </w:pPr>
                </w:p>
              </w:tc>
              <w:tc>
                <w:tcPr>
                  <w:tcW w:w="270" w:type="dxa"/>
                  <w:vMerge w:val="restart"/>
                  <w:tcBorders>
                    <w:top w:val="single" w:color="auto" w:sz="4" w:space="0"/>
                    <w:left w:val="single" w:color="000000" w:sz="4" w:space="0"/>
                    <w:right w:val="single" w:color="000000" w:sz="4" w:space="0"/>
                  </w:tcBorders>
                  <w:vAlign w:val="center"/>
                </w:tcPr>
                <w:p w14:paraId="3930D1C8">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水源涵养</w:t>
                  </w:r>
                </w:p>
              </w:tc>
              <w:tc>
                <w:tcPr>
                  <w:tcW w:w="270" w:type="dxa"/>
                  <w:vMerge w:val="restart"/>
                  <w:tcBorders>
                    <w:top w:val="single" w:color="auto" w:sz="4" w:space="0"/>
                    <w:left w:val="single" w:color="auto" w:sz="4" w:space="0"/>
                  </w:tcBorders>
                  <w:vAlign w:val="center"/>
                </w:tcPr>
                <w:p w14:paraId="20ECAF50">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空间布局约束</w:t>
                  </w:r>
                </w:p>
              </w:tc>
              <w:tc>
                <w:tcPr>
                  <w:tcW w:w="702" w:type="dxa"/>
                  <w:tcBorders>
                    <w:top w:val="single" w:color="auto" w:sz="4" w:space="0"/>
                    <w:left w:val="single" w:color="auto" w:sz="4" w:space="0"/>
                  </w:tcBorders>
                  <w:vAlign w:val="center"/>
                </w:tcPr>
                <w:p w14:paraId="330E58BE">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禁止类活动</w:t>
                  </w:r>
                </w:p>
              </w:tc>
              <w:tc>
                <w:tcPr>
                  <w:tcW w:w="5412" w:type="dxa"/>
                  <w:tcBorders>
                    <w:top w:val="single" w:color="auto" w:sz="4" w:space="0"/>
                    <w:left w:val="single" w:color="auto" w:sz="4" w:space="0"/>
                  </w:tcBorders>
                  <w:vAlign w:val="center"/>
                </w:tcPr>
                <w:p w14:paraId="371015E5">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1.严格保护具有重要水源涵养功能的自然植被，限制或禁止各种损害生态系统水源涵养功能的经济社会活动和生产方式，如无序采矿、毁林开荒、湿地和草地开垦、过度放牧、道路建设等。</w:t>
                  </w:r>
                </w:p>
                <w:p w14:paraId="72EA6373">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2.控制水污染，减轻水污染负荷，禁止导致水体污染的产业发展，开展生态清洁小流域的建设。</w:t>
                  </w:r>
                </w:p>
              </w:tc>
              <w:tc>
                <w:tcPr>
                  <w:tcW w:w="789" w:type="dxa"/>
                  <w:vMerge w:val="restart"/>
                  <w:tcBorders>
                    <w:top w:val="single" w:color="auto" w:sz="4" w:space="0"/>
                    <w:left w:val="single" w:color="auto" w:sz="4" w:space="0"/>
                  </w:tcBorders>
                  <w:vAlign w:val="center"/>
                </w:tcPr>
                <w:p w14:paraId="71B18548">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不会</w:t>
                  </w:r>
                  <w:r>
                    <w:rPr>
                      <w:rFonts w:ascii="Times New Roman" w:hAnsi="Times New Roman" w:cs="Times New Roman"/>
                      <w:color w:val="auto"/>
                      <w:sz w:val="21"/>
                      <w:szCs w:val="21"/>
                    </w:rPr>
                    <w:t>损害生态系统水源涵养功能</w:t>
                  </w:r>
                </w:p>
              </w:tc>
            </w:tr>
            <w:tr w14:paraId="68612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06340DDE">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14:paraId="1604AA29">
                  <w:pPr>
                    <w:autoSpaceDE/>
                    <w:autoSpaceDN/>
                    <w:jc w:val="center"/>
                    <w:rPr>
                      <w:rFonts w:ascii="Times New Roman" w:hAnsi="Times New Roman" w:cs="Times New Roman"/>
                      <w:color w:val="auto"/>
                      <w:sz w:val="21"/>
                      <w:szCs w:val="21"/>
                      <w:lang w:val="en-US"/>
                    </w:rPr>
                  </w:pPr>
                </w:p>
              </w:tc>
              <w:tc>
                <w:tcPr>
                  <w:tcW w:w="270" w:type="dxa"/>
                  <w:vMerge w:val="continue"/>
                  <w:tcBorders>
                    <w:left w:val="single" w:color="auto" w:sz="4" w:space="0"/>
                  </w:tcBorders>
                  <w:vAlign w:val="center"/>
                </w:tcPr>
                <w:p w14:paraId="4C009653">
                  <w:pPr>
                    <w:autoSpaceDE/>
                    <w:autoSpaceDN/>
                    <w:jc w:val="center"/>
                    <w:rPr>
                      <w:rFonts w:ascii="Times New Roman" w:hAnsi="Times New Roman" w:cs="Times New Roman"/>
                      <w:color w:val="auto"/>
                      <w:sz w:val="21"/>
                      <w:szCs w:val="21"/>
                    </w:rPr>
                  </w:pPr>
                </w:p>
              </w:tc>
              <w:tc>
                <w:tcPr>
                  <w:tcW w:w="702" w:type="dxa"/>
                  <w:tcBorders>
                    <w:top w:val="single" w:color="auto" w:sz="4" w:space="0"/>
                    <w:left w:val="single" w:color="auto" w:sz="4" w:space="0"/>
                  </w:tcBorders>
                  <w:vAlign w:val="center"/>
                </w:tcPr>
                <w:p w14:paraId="4D93C72B">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允许类活动相关要求</w:t>
                  </w:r>
                </w:p>
              </w:tc>
              <w:tc>
                <w:tcPr>
                  <w:tcW w:w="5412" w:type="dxa"/>
                  <w:tcBorders>
                    <w:top w:val="single" w:color="auto" w:sz="4" w:space="0"/>
                    <w:left w:val="single" w:color="auto" w:sz="4" w:space="0"/>
                  </w:tcBorders>
                  <w:vAlign w:val="center"/>
                </w:tcPr>
                <w:p w14:paraId="7443B218">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1.坚持自然恢复为主，严格限制在水源涵养区大规模人工造林。</w:t>
                  </w:r>
                </w:p>
                <w:p w14:paraId="5EC1B9D1">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2.严格控制载畜量，实行以草定畜，在农牧交错区提倡农牧结合，发展生态产业，培育替代产业，减轻区内畜牧业对水源和生态系统的压力。</w:t>
                  </w:r>
                </w:p>
              </w:tc>
              <w:tc>
                <w:tcPr>
                  <w:tcW w:w="789" w:type="dxa"/>
                  <w:vMerge w:val="continue"/>
                  <w:tcBorders>
                    <w:left w:val="single" w:color="auto" w:sz="4" w:space="0"/>
                  </w:tcBorders>
                  <w:vAlign w:val="center"/>
                </w:tcPr>
                <w:p w14:paraId="48FE8C82">
                  <w:pPr>
                    <w:autoSpaceDE/>
                    <w:autoSpaceDN/>
                    <w:jc w:val="center"/>
                    <w:rPr>
                      <w:rFonts w:ascii="Times New Roman" w:hAnsi="Times New Roman" w:cs="Times New Roman"/>
                      <w:color w:val="auto"/>
                      <w:sz w:val="21"/>
                      <w:szCs w:val="21"/>
                    </w:rPr>
                  </w:pPr>
                </w:p>
              </w:tc>
            </w:tr>
            <w:tr w14:paraId="7EABB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71488601">
                  <w:pPr>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14:paraId="0649C330">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防风固沙</w:t>
                  </w:r>
                </w:p>
              </w:tc>
              <w:tc>
                <w:tcPr>
                  <w:tcW w:w="270" w:type="dxa"/>
                  <w:vMerge w:val="restart"/>
                  <w:tcBorders>
                    <w:left w:val="single" w:color="auto" w:sz="4" w:space="0"/>
                  </w:tcBorders>
                  <w:vAlign w:val="center"/>
                </w:tcPr>
                <w:p w14:paraId="56D1AE6D">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14:paraId="451D68F5">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w:t>
                  </w:r>
                </w:p>
                <w:p w14:paraId="14506549">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动</w:t>
                  </w:r>
                </w:p>
              </w:tc>
              <w:tc>
                <w:tcPr>
                  <w:tcW w:w="5412" w:type="dxa"/>
                  <w:tcBorders>
                    <w:left w:val="single" w:color="auto" w:sz="4" w:space="0"/>
                  </w:tcBorders>
                  <w:vAlign w:val="center"/>
                </w:tcPr>
                <w:p w14:paraId="6B4A52AC">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加强对内陆河流的规划和管理，保护沙区湿地，禁止发展高耗水工业</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14:paraId="1D527052">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不占用河道</w:t>
                  </w:r>
                </w:p>
              </w:tc>
            </w:tr>
            <w:tr w14:paraId="6554A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1CFA462B">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14:paraId="4862A17C">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14:paraId="0AD9DEED">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14:paraId="6349EB82">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14:paraId="25DCCA06">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转变畜牧业生产方式，实行禁牧休牧，推行舍饲圈养，以草定畜，严格控制载畜量</w:t>
                  </w:r>
                  <w:r>
                    <w:rPr>
                      <w:rFonts w:hint="eastAsia" w:ascii="Times New Roman" w:hAnsi="Times New Roman" w:cs="Times New Roman"/>
                      <w:color w:val="auto"/>
                      <w:sz w:val="21"/>
                      <w:szCs w:val="21"/>
                    </w:rPr>
                    <w:t>。</w:t>
                  </w:r>
                </w:p>
              </w:tc>
              <w:tc>
                <w:tcPr>
                  <w:tcW w:w="789" w:type="dxa"/>
                  <w:vMerge w:val="continue"/>
                  <w:tcBorders>
                    <w:left w:val="single" w:color="auto" w:sz="4" w:space="0"/>
                  </w:tcBorders>
                  <w:vAlign w:val="center"/>
                </w:tcPr>
                <w:p w14:paraId="223EFBF5">
                  <w:pPr>
                    <w:autoSpaceDE/>
                    <w:autoSpaceDN/>
                    <w:jc w:val="center"/>
                    <w:rPr>
                      <w:rFonts w:ascii="Times New Roman" w:hAnsi="Times New Roman" w:cs="Times New Roman"/>
                      <w:color w:val="auto"/>
                      <w:sz w:val="21"/>
                      <w:szCs w:val="21"/>
                    </w:rPr>
                  </w:pPr>
                </w:p>
              </w:tc>
            </w:tr>
            <w:tr w14:paraId="52D86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7C84D357">
                  <w:pPr>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14:paraId="0EACA6B2">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水土保持</w:t>
                  </w:r>
                </w:p>
              </w:tc>
              <w:tc>
                <w:tcPr>
                  <w:tcW w:w="270" w:type="dxa"/>
                  <w:vMerge w:val="restart"/>
                  <w:tcBorders>
                    <w:left w:val="single" w:color="auto" w:sz="4" w:space="0"/>
                  </w:tcBorders>
                  <w:vAlign w:val="center"/>
                </w:tcPr>
                <w:p w14:paraId="1083B855">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14:paraId="28435B2A">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14:paraId="3B0D1C45">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1.严禁陡坡垦殖和过度放牧。2.禁止毁林开荒、烧山开荒和陡坡地开垦，合理开发自然资源，保护和恢复自然生态系统，增强区域水土保持能力</w:t>
                  </w:r>
                  <w:r>
                    <w:rPr>
                      <w:rFonts w:hint="eastAsia" w:ascii="Times New Roman" w:hAnsi="Times New Roman" w:cs="Times New Roman"/>
                      <w:color w:val="auto"/>
                      <w:sz w:val="21"/>
                      <w:szCs w:val="21"/>
                      <w:lang w:val="en-US"/>
                    </w:rPr>
                    <w:t>。</w:t>
                  </w:r>
                </w:p>
              </w:tc>
              <w:tc>
                <w:tcPr>
                  <w:tcW w:w="789" w:type="dxa"/>
                  <w:vMerge w:val="restart"/>
                  <w:tcBorders>
                    <w:left w:val="single" w:color="auto" w:sz="4" w:space="0"/>
                  </w:tcBorders>
                  <w:vAlign w:val="center"/>
                </w:tcPr>
                <w:p w14:paraId="01025DE2">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w:t>
                  </w:r>
                  <w:r>
                    <w:rPr>
                      <w:rFonts w:hint="eastAsia" w:ascii="Times New Roman" w:hAnsi="Times New Roman" w:cs="Times New Roman"/>
                      <w:color w:val="auto"/>
                      <w:sz w:val="21"/>
                      <w:szCs w:val="21"/>
                      <w:lang w:val="en-US"/>
                    </w:rPr>
                    <w:t>利用现有土地，不涉及毁林开荒、烧山开荒和陡坡地开垦</w:t>
                  </w:r>
                </w:p>
              </w:tc>
            </w:tr>
            <w:tr w14:paraId="75689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51F2279C">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14:paraId="51E66A3B">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14:paraId="0F863C1E">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14:paraId="2BBD06D8">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14:paraId="0DBC4BF0">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严格资源开发和建设项目的生态监管，控制新的人为水土流失。</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对水土保持林只能进行抚育和更新性质的采伐；对采伐区和集材道应当采取防止水土流失的措施，并在采伐后及时更新造林</w:t>
                  </w:r>
                  <w:r>
                    <w:rPr>
                      <w:rFonts w:hint="eastAsia" w:ascii="Times New Roman" w:hAnsi="Times New Roman" w:cs="Times New Roman"/>
                      <w:color w:val="auto"/>
                      <w:sz w:val="21"/>
                      <w:szCs w:val="21"/>
                      <w:lang w:val="en-US"/>
                    </w:rPr>
                    <w:t>。</w:t>
                  </w:r>
                </w:p>
              </w:tc>
              <w:tc>
                <w:tcPr>
                  <w:tcW w:w="789" w:type="dxa"/>
                  <w:vMerge w:val="continue"/>
                  <w:tcBorders>
                    <w:left w:val="single" w:color="auto" w:sz="4" w:space="0"/>
                  </w:tcBorders>
                  <w:vAlign w:val="center"/>
                </w:tcPr>
                <w:p w14:paraId="0BB9E3E6">
                  <w:pPr>
                    <w:autoSpaceDE/>
                    <w:autoSpaceDN/>
                    <w:jc w:val="center"/>
                    <w:rPr>
                      <w:rFonts w:ascii="Times New Roman" w:hAnsi="Times New Roman" w:cs="Times New Roman"/>
                      <w:color w:val="auto"/>
                      <w:sz w:val="21"/>
                      <w:szCs w:val="21"/>
                      <w:lang w:val="en-US"/>
                    </w:rPr>
                  </w:pPr>
                </w:p>
              </w:tc>
            </w:tr>
            <w:tr w14:paraId="17905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48F7ABC5">
                  <w:pPr>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14:paraId="60857C4E">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生物</w:t>
                  </w:r>
                  <w:r>
                    <w:rPr>
                      <w:rFonts w:ascii="Times New Roman" w:hAnsi="Times New Roman" w:cs="Times New Roman"/>
                      <w:color w:val="auto"/>
                      <w:sz w:val="21"/>
                      <w:szCs w:val="21"/>
                    </w:rPr>
                    <w:t>多样性维护</w:t>
                  </w:r>
                </w:p>
              </w:tc>
              <w:tc>
                <w:tcPr>
                  <w:tcW w:w="270" w:type="dxa"/>
                  <w:vMerge w:val="restart"/>
                  <w:tcBorders>
                    <w:left w:val="single" w:color="auto" w:sz="4" w:space="0"/>
                  </w:tcBorders>
                  <w:vAlign w:val="center"/>
                </w:tcPr>
                <w:p w14:paraId="7BFEB112">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14:paraId="74DBFF97">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14:paraId="36E92E08">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14:paraId="2A97AB38">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本项目不在生态保护区</w:t>
                  </w:r>
                  <w:r>
                    <w:rPr>
                      <w:rFonts w:hint="eastAsia" w:ascii="Times New Roman" w:hAnsi="Times New Roman" w:cs="Times New Roman"/>
                      <w:color w:val="auto"/>
                      <w:sz w:val="21"/>
                      <w:szCs w:val="21"/>
                    </w:rPr>
                    <w:t>范围内</w:t>
                  </w:r>
                </w:p>
              </w:tc>
            </w:tr>
            <w:tr w14:paraId="37428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16E6962C">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14:paraId="271BE1AA">
                  <w:pPr>
                    <w:autoSpaceDE/>
                    <w:autoSpaceDN/>
                    <w:jc w:val="center"/>
                    <w:rPr>
                      <w:rFonts w:ascii="Times New Roman" w:hAnsi="Times New Roman" w:cs="Times New Roman"/>
                      <w:color w:val="auto"/>
                      <w:sz w:val="21"/>
                      <w:szCs w:val="21"/>
                      <w:lang w:val="en-US"/>
                    </w:rPr>
                  </w:pPr>
                </w:p>
              </w:tc>
              <w:tc>
                <w:tcPr>
                  <w:tcW w:w="270" w:type="dxa"/>
                  <w:vMerge w:val="continue"/>
                  <w:tcBorders>
                    <w:left w:val="single" w:color="auto" w:sz="4" w:space="0"/>
                  </w:tcBorders>
                  <w:vAlign w:val="center"/>
                </w:tcPr>
                <w:p w14:paraId="73ACFBC4">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14:paraId="4E437335">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14:paraId="0CA78C67">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严格控制高耗能、高排放行业发展，新引入的行业、企业不得对优先区域生物多样性造成影响。</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保护自然生态系统与重要物种栖息地，限制或禁止各种损害栖息地的经济社会活动和生产方式，如无序采矿、毁林开荒、湿地和草地开垦、道路建设等。防止生态建设导致栖息环境的改变。</w:t>
                  </w:r>
                </w:p>
              </w:tc>
              <w:tc>
                <w:tcPr>
                  <w:tcW w:w="789" w:type="dxa"/>
                  <w:vMerge w:val="continue"/>
                  <w:tcBorders>
                    <w:left w:val="single" w:color="auto" w:sz="4" w:space="0"/>
                  </w:tcBorders>
                  <w:vAlign w:val="center"/>
                </w:tcPr>
                <w:p w14:paraId="12C1FE39">
                  <w:pPr>
                    <w:autoSpaceDE/>
                    <w:autoSpaceDN/>
                    <w:jc w:val="center"/>
                    <w:rPr>
                      <w:rFonts w:ascii="Times New Roman" w:hAnsi="Times New Roman" w:cs="Times New Roman"/>
                      <w:color w:val="auto"/>
                      <w:sz w:val="21"/>
                      <w:szCs w:val="21"/>
                    </w:rPr>
                  </w:pPr>
                </w:p>
              </w:tc>
            </w:tr>
            <w:tr w14:paraId="6D0ED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0EB606A9">
                  <w:pPr>
                    <w:tabs>
                      <w:tab w:val="left" w:pos="828"/>
                    </w:tabs>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14:paraId="782A4C3F">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水土流失</w:t>
                  </w:r>
                </w:p>
              </w:tc>
              <w:tc>
                <w:tcPr>
                  <w:tcW w:w="270" w:type="dxa"/>
                  <w:vMerge w:val="restart"/>
                  <w:tcBorders>
                    <w:left w:val="single" w:color="auto" w:sz="4" w:space="0"/>
                  </w:tcBorders>
                  <w:vAlign w:val="center"/>
                </w:tcPr>
                <w:p w14:paraId="09BBF856">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14:paraId="0B32C101">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14:paraId="3522FAF6">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14:paraId="1A0280AB">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本项目不在崩塌、滑坡危险区和泥石流易发区，不属于植物保护带，项目建设不会带来水土流失</w:t>
                  </w:r>
                </w:p>
              </w:tc>
            </w:tr>
            <w:tr w14:paraId="04C9D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48" w:type="dxa"/>
                  <w:vMerge w:val="continue"/>
                  <w:tcBorders>
                    <w:right w:val="single" w:color="000000" w:sz="4" w:space="0"/>
                  </w:tcBorders>
                  <w:vAlign w:val="center"/>
                </w:tcPr>
                <w:p w14:paraId="6D4E40F3">
                  <w:pPr>
                    <w:tabs>
                      <w:tab w:val="left" w:pos="828"/>
                    </w:tabs>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14:paraId="6E1E9A98">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14:paraId="271D9DD9">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14:paraId="363D6593">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14:paraId="2FC870DC">
                  <w:pPr>
                    <w:tabs>
                      <w:tab w:val="left" w:pos="828"/>
                    </w:tabs>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1.有关基础设施建设、矿产资源开发、城镇建设、公共服务设施建设等方面的规划，在实施过程中可能造成水土流失的，规划的组织编制机关应当在规划中提出水土流失预防和治理的对策和措施。</w:t>
                  </w:r>
                </w:p>
                <w:p w14:paraId="5B91A886">
                  <w:pPr>
                    <w:tabs>
                      <w:tab w:val="left" w:pos="828"/>
                    </w:tabs>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2.对采伐区和集材道应当采取防止水土流失的措施，并在采伐后及时更新造林。</w:t>
                  </w:r>
                </w:p>
                <w:p w14:paraId="5CFCC54B">
                  <w:pPr>
                    <w:tabs>
                      <w:tab w:val="left" w:pos="828"/>
                    </w:tabs>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3.生产建设项目选址、选线应当避让水土流失重点预防区和重点治理区；无法避让的，应当提高防治标准，优化施工工艺，减少地表扰动和植被损坏范围，有效控制可能造成的水土流失。</w:t>
                  </w:r>
                </w:p>
                <w:p w14:paraId="3AE020ED">
                  <w:pPr>
                    <w:tabs>
                      <w:tab w:val="left" w:pos="828"/>
                    </w:tabs>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w:t>
                  </w:r>
                </w:p>
              </w:tc>
              <w:tc>
                <w:tcPr>
                  <w:tcW w:w="789" w:type="dxa"/>
                  <w:vMerge w:val="continue"/>
                  <w:tcBorders>
                    <w:left w:val="single" w:color="auto" w:sz="4" w:space="0"/>
                  </w:tcBorders>
                  <w:vAlign w:val="center"/>
                </w:tcPr>
                <w:p w14:paraId="673559FB">
                  <w:pPr>
                    <w:tabs>
                      <w:tab w:val="left" w:pos="828"/>
                    </w:tabs>
                    <w:autoSpaceDE/>
                    <w:autoSpaceDN/>
                    <w:jc w:val="center"/>
                    <w:rPr>
                      <w:rFonts w:ascii="Times New Roman" w:hAnsi="Times New Roman" w:cs="Times New Roman"/>
                      <w:color w:val="auto"/>
                      <w:sz w:val="21"/>
                      <w:szCs w:val="21"/>
                    </w:rPr>
                  </w:pPr>
                </w:p>
              </w:tc>
            </w:tr>
            <w:tr w14:paraId="68CD0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4F1777A8">
                  <w:pPr>
                    <w:tabs>
                      <w:tab w:val="left" w:pos="828"/>
                    </w:tabs>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14:paraId="525657C0">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土地沙化</w:t>
                  </w:r>
                </w:p>
              </w:tc>
              <w:tc>
                <w:tcPr>
                  <w:tcW w:w="270" w:type="dxa"/>
                  <w:vMerge w:val="restart"/>
                  <w:tcBorders>
                    <w:left w:val="single" w:color="auto" w:sz="4" w:space="0"/>
                  </w:tcBorders>
                  <w:vAlign w:val="center"/>
                </w:tcPr>
                <w:p w14:paraId="557133EB">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14:paraId="72E1B009">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14:paraId="572B382A">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1.禁止在沙化土地上砍挖灌木、药材及其他固沙植物。2.在沙化土地封禁保护区范围内，禁止一切破坏植被的活动。禁止在沙化土地封禁保护区范围内安置移民</w:t>
                  </w:r>
                  <w:r>
                    <w:rPr>
                      <w:rFonts w:hint="eastAsia" w:cs="Times New Roman"/>
                      <w:color w:val="auto"/>
                      <w:sz w:val="21"/>
                      <w:szCs w:val="21"/>
                    </w:rPr>
                    <w:t>。</w:t>
                  </w:r>
                </w:p>
              </w:tc>
              <w:tc>
                <w:tcPr>
                  <w:tcW w:w="789" w:type="dxa"/>
                  <w:vMerge w:val="restart"/>
                  <w:tcBorders>
                    <w:left w:val="single" w:color="auto" w:sz="4" w:space="0"/>
                  </w:tcBorders>
                  <w:vAlign w:val="center"/>
                </w:tcPr>
                <w:p w14:paraId="30167681">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项目占地不属于沙化土地封禁保护区，项目建设不会带来土地沙化</w:t>
                  </w:r>
                </w:p>
              </w:tc>
            </w:tr>
            <w:tr w14:paraId="4DCAD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1C4AD420">
                  <w:pPr>
                    <w:tabs>
                      <w:tab w:val="left" w:pos="828"/>
                    </w:tabs>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14:paraId="7DB8A33E">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14:paraId="2F5B76A3">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14:paraId="62E32175">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14:paraId="3E8761F7">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在对防风固沙林网、林带进行抚育更新性质的采伐之前，必须在其附近预先形成接替林网和林带。</w:t>
                  </w:r>
                </w:p>
              </w:tc>
              <w:tc>
                <w:tcPr>
                  <w:tcW w:w="789" w:type="dxa"/>
                  <w:vMerge w:val="continue"/>
                  <w:tcBorders>
                    <w:left w:val="single" w:color="auto" w:sz="4" w:space="0"/>
                  </w:tcBorders>
                  <w:vAlign w:val="center"/>
                </w:tcPr>
                <w:p w14:paraId="6AC6201D">
                  <w:pPr>
                    <w:tabs>
                      <w:tab w:val="left" w:pos="828"/>
                    </w:tabs>
                    <w:autoSpaceDE/>
                    <w:autoSpaceDN/>
                    <w:jc w:val="center"/>
                    <w:rPr>
                      <w:rFonts w:ascii="Times New Roman" w:hAnsi="Times New Roman" w:cs="Times New Roman"/>
                      <w:color w:val="auto"/>
                      <w:sz w:val="21"/>
                      <w:szCs w:val="21"/>
                    </w:rPr>
                  </w:pPr>
                </w:p>
              </w:tc>
            </w:tr>
            <w:tr w14:paraId="3DEAC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7A45CF6A">
                  <w:pPr>
                    <w:tabs>
                      <w:tab w:val="left" w:pos="828"/>
                    </w:tabs>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14:paraId="6332FF74">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河湖滨岸带</w:t>
                  </w:r>
                </w:p>
              </w:tc>
              <w:tc>
                <w:tcPr>
                  <w:tcW w:w="270" w:type="dxa"/>
                  <w:vMerge w:val="restart"/>
                  <w:tcBorders>
                    <w:left w:val="single" w:color="auto" w:sz="4" w:space="0"/>
                  </w:tcBorders>
                  <w:vAlign w:val="center"/>
                </w:tcPr>
                <w:p w14:paraId="367EFF59">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14:paraId="4116DCFD">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14:paraId="0F0710FE">
                  <w:pPr>
                    <w:tabs>
                      <w:tab w:val="left" w:pos="828"/>
                    </w:tabs>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1.任何单位和个人不得擅自占用湿地或者改变湿地用途。确需占用或者征收湿地的，应当按照有关法律、法规的规定办理相应手续。</w:t>
                  </w:r>
                </w:p>
                <w:p w14:paraId="2F935779">
                  <w:pPr>
                    <w:tabs>
                      <w:tab w:val="left" w:pos="828"/>
                    </w:tabs>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w:t>
                  </w:r>
                </w:p>
                <w:p w14:paraId="5F5BEDFF">
                  <w:pPr>
                    <w:tabs>
                      <w:tab w:val="left" w:pos="828"/>
                    </w:tabs>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w:t>
                  </w:r>
                </w:p>
                <w:p w14:paraId="1AD6A828">
                  <w:pPr>
                    <w:tabs>
                      <w:tab w:val="left" w:pos="828"/>
                    </w:tabs>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4.在河道管理范围内，禁止堆放、倾倒、掩埋、排放污染水体的物体。禁止在河道内清洗装贮过油类或者有毒污染物的车辆、容器。</w:t>
                  </w:r>
                </w:p>
              </w:tc>
              <w:tc>
                <w:tcPr>
                  <w:tcW w:w="789" w:type="dxa"/>
                  <w:vMerge w:val="restart"/>
                  <w:tcBorders>
                    <w:left w:val="single" w:color="auto" w:sz="4" w:space="0"/>
                  </w:tcBorders>
                  <w:vAlign w:val="center"/>
                </w:tcPr>
                <w:p w14:paraId="2284061A">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本项目占地不属于湿地、水生动物洄游通道、野生动物栖息地，项目周边无水利工程、河道、湖泊</w:t>
                  </w:r>
                </w:p>
              </w:tc>
            </w:tr>
            <w:tr w14:paraId="257A0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14:paraId="72BB9EF5">
                  <w:pPr>
                    <w:tabs>
                      <w:tab w:val="left" w:pos="828"/>
                    </w:tabs>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14:paraId="22CE017C">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14:paraId="541BBBDA">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14:paraId="470270D0">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14:paraId="5B0E05D0">
                  <w:pPr>
                    <w:tabs>
                      <w:tab w:val="left" w:pos="828"/>
                    </w:tabs>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因建设工程等特殊需要确需临时占用湿地的，应当经县级人民政府有关湿地保护管理部门批准。临时占用湿地的期限不得超过二年，不得修筑永久性建筑物。占用期满后，用地单位应当按照有关标准进行生态修复。</w:t>
                  </w:r>
                </w:p>
                <w:p w14:paraId="055FEA81">
                  <w:pPr>
                    <w:tabs>
                      <w:tab w:val="left" w:pos="828"/>
                    </w:tabs>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2.在湿地内从事生产经营、观赏旅游、科学研究、调查观测、科普教育等活动，应当避免影响、降低湿地生态功能和对野生生物物种造成损害。</w:t>
                  </w:r>
                </w:p>
                <w:p w14:paraId="76A444E2">
                  <w:pPr>
                    <w:tabs>
                      <w:tab w:val="left" w:pos="828"/>
                    </w:tabs>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在河道管理范围内进行下列活动，必须报经河道主管机关批准；涉及其他部门的，由河道主管机关会同有关部门批准：采砂、取土、淘金、弃置砂石或者淤泥；爆破、钻探、挖筑鱼塘；在河道滩地存放物料、修建厂房或者其他建筑设施；在河道滩地开采地下资源及进行考古发掘。</w:t>
                  </w:r>
                </w:p>
                <w:p w14:paraId="6EB44FEB">
                  <w:pPr>
                    <w:tabs>
                      <w:tab w:val="left" w:pos="828"/>
                    </w:tabs>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4.向河道、湖泊排污的排污口的设置和扩大，排污单位在向生态环境部门申报之前，应当征得河道主管机关的同意。</w:t>
                  </w:r>
                </w:p>
              </w:tc>
              <w:tc>
                <w:tcPr>
                  <w:tcW w:w="789" w:type="dxa"/>
                  <w:vMerge w:val="continue"/>
                  <w:tcBorders>
                    <w:left w:val="single" w:color="auto" w:sz="4" w:space="0"/>
                  </w:tcBorders>
                  <w:vAlign w:val="center"/>
                </w:tcPr>
                <w:p w14:paraId="204F83A5">
                  <w:pPr>
                    <w:tabs>
                      <w:tab w:val="left" w:pos="828"/>
                    </w:tabs>
                    <w:autoSpaceDE/>
                    <w:autoSpaceDN/>
                    <w:jc w:val="center"/>
                    <w:rPr>
                      <w:rFonts w:ascii="Times New Roman" w:hAnsi="Times New Roman" w:cs="Times New Roman"/>
                      <w:color w:val="auto"/>
                      <w:sz w:val="21"/>
                      <w:szCs w:val="21"/>
                    </w:rPr>
                  </w:pPr>
                </w:p>
              </w:tc>
            </w:tr>
          </w:tbl>
          <w:p w14:paraId="56A07C2D">
            <w:pPr>
              <w:adjustRightInd w:val="0"/>
              <w:snapToGrid w:val="0"/>
              <w:spacing w:line="48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表1</w:t>
            </w: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全市各类自然保护地总体管控符合性</w:t>
            </w:r>
          </w:p>
          <w:tbl>
            <w:tblPr>
              <w:tblStyle w:val="34"/>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8"/>
              <w:gridCol w:w="350"/>
              <w:gridCol w:w="618"/>
              <w:gridCol w:w="5983"/>
              <w:gridCol w:w="304"/>
            </w:tblGrid>
            <w:tr w14:paraId="4D6DF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tcBorders>
                    <w:bottom w:val="single" w:color="000000" w:sz="4" w:space="0"/>
                    <w:right w:val="single" w:color="000000" w:sz="4" w:space="0"/>
                  </w:tcBorders>
                  <w:vAlign w:val="center"/>
                </w:tcPr>
                <w:p w14:paraId="65C8C05C">
                  <w:pPr>
                    <w:autoSpaceDE/>
                    <w:autoSpaceDN/>
                    <w:jc w:val="center"/>
                    <w:rPr>
                      <w:b/>
                      <w:color w:val="auto"/>
                      <w:sz w:val="21"/>
                      <w:szCs w:val="21"/>
                    </w:rPr>
                  </w:pPr>
                  <w:r>
                    <w:rPr>
                      <w:rFonts w:hint="eastAsia"/>
                      <w:b/>
                      <w:color w:val="auto"/>
                      <w:sz w:val="21"/>
                      <w:szCs w:val="21"/>
                    </w:rPr>
                    <w:t>属性</w:t>
                  </w:r>
                </w:p>
              </w:tc>
              <w:tc>
                <w:tcPr>
                  <w:tcW w:w="968" w:type="dxa"/>
                  <w:gridSpan w:val="2"/>
                  <w:tcBorders>
                    <w:left w:val="single" w:color="000000" w:sz="4" w:space="0"/>
                    <w:bottom w:val="single" w:color="000000" w:sz="4" w:space="0"/>
                  </w:tcBorders>
                  <w:vAlign w:val="center"/>
                </w:tcPr>
                <w:p w14:paraId="6188667B">
                  <w:pPr>
                    <w:autoSpaceDE/>
                    <w:autoSpaceDN/>
                    <w:jc w:val="center"/>
                    <w:rPr>
                      <w:b/>
                      <w:color w:val="auto"/>
                      <w:sz w:val="21"/>
                      <w:szCs w:val="21"/>
                    </w:rPr>
                  </w:pPr>
                  <w:r>
                    <w:rPr>
                      <w:rFonts w:hint="eastAsia"/>
                      <w:b/>
                      <w:color w:val="auto"/>
                      <w:sz w:val="21"/>
                      <w:szCs w:val="21"/>
                    </w:rPr>
                    <w:t>管控</w:t>
                  </w:r>
                </w:p>
              </w:tc>
              <w:tc>
                <w:tcPr>
                  <w:tcW w:w="5983" w:type="dxa"/>
                  <w:tcBorders>
                    <w:left w:val="single" w:color="000000" w:sz="4" w:space="0"/>
                    <w:bottom w:val="single" w:color="000000" w:sz="4" w:space="0"/>
                  </w:tcBorders>
                  <w:vAlign w:val="center"/>
                </w:tcPr>
                <w:p w14:paraId="48D06D73">
                  <w:pPr>
                    <w:tabs>
                      <w:tab w:val="left" w:pos="759"/>
                    </w:tabs>
                    <w:autoSpaceDE/>
                    <w:autoSpaceDN/>
                    <w:jc w:val="center"/>
                    <w:rPr>
                      <w:b/>
                      <w:color w:val="auto"/>
                      <w:sz w:val="21"/>
                      <w:szCs w:val="21"/>
                    </w:rPr>
                  </w:pPr>
                  <w:r>
                    <w:rPr>
                      <w:rFonts w:hint="eastAsia"/>
                      <w:b/>
                      <w:color w:val="auto"/>
                      <w:sz w:val="21"/>
                      <w:szCs w:val="21"/>
                    </w:rPr>
                    <w:t>管控要求</w:t>
                  </w:r>
                </w:p>
              </w:tc>
              <w:tc>
                <w:tcPr>
                  <w:tcW w:w="304" w:type="dxa"/>
                  <w:tcBorders>
                    <w:left w:val="single" w:color="000000" w:sz="4" w:space="0"/>
                    <w:bottom w:val="single" w:color="000000" w:sz="4" w:space="0"/>
                  </w:tcBorders>
                  <w:vAlign w:val="center"/>
                </w:tcPr>
                <w:p w14:paraId="7F03BCC6">
                  <w:pPr>
                    <w:tabs>
                      <w:tab w:val="left" w:pos="759"/>
                    </w:tabs>
                    <w:autoSpaceDE/>
                    <w:autoSpaceDN/>
                    <w:jc w:val="center"/>
                    <w:rPr>
                      <w:b/>
                      <w:color w:val="auto"/>
                      <w:sz w:val="21"/>
                      <w:szCs w:val="21"/>
                    </w:rPr>
                  </w:pPr>
                  <w:r>
                    <w:rPr>
                      <w:rFonts w:hint="eastAsia"/>
                      <w:b/>
                      <w:color w:val="auto"/>
                      <w:sz w:val="21"/>
                      <w:szCs w:val="21"/>
                    </w:rPr>
                    <w:t>符合性</w:t>
                  </w:r>
                </w:p>
              </w:tc>
            </w:tr>
            <w:tr w14:paraId="265F9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top w:val="single" w:color="000000" w:sz="4" w:space="0"/>
                    <w:right w:val="single" w:color="000000" w:sz="4" w:space="0"/>
                  </w:tcBorders>
                  <w:vAlign w:val="center"/>
                </w:tcPr>
                <w:p w14:paraId="0F817A58">
                  <w:pPr>
                    <w:autoSpaceDE/>
                    <w:autoSpaceDN/>
                    <w:jc w:val="center"/>
                    <w:rPr>
                      <w:color w:val="auto"/>
                      <w:sz w:val="21"/>
                      <w:szCs w:val="21"/>
                    </w:rPr>
                  </w:pPr>
                  <w:r>
                    <w:rPr>
                      <w:rFonts w:hint="eastAsia"/>
                      <w:color w:val="auto"/>
                      <w:sz w:val="21"/>
                      <w:szCs w:val="21"/>
                    </w:rPr>
                    <w:t>自然保护区</w:t>
                  </w:r>
                </w:p>
              </w:tc>
              <w:tc>
                <w:tcPr>
                  <w:tcW w:w="350" w:type="dxa"/>
                  <w:vMerge w:val="restart"/>
                  <w:tcBorders>
                    <w:top w:val="single" w:color="000000" w:sz="4" w:space="0"/>
                    <w:left w:val="single" w:color="000000" w:sz="4" w:space="0"/>
                  </w:tcBorders>
                  <w:vAlign w:val="center"/>
                </w:tcPr>
                <w:p w14:paraId="753F2AE0">
                  <w:pPr>
                    <w:autoSpaceDE/>
                    <w:autoSpaceDN/>
                    <w:jc w:val="center"/>
                    <w:rPr>
                      <w:color w:val="auto"/>
                      <w:sz w:val="21"/>
                      <w:szCs w:val="21"/>
                    </w:rPr>
                  </w:pPr>
                  <w:r>
                    <w:rPr>
                      <w:rFonts w:hint="eastAsia"/>
                      <w:color w:val="auto"/>
                      <w:sz w:val="21"/>
                      <w:szCs w:val="21"/>
                    </w:rPr>
                    <w:t>空间布局</w:t>
                  </w:r>
                </w:p>
              </w:tc>
              <w:tc>
                <w:tcPr>
                  <w:tcW w:w="618" w:type="dxa"/>
                  <w:tcBorders>
                    <w:top w:val="single" w:color="000000" w:sz="4" w:space="0"/>
                    <w:left w:val="single" w:color="000000" w:sz="4" w:space="0"/>
                  </w:tcBorders>
                  <w:vAlign w:val="center"/>
                </w:tcPr>
                <w:p w14:paraId="135CDA53">
                  <w:pPr>
                    <w:autoSpaceDE/>
                    <w:autoSpaceDN/>
                    <w:jc w:val="center"/>
                    <w:rPr>
                      <w:color w:val="auto"/>
                      <w:sz w:val="21"/>
                      <w:szCs w:val="21"/>
                    </w:rPr>
                  </w:pPr>
                  <w:r>
                    <w:rPr>
                      <w:rFonts w:hint="eastAsia"/>
                      <w:color w:val="auto"/>
                      <w:sz w:val="21"/>
                      <w:szCs w:val="21"/>
                    </w:rPr>
                    <w:t>禁止类活动</w:t>
                  </w:r>
                </w:p>
              </w:tc>
              <w:tc>
                <w:tcPr>
                  <w:tcW w:w="5983" w:type="dxa"/>
                  <w:tcBorders>
                    <w:top w:val="single" w:color="000000" w:sz="4" w:space="0"/>
                    <w:left w:val="single" w:color="000000" w:sz="4" w:space="0"/>
                  </w:tcBorders>
                  <w:vAlign w:val="center"/>
                </w:tcPr>
                <w:p w14:paraId="644765AF">
                  <w:pPr>
                    <w:autoSpaceDE/>
                    <w:autoSpaceDN/>
                    <w:jc w:val="center"/>
                    <w:rPr>
                      <w:color w:val="auto"/>
                      <w:sz w:val="21"/>
                      <w:szCs w:val="21"/>
                    </w:rPr>
                  </w:pPr>
                  <w:r>
                    <w:rPr>
                      <w:rFonts w:hint="eastAsia"/>
                      <w:color w:val="auto"/>
                      <w:sz w:val="21"/>
                      <w:szCs w:val="21"/>
                    </w:rPr>
                    <w:t>1.禁止在自然保护区内进行砍伐、放牧、狩猎、捕捞、采药、开垦、烧荒、开矿、采石、挖沙等活动；但是，法律、行政法规另有规定的除外。</w:t>
                  </w:r>
                </w:p>
                <w:p w14:paraId="037B12CF">
                  <w:pPr>
                    <w:autoSpaceDE/>
                    <w:autoSpaceDN/>
                    <w:jc w:val="center"/>
                    <w:rPr>
                      <w:color w:val="auto"/>
                      <w:sz w:val="21"/>
                      <w:szCs w:val="21"/>
                    </w:rPr>
                  </w:pPr>
                  <w:r>
                    <w:rPr>
                      <w:rFonts w:hint="eastAsia"/>
                      <w:color w:val="auto"/>
                      <w:sz w:val="21"/>
                      <w:szCs w:val="21"/>
                    </w:rPr>
                    <w:t>2.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w:t>
                  </w:r>
                </w:p>
                <w:p w14:paraId="48BB5139">
                  <w:pPr>
                    <w:autoSpaceDE/>
                    <w:autoSpaceDN/>
                    <w:jc w:val="center"/>
                    <w:rPr>
                      <w:color w:val="auto"/>
                      <w:sz w:val="21"/>
                      <w:szCs w:val="21"/>
                    </w:rPr>
                  </w:pPr>
                  <w:r>
                    <w:rPr>
                      <w:rFonts w:hint="eastAsia"/>
                      <w:color w:val="auto"/>
                      <w:sz w:val="21"/>
                      <w:szCs w:val="21"/>
                    </w:rPr>
                    <w:t>3.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14:paraId="3CE5DA51">
                  <w:pPr>
                    <w:autoSpaceDE/>
                    <w:autoSpaceDN/>
                    <w:jc w:val="center"/>
                    <w:rPr>
                      <w:color w:val="auto"/>
                      <w:sz w:val="21"/>
                      <w:szCs w:val="21"/>
                    </w:rPr>
                  </w:pPr>
                  <w:r>
                    <w:rPr>
                      <w:rFonts w:hint="eastAsia"/>
                      <w:color w:val="auto"/>
                      <w:sz w:val="21"/>
                      <w:szCs w:val="21"/>
                    </w:rPr>
                    <w:t>4.在自然保护区的核心区和缓冲区内，不得建设任何生产设施。</w:t>
                  </w:r>
                </w:p>
              </w:tc>
              <w:tc>
                <w:tcPr>
                  <w:tcW w:w="304" w:type="dxa"/>
                  <w:vMerge w:val="restart"/>
                  <w:tcBorders>
                    <w:top w:val="single" w:color="000000" w:sz="4" w:space="0"/>
                    <w:left w:val="single" w:color="000000" w:sz="4" w:space="0"/>
                  </w:tcBorders>
                  <w:vAlign w:val="center"/>
                </w:tcPr>
                <w:p w14:paraId="161B0A1C">
                  <w:pPr>
                    <w:autoSpaceDE/>
                    <w:autoSpaceDN/>
                    <w:jc w:val="center"/>
                    <w:rPr>
                      <w:color w:val="auto"/>
                      <w:kern w:val="2"/>
                      <w:sz w:val="21"/>
                      <w:szCs w:val="21"/>
                    </w:rPr>
                  </w:pPr>
                  <w:r>
                    <w:rPr>
                      <w:rFonts w:hint="eastAsia"/>
                      <w:color w:val="auto"/>
                      <w:sz w:val="21"/>
                      <w:szCs w:val="21"/>
                    </w:rPr>
                    <w:t>本项目占地不涉及自然保护区</w:t>
                  </w:r>
                </w:p>
              </w:tc>
            </w:tr>
            <w:tr w14:paraId="2E104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bottom w:val="single" w:color="000000" w:sz="4" w:space="0"/>
                    <w:right w:val="single" w:color="000000" w:sz="4" w:space="0"/>
                  </w:tcBorders>
                  <w:vAlign w:val="center"/>
                </w:tcPr>
                <w:p w14:paraId="3C959DF0">
                  <w:pPr>
                    <w:autoSpaceDE/>
                    <w:autoSpaceDN/>
                    <w:jc w:val="center"/>
                    <w:rPr>
                      <w:color w:val="auto"/>
                      <w:sz w:val="21"/>
                      <w:szCs w:val="21"/>
                    </w:rPr>
                  </w:pPr>
                </w:p>
              </w:tc>
              <w:tc>
                <w:tcPr>
                  <w:tcW w:w="350" w:type="dxa"/>
                  <w:vMerge w:val="continue"/>
                  <w:tcBorders>
                    <w:left w:val="single" w:color="000000" w:sz="4" w:space="0"/>
                  </w:tcBorders>
                  <w:vAlign w:val="center"/>
                </w:tcPr>
                <w:p w14:paraId="52D8E1F8">
                  <w:pPr>
                    <w:autoSpaceDE/>
                    <w:autoSpaceDN/>
                    <w:jc w:val="center"/>
                    <w:rPr>
                      <w:color w:val="auto"/>
                      <w:sz w:val="21"/>
                      <w:szCs w:val="21"/>
                    </w:rPr>
                  </w:pPr>
                </w:p>
              </w:tc>
              <w:tc>
                <w:tcPr>
                  <w:tcW w:w="618" w:type="dxa"/>
                  <w:tcBorders>
                    <w:left w:val="single" w:color="000000" w:sz="4" w:space="0"/>
                  </w:tcBorders>
                  <w:vAlign w:val="center"/>
                </w:tcPr>
                <w:p w14:paraId="6561C281">
                  <w:pPr>
                    <w:autoSpaceDE/>
                    <w:autoSpaceDN/>
                    <w:jc w:val="center"/>
                    <w:rPr>
                      <w:color w:val="auto"/>
                      <w:sz w:val="21"/>
                      <w:szCs w:val="21"/>
                    </w:rPr>
                  </w:pPr>
                  <w:r>
                    <w:rPr>
                      <w:rFonts w:hint="eastAsia"/>
                      <w:color w:val="auto"/>
                      <w:sz w:val="21"/>
                      <w:szCs w:val="21"/>
                    </w:rPr>
                    <w:t>允许类活动相关要求</w:t>
                  </w:r>
                </w:p>
              </w:tc>
              <w:tc>
                <w:tcPr>
                  <w:tcW w:w="5983" w:type="dxa"/>
                  <w:tcBorders>
                    <w:left w:val="single" w:color="000000" w:sz="4" w:space="0"/>
                  </w:tcBorders>
                  <w:vAlign w:val="center"/>
                </w:tcPr>
                <w:p w14:paraId="6B332A8F">
                  <w:pPr>
                    <w:autoSpaceDE/>
                    <w:autoSpaceDN/>
                    <w:jc w:val="center"/>
                    <w:rPr>
                      <w:color w:val="auto"/>
                      <w:sz w:val="21"/>
                      <w:szCs w:val="21"/>
                      <w:lang w:val="en-US"/>
                    </w:rPr>
                  </w:pPr>
                  <w:r>
                    <w:rPr>
                      <w:rFonts w:hint="eastAsia"/>
                      <w:color w:val="auto"/>
                      <w:sz w:val="21"/>
                      <w:szCs w:val="21"/>
                      <w:lang w:val="en-US"/>
                    </w:rPr>
                    <w:t>1.在自然保护区组织参观、旅游活动的，应当严格按照前款规定的方案进行，并加强管理；进入自然保护区参观、旅游的单位和个人，应当服从自然保护区管理机构的管理。</w:t>
                  </w:r>
                </w:p>
                <w:p w14:paraId="769FE1C0">
                  <w:pPr>
                    <w:autoSpaceDE/>
                    <w:autoSpaceDN/>
                    <w:jc w:val="center"/>
                    <w:rPr>
                      <w:color w:val="auto"/>
                      <w:sz w:val="21"/>
                      <w:szCs w:val="21"/>
                      <w:lang w:val="en-US"/>
                    </w:rPr>
                  </w:pPr>
                  <w:r>
                    <w:rPr>
                      <w:rFonts w:hint="eastAsia"/>
                      <w:color w:val="auto"/>
                      <w:sz w:val="21"/>
                      <w:szCs w:val="21"/>
                      <w:lang w:val="en-US"/>
                    </w:rPr>
                    <w:t>2.在自然保护区的外围保护地带建设的项目，不得损害自然保护区内的环境质量；已造成损害的，应当限期治理。限期治理决定由法律、法规规定的机关作出，被限期治理的企业事业单位必须按期完成治理任务。</w:t>
                  </w:r>
                </w:p>
              </w:tc>
              <w:tc>
                <w:tcPr>
                  <w:tcW w:w="304" w:type="dxa"/>
                  <w:vMerge w:val="continue"/>
                  <w:tcBorders>
                    <w:left w:val="single" w:color="000000" w:sz="4" w:space="0"/>
                  </w:tcBorders>
                  <w:vAlign w:val="center"/>
                </w:tcPr>
                <w:p w14:paraId="441D2B3B">
                  <w:pPr>
                    <w:autoSpaceDE/>
                    <w:autoSpaceDN/>
                    <w:jc w:val="center"/>
                    <w:rPr>
                      <w:color w:val="auto"/>
                      <w:kern w:val="2"/>
                      <w:sz w:val="21"/>
                      <w:szCs w:val="21"/>
                      <w:lang w:val="en-US" w:bidi="ar-SA"/>
                    </w:rPr>
                  </w:pPr>
                </w:p>
              </w:tc>
            </w:tr>
            <w:tr w14:paraId="551DB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top w:val="single" w:color="000000" w:sz="4" w:space="0"/>
                    <w:right w:val="single" w:color="000000" w:sz="4" w:space="0"/>
                  </w:tcBorders>
                  <w:vAlign w:val="center"/>
                </w:tcPr>
                <w:p w14:paraId="425A654F">
                  <w:pPr>
                    <w:autoSpaceDE/>
                    <w:autoSpaceDN/>
                    <w:jc w:val="center"/>
                    <w:rPr>
                      <w:color w:val="auto"/>
                      <w:sz w:val="21"/>
                      <w:szCs w:val="21"/>
                    </w:rPr>
                  </w:pPr>
                  <w:r>
                    <w:rPr>
                      <w:rFonts w:hint="eastAsia"/>
                      <w:color w:val="auto"/>
                      <w:sz w:val="21"/>
                      <w:szCs w:val="21"/>
                    </w:rPr>
                    <w:t>风景名胜区</w:t>
                  </w:r>
                </w:p>
              </w:tc>
              <w:tc>
                <w:tcPr>
                  <w:tcW w:w="350" w:type="dxa"/>
                  <w:vMerge w:val="restart"/>
                  <w:tcBorders>
                    <w:top w:val="nil"/>
                    <w:left w:val="single" w:color="000000" w:sz="4" w:space="0"/>
                  </w:tcBorders>
                  <w:vAlign w:val="center"/>
                </w:tcPr>
                <w:p w14:paraId="20ED6716">
                  <w:pPr>
                    <w:autoSpaceDE/>
                    <w:autoSpaceDN/>
                    <w:jc w:val="center"/>
                    <w:rPr>
                      <w:color w:val="auto"/>
                      <w:sz w:val="21"/>
                      <w:szCs w:val="21"/>
                    </w:rPr>
                  </w:pPr>
                  <w:r>
                    <w:rPr>
                      <w:rFonts w:hint="eastAsia"/>
                      <w:color w:val="auto"/>
                      <w:sz w:val="21"/>
                      <w:szCs w:val="21"/>
                    </w:rPr>
                    <w:t>空间布局</w:t>
                  </w:r>
                </w:p>
              </w:tc>
              <w:tc>
                <w:tcPr>
                  <w:tcW w:w="618" w:type="dxa"/>
                  <w:tcBorders>
                    <w:top w:val="nil"/>
                    <w:left w:val="single" w:color="000000" w:sz="4" w:space="0"/>
                  </w:tcBorders>
                  <w:vAlign w:val="center"/>
                </w:tcPr>
                <w:p w14:paraId="4E98733C">
                  <w:pPr>
                    <w:autoSpaceDE/>
                    <w:autoSpaceDN/>
                    <w:jc w:val="center"/>
                    <w:rPr>
                      <w:color w:val="auto"/>
                      <w:sz w:val="21"/>
                      <w:szCs w:val="21"/>
                    </w:rPr>
                  </w:pPr>
                  <w:r>
                    <w:rPr>
                      <w:rFonts w:hint="eastAsia"/>
                      <w:color w:val="auto"/>
                      <w:sz w:val="21"/>
                      <w:szCs w:val="21"/>
                    </w:rPr>
                    <w:t>禁止类活动</w:t>
                  </w:r>
                </w:p>
              </w:tc>
              <w:tc>
                <w:tcPr>
                  <w:tcW w:w="5983" w:type="dxa"/>
                  <w:tcBorders>
                    <w:top w:val="nil"/>
                    <w:left w:val="single" w:color="000000" w:sz="4" w:space="0"/>
                  </w:tcBorders>
                  <w:vAlign w:val="center"/>
                </w:tcPr>
                <w:p w14:paraId="071DDA46">
                  <w:pPr>
                    <w:jc w:val="center"/>
                    <w:rPr>
                      <w:color w:val="auto"/>
                      <w:sz w:val="21"/>
                      <w:szCs w:val="21"/>
                    </w:rPr>
                  </w:pPr>
                  <w:r>
                    <w:rPr>
                      <w:rFonts w:hint="eastAsia"/>
                      <w:color w:val="auto"/>
                      <w:sz w:val="21"/>
                      <w:szCs w:val="21"/>
                    </w:rPr>
                    <w:t>1.在风景名胜区内禁止进行下列活动：开山、采石、开矿、开荒、修坟立碑等破坏景观、植被和地形地貌的活动；修建储存爆炸性、易燃性、放射性、毒害性、腐蚀性物品的设施；在景物或者设施上刻划、涂污；乱扔垃圾；排放、倾倒污染环境的废水、废气和废渣；采伐、毁坏古树名木。</w:t>
                  </w:r>
                </w:p>
                <w:p w14:paraId="3EAF21ED">
                  <w:pPr>
                    <w:jc w:val="center"/>
                    <w:rPr>
                      <w:color w:val="auto"/>
                      <w:sz w:val="21"/>
                      <w:szCs w:val="21"/>
                    </w:rPr>
                  </w:pPr>
                  <w:r>
                    <w:rPr>
                      <w:rFonts w:hint="eastAsia"/>
                      <w:color w:val="auto"/>
                      <w:sz w:val="21"/>
                      <w:szCs w:val="21"/>
                    </w:rPr>
                    <w:t>2.禁止违反风景名胜区规划，在风景名胜区内设立各类开发区和在核心景区内建设宾馆、招待所、培训中心、疗养院以及与风景名胜资源保护无关的其他建筑物；已经建设的，应当按照风景名胜区规划，逐步迁出。</w:t>
                  </w:r>
                </w:p>
                <w:p w14:paraId="080FC4E5">
                  <w:pPr>
                    <w:jc w:val="center"/>
                    <w:rPr>
                      <w:color w:val="auto"/>
                    </w:rPr>
                  </w:pPr>
                  <w:r>
                    <w:rPr>
                      <w:rFonts w:hint="eastAsia"/>
                      <w:color w:val="auto"/>
                      <w:sz w:val="21"/>
                      <w:szCs w:val="21"/>
                    </w:rPr>
                    <w:t>3.风景名胜区外围保护地带不得建设影响景观、污染环境的工业设施或者场所。</w:t>
                  </w:r>
                </w:p>
              </w:tc>
              <w:tc>
                <w:tcPr>
                  <w:tcW w:w="304" w:type="dxa"/>
                  <w:vMerge w:val="restart"/>
                  <w:tcBorders>
                    <w:left w:val="single" w:color="000000" w:sz="4" w:space="0"/>
                  </w:tcBorders>
                  <w:vAlign w:val="center"/>
                </w:tcPr>
                <w:p w14:paraId="3FD1224D">
                  <w:pPr>
                    <w:jc w:val="center"/>
                    <w:rPr>
                      <w:color w:val="auto"/>
                      <w:sz w:val="21"/>
                      <w:szCs w:val="21"/>
                    </w:rPr>
                  </w:pPr>
                  <w:r>
                    <w:rPr>
                      <w:rFonts w:hint="eastAsia"/>
                      <w:color w:val="auto"/>
                      <w:sz w:val="21"/>
                      <w:szCs w:val="21"/>
                    </w:rPr>
                    <w:t>本项目占地不涉及风景名胜区</w:t>
                  </w:r>
                </w:p>
              </w:tc>
            </w:tr>
            <w:tr w14:paraId="07F0B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right w:val="single" w:color="000000" w:sz="4" w:space="0"/>
                  </w:tcBorders>
                  <w:vAlign w:val="center"/>
                </w:tcPr>
                <w:p w14:paraId="701BF0D6">
                  <w:pPr>
                    <w:autoSpaceDE/>
                    <w:autoSpaceDN/>
                    <w:jc w:val="center"/>
                    <w:rPr>
                      <w:color w:val="auto"/>
                      <w:sz w:val="21"/>
                      <w:szCs w:val="21"/>
                    </w:rPr>
                  </w:pPr>
                </w:p>
              </w:tc>
              <w:tc>
                <w:tcPr>
                  <w:tcW w:w="350" w:type="dxa"/>
                  <w:vMerge w:val="continue"/>
                  <w:tcBorders>
                    <w:left w:val="single" w:color="000000" w:sz="4" w:space="0"/>
                  </w:tcBorders>
                  <w:vAlign w:val="center"/>
                </w:tcPr>
                <w:p w14:paraId="7AF33A26">
                  <w:pPr>
                    <w:autoSpaceDE/>
                    <w:autoSpaceDN/>
                    <w:jc w:val="center"/>
                    <w:rPr>
                      <w:color w:val="auto"/>
                      <w:sz w:val="21"/>
                      <w:szCs w:val="21"/>
                    </w:rPr>
                  </w:pPr>
                </w:p>
              </w:tc>
              <w:tc>
                <w:tcPr>
                  <w:tcW w:w="618" w:type="dxa"/>
                  <w:tcBorders>
                    <w:left w:val="single" w:color="000000" w:sz="4" w:space="0"/>
                  </w:tcBorders>
                  <w:vAlign w:val="center"/>
                </w:tcPr>
                <w:p w14:paraId="600AC01C">
                  <w:pPr>
                    <w:autoSpaceDE/>
                    <w:autoSpaceDN/>
                    <w:jc w:val="center"/>
                    <w:rPr>
                      <w:color w:val="auto"/>
                      <w:sz w:val="21"/>
                      <w:szCs w:val="21"/>
                    </w:rPr>
                  </w:pPr>
                  <w:r>
                    <w:rPr>
                      <w:rFonts w:hint="eastAsia"/>
                      <w:color w:val="auto"/>
                      <w:sz w:val="21"/>
                      <w:szCs w:val="21"/>
                    </w:rPr>
                    <w:t>允许类活动相关要求</w:t>
                  </w:r>
                </w:p>
              </w:tc>
              <w:tc>
                <w:tcPr>
                  <w:tcW w:w="5983" w:type="dxa"/>
                  <w:tcBorders>
                    <w:left w:val="single" w:color="000000" w:sz="4" w:space="0"/>
                  </w:tcBorders>
                  <w:vAlign w:val="center"/>
                </w:tcPr>
                <w:p w14:paraId="5ACEEFBE">
                  <w:pPr>
                    <w:autoSpaceDE/>
                    <w:autoSpaceDN/>
                    <w:jc w:val="center"/>
                    <w:rPr>
                      <w:color w:val="auto"/>
                      <w:sz w:val="21"/>
                      <w:szCs w:val="21"/>
                    </w:rPr>
                  </w:pPr>
                  <w:r>
                    <w:rPr>
                      <w:rFonts w:hint="eastAsia"/>
                      <w:color w:val="auto"/>
                      <w:sz w:val="21"/>
                      <w:szCs w:val="21"/>
                    </w:rPr>
                    <w:t>1.在风景名胜区内进行建设活动的，建设单位、施工单位应当制定污染防治和水土保持方案，并采取有效措施，保护好周围景物、水体、林草植被、野生动物资源和地形地貌。</w:t>
                  </w:r>
                </w:p>
                <w:p w14:paraId="4DF8C69C">
                  <w:pPr>
                    <w:autoSpaceDE/>
                    <w:autoSpaceDN/>
                    <w:jc w:val="center"/>
                    <w:rPr>
                      <w:color w:val="auto"/>
                      <w:sz w:val="21"/>
                      <w:szCs w:val="21"/>
                    </w:rPr>
                  </w:pPr>
                  <w:r>
                    <w:rPr>
                      <w:rFonts w:hint="eastAsia"/>
                      <w:color w:val="auto"/>
                      <w:sz w:val="21"/>
                      <w:szCs w:val="21"/>
                    </w:rPr>
                    <w:t>2.在风景名胜区内从事影视拍摄等影响生态和景观的活动，应当经风景名胜区管理机构审核后，依照有关法律、法规的规定报有关主管部门批准。</w:t>
                  </w:r>
                </w:p>
                <w:p w14:paraId="4B8A9B68">
                  <w:pPr>
                    <w:autoSpaceDE/>
                    <w:autoSpaceDN/>
                    <w:jc w:val="center"/>
                    <w:rPr>
                      <w:color w:val="auto"/>
                      <w:sz w:val="21"/>
                      <w:szCs w:val="21"/>
                    </w:rPr>
                  </w:pPr>
                  <w:r>
                    <w:rPr>
                      <w:rFonts w:hint="eastAsia"/>
                      <w:color w:val="auto"/>
                      <w:sz w:val="21"/>
                      <w:szCs w:val="21"/>
                    </w:rPr>
                    <w:t>3.风景名胜区内居民的生产生活方式应当有利于保护风景名胜资源和传承当地民俗风貌。在风景名胜区内新建居民住宅，应当在规划确定的居住用地范围内依法建设。规划确定需要拆除的居民住宅，不得翻建、改建、扩建。</w:t>
                  </w:r>
                </w:p>
              </w:tc>
              <w:tc>
                <w:tcPr>
                  <w:tcW w:w="304" w:type="dxa"/>
                  <w:vMerge w:val="continue"/>
                  <w:tcBorders>
                    <w:left w:val="single" w:color="000000" w:sz="4" w:space="0"/>
                  </w:tcBorders>
                  <w:vAlign w:val="center"/>
                </w:tcPr>
                <w:p w14:paraId="12314A01">
                  <w:pPr>
                    <w:autoSpaceDE/>
                    <w:autoSpaceDN/>
                    <w:jc w:val="center"/>
                    <w:rPr>
                      <w:color w:val="auto"/>
                      <w:sz w:val="21"/>
                      <w:szCs w:val="21"/>
                    </w:rPr>
                  </w:pPr>
                </w:p>
              </w:tc>
            </w:tr>
            <w:tr w14:paraId="270EA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right w:val="single" w:color="000000" w:sz="4" w:space="0"/>
                  </w:tcBorders>
                  <w:vAlign w:val="center"/>
                </w:tcPr>
                <w:p w14:paraId="39DBB359">
                  <w:pPr>
                    <w:autoSpaceDE/>
                    <w:autoSpaceDN/>
                    <w:jc w:val="center"/>
                    <w:rPr>
                      <w:color w:val="auto"/>
                      <w:sz w:val="21"/>
                      <w:szCs w:val="21"/>
                    </w:rPr>
                  </w:pPr>
                  <w:r>
                    <w:rPr>
                      <w:rFonts w:hint="eastAsia"/>
                      <w:color w:val="auto"/>
                      <w:sz w:val="21"/>
                      <w:szCs w:val="21"/>
                    </w:rPr>
                    <w:t>湿地公园</w:t>
                  </w:r>
                </w:p>
              </w:tc>
              <w:tc>
                <w:tcPr>
                  <w:tcW w:w="350" w:type="dxa"/>
                  <w:vMerge w:val="restart"/>
                  <w:tcBorders>
                    <w:left w:val="single" w:color="000000" w:sz="4" w:space="0"/>
                  </w:tcBorders>
                  <w:vAlign w:val="center"/>
                </w:tcPr>
                <w:p w14:paraId="3C7C2317">
                  <w:pPr>
                    <w:autoSpaceDE/>
                    <w:autoSpaceDN/>
                    <w:jc w:val="center"/>
                    <w:rPr>
                      <w:color w:val="auto"/>
                      <w:sz w:val="21"/>
                      <w:szCs w:val="21"/>
                    </w:rPr>
                  </w:pPr>
                  <w:r>
                    <w:rPr>
                      <w:rFonts w:hint="eastAsia"/>
                      <w:color w:val="auto"/>
                      <w:sz w:val="21"/>
                      <w:szCs w:val="21"/>
                    </w:rPr>
                    <w:t>空间布局</w:t>
                  </w:r>
                </w:p>
              </w:tc>
              <w:tc>
                <w:tcPr>
                  <w:tcW w:w="618" w:type="dxa"/>
                  <w:tcBorders>
                    <w:left w:val="single" w:color="000000" w:sz="4" w:space="0"/>
                  </w:tcBorders>
                  <w:vAlign w:val="center"/>
                </w:tcPr>
                <w:p w14:paraId="015B0752">
                  <w:pPr>
                    <w:autoSpaceDE/>
                    <w:autoSpaceDN/>
                    <w:jc w:val="center"/>
                    <w:rPr>
                      <w:color w:val="auto"/>
                      <w:sz w:val="21"/>
                      <w:szCs w:val="21"/>
                    </w:rPr>
                  </w:pPr>
                  <w:r>
                    <w:rPr>
                      <w:rFonts w:hint="eastAsia"/>
                      <w:color w:val="auto"/>
                      <w:sz w:val="21"/>
                      <w:szCs w:val="21"/>
                    </w:rPr>
                    <w:t>禁止类活动</w:t>
                  </w:r>
                </w:p>
              </w:tc>
              <w:tc>
                <w:tcPr>
                  <w:tcW w:w="5983" w:type="dxa"/>
                  <w:tcBorders>
                    <w:left w:val="single" w:color="000000" w:sz="4" w:space="0"/>
                  </w:tcBorders>
                  <w:vAlign w:val="center"/>
                </w:tcPr>
                <w:p w14:paraId="1C347FBA">
                  <w:pPr>
                    <w:autoSpaceDE/>
                    <w:autoSpaceDN/>
                    <w:jc w:val="center"/>
                    <w:rPr>
                      <w:color w:val="auto"/>
                      <w:sz w:val="21"/>
                      <w:szCs w:val="21"/>
                    </w:rPr>
                  </w:pPr>
                  <w:r>
                    <w:rPr>
                      <w:rFonts w:hint="eastAsia"/>
                      <w:color w:val="auto"/>
                      <w:sz w:val="21"/>
                      <w:szCs w:val="21"/>
                    </w:rPr>
                    <w:t>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w:t>
                  </w:r>
                </w:p>
              </w:tc>
              <w:tc>
                <w:tcPr>
                  <w:tcW w:w="304" w:type="dxa"/>
                  <w:vMerge w:val="restart"/>
                  <w:tcBorders>
                    <w:left w:val="single" w:color="000000" w:sz="4" w:space="0"/>
                  </w:tcBorders>
                  <w:vAlign w:val="center"/>
                </w:tcPr>
                <w:p w14:paraId="2514B91F">
                  <w:pPr>
                    <w:autoSpaceDE/>
                    <w:autoSpaceDN/>
                    <w:jc w:val="center"/>
                    <w:rPr>
                      <w:color w:val="auto"/>
                      <w:sz w:val="21"/>
                      <w:szCs w:val="21"/>
                    </w:rPr>
                  </w:pPr>
                  <w:r>
                    <w:rPr>
                      <w:rFonts w:hint="eastAsia"/>
                      <w:color w:val="auto"/>
                      <w:sz w:val="21"/>
                      <w:szCs w:val="21"/>
                    </w:rPr>
                    <w:t>本项目占地不涉及湿地公园</w:t>
                  </w:r>
                </w:p>
              </w:tc>
            </w:tr>
            <w:tr w14:paraId="5F5F0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right w:val="single" w:color="000000" w:sz="4" w:space="0"/>
                  </w:tcBorders>
                  <w:vAlign w:val="center"/>
                </w:tcPr>
                <w:p w14:paraId="777289F5">
                  <w:pPr>
                    <w:autoSpaceDE/>
                    <w:autoSpaceDN/>
                    <w:jc w:val="center"/>
                    <w:rPr>
                      <w:color w:val="auto"/>
                      <w:sz w:val="21"/>
                      <w:szCs w:val="21"/>
                    </w:rPr>
                  </w:pPr>
                </w:p>
              </w:tc>
              <w:tc>
                <w:tcPr>
                  <w:tcW w:w="350" w:type="dxa"/>
                  <w:vMerge w:val="continue"/>
                  <w:tcBorders>
                    <w:left w:val="single" w:color="000000" w:sz="4" w:space="0"/>
                  </w:tcBorders>
                  <w:vAlign w:val="center"/>
                </w:tcPr>
                <w:p w14:paraId="0023805E">
                  <w:pPr>
                    <w:autoSpaceDE/>
                    <w:autoSpaceDN/>
                    <w:jc w:val="center"/>
                    <w:rPr>
                      <w:color w:val="auto"/>
                      <w:sz w:val="21"/>
                      <w:szCs w:val="21"/>
                    </w:rPr>
                  </w:pPr>
                </w:p>
              </w:tc>
              <w:tc>
                <w:tcPr>
                  <w:tcW w:w="618" w:type="dxa"/>
                  <w:tcBorders>
                    <w:left w:val="single" w:color="000000" w:sz="4" w:space="0"/>
                  </w:tcBorders>
                  <w:vAlign w:val="center"/>
                </w:tcPr>
                <w:p w14:paraId="6D0057DC">
                  <w:pPr>
                    <w:autoSpaceDE/>
                    <w:autoSpaceDN/>
                    <w:jc w:val="center"/>
                    <w:rPr>
                      <w:color w:val="auto"/>
                      <w:sz w:val="21"/>
                      <w:szCs w:val="21"/>
                    </w:rPr>
                  </w:pPr>
                  <w:r>
                    <w:rPr>
                      <w:rFonts w:hint="eastAsia"/>
                      <w:color w:val="auto"/>
                      <w:sz w:val="21"/>
                      <w:szCs w:val="21"/>
                    </w:rPr>
                    <w:t>允许类活动相关要求</w:t>
                  </w:r>
                </w:p>
              </w:tc>
              <w:tc>
                <w:tcPr>
                  <w:tcW w:w="5983" w:type="dxa"/>
                  <w:tcBorders>
                    <w:left w:val="single" w:color="000000" w:sz="4" w:space="0"/>
                  </w:tcBorders>
                  <w:vAlign w:val="center"/>
                </w:tcPr>
                <w:p w14:paraId="080C211D">
                  <w:pPr>
                    <w:autoSpaceDE/>
                    <w:autoSpaceDN/>
                    <w:jc w:val="center"/>
                    <w:rPr>
                      <w:color w:val="auto"/>
                      <w:sz w:val="21"/>
                      <w:szCs w:val="21"/>
                    </w:rPr>
                  </w:pPr>
                  <w:r>
                    <w:rPr>
                      <w:rFonts w:hint="eastAsia"/>
                      <w:color w:val="auto"/>
                      <w:sz w:val="21"/>
                      <w:szCs w:val="21"/>
                    </w:rPr>
                    <w:t>在湿地内从事生产经营、观赏旅游、科学研究、调查观测、科普教育等活动，应当避免影响、降低湿地生态功能和对野生生物物种造成损害。</w:t>
                  </w:r>
                </w:p>
              </w:tc>
              <w:tc>
                <w:tcPr>
                  <w:tcW w:w="304" w:type="dxa"/>
                  <w:vMerge w:val="continue"/>
                  <w:tcBorders>
                    <w:left w:val="single" w:color="000000" w:sz="4" w:space="0"/>
                  </w:tcBorders>
                  <w:vAlign w:val="center"/>
                </w:tcPr>
                <w:p w14:paraId="545F196B">
                  <w:pPr>
                    <w:autoSpaceDE/>
                    <w:autoSpaceDN/>
                    <w:jc w:val="center"/>
                    <w:rPr>
                      <w:color w:val="auto"/>
                      <w:sz w:val="21"/>
                      <w:szCs w:val="21"/>
                    </w:rPr>
                  </w:pPr>
                </w:p>
              </w:tc>
            </w:tr>
            <w:tr w14:paraId="03ED8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right w:val="single" w:color="000000" w:sz="4" w:space="0"/>
                  </w:tcBorders>
                  <w:vAlign w:val="center"/>
                </w:tcPr>
                <w:p w14:paraId="5C936D48">
                  <w:pPr>
                    <w:autoSpaceDE/>
                    <w:autoSpaceDN/>
                    <w:jc w:val="center"/>
                    <w:rPr>
                      <w:color w:val="auto"/>
                      <w:sz w:val="21"/>
                      <w:szCs w:val="21"/>
                    </w:rPr>
                  </w:pPr>
                  <w:r>
                    <w:rPr>
                      <w:rFonts w:hint="eastAsia"/>
                      <w:color w:val="auto"/>
                      <w:sz w:val="21"/>
                      <w:szCs w:val="21"/>
                    </w:rPr>
                    <w:t>森林公园</w:t>
                  </w:r>
                </w:p>
              </w:tc>
              <w:tc>
                <w:tcPr>
                  <w:tcW w:w="350" w:type="dxa"/>
                  <w:vMerge w:val="restart"/>
                  <w:tcBorders>
                    <w:left w:val="single" w:color="000000" w:sz="4" w:space="0"/>
                  </w:tcBorders>
                  <w:vAlign w:val="center"/>
                </w:tcPr>
                <w:p w14:paraId="1ED45D11">
                  <w:pPr>
                    <w:autoSpaceDE/>
                    <w:autoSpaceDN/>
                    <w:jc w:val="center"/>
                    <w:rPr>
                      <w:color w:val="auto"/>
                      <w:sz w:val="21"/>
                      <w:szCs w:val="21"/>
                    </w:rPr>
                  </w:pPr>
                  <w:r>
                    <w:rPr>
                      <w:rFonts w:hint="eastAsia"/>
                      <w:color w:val="auto"/>
                      <w:sz w:val="21"/>
                      <w:szCs w:val="21"/>
                    </w:rPr>
                    <w:t>空间布局</w:t>
                  </w:r>
                </w:p>
              </w:tc>
              <w:tc>
                <w:tcPr>
                  <w:tcW w:w="618" w:type="dxa"/>
                  <w:tcBorders>
                    <w:left w:val="single" w:color="000000" w:sz="4" w:space="0"/>
                  </w:tcBorders>
                  <w:vAlign w:val="center"/>
                </w:tcPr>
                <w:p w14:paraId="54031CF5">
                  <w:pPr>
                    <w:autoSpaceDE/>
                    <w:autoSpaceDN/>
                    <w:jc w:val="center"/>
                    <w:rPr>
                      <w:color w:val="auto"/>
                      <w:sz w:val="21"/>
                      <w:szCs w:val="21"/>
                    </w:rPr>
                  </w:pPr>
                  <w:r>
                    <w:rPr>
                      <w:rFonts w:hint="eastAsia"/>
                      <w:color w:val="auto"/>
                      <w:sz w:val="21"/>
                      <w:szCs w:val="21"/>
                    </w:rPr>
                    <w:t>禁止类活动</w:t>
                  </w:r>
                </w:p>
              </w:tc>
              <w:tc>
                <w:tcPr>
                  <w:tcW w:w="5983" w:type="dxa"/>
                  <w:tcBorders>
                    <w:left w:val="single" w:color="000000" w:sz="4" w:space="0"/>
                  </w:tcBorders>
                  <w:vAlign w:val="center"/>
                </w:tcPr>
                <w:p w14:paraId="7DBCBB5C">
                  <w:pPr>
                    <w:autoSpaceDE/>
                    <w:autoSpaceDN/>
                    <w:jc w:val="center"/>
                    <w:rPr>
                      <w:color w:val="auto"/>
                      <w:sz w:val="21"/>
                      <w:szCs w:val="21"/>
                    </w:rPr>
                  </w:pPr>
                  <w:r>
                    <w:rPr>
                      <w:rFonts w:hint="eastAsia"/>
                      <w:color w:val="auto"/>
                      <w:sz w:val="21"/>
                      <w:szCs w:val="21"/>
                    </w:rPr>
                    <w:t>禁止擅自在国家级自然公园内从事采矿、房地产、开发区、高尔夫球场、风力光伏电场等不符合管控要求的开发活动。禁止违规侵占国家级自然公园，排放不符合水污染物排放标准的工业废水、生活污水及其他的废水、污水，倾倒、堆放、丢弃、遗撒固体废物等污染生态环境的行为。</w:t>
                  </w:r>
                </w:p>
              </w:tc>
              <w:tc>
                <w:tcPr>
                  <w:tcW w:w="304" w:type="dxa"/>
                  <w:vMerge w:val="restart"/>
                  <w:tcBorders>
                    <w:left w:val="single" w:color="000000" w:sz="4" w:space="0"/>
                  </w:tcBorders>
                  <w:vAlign w:val="center"/>
                </w:tcPr>
                <w:p w14:paraId="4C6CC5D0">
                  <w:pPr>
                    <w:autoSpaceDE/>
                    <w:autoSpaceDN/>
                    <w:jc w:val="center"/>
                    <w:rPr>
                      <w:color w:val="auto"/>
                      <w:sz w:val="21"/>
                      <w:szCs w:val="21"/>
                    </w:rPr>
                  </w:pPr>
                  <w:r>
                    <w:rPr>
                      <w:rFonts w:hint="eastAsia"/>
                      <w:color w:val="auto"/>
                      <w:sz w:val="21"/>
                      <w:szCs w:val="21"/>
                    </w:rPr>
                    <w:t>本项目占地不涉及森林公园</w:t>
                  </w:r>
                </w:p>
              </w:tc>
            </w:tr>
            <w:tr w14:paraId="54BF8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right w:val="single" w:color="000000" w:sz="4" w:space="0"/>
                  </w:tcBorders>
                  <w:vAlign w:val="center"/>
                </w:tcPr>
                <w:p w14:paraId="4B4B4F20">
                  <w:pPr>
                    <w:autoSpaceDE/>
                    <w:autoSpaceDN/>
                    <w:jc w:val="center"/>
                    <w:rPr>
                      <w:color w:val="auto"/>
                      <w:sz w:val="21"/>
                      <w:szCs w:val="21"/>
                    </w:rPr>
                  </w:pPr>
                </w:p>
              </w:tc>
              <w:tc>
                <w:tcPr>
                  <w:tcW w:w="350" w:type="dxa"/>
                  <w:vMerge w:val="continue"/>
                  <w:tcBorders>
                    <w:left w:val="single" w:color="000000" w:sz="4" w:space="0"/>
                  </w:tcBorders>
                  <w:vAlign w:val="center"/>
                </w:tcPr>
                <w:p w14:paraId="2327644E">
                  <w:pPr>
                    <w:autoSpaceDE/>
                    <w:autoSpaceDN/>
                    <w:jc w:val="center"/>
                    <w:rPr>
                      <w:color w:val="auto"/>
                      <w:sz w:val="21"/>
                      <w:szCs w:val="21"/>
                    </w:rPr>
                  </w:pPr>
                </w:p>
              </w:tc>
              <w:tc>
                <w:tcPr>
                  <w:tcW w:w="618" w:type="dxa"/>
                  <w:tcBorders>
                    <w:left w:val="single" w:color="000000" w:sz="4" w:space="0"/>
                  </w:tcBorders>
                  <w:vAlign w:val="center"/>
                </w:tcPr>
                <w:p w14:paraId="393FCA78">
                  <w:pPr>
                    <w:autoSpaceDE/>
                    <w:autoSpaceDN/>
                    <w:jc w:val="center"/>
                    <w:rPr>
                      <w:color w:val="auto"/>
                      <w:sz w:val="21"/>
                      <w:szCs w:val="21"/>
                    </w:rPr>
                  </w:pPr>
                  <w:r>
                    <w:rPr>
                      <w:rFonts w:hint="eastAsia"/>
                      <w:color w:val="auto"/>
                      <w:sz w:val="21"/>
                      <w:szCs w:val="21"/>
                    </w:rPr>
                    <w:t>允许类活动相关要求</w:t>
                  </w:r>
                </w:p>
              </w:tc>
              <w:tc>
                <w:tcPr>
                  <w:tcW w:w="5983" w:type="dxa"/>
                  <w:tcBorders>
                    <w:left w:val="single" w:color="000000" w:sz="4" w:space="0"/>
                  </w:tcBorders>
                  <w:vAlign w:val="center"/>
                </w:tcPr>
                <w:p w14:paraId="4A3D6DF6">
                  <w:pPr>
                    <w:autoSpaceDE/>
                    <w:autoSpaceDN/>
                    <w:jc w:val="center"/>
                    <w:rPr>
                      <w:color w:val="auto"/>
                      <w:sz w:val="21"/>
                      <w:szCs w:val="21"/>
                    </w:rPr>
                  </w:pPr>
                  <w:r>
                    <w:rPr>
                      <w:rFonts w:hint="eastAsia"/>
                      <w:color w:val="auto"/>
                      <w:sz w:val="21"/>
                      <w:szCs w:val="21"/>
                    </w:rPr>
                    <w:t>国家级自然公园范围内除国家重大项目外，仅允许对生态功能不造成破坏的有限人为活动：</w:t>
                  </w:r>
                  <w:r>
                    <w:rPr>
                      <w:rFonts w:hint="eastAsia"/>
                      <w:color w:val="auto"/>
                      <w:sz w:val="21"/>
                      <w:szCs w:val="21"/>
                      <w:lang w:val="en-US" w:eastAsia="zh-CN"/>
                    </w:rPr>
                    <w:t>1.</w:t>
                  </w:r>
                  <w:r>
                    <w:rPr>
                      <w:rFonts w:hint="eastAsia"/>
                      <w:color w:val="auto"/>
                      <w:sz w:val="21"/>
                      <w:szCs w:val="21"/>
                    </w:rPr>
                    <w:t>自然公园内居民和其他合法权益主体依法依规开展的生产生活及设施建设。</w:t>
                  </w:r>
                  <w:r>
                    <w:rPr>
                      <w:rFonts w:hint="eastAsia"/>
                      <w:color w:val="auto"/>
                      <w:sz w:val="21"/>
                      <w:szCs w:val="21"/>
                      <w:lang w:val="en-US" w:eastAsia="zh-CN"/>
                    </w:rPr>
                    <w:t>2.</w:t>
                  </w:r>
                  <w:r>
                    <w:rPr>
                      <w:rFonts w:hint="eastAsia"/>
                      <w:color w:val="auto"/>
                      <w:sz w:val="21"/>
                      <w:szCs w:val="21"/>
                    </w:rPr>
                    <w:t>符合自然公园保护管理要求的文化、体育活动和必要的配套设施建设。</w:t>
                  </w:r>
                  <w:r>
                    <w:rPr>
                      <w:rFonts w:hint="eastAsia"/>
                      <w:color w:val="auto"/>
                      <w:sz w:val="21"/>
                      <w:szCs w:val="21"/>
                      <w:lang w:val="en-US" w:eastAsia="zh-CN"/>
                    </w:rPr>
                    <w:t>3.</w:t>
                  </w:r>
                  <w:r>
                    <w:rPr>
                      <w:rFonts w:hint="eastAsia"/>
                      <w:color w:val="auto"/>
                      <w:sz w:val="21"/>
                      <w:szCs w:val="21"/>
                    </w:rPr>
                    <w:t>符合生态保护红线管控要求的其他活动和设施建设。</w:t>
                  </w:r>
                  <w:r>
                    <w:rPr>
                      <w:rFonts w:hint="eastAsia"/>
                      <w:color w:val="auto"/>
                      <w:sz w:val="21"/>
                      <w:szCs w:val="21"/>
                      <w:lang w:val="en-US" w:eastAsia="zh-CN"/>
                    </w:rPr>
                    <w:t>4.</w:t>
                  </w:r>
                  <w:r>
                    <w:rPr>
                      <w:rFonts w:hint="eastAsia"/>
                      <w:color w:val="auto"/>
                      <w:sz w:val="21"/>
                      <w:szCs w:val="21"/>
                    </w:rPr>
                    <w:t>法律法规和国家政策允许在自然公园内开展的其他活动。</w:t>
                  </w:r>
                </w:p>
              </w:tc>
              <w:tc>
                <w:tcPr>
                  <w:tcW w:w="304" w:type="dxa"/>
                  <w:vMerge w:val="continue"/>
                  <w:tcBorders>
                    <w:left w:val="single" w:color="000000" w:sz="4" w:space="0"/>
                  </w:tcBorders>
                  <w:vAlign w:val="center"/>
                </w:tcPr>
                <w:p w14:paraId="31B05527">
                  <w:pPr>
                    <w:autoSpaceDE/>
                    <w:autoSpaceDN/>
                    <w:jc w:val="center"/>
                    <w:rPr>
                      <w:color w:val="auto"/>
                      <w:sz w:val="21"/>
                      <w:szCs w:val="21"/>
                    </w:rPr>
                  </w:pPr>
                </w:p>
              </w:tc>
            </w:tr>
            <w:tr w14:paraId="35FAF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restart"/>
                  <w:tcBorders>
                    <w:right w:val="single" w:color="000000" w:sz="4" w:space="0"/>
                  </w:tcBorders>
                  <w:vAlign w:val="center"/>
                </w:tcPr>
                <w:p w14:paraId="532CF445">
                  <w:pPr>
                    <w:autoSpaceDE/>
                    <w:autoSpaceDN/>
                    <w:jc w:val="center"/>
                    <w:rPr>
                      <w:color w:val="auto"/>
                      <w:sz w:val="21"/>
                      <w:szCs w:val="21"/>
                    </w:rPr>
                  </w:pPr>
                  <w:r>
                    <w:rPr>
                      <w:rFonts w:hint="eastAsia"/>
                      <w:color w:val="auto"/>
                      <w:sz w:val="21"/>
                      <w:szCs w:val="21"/>
                    </w:rPr>
                    <w:t>地质公园</w:t>
                  </w:r>
                </w:p>
              </w:tc>
              <w:tc>
                <w:tcPr>
                  <w:tcW w:w="350" w:type="dxa"/>
                  <w:vMerge w:val="restart"/>
                  <w:tcBorders>
                    <w:left w:val="single" w:color="000000" w:sz="4" w:space="0"/>
                  </w:tcBorders>
                  <w:vAlign w:val="center"/>
                </w:tcPr>
                <w:p w14:paraId="7EA3E204">
                  <w:pPr>
                    <w:autoSpaceDE/>
                    <w:autoSpaceDN/>
                    <w:jc w:val="center"/>
                    <w:rPr>
                      <w:color w:val="auto"/>
                      <w:sz w:val="21"/>
                      <w:szCs w:val="21"/>
                    </w:rPr>
                  </w:pPr>
                  <w:r>
                    <w:rPr>
                      <w:rFonts w:hint="eastAsia"/>
                      <w:color w:val="auto"/>
                      <w:sz w:val="21"/>
                      <w:szCs w:val="21"/>
                    </w:rPr>
                    <w:t>空间布局</w:t>
                  </w:r>
                </w:p>
              </w:tc>
              <w:tc>
                <w:tcPr>
                  <w:tcW w:w="618" w:type="dxa"/>
                  <w:tcBorders>
                    <w:left w:val="single" w:color="000000" w:sz="4" w:space="0"/>
                  </w:tcBorders>
                  <w:vAlign w:val="center"/>
                </w:tcPr>
                <w:p w14:paraId="7022A352">
                  <w:pPr>
                    <w:autoSpaceDE/>
                    <w:autoSpaceDN/>
                    <w:jc w:val="center"/>
                    <w:rPr>
                      <w:color w:val="auto"/>
                      <w:sz w:val="21"/>
                      <w:szCs w:val="21"/>
                    </w:rPr>
                  </w:pPr>
                  <w:r>
                    <w:rPr>
                      <w:rFonts w:hint="eastAsia"/>
                      <w:color w:val="auto"/>
                      <w:sz w:val="21"/>
                      <w:szCs w:val="21"/>
                    </w:rPr>
                    <w:t>禁止类活动</w:t>
                  </w:r>
                </w:p>
              </w:tc>
              <w:tc>
                <w:tcPr>
                  <w:tcW w:w="5983" w:type="dxa"/>
                  <w:tcBorders>
                    <w:left w:val="single" w:color="000000" w:sz="4" w:space="0"/>
                  </w:tcBorders>
                  <w:vAlign w:val="center"/>
                </w:tcPr>
                <w:p w14:paraId="5CF69B0E">
                  <w:pPr>
                    <w:autoSpaceDE/>
                    <w:autoSpaceDN/>
                    <w:jc w:val="center"/>
                    <w:rPr>
                      <w:color w:val="auto"/>
                      <w:sz w:val="21"/>
                      <w:szCs w:val="21"/>
                    </w:rPr>
                  </w:pPr>
                  <w:r>
                    <w:rPr>
                      <w:rFonts w:hint="eastAsia"/>
                      <w:color w:val="auto"/>
                      <w:sz w:val="21"/>
                      <w:szCs w:val="21"/>
                    </w:rPr>
                    <w:t>1.任何单位和个人不得在保护区内及可能对地质遗迹造成影响的一定范围内进行采石、取土、开矿、放牧、砍伐以及其他对保护对象有损害的活动。未经管理机构批准，不得在保护区范围内采集标本和化石。</w:t>
                  </w:r>
                </w:p>
                <w:p w14:paraId="323719D4">
                  <w:pPr>
                    <w:autoSpaceDE/>
                    <w:autoSpaceDN/>
                    <w:jc w:val="center"/>
                    <w:rPr>
                      <w:color w:val="auto"/>
                      <w:sz w:val="21"/>
                      <w:szCs w:val="21"/>
                    </w:rPr>
                  </w:pPr>
                  <w:r>
                    <w:rPr>
                      <w:rFonts w:hint="eastAsia"/>
                      <w:color w:val="auto"/>
                      <w:sz w:val="21"/>
                      <w:szCs w:val="21"/>
                    </w:rPr>
                    <w:t>2.不得在保护区内修建与地质遗迹保护无关的厂房或其他建筑设施；对已建成并可能对地质遗迹造成污染或破坏的设施，应限期治理或停业外迁。</w:t>
                  </w:r>
                </w:p>
              </w:tc>
              <w:tc>
                <w:tcPr>
                  <w:tcW w:w="304" w:type="dxa"/>
                  <w:vMerge w:val="restart"/>
                  <w:tcBorders>
                    <w:left w:val="single" w:color="000000" w:sz="4" w:space="0"/>
                  </w:tcBorders>
                  <w:vAlign w:val="center"/>
                </w:tcPr>
                <w:p w14:paraId="6A1B578F">
                  <w:pPr>
                    <w:autoSpaceDE/>
                    <w:autoSpaceDN/>
                    <w:jc w:val="center"/>
                    <w:rPr>
                      <w:color w:val="auto"/>
                      <w:sz w:val="21"/>
                      <w:szCs w:val="21"/>
                    </w:rPr>
                  </w:pPr>
                  <w:r>
                    <w:rPr>
                      <w:rFonts w:hint="eastAsia"/>
                      <w:color w:val="auto"/>
                      <w:sz w:val="21"/>
                      <w:szCs w:val="21"/>
                    </w:rPr>
                    <w:t>本项目占地不涉及地质公园</w:t>
                  </w:r>
                </w:p>
              </w:tc>
            </w:tr>
            <w:tr w14:paraId="40955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vMerge w:val="continue"/>
                  <w:tcBorders>
                    <w:right w:val="single" w:color="000000" w:sz="4" w:space="0"/>
                  </w:tcBorders>
                  <w:vAlign w:val="center"/>
                </w:tcPr>
                <w:p w14:paraId="788FC660">
                  <w:pPr>
                    <w:autoSpaceDE/>
                    <w:autoSpaceDN/>
                    <w:jc w:val="center"/>
                    <w:rPr>
                      <w:color w:val="auto"/>
                      <w:sz w:val="21"/>
                      <w:szCs w:val="21"/>
                    </w:rPr>
                  </w:pPr>
                </w:p>
              </w:tc>
              <w:tc>
                <w:tcPr>
                  <w:tcW w:w="350" w:type="dxa"/>
                  <w:vMerge w:val="continue"/>
                  <w:tcBorders>
                    <w:left w:val="single" w:color="000000" w:sz="4" w:space="0"/>
                  </w:tcBorders>
                  <w:vAlign w:val="center"/>
                </w:tcPr>
                <w:p w14:paraId="3EBA3F65">
                  <w:pPr>
                    <w:autoSpaceDE/>
                    <w:autoSpaceDN/>
                    <w:jc w:val="center"/>
                    <w:rPr>
                      <w:color w:val="auto"/>
                      <w:sz w:val="21"/>
                      <w:szCs w:val="21"/>
                    </w:rPr>
                  </w:pPr>
                </w:p>
              </w:tc>
              <w:tc>
                <w:tcPr>
                  <w:tcW w:w="618" w:type="dxa"/>
                  <w:tcBorders>
                    <w:left w:val="single" w:color="000000" w:sz="4" w:space="0"/>
                  </w:tcBorders>
                  <w:vAlign w:val="center"/>
                </w:tcPr>
                <w:p w14:paraId="0A1EDC89">
                  <w:pPr>
                    <w:autoSpaceDE/>
                    <w:autoSpaceDN/>
                    <w:jc w:val="center"/>
                    <w:rPr>
                      <w:color w:val="auto"/>
                      <w:sz w:val="21"/>
                      <w:szCs w:val="21"/>
                    </w:rPr>
                  </w:pPr>
                  <w:r>
                    <w:rPr>
                      <w:rFonts w:hint="eastAsia"/>
                      <w:color w:val="auto"/>
                      <w:sz w:val="21"/>
                      <w:szCs w:val="21"/>
                    </w:rPr>
                    <w:t>允许类活动相关要求</w:t>
                  </w:r>
                </w:p>
              </w:tc>
              <w:tc>
                <w:tcPr>
                  <w:tcW w:w="5983" w:type="dxa"/>
                  <w:tcBorders>
                    <w:left w:val="single" w:color="000000" w:sz="4" w:space="0"/>
                  </w:tcBorders>
                  <w:vAlign w:val="center"/>
                </w:tcPr>
                <w:p w14:paraId="6EDA451A">
                  <w:pPr>
                    <w:autoSpaceDE/>
                    <w:autoSpaceDN/>
                    <w:jc w:val="center"/>
                    <w:rPr>
                      <w:color w:val="auto"/>
                      <w:sz w:val="21"/>
                      <w:szCs w:val="21"/>
                    </w:rPr>
                  </w:pPr>
                  <w:r>
                    <w:rPr>
                      <w:rFonts w:hint="eastAsia"/>
                      <w:color w:val="auto"/>
                      <w:sz w:val="21"/>
                      <w:szCs w:val="21"/>
                    </w:rPr>
                    <w:t>1.对国际或国内具有极为罕见和重要科学价值的地质遗迹实施一级保护，非经批准不得入内。经设立该级地质遗迹保护区的人民政府地质矿产行政主管部门批准，可组织进行参观、科研或国际交往。</w:t>
                  </w:r>
                </w:p>
                <w:p w14:paraId="433EC93A">
                  <w:pPr>
                    <w:autoSpaceDE/>
                    <w:autoSpaceDN/>
                    <w:jc w:val="center"/>
                    <w:rPr>
                      <w:color w:val="auto"/>
                      <w:sz w:val="21"/>
                      <w:szCs w:val="21"/>
                    </w:rPr>
                  </w:pPr>
                  <w:r>
                    <w:rPr>
                      <w:rFonts w:hint="eastAsia"/>
                      <w:color w:val="auto"/>
                      <w:sz w:val="21"/>
                      <w:szCs w:val="21"/>
                    </w:rPr>
                    <w:t>2.对大区域范围内具有重要科学价值的地质遗迹实施二级保护。经设立该级地质遗迹保护区的人民政府地质矿产行政主管部门批准，可有组织地进行科研、教学、学术交流及适当的旅游活动。</w:t>
                  </w:r>
                </w:p>
                <w:p w14:paraId="0E22308E">
                  <w:pPr>
                    <w:autoSpaceDE/>
                    <w:autoSpaceDN/>
                    <w:jc w:val="center"/>
                    <w:rPr>
                      <w:color w:val="auto"/>
                      <w:sz w:val="21"/>
                      <w:szCs w:val="21"/>
                    </w:rPr>
                  </w:pPr>
                  <w:r>
                    <w:rPr>
                      <w:rFonts w:hint="eastAsia"/>
                      <w:color w:val="auto"/>
                      <w:sz w:val="21"/>
                      <w:szCs w:val="21"/>
                    </w:rPr>
                    <w:t>3.对具一定价值的地质遗迹实施三级保护。经设立该级地质遗迹保护区的人民政府地质矿产行政主管部门批准，可组织开展旅游活动。</w:t>
                  </w:r>
                </w:p>
              </w:tc>
              <w:tc>
                <w:tcPr>
                  <w:tcW w:w="304" w:type="dxa"/>
                  <w:vMerge w:val="continue"/>
                  <w:tcBorders>
                    <w:left w:val="single" w:color="000000" w:sz="4" w:space="0"/>
                  </w:tcBorders>
                  <w:vAlign w:val="center"/>
                </w:tcPr>
                <w:p w14:paraId="4690EB07">
                  <w:pPr>
                    <w:autoSpaceDE/>
                    <w:autoSpaceDN/>
                    <w:jc w:val="center"/>
                    <w:rPr>
                      <w:color w:val="auto"/>
                      <w:sz w:val="21"/>
                      <w:szCs w:val="21"/>
                    </w:rPr>
                  </w:pPr>
                </w:p>
              </w:tc>
            </w:tr>
          </w:tbl>
          <w:p w14:paraId="3B56DDF8">
            <w:pPr>
              <w:autoSpaceDE/>
              <w:autoSpaceDN/>
              <w:spacing w:line="480" w:lineRule="exact"/>
              <w:ind w:left="110" w:leftChars="50" w:firstLine="422"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rPr>
              <w:t>）全市环境总体管控符合性分析</w:t>
            </w:r>
          </w:p>
          <w:p w14:paraId="0E8E51A8">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4 </w:t>
            </w:r>
            <w:r>
              <w:rPr>
                <w:rFonts w:hint="eastAsia" w:ascii="Times New Roman" w:hAnsi="Times New Roman" w:cs="Times New Roman"/>
                <w:b/>
                <w:bCs/>
                <w:color w:val="auto"/>
                <w:sz w:val="21"/>
                <w:szCs w:val="21"/>
              </w:rPr>
              <w:t>全市大气环境总体管控符合性</w:t>
            </w:r>
          </w:p>
          <w:tbl>
            <w:tblPr>
              <w:tblStyle w:val="34"/>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8"/>
              <w:gridCol w:w="6232"/>
              <w:gridCol w:w="903"/>
            </w:tblGrid>
            <w:tr w14:paraId="626A4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15" w:type="dxa"/>
                  <w:tcBorders>
                    <w:bottom w:val="single" w:color="000000" w:sz="4" w:space="0"/>
                    <w:right w:val="single" w:color="000000" w:sz="4" w:space="0"/>
                  </w:tcBorders>
                  <w:vAlign w:val="center"/>
                </w:tcPr>
                <w:p w14:paraId="04DF565A">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管理维度</w:t>
                  </w:r>
                </w:p>
              </w:tc>
              <w:tc>
                <w:tcPr>
                  <w:tcW w:w="6015" w:type="dxa"/>
                  <w:tcBorders>
                    <w:left w:val="single" w:color="000000" w:sz="4" w:space="0"/>
                    <w:bottom w:val="single" w:color="000000" w:sz="4" w:space="0"/>
                  </w:tcBorders>
                  <w:vAlign w:val="center"/>
                </w:tcPr>
                <w:p w14:paraId="070076A4">
                  <w:pPr>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872" w:type="dxa"/>
                  <w:tcBorders>
                    <w:left w:val="single" w:color="000000" w:sz="4" w:space="0"/>
                    <w:bottom w:val="single" w:color="000000" w:sz="4" w:space="0"/>
                  </w:tcBorders>
                  <w:vAlign w:val="center"/>
                </w:tcPr>
                <w:p w14:paraId="37D4310B">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14:paraId="55665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14:paraId="22352960">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污染物防控目标</w:t>
                  </w:r>
                </w:p>
              </w:tc>
              <w:tc>
                <w:tcPr>
                  <w:tcW w:w="6015" w:type="dxa"/>
                  <w:tcBorders>
                    <w:top w:val="single" w:color="000000" w:sz="4" w:space="0"/>
                    <w:left w:val="single" w:color="000000" w:sz="4" w:space="0"/>
                    <w:bottom w:val="single" w:color="000000" w:sz="4" w:space="0"/>
                  </w:tcBorders>
                  <w:vAlign w:val="center"/>
                </w:tcPr>
                <w:p w14:paraId="46E5569C">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2025年SO</w:t>
                  </w:r>
                  <w:r>
                    <w:rPr>
                      <w:rFonts w:hint="eastAsia" w:ascii="Times New Roman" w:hAnsi="Times New Roman" w:cs="Times New Roman"/>
                      <w:color w:val="auto"/>
                      <w:sz w:val="21"/>
                      <w:szCs w:val="21"/>
                      <w:vertAlign w:val="subscript"/>
                    </w:rPr>
                    <w:t>2</w:t>
                  </w:r>
                  <w:r>
                    <w:rPr>
                      <w:rFonts w:hint="eastAsia" w:ascii="Times New Roman" w:hAnsi="Times New Roman" w:cs="Times New Roman"/>
                      <w:color w:val="auto"/>
                      <w:sz w:val="21"/>
                      <w:szCs w:val="21"/>
                    </w:rPr>
                    <w:t>、NO</w:t>
                  </w:r>
                  <w:r>
                    <w:rPr>
                      <w:rFonts w:hint="eastAsia" w:ascii="Times New Roman" w:hAnsi="Times New Roman" w:cs="Times New Roman"/>
                      <w:color w:val="auto"/>
                      <w:sz w:val="21"/>
                      <w:szCs w:val="21"/>
                      <w:vertAlign w:val="subscript"/>
                    </w:rPr>
                    <w:t>2</w:t>
                  </w:r>
                  <w:r>
                    <w:rPr>
                      <w:rFonts w:hint="eastAsia" w:ascii="Times New Roman" w:hAnsi="Times New Roman" w:cs="Times New Roman"/>
                      <w:color w:val="auto"/>
                      <w:sz w:val="21"/>
                      <w:szCs w:val="21"/>
                    </w:rPr>
                    <w:t>、PM</w:t>
                  </w:r>
                  <w:r>
                    <w:rPr>
                      <w:rFonts w:hint="eastAsia" w:ascii="Times New Roman" w:hAnsi="Times New Roman" w:cs="Times New Roman"/>
                      <w:color w:val="auto"/>
                      <w:sz w:val="21"/>
                      <w:szCs w:val="21"/>
                      <w:vertAlign w:val="subscript"/>
                    </w:rPr>
                    <w:t>2.5</w:t>
                  </w:r>
                  <w:r>
                    <w:rPr>
                      <w:rFonts w:hint="eastAsia" w:ascii="Times New Roman" w:hAnsi="Times New Roman" w:cs="Times New Roman"/>
                      <w:color w:val="auto"/>
                      <w:sz w:val="21"/>
                      <w:szCs w:val="21"/>
                    </w:rPr>
                    <w:t>年均浓度分别达到20微克/立方米、38微克/立方米、42微克/立方米，遏制O</w:t>
                  </w:r>
                  <w:r>
                    <w:rPr>
                      <w:rFonts w:hint="eastAsia" w:ascii="Times New Roman" w:hAnsi="Times New Roman" w:cs="Times New Roman"/>
                      <w:color w:val="auto"/>
                      <w:sz w:val="21"/>
                      <w:szCs w:val="21"/>
                      <w:vertAlign w:val="subscript"/>
                    </w:rPr>
                    <w:t>3</w:t>
                  </w:r>
                  <w:r>
                    <w:rPr>
                      <w:rFonts w:hint="eastAsia" w:ascii="Times New Roman" w:hAnsi="Times New Roman" w:cs="Times New Roman"/>
                      <w:color w:val="auto"/>
                      <w:sz w:val="21"/>
                      <w:szCs w:val="21"/>
                    </w:rPr>
                    <w:t>恶化态势，优良天数比例控制在58%以上。</w:t>
                  </w:r>
                </w:p>
                <w:p w14:paraId="52D0142E">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2035年SO</w:t>
                  </w:r>
                  <w:r>
                    <w:rPr>
                      <w:rFonts w:hint="eastAsia" w:ascii="Times New Roman" w:hAnsi="Times New Roman" w:cs="Times New Roman"/>
                      <w:color w:val="auto"/>
                      <w:sz w:val="21"/>
                      <w:szCs w:val="21"/>
                      <w:vertAlign w:val="subscript"/>
                    </w:rPr>
                    <w:t>2</w:t>
                  </w:r>
                  <w:r>
                    <w:rPr>
                      <w:rFonts w:hint="eastAsia" w:ascii="Times New Roman" w:hAnsi="Times New Roman" w:cs="Times New Roman"/>
                      <w:color w:val="auto"/>
                      <w:sz w:val="21"/>
                      <w:szCs w:val="21"/>
                    </w:rPr>
                    <w:t>、NO</w:t>
                  </w:r>
                  <w:r>
                    <w:rPr>
                      <w:rFonts w:hint="eastAsia" w:ascii="Times New Roman" w:hAnsi="Times New Roman" w:cs="Times New Roman"/>
                      <w:color w:val="auto"/>
                      <w:sz w:val="21"/>
                      <w:szCs w:val="21"/>
                      <w:vertAlign w:val="subscript"/>
                    </w:rPr>
                    <w:t>2</w:t>
                  </w:r>
                  <w:r>
                    <w:rPr>
                      <w:rFonts w:hint="eastAsia" w:ascii="Times New Roman" w:hAnsi="Times New Roman" w:cs="Times New Roman"/>
                      <w:color w:val="auto"/>
                      <w:sz w:val="21"/>
                      <w:szCs w:val="21"/>
                    </w:rPr>
                    <w:t>、PM</w:t>
                  </w:r>
                  <w:r>
                    <w:rPr>
                      <w:rFonts w:hint="eastAsia" w:ascii="Times New Roman" w:hAnsi="Times New Roman" w:cs="Times New Roman"/>
                      <w:color w:val="auto"/>
                      <w:sz w:val="21"/>
                      <w:szCs w:val="21"/>
                      <w:vertAlign w:val="subscript"/>
                    </w:rPr>
                    <w:t>2.5</w:t>
                  </w:r>
                  <w:r>
                    <w:rPr>
                      <w:rFonts w:hint="eastAsia" w:ascii="Times New Roman" w:hAnsi="Times New Roman" w:cs="Times New Roman"/>
                      <w:color w:val="auto"/>
                      <w:sz w:val="21"/>
                      <w:szCs w:val="21"/>
                    </w:rPr>
                    <w:t>年均浓度分别达到20微克/立方米、38微克/立方米、35微克/立方米，O</w:t>
                  </w:r>
                  <w:r>
                    <w:rPr>
                      <w:rFonts w:hint="eastAsia" w:ascii="Times New Roman" w:hAnsi="Times New Roman" w:cs="Times New Roman"/>
                      <w:color w:val="auto"/>
                      <w:sz w:val="21"/>
                      <w:szCs w:val="21"/>
                      <w:vertAlign w:val="subscript"/>
                    </w:rPr>
                    <w:t>3</w:t>
                  </w:r>
                  <w:r>
                    <w:rPr>
                      <w:rFonts w:hint="eastAsia" w:ascii="Times New Roman" w:hAnsi="Times New Roman" w:cs="Times New Roman"/>
                      <w:color w:val="auto"/>
                      <w:sz w:val="21"/>
                      <w:szCs w:val="21"/>
                    </w:rPr>
                    <w:t>在现状基础上得到控制，优良天数比例控制在75%以上。</w:t>
                  </w:r>
                </w:p>
              </w:tc>
              <w:tc>
                <w:tcPr>
                  <w:tcW w:w="872" w:type="dxa"/>
                  <w:vMerge w:val="restart"/>
                  <w:tcBorders>
                    <w:top w:val="single" w:color="000000" w:sz="4" w:space="0"/>
                    <w:left w:val="single" w:color="000000" w:sz="4" w:space="0"/>
                  </w:tcBorders>
                  <w:vAlign w:val="center"/>
                </w:tcPr>
                <w:p w14:paraId="2CB5CC2B">
                  <w:pPr>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sz w:val="21"/>
                      <w:szCs w:val="21"/>
                    </w:rPr>
                    <w:t>本项目不属于高污染、高耗能、产能过剩行业，产生的污染物均由可行性处理措施处理，项目建设不会对周边环境产生较大影响</w:t>
                  </w:r>
                </w:p>
              </w:tc>
            </w:tr>
            <w:tr w14:paraId="6CA0C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14:paraId="52E6FF32">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w:t>
                  </w:r>
                </w:p>
              </w:tc>
              <w:tc>
                <w:tcPr>
                  <w:tcW w:w="6015" w:type="dxa"/>
                  <w:tcBorders>
                    <w:top w:val="single" w:color="000000" w:sz="4" w:space="0"/>
                    <w:left w:val="single" w:color="000000" w:sz="4" w:space="0"/>
                    <w:bottom w:val="single" w:color="000000" w:sz="4" w:space="0"/>
                  </w:tcBorders>
                  <w:vAlign w:val="center"/>
                </w:tcPr>
                <w:p w14:paraId="6266CC52">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1.严格落实钢铁、水泥、平板玻璃等行业产能置换政策，严禁新增钢铁、焦化、水泥和平板玻璃等产能，禁止新增化工园区。</w:t>
                  </w:r>
                </w:p>
                <w:p w14:paraId="39A583B5">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2.严控“两高”产业规模。以钢铁、焦化、水泥、平板玻璃、煤电等行业企业为重点，严格控制新增产能，遏制高耗能、高排放项目盲目发展。持续巩固去产能成果，严格落实产业准入条件，坚决防止反弹。</w:t>
                  </w:r>
                </w:p>
                <w:p w14:paraId="124E498C">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3.严格执行质量、环保、能耗、安全等法规标准，加大重点行业低效和过剩产能压减力度，淘汰4.3米焦炉，关停部分1000立方米以下高炉和100吨以下转炉。</w:t>
                  </w:r>
                </w:p>
                <w:p w14:paraId="79AF9618">
                  <w:pPr>
                    <w:autoSpaceDE/>
                    <w:autoSpaceDN/>
                    <w:jc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4.发展壮大“532”市域主导产业，加快新旧动能转换。提升</w:t>
                  </w:r>
                  <w:r>
                    <w:rPr>
                      <w:rFonts w:hint="eastAsia" w:ascii="Times New Roman" w:hAnsi="Times New Roman" w:cs="Times New Roman"/>
                      <w:color w:val="auto"/>
                      <w:sz w:val="21"/>
                      <w:szCs w:val="21"/>
                      <w:lang w:val="en-US" w:eastAsia="zh-CN"/>
                    </w:rPr>
                    <w:t>传统</w:t>
                  </w:r>
                  <w:r>
                    <w:rPr>
                      <w:rFonts w:hint="eastAsia" w:ascii="Times New Roman" w:hAnsi="Times New Roman" w:cs="Times New Roman"/>
                      <w:color w:val="auto"/>
                      <w:sz w:val="21"/>
                      <w:szCs w:val="21"/>
                      <w:lang w:val="en-US"/>
                    </w:rPr>
                    <w:t>优势产业发展能级，完成钢铁产业整合重组，延伸钢铁产业</w:t>
                  </w:r>
                  <w:r>
                    <w:rPr>
                      <w:rFonts w:hint="eastAsia" w:ascii="Times New Roman" w:hAnsi="Times New Roman" w:cs="Times New Roman"/>
                      <w:color w:val="auto"/>
                      <w:sz w:val="21"/>
                      <w:szCs w:val="21"/>
                      <w:lang w:val="en-US" w:eastAsia="zh-CN"/>
                    </w:rPr>
                    <w:t>链条</w:t>
                  </w:r>
                  <w:r>
                    <w:rPr>
                      <w:rFonts w:hint="eastAsia" w:ascii="Times New Roman" w:hAnsi="Times New Roman" w:cs="Times New Roman"/>
                      <w:color w:val="auto"/>
                      <w:sz w:val="21"/>
                      <w:szCs w:val="21"/>
                      <w:lang w:val="en-US"/>
                    </w:rPr>
                    <w:t>，加快建设全国重要精品钢材生产基地，形成“一集群五基地”产业格局。</w:t>
                  </w:r>
                </w:p>
                <w:p w14:paraId="0B5D5D8A">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5.严格控制高耗能项目建设，提高市场准入门槛，严格控制新增煤电机组装机规模，审慎发展石油化工等项目。</w:t>
                  </w:r>
                </w:p>
                <w:p w14:paraId="395C33FB">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6.严格散煤生产、加工、储运、销售环节监管，“禁煤区”“高污染燃料禁燃区”不得新设散煤经营网点。</w:t>
                  </w:r>
                </w:p>
                <w:p w14:paraId="6234BFC3">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7.推进煤炭、钢铁、焦化、水泥等大宗货物年运输量150万吨以上的大型工矿企业、大型物流园区以及港口集疏运铁路专用线、管道或封闭管廊等建设。</w:t>
                  </w:r>
                </w:p>
                <w:p w14:paraId="69094CC6">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8.确保“散乱污”企业动态清零。建立“散乱污”企业动态管理机制，定期开展“回头看”，坚决杜绝“散乱污”企业项目建设和已取缔的“散乱污”企业异地转移，死灰复燃。</w:t>
                  </w:r>
                </w:p>
                <w:p w14:paraId="732BE47A">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9.对30万千瓦及以上热电联产机组覆盖范围内的自备燃煤电厂实施关停整合。</w:t>
                  </w:r>
                </w:p>
                <w:p w14:paraId="7CBABC0B">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10.积极参与京津冀协同发展生态环境联建联防联治。聚焦对接服务京津，突出承接疏解合作功能，全力推进京津冀协同发展取得更大成效。强化多领域协同治理和保护，深化区域大气污染协同治理，强化区域生态环境联合执法，深化拓展生态保护补偿机制</w:t>
                  </w:r>
                </w:p>
                <w:p w14:paraId="1321C7A1">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11.按照统一规划、统一标准、统一监测、统一污染防治措施的要求，落实省内跨区域联防联控机制，强化与周边市联防联控，鼓励县（市、区）积极开展联防联控。落实“省—市—县”重污染天气应对三级预案体系，规范重污染天气预警、启动、响应、解除工作流程，严格执行重点行业企业绩效分级管控措施，加强应急减排清单标准化管理。</w:t>
                  </w:r>
                </w:p>
              </w:tc>
              <w:tc>
                <w:tcPr>
                  <w:tcW w:w="872" w:type="dxa"/>
                  <w:vMerge w:val="continue"/>
                  <w:tcBorders>
                    <w:left w:val="single" w:color="000000" w:sz="4" w:space="0"/>
                  </w:tcBorders>
                  <w:vAlign w:val="center"/>
                </w:tcPr>
                <w:p w14:paraId="56CF5FF3">
                  <w:pPr>
                    <w:autoSpaceDE/>
                    <w:autoSpaceDN/>
                    <w:jc w:val="center"/>
                    <w:rPr>
                      <w:rFonts w:ascii="Times New Roman" w:hAnsi="Times New Roman" w:cs="Times New Roman"/>
                      <w:color w:val="auto"/>
                      <w:sz w:val="21"/>
                      <w:szCs w:val="21"/>
                    </w:rPr>
                  </w:pPr>
                </w:p>
              </w:tc>
            </w:tr>
            <w:tr w14:paraId="5A548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14:paraId="6E516396">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污染物排放</w:t>
                  </w:r>
                </w:p>
              </w:tc>
              <w:tc>
                <w:tcPr>
                  <w:tcW w:w="6015" w:type="dxa"/>
                  <w:tcBorders>
                    <w:top w:val="single" w:color="000000" w:sz="4" w:space="0"/>
                    <w:left w:val="single" w:color="000000" w:sz="4" w:space="0"/>
                    <w:bottom w:val="single" w:color="000000" w:sz="4" w:space="0"/>
                  </w:tcBorders>
                  <w:vAlign w:val="center"/>
                </w:tcPr>
                <w:p w14:paraId="496466D7">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1.开展重点行业能源消耗、资源效率对标对表行动，推动重点污染企业搬迁入园、改造升级或依法退出。对未按期完成有组织、无组织超低排放改造、超标排放的重点行业企业实施停产整治。</w:t>
                  </w:r>
                </w:p>
                <w:p w14:paraId="47D8F578">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2.以钢铁、焦化、水泥、平板玻璃等行业为重点，开展清洁化、循环化、低碳化改造。</w:t>
                  </w:r>
                </w:p>
                <w:p w14:paraId="29A56BD6">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3.全面推进燃煤电厂超净排放改造。</w:t>
                  </w:r>
                </w:p>
                <w:p w14:paraId="26A5E3E9">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4.加强焦化、建材(水泥、平板玻璃、陶瓷)等重点行业有组织超低排放监督管理，对物料储存、输送和生产工艺过程等无组织排放情况开展排查，建立清单，实施深度治理。</w:t>
                  </w:r>
                </w:p>
                <w:p w14:paraId="151185F2">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5.深入开展工业窑炉和锅炉综合治理。全面提升砖瓦、石灰、耐火材料等行业工业窑炉的治污设施处理能力。</w:t>
                  </w:r>
                </w:p>
                <w:p w14:paraId="334C6362">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6.推进消耗臭氧层物质淘汰国际履约工作，建立ODS销售使用清单，完善备案制度，加强含氢氯氟烃流通和消费监管，严格源头准入，加快消耗臭氧层物质替代。</w:t>
                  </w:r>
                </w:p>
                <w:p w14:paraId="471A0A46">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7.强化涉VOCs企业“一厂一策”精细管控，完善源头、过程和末端的VOCs全过程控制体系，推进涉VOCs产业集群配套建设一批有机溶剂集中回收处置中心、活性炭集中处理中心、集中涂装中心。</w:t>
                  </w:r>
                </w:p>
                <w:p w14:paraId="7C68CAB7">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w:t>
                  </w:r>
                </w:p>
                <w:p w14:paraId="3FEB2610">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9.严控建筑工地、裸土裸地、公路、城市和县乡(镇)道路扬尘，实行“以克论净”和尘负荷考核。逐年提高城镇绿化率和全市林木覆盖率。</w:t>
                  </w:r>
                </w:p>
                <w:p w14:paraId="4E994B51">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10.对市主城区235块裸土裸地和270块春白地实施硬化和绿化，确保动态清零。2021年底，在完成112处露天矿山修复的基础上，再完成26处露天矿山修复。重点行业107家企业有组织和无组织排放稳定实现超低排放，实现超低新常态。六个行业450家企业稳定达到“邯郸限值”。</w:t>
                  </w:r>
                </w:p>
                <w:p w14:paraId="38B24CC1">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11.严控露天烧烤及秸秆焚烧污染。</w:t>
                  </w:r>
                </w:p>
                <w:p w14:paraId="5886363B">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12.实施农业氨排放削减。2021年，在全市推广氨排放控制措施，完成210万亩农田推广应用，有效降低氨对PM2.5的影响。</w:t>
                  </w:r>
                </w:p>
                <w:p w14:paraId="6DDD920D">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13.完善能源消耗总量和强度调控，重点控制化石能源消费，逐步转向碳排放总量和强度“双控”制度。严格执行污染物排放总量控制，加强节能审查事中事后监管。深化排污权交易改革，构建排污权政府储备。建立生态产品价值实现机制。优化生态保护补偿政策。深化生态环境领域“放管服”改革，推进环境影响评价审批和监督执法“两个正面清单”制度化、规范化。</w:t>
                  </w:r>
                </w:p>
              </w:tc>
              <w:tc>
                <w:tcPr>
                  <w:tcW w:w="872" w:type="dxa"/>
                  <w:vMerge w:val="continue"/>
                  <w:tcBorders>
                    <w:left w:val="single" w:color="000000" w:sz="4" w:space="0"/>
                  </w:tcBorders>
                  <w:vAlign w:val="center"/>
                </w:tcPr>
                <w:p w14:paraId="2782A72F">
                  <w:pPr>
                    <w:autoSpaceDE/>
                    <w:autoSpaceDN/>
                    <w:jc w:val="center"/>
                    <w:rPr>
                      <w:rFonts w:ascii="Times New Roman" w:hAnsi="Times New Roman" w:cs="Times New Roman"/>
                      <w:color w:val="auto"/>
                      <w:sz w:val="21"/>
                      <w:szCs w:val="21"/>
                    </w:rPr>
                  </w:pPr>
                </w:p>
              </w:tc>
            </w:tr>
            <w:tr w14:paraId="0D7F7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14:paraId="782AA0CC">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6015" w:type="dxa"/>
                  <w:tcBorders>
                    <w:top w:val="single" w:color="000000" w:sz="4" w:space="0"/>
                    <w:left w:val="single" w:color="000000" w:sz="4" w:space="0"/>
                    <w:bottom w:val="single" w:color="000000" w:sz="4" w:space="0"/>
                  </w:tcBorders>
                  <w:vAlign w:val="center"/>
                </w:tcPr>
                <w:p w14:paraId="1667BB02">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872" w:type="dxa"/>
                  <w:vMerge w:val="continue"/>
                  <w:tcBorders>
                    <w:left w:val="single" w:color="000000" w:sz="4" w:space="0"/>
                  </w:tcBorders>
                  <w:vAlign w:val="center"/>
                </w:tcPr>
                <w:p w14:paraId="247DE9CF">
                  <w:pPr>
                    <w:autoSpaceDE/>
                    <w:autoSpaceDN/>
                    <w:jc w:val="center"/>
                    <w:rPr>
                      <w:rFonts w:ascii="Times New Roman" w:hAnsi="Times New Roman" w:cs="Times New Roman"/>
                      <w:color w:val="auto"/>
                      <w:sz w:val="21"/>
                      <w:szCs w:val="21"/>
                    </w:rPr>
                  </w:pPr>
                </w:p>
              </w:tc>
            </w:tr>
            <w:tr w14:paraId="0E31C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14:paraId="6E4CF892">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资源开发利用</w:t>
                  </w:r>
                </w:p>
              </w:tc>
              <w:tc>
                <w:tcPr>
                  <w:tcW w:w="6015" w:type="dxa"/>
                  <w:tcBorders>
                    <w:top w:val="single" w:color="000000" w:sz="4" w:space="0"/>
                    <w:left w:val="single" w:color="000000" w:sz="4" w:space="0"/>
                    <w:bottom w:val="single" w:color="000000" w:sz="4" w:space="0"/>
                  </w:tcBorders>
                  <w:vAlign w:val="center"/>
                </w:tcPr>
                <w:p w14:paraId="6060D3C7">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1.新上涉气建设项目绩效评价达到B级及以上水平。</w:t>
                  </w:r>
                </w:p>
                <w:p w14:paraId="2607C89A">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2.严格控制煤炭消费总量。对新增耗煤项目实施等(减)量替代。实施工业企业精准减煤工程，对钢铁、焦化、电力等用煤大户通过技改和加强管理降低能耗。</w:t>
                  </w:r>
                </w:p>
                <w:p w14:paraId="0B10F58B">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3.重点推进秸秆机械化直接还田、秸秆饲料化利用、秸秆燃料化利用、秸秆基料化利用、秸秆发电及工业原料化利用和秸秆收储运体系建设。</w:t>
                  </w:r>
                </w:p>
                <w:p w14:paraId="00DF14A6">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4.推进畜禽粪污综合利用，规模化畜禽养殖场全部建成粪污治理设施。</w:t>
                  </w:r>
                </w:p>
                <w:p w14:paraId="312F8E8E">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5.严格散煤生产、加工、储运、销售环节监管，“禁煤区”“高污染燃料禁燃区”不得新设散煤经营网点。加强散煤质量抽检，散煤销售网点和燃煤使用单位的抽检覆盖率达到100%。</w:t>
                  </w:r>
                </w:p>
              </w:tc>
              <w:tc>
                <w:tcPr>
                  <w:tcW w:w="872" w:type="dxa"/>
                  <w:vMerge w:val="continue"/>
                  <w:tcBorders>
                    <w:left w:val="single" w:color="000000" w:sz="4" w:space="0"/>
                    <w:bottom w:val="single" w:color="000000" w:sz="4" w:space="0"/>
                  </w:tcBorders>
                  <w:vAlign w:val="center"/>
                </w:tcPr>
                <w:p w14:paraId="19A5F196">
                  <w:pPr>
                    <w:autoSpaceDE/>
                    <w:autoSpaceDN/>
                    <w:jc w:val="center"/>
                    <w:rPr>
                      <w:rFonts w:ascii="Times New Roman" w:hAnsi="Times New Roman" w:cs="Times New Roman"/>
                      <w:color w:val="auto"/>
                      <w:sz w:val="21"/>
                      <w:szCs w:val="21"/>
                    </w:rPr>
                  </w:pPr>
                </w:p>
              </w:tc>
            </w:tr>
          </w:tbl>
          <w:p w14:paraId="26A79934">
            <w:pPr>
              <w:autoSpaceDE/>
              <w:autoSpaceDN/>
              <w:adjustRightInd w:val="0"/>
              <w:snapToGrid w:val="0"/>
              <w:spacing w:line="480" w:lineRule="exact"/>
              <w:jc w:val="center"/>
              <w:rPr>
                <w:color w:val="auto"/>
                <w:sz w:val="21"/>
                <w:szCs w:val="24"/>
                <w:lang w:val="en-US"/>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5 </w:t>
            </w:r>
            <w:r>
              <w:rPr>
                <w:rFonts w:hint="eastAsia" w:ascii="Times New Roman" w:hAnsi="Times New Roman" w:cs="Times New Roman"/>
                <w:b/>
                <w:bCs/>
                <w:color w:val="auto"/>
                <w:sz w:val="21"/>
                <w:szCs w:val="21"/>
              </w:rPr>
              <w:t>全市水环境总体管控符合性</w:t>
            </w:r>
          </w:p>
          <w:tbl>
            <w:tblPr>
              <w:tblStyle w:val="34"/>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8"/>
              <w:gridCol w:w="6207"/>
              <w:gridCol w:w="928"/>
            </w:tblGrid>
            <w:tr w14:paraId="0AC7B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jc w:val="center"/>
              </w:trPr>
              <w:tc>
                <w:tcPr>
                  <w:tcW w:w="638" w:type="dxa"/>
                  <w:tcBorders>
                    <w:top w:val="single" w:color="000000" w:sz="4" w:space="0"/>
                    <w:bottom w:val="single" w:color="000000" w:sz="4" w:space="0"/>
                    <w:right w:val="single" w:color="000000" w:sz="4" w:space="0"/>
                  </w:tcBorders>
                  <w:vAlign w:val="center"/>
                </w:tcPr>
                <w:p w14:paraId="06AD3636">
                  <w:pPr>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管理维度</w:t>
                  </w:r>
                </w:p>
              </w:tc>
              <w:tc>
                <w:tcPr>
                  <w:tcW w:w="6207" w:type="dxa"/>
                  <w:tcBorders>
                    <w:top w:val="single" w:color="000000" w:sz="4" w:space="0"/>
                    <w:left w:val="single" w:color="000000" w:sz="4" w:space="0"/>
                    <w:bottom w:val="single" w:color="000000" w:sz="4" w:space="0"/>
                  </w:tcBorders>
                  <w:vAlign w:val="center"/>
                </w:tcPr>
                <w:p w14:paraId="3E0572AF">
                  <w:pPr>
                    <w:tabs>
                      <w:tab w:val="left" w:pos="759"/>
                    </w:tabs>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管控要求</w:t>
                  </w:r>
                </w:p>
              </w:tc>
              <w:tc>
                <w:tcPr>
                  <w:tcW w:w="928" w:type="dxa"/>
                  <w:tcBorders>
                    <w:top w:val="single" w:color="000000" w:sz="4" w:space="0"/>
                    <w:left w:val="single" w:color="000000" w:sz="4" w:space="0"/>
                  </w:tcBorders>
                  <w:vAlign w:val="center"/>
                </w:tcPr>
                <w:p w14:paraId="720D7ED6">
                  <w:pPr>
                    <w:tabs>
                      <w:tab w:val="left" w:pos="759"/>
                    </w:tabs>
                    <w:autoSpaceDE/>
                    <w:autoSpaceDN/>
                    <w:jc w:val="center"/>
                    <w:rPr>
                      <w:rFonts w:ascii="Times New Roman" w:hAnsi="Times New Roman" w:cs="Times New Roman"/>
                      <w:color w:val="auto"/>
                      <w:sz w:val="21"/>
                      <w:szCs w:val="21"/>
                    </w:rPr>
                  </w:pPr>
                  <w:r>
                    <w:rPr>
                      <w:rFonts w:ascii="Times New Roman" w:hAnsi="Times New Roman" w:cs="Times New Roman"/>
                      <w:b/>
                      <w:color w:val="auto"/>
                      <w:sz w:val="21"/>
                      <w:szCs w:val="21"/>
                    </w:rPr>
                    <w:t>符合性</w:t>
                  </w:r>
                </w:p>
              </w:tc>
            </w:tr>
            <w:tr w14:paraId="66E22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638" w:type="dxa"/>
                  <w:tcBorders>
                    <w:top w:val="single" w:color="000000" w:sz="4" w:space="0"/>
                    <w:bottom w:val="single" w:color="000000" w:sz="4" w:space="0"/>
                    <w:right w:val="single" w:color="000000" w:sz="4" w:space="0"/>
                  </w:tcBorders>
                  <w:vAlign w:val="center"/>
                </w:tcPr>
                <w:p w14:paraId="2B532319">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污染物防控目标</w:t>
                  </w:r>
                </w:p>
              </w:tc>
              <w:tc>
                <w:tcPr>
                  <w:tcW w:w="6207" w:type="dxa"/>
                  <w:tcBorders>
                    <w:top w:val="single" w:color="000000" w:sz="4" w:space="0"/>
                    <w:left w:val="single" w:color="000000" w:sz="4" w:space="0"/>
                    <w:bottom w:val="single" w:color="000000" w:sz="4" w:space="0"/>
                  </w:tcBorders>
                  <w:vAlign w:val="center"/>
                </w:tcPr>
                <w:p w14:paraId="2F765265">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2025年地表水Ⅲ类及以上水体断面比例达到27%以上，劣Ⅴ类水体基本消除；2035年全面消除劣Ⅴ类水质。</w:t>
                  </w:r>
                </w:p>
              </w:tc>
              <w:tc>
                <w:tcPr>
                  <w:tcW w:w="928" w:type="dxa"/>
                  <w:vMerge w:val="restart"/>
                  <w:tcBorders>
                    <w:top w:val="single" w:color="000000" w:sz="4" w:space="0"/>
                    <w:left w:val="single" w:color="000000" w:sz="4" w:space="0"/>
                  </w:tcBorders>
                  <w:vAlign w:val="center"/>
                </w:tcPr>
                <w:p w14:paraId="6943BE23">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无废水外排</w:t>
                  </w:r>
                  <w:r>
                    <w:rPr>
                      <w:rFonts w:ascii="Times New Roman" w:hAnsi="Times New Roman" w:cs="Times New Roman"/>
                      <w:color w:val="auto"/>
                      <w:sz w:val="21"/>
                      <w:szCs w:val="21"/>
                    </w:rPr>
                    <w:t>，项目建设不会对周边水环境产生影响</w:t>
                  </w:r>
                </w:p>
              </w:tc>
            </w:tr>
            <w:tr w14:paraId="62995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38" w:type="dxa"/>
                  <w:tcBorders>
                    <w:top w:val="single" w:color="000000" w:sz="4" w:space="0"/>
                    <w:bottom w:val="single" w:color="000000" w:sz="4" w:space="0"/>
                    <w:right w:val="single" w:color="000000" w:sz="4" w:space="0"/>
                  </w:tcBorders>
                  <w:vAlign w:val="center"/>
                </w:tcPr>
                <w:p w14:paraId="0E4781E7">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w:t>
                  </w:r>
                </w:p>
              </w:tc>
              <w:tc>
                <w:tcPr>
                  <w:tcW w:w="6207" w:type="dxa"/>
                  <w:tcBorders>
                    <w:top w:val="single" w:color="000000" w:sz="4" w:space="0"/>
                    <w:left w:val="single" w:color="000000" w:sz="4" w:space="0"/>
                    <w:bottom w:val="single" w:color="000000" w:sz="4" w:space="0"/>
                  </w:tcBorders>
                  <w:vAlign w:val="center"/>
                </w:tcPr>
                <w:p w14:paraId="01AA6487">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1.强化饮用水水源保护。建立县级及以上集中式饮用水水源清单，明确水质目标，实行达标管理。</w:t>
                  </w:r>
                </w:p>
                <w:p w14:paraId="44CD1517">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2.开展水环境承载力评价。推进美丽河湖保护与建设，发挥引领示范作用。</w:t>
                  </w:r>
                </w:p>
                <w:p w14:paraId="68810AA8">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3.保护河湖生态空间。落实生态保护红线制度。禁止侵占自然湿地等水源涵养生态空间，已侵占的全部予以恢复。</w:t>
                  </w:r>
                </w:p>
                <w:p w14:paraId="19193046">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4.严格水域岸线用途管制和土地开发利用。新建项目应按照有关法律法规和技术标准要求，留足河道、湖泊、水库岸边地带的管理和保护范围。</w:t>
                  </w:r>
                </w:p>
                <w:p w14:paraId="2A45854F">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w:t>
                  </w:r>
                </w:p>
                <w:p w14:paraId="60B0AD98">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6.优化养殖产业空间布局。以饮用水水源、水质较好湖库、国家级湿地（公园）等环境敏感区域为重点，科学划定养殖区，明确适养、限养和禁养区。全面清理禁养区相关养殖项目，严防反弹。</w:t>
                  </w:r>
                </w:p>
                <w:p w14:paraId="7B03B6ED">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7.在跃峰渠工程管理范围内从事工程建设活动的，建设单位或个人应当将工程建设方案报送市水行政主管部门审查同意后，方可按照基本建设程序履行审批手续。市水行政主管部门依法对施工进行监督。穿、 跨、临渠的桥梁、道路、管道、缆线、取水、排水、监测等工程设施的建设 单位、产权单位或者使用单位，应当对设施进行日常检查和维护，保证其正常运行，发现危害渠道安全、妨碍渠水畅通等情况的，应当及时进行整改、消除 安全隐患。</w:t>
                  </w:r>
                </w:p>
              </w:tc>
              <w:tc>
                <w:tcPr>
                  <w:tcW w:w="928" w:type="dxa"/>
                  <w:vMerge w:val="continue"/>
                  <w:tcBorders>
                    <w:left w:val="single" w:color="000000" w:sz="4" w:space="0"/>
                  </w:tcBorders>
                  <w:vAlign w:val="center"/>
                </w:tcPr>
                <w:p w14:paraId="442BE267">
                  <w:pPr>
                    <w:autoSpaceDE/>
                    <w:autoSpaceDN/>
                    <w:jc w:val="center"/>
                    <w:rPr>
                      <w:rFonts w:ascii="Times New Roman" w:hAnsi="Times New Roman" w:cs="Times New Roman"/>
                      <w:color w:val="auto"/>
                      <w:sz w:val="21"/>
                      <w:szCs w:val="21"/>
                    </w:rPr>
                  </w:pPr>
                </w:p>
              </w:tc>
            </w:tr>
            <w:tr w14:paraId="57C58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38" w:type="dxa"/>
                  <w:tcBorders>
                    <w:top w:val="single" w:color="000000" w:sz="4" w:space="0"/>
                    <w:bottom w:val="single" w:color="000000" w:sz="4" w:space="0"/>
                    <w:right w:val="single" w:color="000000" w:sz="4" w:space="0"/>
                  </w:tcBorders>
                  <w:vAlign w:val="center"/>
                </w:tcPr>
                <w:p w14:paraId="3053DA3B">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污染物排放</w:t>
                  </w:r>
                </w:p>
              </w:tc>
              <w:tc>
                <w:tcPr>
                  <w:tcW w:w="6207" w:type="dxa"/>
                  <w:tcBorders>
                    <w:top w:val="single" w:color="000000" w:sz="4" w:space="0"/>
                    <w:left w:val="single" w:color="000000" w:sz="4" w:space="0"/>
                    <w:bottom w:val="single" w:color="000000" w:sz="4" w:space="0"/>
                  </w:tcBorders>
                  <w:vAlign w:val="center"/>
                </w:tcPr>
                <w:p w14:paraId="50274972">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1.严查非法排污行为，压实地方政府属地责任，建立健全长效监管机制，促进国考重要水功能区稳定达标。</w:t>
                  </w:r>
                </w:p>
                <w:p w14:paraId="5D008A55">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2.加快老旧城区、城中村和城乡接合部生活污水收集设施建设，提升城市生活污水集中收集效能。加快乡镇级污水处理厂建设，补齐污水处理能力短板。</w:t>
                  </w:r>
                </w:p>
                <w:p w14:paraId="44A03252">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3.严格排水许可监管，杜绝雨污混接错接，遏制雨水管网违法排污。加强雨水管网运行维护，定期清疏管道污泥。</w:t>
                  </w:r>
                </w:p>
                <w:p w14:paraId="6E955518">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w:t>
                  </w:r>
                </w:p>
                <w:p w14:paraId="3DC81638">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w:t>
                  </w:r>
                </w:p>
                <w:p w14:paraId="02B328E3">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6.严格执行相关流域和行业水污染物排放标准，对未达到相应排放标准和排放限值的企业实施污水处理设施提升改造。</w:t>
                  </w:r>
                </w:p>
                <w:p w14:paraId="02C87032">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928" w:type="dxa"/>
                  <w:vMerge w:val="continue"/>
                  <w:tcBorders>
                    <w:left w:val="single" w:color="000000" w:sz="4" w:space="0"/>
                  </w:tcBorders>
                  <w:vAlign w:val="center"/>
                </w:tcPr>
                <w:p w14:paraId="25D0D69A">
                  <w:pPr>
                    <w:autoSpaceDE/>
                    <w:autoSpaceDN/>
                    <w:jc w:val="center"/>
                    <w:rPr>
                      <w:rFonts w:ascii="Times New Roman" w:hAnsi="Times New Roman" w:cs="Times New Roman"/>
                      <w:color w:val="auto"/>
                      <w:sz w:val="21"/>
                      <w:szCs w:val="21"/>
                    </w:rPr>
                  </w:pPr>
                </w:p>
              </w:tc>
            </w:tr>
            <w:tr w14:paraId="5E19A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38" w:type="dxa"/>
                  <w:tcBorders>
                    <w:top w:val="single" w:color="000000" w:sz="4" w:space="0"/>
                    <w:bottom w:val="single" w:color="000000" w:sz="4" w:space="0"/>
                    <w:right w:val="single" w:color="000000" w:sz="4" w:space="0"/>
                  </w:tcBorders>
                  <w:vAlign w:val="center"/>
                </w:tcPr>
                <w:p w14:paraId="512BDFEE">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6207" w:type="dxa"/>
                  <w:tcBorders>
                    <w:top w:val="single" w:color="000000" w:sz="4" w:space="0"/>
                    <w:left w:val="single" w:color="000000" w:sz="4" w:space="0"/>
                    <w:bottom w:val="single" w:color="000000" w:sz="4" w:space="0"/>
                  </w:tcBorders>
                  <w:vAlign w:val="center"/>
                </w:tcPr>
                <w:p w14:paraId="69225514">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1.加强监测能力建设，定期开展市、县、乡、农村集中式饮用水水源及南水北调输水工程水质监测。</w:t>
                  </w:r>
                </w:p>
                <w:p w14:paraId="5A6282BB">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2.定期监测入河排污口，对超标排放的进行通报、督办。建设完善监管体制机制，督促各地落实属地监管责任。</w:t>
                  </w:r>
                </w:p>
                <w:p w14:paraId="695A1D1A">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推进重点控制断面上游3—5千米，下游100—500米内生态缓冲带建设，在水域与陆地之间因地制宜建设乔灌草相结合的立体植物带，利用缓冲带植物的吸附和分解作用，拦截污染、净化水体、提升生态系统完整性。</w:t>
                  </w:r>
                </w:p>
                <w:p w14:paraId="15CCF69E">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4.有效防控饮用水水源保护区环境风险。每年对集中式饮用水水源保护区开展基础调查与评估，将可能影响水源水质安全的风险源全部列入档案，加强风险应急防控，建立联防联控应急机制。</w:t>
                  </w:r>
                </w:p>
                <w:p w14:paraId="5E33D0FB">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928" w:type="dxa"/>
                  <w:vMerge w:val="continue"/>
                  <w:tcBorders>
                    <w:left w:val="single" w:color="000000" w:sz="4" w:space="0"/>
                  </w:tcBorders>
                  <w:vAlign w:val="center"/>
                </w:tcPr>
                <w:p w14:paraId="2FB8C2E5">
                  <w:pPr>
                    <w:autoSpaceDE/>
                    <w:autoSpaceDN/>
                    <w:jc w:val="center"/>
                    <w:rPr>
                      <w:rFonts w:ascii="Times New Roman" w:hAnsi="Times New Roman" w:cs="Times New Roman"/>
                      <w:color w:val="auto"/>
                      <w:sz w:val="21"/>
                      <w:szCs w:val="21"/>
                    </w:rPr>
                  </w:pPr>
                </w:p>
              </w:tc>
            </w:tr>
            <w:tr w14:paraId="7AD39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38" w:type="dxa"/>
                  <w:tcBorders>
                    <w:top w:val="single" w:color="000000" w:sz="4" w:space="0"/>
                    <w:bottom w:val="single" w:color="000000" w:sz="4" w:space="0"/>
                    <w:right w:val="single" w:color="000000" w:sz="4" w:space="0"/>
                  </w:tcBorders>
                  <w:vAlign w:val="center"/>
                </w:tcPr>
                <w:p w14:paraId="18221DFD">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资源开发利用</w:t>
                  </w:r>
                </w:p>
              </w:tc>
              <w:tc>
                <w:tcPr>
                  <w:tcW w:w="6207" w:type="dxa"/>
                  <w:tcBorders>
                    <w:top w:val="single" w:color="000000" w:sz="4" w:space="0"/>
                    <w:left w:val="single" w:color="000000" w:sz="4" w:space="0"/>
                    <w:bottom w:val="single" w:color="000000" w:sz="4" w:space="0"/>
                  </w:tcBorders>
                  <w:vAlign w:val="center"/>
                </w:tcPr>
                <w:p w14:paraId="19FB00E3">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w:t>
                  </w:r>
                </w:p>
                <w:p w14:paraId="3AE77C6D">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928" w:type="dxa"/>
                  <w:vMerge w:val="continue"/>
                  <w:tcBorders>
                    <w:left w:val="single" w:color="000000" w:sz="4" w:space="0"/>
                    <w:bottom w:val="single" w:color="000000" w:sz="4" w:space="0"/>
                  </w:tcBorders>
                  <w:vAlign w:val="center"/>
                </w:tcPr>
                <w:p w14:paraId="44D35794">
                  <w:pPr>
                    <w:autoSpaceDE/>
                    <w:autoSpaceDN/>
                    <w:jc w:val="center"/>
                    <w:rPr>
                      <w:rFonts w:ascii="Times New Roman" w:hAnsi="Times New Roman" w:cs="Times New Roman"/>
                      <w:color w:val="auto"/>
                      <w:sz w:val="21"/>
                      <w:szCs w:val="21"/>
                    </w:rPr>
                  </w:pPr>
                </w:p>
              </w:tc>
            </w:tr>
          </w:tbl>
          <w:p w14:paraId="21C7805D">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6 </w:t>
            </w:r>
            <w:r>
              <w:rPr>
                <w:rFonts w:hint="eastAsia" w:ascii="Times New Roman" w:hAnsi="Times New Roman" w:cs="Times New Roman"/>
                <w:b/>
                <w:bCs/>
                <w:color w:val="auto"/>
                <w:sz w:val="21"/>
                <w:szCs w:val="21"/>
              </w:rPr>
              <w:t>全市土壤环境总体管控符合性</w:t>
            </w:r>
          </w:p>
          <w:tbl>
            <w:tblPr>
              <w:tblStyle w:val="34"/>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0"/>
              <w:gridCol w:w="6050"/>
              <w:gridCol w:w="953"/>
            </w:tblGrid>
            <w:tr w14:paraId="342E6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14:paraId="7D944606">
                  <w:pPr>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管理维度</w:t>
                  </w:r>
                </w:p>
              </w:tc>
              <w:tc>
                <w:tcPr>
                  <w:tcW w:w="5389" w:type="dxa"/>
                  <w:tcBorders>
                    <w:top w:val="single" w:color="000000" w:sz="4" w:space="0"/>
                    <w:left w:val="single" w:color="000000" w:sz="4" w:space="0"/>
                    <w:bottom w:val="single" w:color="000000" w:sz="4" w:space="0"/>
                  </w:tcBorders>
                  <w:vAlign w:val="center"/>
                </w:tcPr>
                <w:p w14:paraId="3C4F5701">
                  <w:pPr>
                    <w:tabs>
                      <w:tab w:val="left" w:pos="759"/>
                    </w:tabs>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管控要求</w:t>
                  </w:r>
                </w:p>
              </w:tc>
              <w:tc>
                <w:tcPr>
                  <w:tcW w:w="849" w:type="dxa"/>
                  <w:tcBorders>
                    <w:top w:val="single" w:color="000000" w:sz="4" w:space="0"/>
                    <w:left w:val="single" w:color="000000" w:sz="4" w:space="0"/>
                  </w:tcBorders>
                  <w:vAlign w:val="center"/>
                </w:tcPr>
                <w:p w14:paraId="4AC9A0E6">
                  <w:pPr>
                    <w:tabs>
                      <w:tab w:val="left" w:pos="759"/>
                    </w:tabs>
                    <w:autoSpaceDE/>
                    <w:autoSpaceDN/>
                    <w:jc w:val="center"/>
                    <w:rPr>
                      <w:rFonts w:ascii="Times New Roman" w:hAnsi="Times New Roman" w:cs="Times New Roman"/>
                      <w:color w:val="auto"/>
                      <w:sz w:val="21"/>
                      <w:szCs w:val="21"/>
                    </w:rPr>
                  </w:pPr>
                  <w:r>
                    <w:rPr>
                      <w:rFonts w:ascii="Times New Roman" w:hAnsi="Times New Roman" w:cs="Times New Roman"/>
                      <w:b/>
                      <w:color w:val="auto"/>
                      <w:sz w:val="21"/>
                      <w:szCs w:val="21"/>
                    </w:rPr>
                    <w:t>符合性</w:t>
                  </w:r>
                </w:p>
              </w:tc>
            </w:tr>
            <w:tr w14:paraId="57AEB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14:paraId="72683C64">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污染物防控目标</w:t>
                  </w:r>
                </w:p>
              </w:tc>
              <w:tc>
                <w:tcPr>
                  <w:tcW w:w="5389" w:type="dxa"/>
                  <w:tcBorders>
                    <w:top w:val="single" w:color="000000" w:sz="4" w:space="0"/>
                    <w:left w:val="single" w:color="000000" w:sz="4" w:space="0"/>
                    <w:bottom w:val="single" w:color="000000" w:sz="4" w:space="0"/>
                  </w:tcBorders>
                  <w:vAlign w:val="center"/>
                </w:tcPr>
                <w:p w14:paraId="23E1B307">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 年受污染耕地安全利用率达到95%以上，重点建设用地安全利用得到有效保障</w:t>
                  </w:r>
                </w:p>
              </w:tc>
              <w:tc>
                <w:tcPr>
                  <w:tcW w:w="849" w:type="dxa"/>
                  <w:vMerge w:val="restart"/>
                  <w:tcBorders>
                    <w:top w:val="single" w:color="000000" w:sz="4" w:space="0"/>
                    <w:left w:val="single" w:color="000000" w:sz="4" w:space="0"/>
                  </w:tcBorders>
                  <w:vAlign w:val="center"/>
                </w:tcPr>
                <w:p w14:paraId="249DE032">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未占用耕地，</w:t>
                  </w:r>
                  <w:r>
                    <w:rPr>
                      <w:rFonts w:ascii="Times New Roman" w:hAnsi="Times New Roman" w:cs="Times New Roman"/>
                      <w:color w:val="auto"/>
                      <w:sz w:val="21"/>
                      <w:szCs w:val="21"/>
                    </w:rPr>
                    <w:t>项目建设不会对周边土壤环境产生影响</w:t>
                  </w:r>
                </w:p>
              </w:tc>
            </w:tr>
            <w:tr w14:paraId="56A07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 w:hRule="atLeast"/>
                <w:jc w:val="center"/>
              </w:trPr>
              <w:tc>
                <w:tcPr>
                  <w:tcW w:w="686" w:type="dxa"/>
                  <w:tcBorders>
                    <w:top w:val="single" w:color="000000" w:sz="4" w:space="0"/>
                    <w:bottom w:val="single" w:color="000000" w:sz="4" w:space="0"/>
                    <w:right w:val="single" w:color="000000" w:sz="4" w:space="0"/>
                  </w:tcBorders>
                  <w:vAlign w:val="center"/>
                </w:tcPr>
                <w:p w14:paraId="63CA7C10">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w:t>
                  </w:r>
                </w:p>
              </w:tc>
              <w:tc>
                <w:tcPr>
                  <w:tcW w:w="5389" w:type="dxa"/>
                  <w:tcBorders>
                    <w:top w:val="single" w:color="000000" w:sz="4" w:space="0"/>
                    <w:left w:val="single" w:color="000000" w:sz="4" w:space="0"/>
                    <w:bottom w:val="single" w:color="000000" w:sz="4" w:space="0"/>
                  </w:tcBorders>
                  <w:vAlign w:val="center"/>
                </w:tcPr>
                <w:p w14:paraId="3291FB20">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1.在未污染耕地集中区域全面推进高标准农田建设，将符合条件的未污染耕地划入永久基本农田，不得新建有色金属冶炼、石油加工、化工、焦化、电镀、制革、铅蓄电池等可能造成土壤污染的建设项目。</w:t>
                  </w:r>
                </w:p>
                <w:p w14:paraId="4F786C9B">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w:t>
                  </w:r>
                </w:p>
                <w:p w14:paraId="3513819D">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w:t>
                  </w:r>
                </w:p>
                <w:p w14:paraId="79025F4D">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4.推动工业固废综合利用，促进工业固废减量化、资源化。加强塑料污染防控，强化对生产、使用、销售塑料制品单位的监督检查，有序禁止限制部分塑料制品生产、销售、使用。</w:t>
                  </w:r>
                </w:p>
                <w:p w14:paraId="52B6BD89">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849" w:type="dxa"/>
                  <w:vMerge w:val="continue"/>
                  <w:tcBorders>
                    <w:left w:val="single" w:color="000000" w:sz="4" w:space="0"/>
                  </w:tcBorders>
                  <w:vAlign w:val="center"/>
                </w:tcPr>
                <w:p w14:paraId="3BC6D9DB">
                  <w:pPr>
                    <w:autoSpaceDE/>
                    <w:autoSpaceDN/>
                    <w:jc w:val="center"/>
                    <w:rPr>
                      <w:rFonts w:ascii="Times New Roman" w:hAnsi="Times New Roman" w:cs="Times New Roman"/>
                      <w:color w:val="auto"/>
                      <w:sz w:val="21"/>
                      <w:szCs w:val="21"/>
                    </w:rPr>
                  </w:pPr>
                </w:p>
              </w:tc>
            </w:tr>
            <w:tr w14:paraId="0BDF7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14:paraId="65E660AC">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污染物排放</w:t>
                  </w:r>
                </w:p>
              </w:tc>
              <w:tc>
                <w:tcPr>
                  <w:tcW w:w="5389" w:type="dxa"/>
                  <w:tcBorders>
                    <w:top w:val="single" w:color="000000" w:sz="4" w:space="0"/>
                    <w:left w:val="single" w:color="000000" w:sz="4" w:space="0"/>
                    <w:bottom w:val="single" w:color="000000" w:sz="4" w:space="0"/>
                  </w:tcBorders>
                  <w:vAlign w:val="center"/>
                </w:tcPr>
                <w:p w14:paraId="3EF138F9">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1.依法加强未污染耕地土壤的保护，未利用地不得污染和破坏，确保优先保护类耕地面积不减少、土壤环境质量不下降。</w:t>
                  </w:r>
                </w:p>
                <w:p w14:paraId="686251A6">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2.治理修复优先采取不影响农业生产、不降低土壤生产功能的农艺、生物修复措施，采取措施防止产生二次污染。</w:t>
                  </w:r>
                </w:p>
                <w:p w14:paraId="763CB62D">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3.严防农业面源污染。持续实施化肥农药减量增效行动，化肥农药使用量持续保持负增长。持续开展耕地周边涉重金属行业企业污染源排查整治，强化耕地土壤污染源头防控。</w:t>
                  </w:r>
                </w:p>
                <w:p w14:paraId="6D7DE895">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4.加强企业拆除活动污染防治现场检查，督促企业落实拆除活动污染防治措施。</w:t>
                  </w:r>
                </w:p>
                <w:p w14:paraId="4E3B7C53">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5.统筹区域危险废物利用处置能力建设，实现危险废物产生量与利用处置需求的基本匹配。积极推进危险废物环境监管智能监控体系建设，提升危险废物智能化监管水平。</w:t>
                  </w:r>
                </w:p>
                <w:p w14:paraId="1094B421">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6.加快城镇(园区)污水处理厂管网覆盖范围内村庄污水管网建设。加强集中式污水处理设施建设。统筹厕所粪污无害化集中处理和生活灰水有效管控。</w:t>
                  </w:r>
                </w:p>
                <w:p w14:paraId="719C10B6">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7.继续开展10万亩及以上农田灌溉水水质监测，加强监督检查，防止未经处理或达不到农田灌溉水质标准的废(污)水进入农田灌溉系统。</w:t>
                  </w:r>
                </w:p>
              </w:tc>
              <w:tc>
                <w:tcPr>
                  <w:tcW w:w="849" w:type="dxa"/>
                  <w:vMerge w:val="continue"/>
                  <w:tcBorders>
                    <w:left w:val="single" w:color="000000" w:sz="4" w:space="0"/>
                  </w:tcBorders>
                  <w:vAlign w:val="center"/>
                </w:tcPr>
                <w:p w14:paraId="6FFB0443">
                  <w:pPr>
                    <w:autoSpaceDE/>
                    <w:autoSpaceDN/>
                    <w:jc w:val="center"/>
                    <w:rPr>
                      <w:rFonts w:ascii="Times New Roman" w:hAnsi="Times New Roman" w:cs="Times New Roman"/>
                      <w:color w:val="auto"/>
                      <w:sz w:val="21"/>
                      <w:szCs w:val="21"/>
                    </w:rPr>
                  </w:pPr>
                </w:p>
              </w:tc>
            </w:tr>
            <w:tr w14:paraId="75629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14:paraId="1731B5D1">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5389" w:type="dxa"/>
                  <w:tcBorders>
                    <w:top w:val="single" w:color="000000" w:sz="4" w:space="0"/>
                    <w:left w:val="single" w:color="000000" w:sz="4" w:space="0"/>
                    <w:bottom w:val="single" w:color="000000" w:sz="4" w:space="0"/>
                  </w:tcBorders>
                  <w:vAlign w:val="center"/>
                </w:tcPr>
                <w:p w14:paraId="63F557E6">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1.纳入全国污染地块土壤环境管理信息系统的地块，应按照国家有关环境标准和技术规范开展土壤污染状况调查、评估、风险管控或修复。土壤环境质量符合用地规划要求后，方可进入用地程序。</w:t>
                  </w:r>
                </w:p>
                <w:p w14:paraId="657A20AE">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w:t>
                  </w:r>
                </w:p>
                <w:p w14:paraId="386B47D1">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849" w:type="dxa"/>
                  <w:vMerge w:val="continue"/>
                  <w:tcBorders>
                    <w:left w:val="single" w:color="000000" w:sz="4" w:space="0"/>
                  </w:tcBorders>
                  <w:vAlign w:val="center"/>
                </w:tcPr>
                <w:p w14:paraId="772F8733">
                  <w:pPr>
                    <w:autoSpaceDE/>
                    <w:autoSpaceDN/>
                    <w:jc w:val="center"/>
                    <w:rPr>
                      <w:rFonts w:ascii="Times New Roman" w:hAnsi="Times New Roman" w:cs="Times New Roman"/>
                      <w:color w:val="auto"/>
                      <w:sz w:val="21"/>
                      <w:szCs w:val="21"/>
                    </w:rPr>
                  </w:pPr>
                </w:p>
              </w:tc>
            </w:tr>
            <w:tr w14:paraId="00C5E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14:paraId="62BDB021">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资源开发利用</w:t>
                  </w:r>
                </w:p>
              </w:tc>
              <w:tc>
                <w:tcPr>
                  <w:tcW w:w="5389" w:type="dxa"/>
                  <w:tcBorders>
                    <w:top w:val="single" w:color="000000" w:sz="4" w:space="0"/>
                    <w:left w:val="single" w:color="000000" w:sz="4" w:space="0"/>
                    <w:bottom w:val="single" w:color="000000" w:sz="4" w:space="0"/>
                  </w:tcBorders>
                  <w:vAlign w:val="center"/>
                </w:tcPr>
                <w:p w14:paraId="613DF700">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w:t>
                  </w:r>
                </w:p>
                <w:p w14:paraId="3BBACCCB">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畜禽规模养殖场粪污处理设施装备配套率达到100%，畜禽粪污综合利用率达到79%。秸秆综合利用率达到97%以上，农膜回收率达到90%以上，持续开展耕地周边涉重金属行业企业污染源排查整治，强化耕地土壤污染源头防控。</w:t>
                  </w:r>
                </w:p>
                <w:p w14:paraId="7A55E893">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3.支持固体废物综合利用项目建设，提高大宗固体废物综合利用效率和水平，加快补齐危险废物处理短板。</w:t>
                  </w:r>
                </w:p>
              </w:tc>
              <w:tc>
                <w:tcPr>
                  <w:tcW w:w="849" w:type="dxa"/>
                  <w:vMerge w:val="continue"/>
                  <w:tcBorders>
                    <w:left w:val="single" w:color="000000" w:sz="4" w:space="0"/>
                  </w:tcBorders>
                  <w:vAlign w:val="center"/>
                </w:tcPr>
                <w:p w14:paraId="78EEEB4D">
                  <w:pPr>
                    <w:autoSpaceDE/>
                    <w:autoSpaceDN/>
                    <w:jc w:val="center"/>
                    <w:rPr>
                      <w:rFonts w:ascii="Times New Roman" w:hAnsi="Times New Roman" w:cs="Times New Roman"/>
                      <w:color w:val="auto"/>
                      <w:sz w:val="21"/>
                      <w:szCs w:val="21"/>
                    </w:rPr>
                  </w:pPr>
                </w:p>
              </w:tc>
            </w:tr>
          </w:tbl>
          <w:p w14:paraId="43FC702E">
            <w:pPr>
              <w:autoSpaceDE/>
              <w:autoSpaceDN/>
              <w:spacing w:line="480" w:lineRule="exact"/>
              <w:ind w:firstLine="422"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4</w:t>
            </w:r>
            <w:r>
              <w:rPr>
                <w:rFonts w:ascii="Times New Roman" w:hAnsi="Times New Roman" w:cs="Times New Roman"/>
                <w:b/>
                <w:bCs/>
                <w:color w:val="auto"/>
                <w:sz w:val="21"/>
                <w:szCs w:val="21"/>
              </w:rPr>
              <w:t>）全市资源利用总体管控要求符合性分析</w:t>
            </w:r>
          </w:p>
          <w:p w14:paraId="466871EC">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7</w:t>
            </w:r>
            <w:r>
              <w:rPr>
                <w:rFonts w:hint="eastAsia" w:ascii="Times New Roman" w:hAnsi="Times New Roman" w:cs="Times New Roman"/>
                <w:b/>
                <w:bCs/>
                <w:color w:val="auto"/>
                <w:sz w:val="21"/>
                <w:szCs w:val="21"/>
              </w:rPr>
              <w:t xml:space="preserve"> 全市资源利用总体管控要求</w:t>
            </w:r>
          </w:p>
          <w:tbl>
            <w:tblPr>
              <w:tblStyle w:val="34"/>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9"/>
              <w:gridCol w:w="737"/>
              <w:gridCol w:w="5676"/>
              <w:gridCol w:w="1031"/>
            </w:tblGrid>
            <w:tr w14:paraId="13131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020" w:type="dxa"/>
                  <w:gridSpan w:val="2"/>
                  <w:tcBorders>
                    <w:bottom w:val="single" w:color="000000" w:sz="4" w:space="0"/>
                  </w:tcBorders>
                  <w:vAlign w:val="center"/>
                </w:tcPr>
                <w:p w14:paraId="2FE74E8A">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属性</w:t>
                  </w:r>
                </w:p>
              </w:tc>
              <w:tc>
                <w:tcPr>
                  <w:tcW w:w="5431" w:type="dxa"/>
                  <w:tcBorders>
                    <w:left w:val="single" w:color="000000" w:sz="4" w:space="0"/>
                    <w:bottom w:val="single" w:color="000000" w:sz="4" w:space="0"/>
                  </w:tcBorders>
                  <w:vAlign w:val="center"/>
                </w:tcPr>
                <w:p w14:paraId="57BCDBDF">
                  <w:pPr>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986" w:type="dxa"/>
                  <w:tcBorders>
                    <w:left w:val="single" w:color="000000" w:sz="4" w:space="0"/>
                    <w:bottom w:val="single" w:color="000000" w:sz="4" w:space="0"/>
                  </w:tcBorders>
                  <w:vAlign w:val="center"/>
                </w:tcPr>
                <w:p w14:paraId="034BEEC1">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14:paraId="713B7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vAlign w:val="center"/>
                </w:tcPr>
                <w:p w14:paraId="5E2A53C9">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水资源</w:t>
                  </w:r>
                </w:p>
              </w:tc>
              <w:tc>
                <w:tcPr>
                  <w:tcW w:w="705" w:type="dxa"/>
                  <w:tcBorders>
                    <w:top w:val="single" w:color="000000" w:sz="4" w:space="0"/>
                    <w:left w:val="single" w:color="000000" w:sz="4" w:space="0"/>
                    <w:bottom w:val="single" w:color="000000" w:sz="4" w:space="0"/>
                  </w:tcBorders>
                  <w:vAlign w:val="center"/>
                </w:tcPr>
                <w:p w14:paraId="18DD3EA8">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总量和强度要求</w:t>
                  </w:r>
                </w:p>
              </w:tc>
              <w:tc>
                <w:tcPr>
                  <w:tcW w:w="5431" w:type="dxa"/>
                  <w:tcBorders>
                    <w:top w:val="single" w:color="000000" w:sz="4" w:space="0"/>
                    <w:left w:val="single" w:color="000000" w:sz="4" w:space="0"/>
                    <w:bottom w:val="single" w:color="000000" w:sz="4" w:space="0"/>
                  </w:tcBorders>
                  <w:vAlign w:val="center"/>
                </w:tcPr>
                <w:p w14:paraId="7AB97770">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2025年水资源利用总量22.30亿立方米以下，其中地下水取水量</w:t>
                  </w:r>
                  <w:r>
                    <w:rPr>
                      <w:rFonts w:hint="eastAsia" w:ascii="Times New Roman" w:hAnsi="Times New Roman" w:eastAsia="宋体" w:cs="Times New Roman"/>
                      <w:color w:val="auto"/>
                      <w:sz w:val="21"/>
                      <w:szCs w:val="21"/>
                      <w:lang w:val="en-US"/>
                    </w:rPr>
                    <w:t>9.71</w:t>
                  </w:r>
                  <w:r>
                    <w:rPr>
                      <w:rFonts w:ascii="Times New Roman" w:hAnsi="Times New Roman" w:cs="Times New Roman"/>
                      <w:color w:val="auto"/>
                      <w:sz w:val="21"/>
                      <w:szCs w:val="21"/>
                    </w:rPr>
                    <w:t>亿立方米以下</w:t>
                  </w:r>
                </w:p>
              </w:tc>
              <w:tc>
                <w:tcPr>
                  <w:tcW w:w="986" w:type="dxa"/>
                  <w:vMerge w:val="restart"/>
                  <w:tcBorders>
                    <w:top w:val="single" w:color="000000" w:sz="4" w:space="0"/>
                    <w:left w:val="single" w:color="000000" w:sz="4" w:space="0"/>
                  </w:tcBorders>
                  <w:vAlign w:val="center"/>
                </w:tcPr>
                <w:p w14:paraId="3827FDAC">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不使用地下水资源，不属于高耗水行业</w:t>
                  </w:r>
                </w:p>
              </w:tc>
            </w:tr>
            <w:tr w14:paraId="7F36F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vAlign w:val="center"/>
                </w:tcPr>
                <w:p w14:paraId="126699F8">
                  <w:pPr>
                    <w:autoSpaceDE/>
                    <w:autoSpaceDN/>
                    <w:jc w:val="center"/>
                    <w:rPr>
                      <w:rFonts w:ascii="Times New Roman" w:hAnsi="Times New Roman" w:cs="Times New Roman"/>
                      <w:color w:val="auto"/>
                      <w:sz w:val="21"/>
                      <w:szCs w:val="21"/>
                    </w:rPr>
                  </w:pPr>
                </w:p>
              </w:tc>
              <w:tc>
                <w:tcPr>
                  <w:tcW w:w="705" w:type="dxa"/>
                  <w:tcBorders>
                    <w:top w:val="single" w:color="000000" w:sz="4" w:space="0"/>
                    <w:left w:val="single" w:color="000000" w:sz="4" w:space="0"/>
                    <w:bottom w:val="single" w:color="000000" w:sz="4" w:space="0"/>
                  </w:tcBorders>
                  <w:vAlign w:val="center"/>
                </w:tcPr>
                <w:p w14:paraId="052D6E61">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管控要求</w:t>
                  </w:r>
                </w:p>
              </w:tc>
              <w:tc>
                <w:tcPr>
                  <w:tcW w:w="5431" w:type="dxa"/>
                  <w:tcBorders>
                    <w:top w:val="single" w:color="000000" w:sz="4" w:space="0"/>
                    <w:left w:val="single" w:color="000000" w:sz="4" w:space="0"/>
                    <w:bottom w:val="single" w:color="000000" w:sz="4" w:space="0"/>
                  </w:tcBorders>
                  <w:vAlign w:val="center"/>
                </w:tcPr>
                <w:p w14:paraId="7369290F">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1.强化地下水禁采限采管理。在地下水禁采区，除临时应急供水和无替代水源的农村地区少量分散生活用水外，严禁取用地下水，已有的要限期关闭；在地下水限采区，一律不新增地下水开采量。</w:t>
                  </w:r>
                </w:p>
                <w:p w14:paraId="53B328CA">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2.在利用地表水灌溉水源有保障的区域和退耕实施雨养旱作的区域，对农业灌溉机井实施封填；在深层承压水漏斗区，对农业灌溉取用深层承压水的机井有计划予以关停。</w:t>
                  </w:r>
                </w:p>
                <w:p w14:paraId="0701805F">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3.实行严格的产业准入制度，对地下水超采地区，严把取水许可关口，不得新建扩建高耗水项目。</w:t>
                  </w:r>
                </w:p>
                <w:p w14:paraId="2F077D5F">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4.加快城镇供水水源置换。充分利用当地水和外调水，加快配套供水工程建设，加大水源切换力度，强制性关闭自备井，有效压减城镇生活和工业地下水开采量。</w:t>
                  </w:r>
                </w:p>
              </w:tc>
              <w:tc>
                <w:tcPr>
                  <w:tcW w:w="986" w:type="dxa"/>
                  <w:vMerge w:val="continue"/>
                  <w:tcBorders>
                    <w:left w:val="single" w:color="000000" w:sz="4" w:space="0"/>
                    <w:bottom w:val="single" w:color="000000" w:sz="4" w:space="0"/>
                  </w:tcBorders>
                  <w:vAlign w:val="center"/>
                </w:tcPr>
                <w:p w14:paraId="29A021A2">
                  <w:pPr>
                    <w:autoSpaceDE/>
                    <w:autoSpaceDN/>
                    <w:jc w:val="center"/>
                    <w:rPr>
                      <w:rFonts w:ascii="Times New Roman" w:hAnsi="Times New Roman" w:cs="Times New Roman"/>
                      <w:color w:val="auto"/>
                      <w:sz w:val="21"/>
                      <w:szCs w:val="21"/>
                    </w:rPr>
                  </w:pPr>
                </w:p>
              </w:tc>
            </w:tr>
            <w:tr w14:paraId="284D7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vAlign w:val="center"/>
                </w:tcPr>
                <w:p w14:paraId="7B98793A">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能源</w:t>
                  </w:r>
                </w:p>
              </w:tc>
              <w:tc>
                <w:tcPr>
                  <w:tcW w:w="705" w:type="dxa"/>
                  <w:tcBorders>
                    <w:top w:val="single" w:color="000000" w:sz="4" w:space="0"/>
                    <w:left w:val="single" w:color="000000" w:sz="4" w:space="0"/>
                    <w:bottom w:val="single" w:color="000000" w:sz="4" w:space="0"/>
                  </w:tcBorders>
                  <w:vAlign w:val="center"/>
                </w:tcPr>
                <w:p w14:paraId="236F9B7C">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总量和强度要求</w:t>
                  </w:r>
                </w:p>
              </w:tc>
              <w:tc>
                <w:tcPr>
                  <w:tcW w:w="5431" w:type="dxa"/>
                  <w:tcBorders>
                    <w:top w:val="single" w:color="000000" w:sz="4" w:space="0"/>
                    <w:left w:val="single" w:color="000000" w:sz="4" w:space="0"/>
                    <w:bottom w:val="single" w:color="000000" w:sz="4" w:space="0"/>
                  </w:tcBorders>
                  <w:vAlign w:val="center"/>
                </w:tcPr>
                <w:p w14:paraId="0BACAFCE">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到2025年，全市万元生产总值能耗和用水量比2020年分别下降18%和15.4%。全社会煤炭消费、万元生产总值二氧化碳排放削减量完成省定任务。</w:t>
                  </w:r>
                </w:p>
              </w:tc>
              <w:tc>
                <w:tcPr>
                  <w:tcW w:w="986" w:type="dxa"/>
                  <w:vMerge w:val="restart"/>
                  <w:tcBorders>
                    <w:top w:val="single" w:color="000000" w:sz="4" w:space="0"/>
                    <w:left w:val="single" w:color="000000" w:sz="4" w:space="0"/>
                  </w:tcBorders>
                  <w:vAlign w:val="center"/>
                </w:tcPr>
                <w:p w14:paraId="7AE11772">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本项目使用设备均不属于淘汰设备，设备功率较低，不会带来较大的能源消耗</w:t>
                  </w:r>
                </w:p>
              </w:tc>
            </w:tr>
            <w:tr w14:paraId="5152A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vAlign w:val="center"/>
                </w:tcPr>
                <w:p w14:paraId="3EF462FD">
                  <w:pPr>
                    <w:autoSpaceDE/>
                    <w:autoSpaceDN/>
                    <w:jc w:val="center"/>
                    <w:rPr>
                      <w:rFonts w:ascii="Times New Roman" w:hAnsi="Times New Roman" w:cs="Times New Roman"/>
                      <w:color w:val="auto"/>
                      <w:sz w:val="21"/>
                      <w:szCs w:val="21"/>
                    </w:rPr>
                  </w:pPr>
                </w:p>
              </w:tc>
              <w:tc>
                <w:tcPr>
                  <w:tcW w:w="705" w:type="dxa"/>
                  <w:tcBorders>
                    <w:top w:val="single" w:color="000000" w:sz="4" w:space="0"/>
                    <w:left w:val="single" w:color="000000" w:sz="4" w:space="0"/>
                    <w:bottom w:val="single" w:color="000000" w:sz="4" w:space="0"/>
                  </w:tcBorders>
                  <w:vAlign w:val="center"/>
                </w:tcPr>
                <w:p w14:paraId="40866086">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管控要求</w:t>
                  </w:r>
                </w:p>
              </w:tc>
              <w:tc>
                <w:tcPr>
                  <w:tcW w:w="5431" w:type="dxa"/>
                  <w:tcBorders>
                    <w:top w:val="single" w:color="000000" w:sz="4" w:space="0"/>
                    <w:left w:val="single" w:color="000000" w:sz="4" w:space="0"/>
                    <w:bottom w:val="single" w:color="000000" w:sz="4" w:space="0"/>
                  </w:tcBorders>
                  <w:vAlign w:val="center"/>
                </w:tcPr>
                <w:p w14:paraId="0F1F25DE">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1.采取措施，调整能源结构，推广清洁能源的生产和使用；优化煤炭使用方式，推广煤炭清洁高效利用，逐步降低煤炭在一次能源消费中的比重，减少煤炭生产、使用、转化过程中的大气污染物排放。</w:t>
                  </w:r>
                </w:p>
                <w:p w14:paraId="026BAC9F">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2.国家推行煤炭洗选加工，降低煤炭的硫分和灰分，限制高硫分、高灰分煤炭的开采。禁止开采含放射性和砷等有毒有害物质超过规定标准的煤炭。</w:t>
                  </w:r>
                </w:p>
                <w:p w14:paraId="66F7C5A3">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号”质量指标的规定。</w:t>
                  </w:r>
                </w:p>
                <w:p w14:paraId="7622844D">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4.对新增耗煤项目实施等(减)量替代。</w:t>
                  </w:r>
                </w:p>
                <w:p w14:paraId="12AF9D28">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5.平原地区农村全部完成生活和冬季取暖散煤替代，实现散煤动态清零。</w:t>
                  </w:r>
                </w:p>
              </w:tc>
              <w:tc>
                <w:tcPr>
                  <w:tcW w:w="986" w:type="dxa"/>
                  <w:vMerge w:val="continue"/>
                  <w:tcBorders>
                    <w:left w:val="single" w:color="000000" w:sz="4" w:space="0"/>
                    <w:bottom w:val="single" w:color="000000" w:sz="4" w:space="0"/>
                  </w:tcBorders>
                  <w:vAlign w:val="center"/>
                </w:tcPr>
                <w:p w14:paraId="54F83694">
                  <w:pPr>
                    <w:autoSpaceDE/>
                    <w:autoSpaceDN/>
                    <w:jc w:val="center"/>
                    <w:rPr>
                      <w:rFonts w:ascii="Times New Roman" w:hAnsi="Times New Roman" w:cs="Times New Roman"/>
                      <w:color w:val="auto"/>
                      <w:kern w:val="2"/>
                      <w:sz w:val="21"/>
                      <w:szCs w:val="21"/>
                    </w:rPr>
                  </w:pPr>
                </w:p>
              </w:tc>
            </w:tr>
            <w:tr w14:paraId="0FE90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vAlign w:val="center"/>
                </w:tcPr>
                <w:p w14:paraId="6B03F8D7">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土壤资源</w:t>
                  </w:r>
                </w:p>
              </w:tc>
              <w:tc>
                <w:tcPr>
                  <w:tcW w:w="705" w:type="dxa"/>
                  <w:tcBorders>
                    <w:top w:val="single" w:color="000000" w:sz="4" w:space="0"/>
                    <w:left w:val="single" w:color="000000" w:sz="4" w:space="0"/>
                    <w:bottom w:val="single" w:color="000000" w:sz="4" w:space="0"/>
                  </w:tcBorders>
                  <w:vAlign w:val="center"/>
                </w:tcPr>
                <w:p w14:paraId="126E3F14">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总量和强度要求</w:t>
                  </w:r>
                </w:p>
              </w:tc>
              <w:tc>
                <w:tcPr>
                  <w:tcW w:w="5431" w:type="dxa"/>
                  <w:tcBorders>
                    <w:top w:val="single" w:color="000000" w:sz="4" w:space="0"/>
                    <w:left w:val="single" w:color="000000" w:sz="4" w:space="0"/>
                    <w:bottom w:val="single" w:color="000000" w:sz="4" w:space="0"/>
                  </w:tcBorders>
                  <w:vAlign w:val="center"/>
                </w:tcPr>
                <w:p w14:paraId="3DE5E066">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2025年邯郸市耕地保有量592940公顷（889.41万亩），永久基本农田保护面积524640公顷（786.96万亩），城镇开发边界扩展倍数≤1.3；2035年邯郸市耕地保有量592940公顷（889.41万亩），永久基本农田保护面积524640公顷（786.96万亩），城镇开发边界扩展倍数≤1.3。</w:t>
                  </w:r>
                </w:p>
              </w:tc>
              <w:tc>
                <w:tcPr>
                  <w:tcW w:w="986" w:type="dxa"/>
                  <w:vMerge w:val="restart"/>
                  <w:tcBorders>
                    <w:top w:val="single" w:color="000000" w:sz="4" w:space="0"/>
                    <w:left w:val="single" w:color="000000" w:sz="4" w:space="0"/>
                  </w:tcBorders>
                  <w:vAlign w:val="center"/>
                </w:tcPr>
                <w:p w14:paraId="36DE7987">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本项目不占用耕地</w:t>
                  </w:r>
                </w:p>
              </w:tc>
            </w:tr>
            <w:tr w14:paraId="24057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vAlign w:val="center"/>
                </w:tcPr>
                <w:p w14:paraId="7AA5AF57">
                  <w:pPr>
                    <w:autoSpaceDE/>
                    <w:autoSpaceDN/>
                    <w:jc w:val="center"/>
                    <w:rPr>
                      <w:rFonts w:ascii="Times New Roman" w:hAnsi="Times New Roman" w:cs="Times New Roman"/>
                      <w:color w:val="auto"/>
                      <w:sz w:val="21"/>
                      <w:szCs w:val="21"/>
                    </w:rPr>
                  </w:pPr>
                </w:p>
              </w:tc>
              <w:tc>
                <w:tcPr>
                  <w:tcW w:w="705" w:type="dxa"/>
                  <w:tcBorders>
                    <w:top w:val="single" w:color="000000" w:sz="4" w:space="0"/>
                    <w:left w:val="single" w:color="000000" w:sz="4" w:space="0"/>
                    <w:bottom w:val="single" w:color="000000" w:sz="4" w:space="0"/>
                  </w:tcBorders>
                  <w:vAlign w:val="center"/>
                </w:tcPr>
                <w:p w14:paraId="414488BA">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管控要求</w:t>
                  </w:r>
                </w:p>
              </w:tc>
              <w:tc>
                <w:tcPr>
                  <w:tcW w:w="5431" w:type="dxa"/>
                  <w:tcBorders>
                    <w:top w:val="single" w:color="000000" w:sz="4" w:space="0"/>
                    <w:left w:val="single" w:color="000000" w:sz="4" w:space="0"/>
                    <w:bottom w:val="single" w:color="000000" w:sz="4" w:space="0"/>
                  </w:tcBorders>
                  <w:vAlign w:val="center"/>
                </w:tcPr>
                <w:p w14:paraId="25FBDBFB">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1.国家保护耕地，严格控制耕地转为非耕地。国家实行占用耕地补偿制度。</w:t>
                  </w:r>
                </w:p>
                <w:p w14:paraId="71B26A22">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2.禁止占用耕地建窑、建坟或者擅自在耕地上建房、挖砂、采石、采矿、取土等。禁止占用永久基本农田发展林果业和挖塘养鱼。</w:t>
                  </w:r>
                </w:p>
                <w:p w14:paraId="5A0900A8">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3.建设占用土地，涉及农用地转为建设用地的，应当办理农用地转用审批手续。</w:t>
                  </w:r>
                </w:p>
              </w:tc>
              <w:tc>
                <w:tcPr>
                  <w:tcW w:w="986" w:type="dxa"/>
                  <w:vMerge w:val="continue"/>
                  <w:tcBorders>
                    <w:left w:val="single" w:color="000000" w:sz="4" w:space="0"/>
                  </w:tcBorders>
                  <w:vAlign w:val="center"/>
                </w:tcPr>
                <w:p w14:paraId="54358393">
                  <w:pPr>
                    <w:autoSpaceDE/>
                    <w:autoSpaceDN/>
                    <w:jc w:val="center"/>
                    <w:rPr>
                      <w:rFonts w:ascii="Times New Roman" w:hAnsi="Times New Roman" w:cs="Times New Roman"/>
                      <w:color w:val="auto"/>
                      <w:kern w:val="2"/>
                      <w:sz w:val="21"/>
                      <w:szCs w:val="21"/>
                    </w:rPr>
                  </w:pPr>
                </w:p>
              </w:tc>
            </w:tr>
          </w:tbl>
          <w:p w14:paraId="1A766630">
            <w:pPr>
              <w:autoSpaceDE/>
              <w:autoSpaceDN/>
              <w:spacing w:line="400" w:lineRule="exact"/>
              <w:ind w:left="110" w:leftChars="50" w:firstLine="420" w:firstLineChars="200"/>
              <w:rPr>
                <w:rFonts w:ascii="Times New Roman" w:hAnsi="Times New Roman" w:cs="Times New Roman"/>
                <w:color w:val="auto"/>
                <w:sz w:val="21"/>
                <w:szCs w:val="21"/>
                <w:lang w:bidi="ar-SA"/>
              </w:rPr>
            </w:pPr>
            <w:r>
              <w:rPr>
                <w:rFonts w:ascii="Times New Roman" w:hAnsi="Times New Roman" w:cs="Times New Roman"/>
                <w:color w:val="auto"/>
                <w:sz w:val="21"/>
                <w:szCs w:val="21"/>
                <w:lang w:val="en-US" w:bidi="ar-SA"/>
              </w:rPr>
              <w:t>根据邯郸市生态环境局公布的生态环境状况公报结果，本区域为环境空气质量不达标区，不达标因子为PM</w:t>
            </w:r>
            <w:r>
              <w:rPr>
                <w:rFonts w:ascii="Times New Roman" w:hAnsi="Times New Roman" w:cs="Times New Roman"/>
                <w:color w:val="auto"/>
                <w:sz w:val="21"/>
                <w:szCs w:val="21"/>
                <w:vertAlign w:val="subscript"/>
                <w:lang w:val="en-US" w:bidi="ar-SA"/>
              </w:rPr>
              <w:t>10</w:t>
            </w:r>
            <w:r>
              <w:rPr>
                <w:rFonts w:ascii="Times New Roman" w:hAnsi="Times New Roman" w:cs="Times New Roman"/>
                <w:color w:val="auto"/>
                <w:sz w:val="21"/>
                <w:szCs w:val="21"/>
                <w:lang w:val="en-US" w:bidi="ar-SA"/>
              </w:rPr>
              <w:t>、PM</w:t>
            </w:r>
            <w:r>
              <w:rPr>
                <w:rFonts w:ascii="Times New Roman" w:hAnsi="Times New Roman" w:cs="Times New Roman"/>
                <w:color w:val="auto"/>
                <w:sz w:val="21"/>
                <w:szCs w:val="21"/>
                <w:vertAlign w:val="subscript"/>
                <w:lang w:val="en-US" w:bidi="ar-SA"/>
              </w:rPr>
              <w:t>2.5</w:t>
            </w:r>
            <w:r>
              <w:rPr>
                <w:rFonts w:ascii="Times New Roman" w:hAnsi="Times New Roman" w:cs="Times New Roman"/>
                <w:color w:val="auto"/>
                <w:sz w:val="21"/>
                <w:szCs w:val="21"/>
                <w:lang w:val="en-US" w:bidi="ar-SA"/>
              </w:rPr>
              <w:t>、O</w:t>
            </w:r>
            <w:r>
              <w:rPr>
                <w:rFonts w:ascii="Times New Roman" w:hAnsi="Times New Roman" w:cs="Times New Roman"/>
                <w:color w:val="auto"/>
                <w:sz w:val="21"/>
                <w:szCs w:val="21"/>
                <w:vertAlign w:val="subscript"/>
                <w:lang w:val="en-US" w:bidi="ar-SA"/>
              </w:rPr>
              <w:t>3</w:t>
            </w:r>
            <w:r>
              <w:rPr>
                <w:rFonts w:ascii="Times New Roman" w:hAnsi="Times New Roman" w:cs="Times New Roman"/>
                <w:color w:val="auto"/>
                <w:sz w:val="21"/>
                <w:szCs w:val="21"/>
                <w:lang w:val="en-US" w:bidi="ar-SA"/>
              </w:rPr>
              <w:t>。</w:t>
            </w:r>
            <w:r>
              <w:rPr>
                <w:rFonts w:ascii="Times New Roman" w:hAnsi="Times New Roman" w:cs="Times New Roman"/>
                <w:color w:val="auto"/>
                <w:sz w:val="21"/>
                <w:szCs w:val="21"/>
                <w:lang w:bidi="ar-SA"/>
              </w:rPr>
              <w:t>超标与</w:t>
            </w:r>
            <w:r>
              <w:rPr>
                <w:rFonts w:hint="eastAsia" w:ascii="Times New Roman" w:hAnsi="Times New Roman" w:cs="Times New Roman"/>
                <w:color w:val="auto"/>
                <w:sz w:val="21"/>
                <w:szCs w:val="21"/>
                <w:lang w:bidi="ar-SA"/>
              </w:rPr>
              <w:t>邯郸市</w:t>
            </w:r>
            <w:r>
              <w:rPr>
                <w:rFonts w:ascii="Times New Roman" w:hAnsi="Times New Roman" w:cs="Times New Roman"/>
                <w:color w:val="auto"/>
                <w:sz w:val="21"/>
                <w:szCs w:val="21"/>
                <w:lang w:bidi="ar-SA"/>
              </w:rPr>
              <w:t>内工业企业数量较多及气候条件因素有关，造成这一现象主要原因是</w:t>
            </w:r>
            <w:r>
              <w:rPr>
                <w:rFonts w:hint="eastAsia" w:ascii="Times New Roman" w:hAnsi="Times New Roman" w:cs="Times New Roman"/>
                <w:color w:val="auto"/>
                <w:sz w:val="21"/>
                <w:szCs w:val="21"/>
                <w:lang w:bidi="ar-SA"/>
              </w:rPr>
              <w:t>邯郸</w:t>
            </w:r>
            <w:r>
              <w:rPr>
                <w:rFonts w:ascii="Times New Roman" w:hAnsi="Times New Roman" w:cs="Times New Roman"/>
                <w:color w:val="auto"/>
                <w:sz w:val="21"/>
                <w:szCs w:val="21"/>
                <w:lang w:bidi="ar-SA"/>
              </w:rPr>
              <w:t>处于工业开发强度较高、农业活动频繁的地区，易形成颗粒物积聚和飘移，导致环境质量差。</w:t>
            </w:r>
          </w:p>
          <w:p w14:paraId="4B3AF66F">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随着《魏县保障邯郸市空气质量综合指数“退后十”攻坚行动方案》</w:t>
            </w:r>
            <w:r>
              <w:rPr>
                <w:rFonts w:hint="eastAsia" w:ascii="Times New Roman" w:hAnsi="Times New Roman" w:cs="Times New Roman"/>
                <w:color w:val="auto"/>
                <w:sz w:val="21"/>
                <w:szCs w:val="21"/>
                <w:lang w:val="en-US" w:bidi="ar-SA"/>
              </w:rPr>
              <w:t>（魏文〔2021〕10号）、</w:t>
            </w:r>
            <w:r>
              <w:rPr>
                <w:rFonts w:ascii="Times New Roman" w:hAnsi="Times New Roman" w:cs="Times New Roman"/>
                <w:color w:val="auto"/>
                <w:sz w:val="21"/>
                <w:szCs w:val="21"/>
                <w:lang w:val="en-US" w:bidi="ar-SA"/>
              </w:rPr>
              <w:t>《邯郸市2023年大气污染综合治理暨全面巩固“退后十”成果工作方案&gt;的通知》（邯气领办〔2023〕5号）、《河北省2022年大气污染综合治理工作要点》（冀气领组〔2022〕2号）、《河北省深入实施大气污染综合治理十条措施》等整治计划落实，超标因子年均值浓度持续下降，环境空气质量逐渐改善，能够满足区域环境质量改善目标管理的要求。</w:t>
            </w:r>
          </w:p>
          <w:p w14:paraId="300CE69A">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具体整治方案的措施包括：推进产业结构调整，深化绿色转型攻坚，严把项目准入关，加快低效和过剩产能淘汰，加快推进企业退城搬迁，优化调整产业结构,促进重点行业绿色升级改造，持续排查整治 “散乱污”企业；加快能源结构调整,深化清洁能源替代攻坚，严格控制煤炭消费总量，推进农村清洁安全取暖，强化清洁燃料替代，强化散煤管控；构建绿色交通体系, 深化机动车污染防治攻坚，加快 “公转铁”工程建设，加快车辆优化升级，加快新能源车推广应用，加强柴油货车排放管控，强化清洁油品管控；推进企业绿色发展,深化重点行业超低排放攻坚，全面推进钢铁行业超低排放改造，全面推进燃煤电厂超净排放改造，深化重点行业深度治理，深入开展工业窑炉和锅炉综合治理，加强消耗臭氧层物质 (ODS)管控，加强涉 VOCs 企业监管，全面开展无组织排查整治，强化源头控制，加强生活源管控；强化用地结构调整,深化面源污染防治攻坚，强化扬尘精细化管控，加强物料堆场扬尘治理，加强矿山扬尘深度整治，开展国土绿化行动，严禁秸秆和垃圾露天焚烧，严格管控烟花爆竹燃放，推进农业氨排放管控；强化重点时段管控, 深化重污染天气应对攻坚，强化重污染天气应对，有效应对轻中度污染天气，精准实施水泥常态化错峰生产，深化工业企业绩效评级，深入实施正面清单管理制度。</w:t>
            </w:r>
          </w:p>
          <w:p w14:paraId="732B6AD2">
            <w:pPr>
              <w:autoSpaceDE/>
              <w:autoSpaceDN/>
              <w:spacing w:line="400" w:lineRule="exact"/>
              <w:ind w:left="110" w:lef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lang w:val="en-US"/>
              </w:rPr>
              <w:t>项目用水由</w:t>
            </w:r>
            <w:r>
              <w:rPr>
                <w:rFonts w:hint="eastAsia" w:ascii="Times New Roman" w:hAnsi="Times New Roman" w:cs="Times New Roman"/>
                <w:color w:val="auto"/>
                <w:sz w:val="21"/>
                <w:szCs w:val="21"/>
                <w:lang w:val="en-US"/>
              </w:rPr>
              <w:t>当地</w:t>
            </w:r>
            <w:r>
              <w:rPr>
                <w:rFonts w:ascii="Times New Roman" w:hAnsi="Times New Roman" w:cs="Times New Roman"/>
                <w:color w:val="auto"/>
                <w:sz w:val="21"/>
                <w:szCs w:val="21"/>
                <w:lang w:val="en-US"/>
              </w:rPr>
              <w:t>供水管网供给，项目用电由</w:t>
            </w:r>
            <w:r>
              <w:rPr>
                <w:rFonts w:hint="eastAsia" w:ascii="Times New Roman" w:hAnsi="Times New Roman" w:cs="Times New Roman"/>
                <w:color w:val="auto"/>
                <w:sz w:val="21"/>
                <w:szCs w:val="21"/>
                <w:lang w:val="en-US"/>
              </w:rPr>
              <w:t>当地</w:t>
            </w:r>
            <w:r>
              <w:rPr>
                <w:rFonts w:ascii="Times New Roman" w:hAnsi="Times New Roman" w:cs="Times New Roman"/>
                <w:color w:val="auto"/>
                <w:sz w:val="21"/>
                <w:szCs w:val="21"/>
                <w:lang w:val="en-US"/>
              </w:rPr>
              <w:t>供电电网提供。本项目消耗适量的电资源、水资源和土地资源，项目资源消耗量相对区域资源利用总量较小，所在区域原辅</w:t>
            </w:r>
            <w:r>
              <w:rPr>
                <w:rFonts w:ascii="Times New Roman" w:hAnsi="Times New Roman" w:cs="Times New Roman"/>
                <w:color w:val="auto"/>
                <w:sz w:val="21"/>
                <w:szCs w:val="21"/>
              </w:rPr>
              <w:t>料、水、电供应充足，生产过程尽可能做到合理利用和节约能耗，最大限度地减少物耗、能耗，不会突破资源利用上线。</w:t>
            </w:r>
          </w:p>
          <w:p w14:paraId="00C035C0">
            <w:pPr>
              <w:autoSpaceDE/>
              <w:autoSpaceDN/>
              <w:spacing w:line="400" w:lineRule="exact"/>
              <w:ind w:left="110" w:leftChars="50" w:firstLine="422"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5）</w:t>
            </w:r>
            <w:r>
              <w:rPr>
                <w:rFonts w:hint="eastAsia" w:ascii="Times New Roman" w:hAnsi="Times New Roman" w:cs="Times New Roman"/>
                <w:b/>
                <w:bCs/>
                <w:color w:val="auto"/>
                <w:sz w:val="21"/>
                <w:szCs w:val="21"/>
              </w:rPr>
              <w:t>全市产业布局总体管控</w:t>
            </w:r>
            <w:r>
              <w:rPr>
                <w:rFonts w:hint="eastAsia" w:ascii="Times New Roman" w:hAnsi="Times New Roman" w:cs="Times New Roman"/>
                <w:b/>
                <w:bCs/>
                <w:color w:val="auto"/>
                <w:sz w:val="21"/>
                <w:szCs w:val="21"/>
                <w:lang w:val="en-US"/>
              </w:rPr>
              <w:t>符合性分析</w:t>
            </w:r>
          </w:p>
          <w:p w14:paraId="68DAC4DD">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8</w:t>
            </w:r>
            <w:r>
              <w:rPr>
                <w:rFonts w:hint="eastAsia" w:ascii="Times New Roman" w:hAnsi="Times New Roman" w:cs="Times New Roman"/>
                <w:b/>
                <w:bCs/>
                <w:color w:val="auto"/>
                <w:sz w:val="21"/>
                <w:szCs w:val="21"/>
              </w:rPr>
              <w:t xml:space="preserve"> 全市产业布局总体管控要求</w:t>
            </w:r>
          </w:p>
          <w:tbl>
            <w:tblPr>
              <w:tblStyle w:val="34"/>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4"/>
              <w:gridCol w:w="5773"/>
              <w:gridCol w:w="1126"/>
            </w:tblGrid>
            <w:tr w14:paraId="25606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bottom w:val="single" w:color="000000" w:sz="4" w:space="0"/>
                    <w:right w:val="single" w:color="000000" w:sz="4" w:space="0"/>
                  </w:tcBorders>
                  <w:vAlign w:val="center"/>
                </w:tcPr>
                <w:p w14:paraId="2BBF4261">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产业</w:t>
                  </w:r>
                </w:p>
              </w:tc>
              <w:tc>
                <w:tcPr>
                  <w:tcW w:w="5552" w:type="dxa"/>
                  <w:tcBorders>
                    <w:left w:val="single" w:color="000000" w:sz="4" w:space="0"/>
                    <w:bottom w:val="single" w:color="000000" w:sz="4" w:space="0"/>
                  </w:tcBorders>
                  <w:vAlign w:val="center"/>
                </w:tcPr>
                <w:p w14:paraId="63625E59">
                  <w:pPr>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1083" w:type="dxa"/>
                  <w:tcBorders>
                    <w:left w:val="single" w:color="000000" w:sz="4" w:space="0"/>
                    <w:bottom w:val="single" w:color="000000" w:sz="4" w:space="0"/>
                  </w:tcBorders>
                  <w:vAlign w:val="center"/>
                </w:tcPr>
                <w:p w14:paraId="4FCA77BD">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14:paraId="15C57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top w:val="single" w:color="000000" w:sz="4" w:space="0"/>
                    <w:right w:val="single" w:color="000000" w:sz="4" w:space="0"/>
                  </w:tcBorders>
                  <w:vAlign w:val="center"/>
                </w:tcPr>
                <w:p w14:paraId="7F5E006F">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产业布局总体要求</w:t>
                  </w:r>
                </w:p>
              </w:tc>
              <w:tc>
                <w:tcPr>
                  <w:tcW w:w="5552" w:type="dxa"/>
                  <w:tcBorders>
                    <w:top w:val="single" w:color="000000" w:sz="4" w:space="0"/>
                    <w:left w:val="single" w:color="000000" w:sz="4" w:space="0"/>
                    <w:bottom w:val="single" w:color="000000" w:sz="4" w:space="0"/>
                  </w:tcBorders>
                  <w:vAlign w:val="center"/>
                </w:tcPr>
                <w:p w14:paraId="676439D4">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严把项目准入关。严格落实生态保护红线、环境质量底线、资源利用上线、环境准入清单和产业准入政策，严格落实钢铁、水泥、平板玻璃等行业产能置换政策，严禁新增钢铁、焦化、水泥和平板玻璃等产能，禁止新增化工园区。</w:t>
                  </w:r>
                </w:p>
                <w:p w14:paraId="77DB8627">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w:t>
                  </w:r>
                </w:p>
                <w:p w14:paraId="0A903789">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3.加快调整不符合生态环境功能定位的产业布局、产业规模和产业结构，明确禁止和限制发展的行业、生产工艺和产业目录。</w:t>
                  </w:r>
                </w:p>
                <w:p w14:paraId="505075F7">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4.发展壮大“532”市域主导产业，加快新旧动能转换。提升传统优势产业发展能级，完成钢铁产业整合重组，延伸钢铁产业链条，加快建设全国重要精品钢材生产基地，形成“一集群五基地”产业格局。</w:t>
                  </w:r>
                </w:p>
              </w:tc>
              <w:tc>
                <w:tcPr>
                  <w:tcW w:w="1083" w:type="dxa"/>
                  <w:tcBorders>
                    <w:top w:val="single" w:color="000000" w:sz="4" w:space="0"/>
                    <w:left w:val="single" w:color="000000" w:sz="4" w:space="0"/>
                    <w:bottom w:val="single" w:color="000000" w:sz="4" w:space="0"/>
                  </w:tcBorders>
                  <w:vAlign w:val="center"/>
                </w:tcPr>
                <w:p w14:paraId="43D321D3">
                  <w:pPr>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本项目满足产业布局总体要求</w:t>
                  </w:r>
                </w:p>
              </w:tc>
            </w:tr>
            <w:tr w14:paraId="5D121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bottom w:val="single" w:color="000000" w:sz="4" w:space="0"/>
                    <w:right w:val="single" w:color="000000" w:sz="4" w:space="0"/>
                  </w:tcBorders>
                  <w:vAlign w:val="center"/>
                </w:tcPr>
                <w:p w14:paraId="538F7091">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项目入园准入要求</w:t>
                  </w:r>
                </w:p>
              </w:tc>
              <w:tc>
                <w:tcPr>
                  <w:tcW w:w="5552" w:type="dxa"/>
                  <w:tcBorders>
                    <w:top w:val="single" w:color="000000" w:sz="4" w:space="0"/>
                    <w:left w:val="single" w:color="000000" w:sz="4" w:space="0"/>
                    <w:bottom w:val="single" w:color="000000" w:sz="4" w:space="0"/>
                  </w:tcBorders>
                  <w:vAlign w:val="center"/>
                </w:tcPr>
                <w:p w14:paraId="13D45BA3">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1.造纸、焦化、氮肥、有色金属、印染、农副食品加工、原料药制造、皮革、农药、电镀、钢铁、水泥、平板玻璃、石灰、石化、化工等高污染工业项目必须入园进区，其他工业项目原则上也不在园区外布局。</w:t>
                  </w:r>
                </w:p>
                <w:p w14:paraId="31A5B792">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2.新（改、扩）建钢铁、石化、化工、焦化、建材、有色等项目的环境影响评价，应满足区域、规划环评要求。</w:t>
                  </w:r>
                </w:p>
              </w:tc>
              <w:tc>
                <w:tcPr>
                  <w:tcW w:w="1083" w:type="dxa"/>
                  <w:tcBorders>
                    <w:top w:val="single" w:color="000000" w:sz="4" w:space="0"/>
                    <w:left w:val="single" w:color="000000" w:sz="4" w:space="0"/>
                    <w:bottom w:val="single" w:color="000000" w:sz="4" w:space="0"/>
                  </w:tcBorders>
                  <w:vAlign w:val="center"/>
                </w:tcPr>
                <w:p w14:paraId="5E6829A2">
                  <w:pPr>
                    <w:autoSpaceDE/>
                    <w:autoSpaceDN/>
                    <w:jc w:val="center"/>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rPr>
                    <w:t>本项目不属于必须入园进区单位</w:t>
                  </w:r>
                </w:p>
              </w:tc>
            </w:tr>
          </w:tbl>
          <w:p w14:paraId="728714BF">
            <w:pPr>
              <w:autoSpaceDE/>
              <w:autoSpaceDN/>
              <w:spacing w:line="400" w:lineRule="exact"/>
              <w:ind w:left="110" w:leftChars="50" w:firstLine="422"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6</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rPr>
              <w:t>分区总体管控要求</w:t>
            </w:r>
          </w:p>
          <w:p w14:paraId="1F1FDC1C">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hAnsi="宋体"/>
                <w:color w:val="auto"/>
                <w:sz w:val="21"/>
                <w:szCs w:val="21"/>
              </w:rPr>
            </w:pPr>
            <w:r>
              <w:rPr>
                <w:rFonts w:hint="eastAsia" w:hAnsi="宋体"/>
                <w:color w:val="auto"/>
                <w:sz w:val="21"/>
                <w:szCs w:val="21"/>
              </w:rPr>
              <w:t>邯郸市共分为三个分区：西部生态涵养修复区、中部城镇核心集聚区、东部农副产业发展区。本项目位于“东部农副产业发展区”，本项目与“东部农副产业发展区”的符合性分析见</w:t>
            </w:r>
            <w:r>
              <w:rPr>
                <w:rFonts w:hint="eastAsia" w:hAnsi="宋体"/>
                <w:color w:val="auto"/>
                <w:sz w:val="21"/>
                <w:szCs w:val="21"/>
                <w:lang w:val="en-US" w:eastAsia="zh-CN"/>
              </w:rPr>
              <w:t>下表</w:t>
            </w:r>
            <w:r>
              <w:rPr>
                <w:rFonts w:hint="eastAsia" w:hAnsi="宋体"/>
                <w:color w:val="auto"/>
                <w:sz w:val="21"/>
                <w:szCs w:val="21"/>
              </w:rPr>
              <w:t>。</w:t>
            </w:r>
          </w:p>
          <w:p w14:paraId="5E548BB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w:t>
            </w:r>
            <w:r>
              <w:rPr>
                <w:rFonts w:hint="eastAsia" w:ascii="Times New Roman" w:hAnsi="Times New Roman" w:cs="Times New Roman"/>
                <w:b/>
                <w:bCs/>
                <w:color w:val="auto"/>
                <w:sz w:val="21"/>
                <w:szCs w:val="21"/>
                <w:lang w:val="en-US" w:eastAsia="zh-CN"/>
              </w:rPr>
              <w:t>1.9</w:t>
            </w:r>
            <w:r>
              <w:rPr>
                <w:rFonts w:hint="eastAsia" w:ascii="Times New Roman" w:hAnsi="Times New Roman" w:cs="Times New Roman"/>
                <w:b/>
                <w:bCs/>
                <w:color w:val="auto"/>
                <w:sz w:val="21"/>
                <w:szCs w:val="21"/>
              </w:rPr>
              <w:t xml:space="preserve"> 分区管控要求</w:t>
            </w:r>
          </w:p>
          <w:tbl>
            <w:tblPr>
              <w:tblStyle w:val="34"/>
              <w:tblW w:w="7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463"/>
              <w:gridCol w:w="865"/>
              <w:gridCol w:w="551"/>
              <w:gridCol w:w="3133"/>
              <w:gridCol w:w="1278"/>
              <w:gridCol w:w="996"/>
            </w:tblGrid>
            <w:tr w14:paraId="0D63C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7" w:hRule="atLeast"/>
                <w:tblHeader/>
                <w:jc w:val="center"/>
              </w:trPr>
              <w:tc>
                <w:tcPr>
                  <w:tcW w:w="463" w:type="dxa"/>
                  <w:shd w:val="clear" w:color="auto" w:fill="auto"/>
                  <w:noWrap w:val="0"/>
                  <w:vAlign w:val="center"/>
                </w:tcPr>
                <w:p w14:paraId="5FB97D56">
                  <w:pPr>
                    <w:autoSpaceDE/>
                    <w:autoSpaceDN/>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分区</w:t>
                  </w:r>
                </w:p>
              </w:tc>
              <w:tc>
                <w:tcPr>
                  <w:tcW w:w="865" w:type="dxa"/>
                  <w:shd w:val="clear" w:color="auto" w:fill="auto"/>
                  <w:noWrap w:val="0"/>
                  <w:vAlign w:val="center"/>
                </w:tcPr>
                <w:p w14:paraId="642E424D">
                  <w:pPr>
                    <w:autoSpaceDE/>
                    <w:autoSpaceDN/>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生态环境问题</w:t>
                  </w:r>
                </w:p>
              </w:tc>
              <w:tc>
                <w:tcPr>
                  <w:tcW w:w="3684" w:type="dxa"/>
                  <w:gridSpan w:val="2"/>
                  <w:shd w:val="clear" w:color="auto" w:fill="auto"/>
                  <w:noWrap w:val="0"/>
                  <w:vAlign w:val="center"/>
                </w:tcPr>
                <w:p w14:paraId="3DFFA3AD">
                  <w:pPr>
                    <w:autoSpaceDE/>
                    <w:autoSpaceDN/>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管控要求</w:t>
                  </w:r>
                </w:p>
              </w:tc>
              <w:tc>
                <w:tcPr>
                  <w:tcW w:w="1278" w:type="dxa"/>
                  <w:shd w:val="clear" w:color="auto" w:fill="auto"/>
                  <w:noWrap w:val="0"/>
                  <w:vAlign w:val="center"/>
                </w:tcPr>
                <w:p w14:paraId="62AFDD69">
                  <w:pPr>
                    <w:adjustRightInd w:val="0"/>
                    <w:spacing w:line="0" w:lineRule="atLeast"/>
                    <w:jc w:val="center"/>
                    <w:rPr>
                      <w:rFonts w:ascii="Times New Roman" w:hAnsi="Times New Roman" w:eastAsia="宋体" w:cs="Times New Roman"/>
                      <w:b/>
                      <w:bCs/>
                      <w:color w:val="auto"/>
                      <w:sz w:val="21"/>
                      <w:szCs w:val="21"/>
                    </w:rPr>
                  </w:pPr>
                  <w:r>
                    <w:rPr>
                      <w:rFonts w:hint="eastAsia" w:hAnsi="宋体"/>
                      <w:b/>
                      <w:bCs/>
                      <w:color w:val="auto"/>
                      <w:spacing w:val="-10"/>
                    </w:rPr>
                    <w:t>项目相关内容</w:t>
                  </w:r>
                </w:p>
              </w:tc>
              <w:tc>
                <w:tcPr>
                  <w:tcW w:w="996" w:type="dxa"/>
                  <w:shd w:val="clear" w:color="auto" w:fill="auto"/>
                  <w:noWrap w:val="0"/>
                  <w:vAlign w:val="center"/>
                </w:tcPr>
                <w:p w14:paraId="591D9E31">
                  <w:pPr>
                    <w:adjustRightInd w:val="0"/>
                    <w:spacing w:line="0" w:lineRule="atLeast"/>
                    <w:jc w:val="center"/>
                    <w:rPr>
                      <w:rFonts w:hint="eastAsia" w:ascii="Times New Roman" w:hAnsi="Times New Roman" w:eastAsia="宋体" w:cs="Times New Roman"/>
                      <w:b/>
                      <w:bCs/>
                      <w:color w:val="auto"/>
                      <w:sz w:val="21"/>
                      <w:szCs w:val="21"/>
                      <w:lang w:eastAsia="zh-CN"/>
                    </w:rPr>
                  </w:pPr>
                  <w:r>
                    <w:rPr>
                      <w:rFonts w:hint="eastAsia" w:hAnsi="宋体" w:eastAsia="宋体"/>
                      <w:b/>
                      <w:bCs/>
                      <w:color w:val="auto"/>
                      <w:spacing w:val="-10"/>
                      <w:lang w:val="en-US" w:eastAsia="zh-CN"/>
                    </w:rPr>
                    <w:t>符合性</w:t>
                  </w:r>
                </w:p>
              </w:tc>
            </w:tr>
            <w:tr w14:paraId="1F608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7" w:hRule="atLeast"/>
                <w:jc w:val="center"/>
              </w:trPr>
              <w:tc>
                <w:tcPr>
                  <w:tcW w:w="463" w:type="dxa"/>
                  <w:vMerge w:val="restart"/>
                  <w:shd w:val="clear" w:color="auto" w:fill="auto"/>
                  <w:noWrap w:val="0"/>
                  <w:vAlign w:val="center"/>
                </w:tcPr>
                <w:p w14:paraId="5D50B8C2">
                  <w:pPr>
                    <w:autoSpaceDE/>
                    <w:autoSpaceDN/>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东部农副产业发展区</w:t>
                  </w:r>
                </w:p>
              </w:tc>
              <w:tc>
                <w:tcPr>
                  <w:tcW w:w="865" w:type="dxa"/>
                  <w:vMerge w:val="restart"/>
                  <w:shd w:val="clear" w:color="auto" w:fill="auto"/>
                  <w:noWrap w:val="0"/>
                  <w:vAlign w:val="center"/>
                </w:tcPr>
                <w:p w14:paraId="71C6ACA4">
                  <w:pPr>
                    <w:autoSpaceDE/>
                    <w:autoSpaceDN/>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1.地下水开采使用量较大，存在地下水浅层和深层超采区。2.农业化肥施用量较大，氨排放削减仍需进一步加强。3.畜禽粪污治理仍需进一步完善。</w:t>
                  </w:r>
                </w:p>
              </w:tc>
              <w:tc>
                <w:tcPr>
                  <w:tcW w:w="551" w:type="dxa"/>
                  <w:shd w:val="clear" w:color="auto" w:fill="auto"/>
                  <w:noWrap w:val="0"/>
                  <w:vAlign w:val="center"/>
                </w:tcPr>
                <w:p w14:paraId="566E7927">
                  <w:pPr>
                    <w:autoSpaceDE/>
                    <w:autoSpaceDN/>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空间布局</w:t>
                  </w:r>
                </w:p>
              </w:tc>
              <w:tc>
                <w:tcPr>
                  <w:tcW w:w="3133" w:type="dxa"/>
                  <w:shd w:val="clear" w:color="auto" w:fill="auto"/>
                  <w:noWrap w:val="0"/>
                  <w:vAlign w:val="center"/>
                </w:tcPr>
                <w:p w14:paraId="483B8009">
                  <w:pPr>
                    <w:autoSpaceDE/>
                    <w:autoSpaceDN/>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地下水超采区内，除符合补办条件的外，原则上不再审批开凿新的取水井；对当地社会发展和群众生活有重大影响的重点建设项目，确需新增取用地下水的，限采区按照“用一减二”的比例、一般超采区按照“用一减一”的比例，实行“先减后加”同步削减其他取水单位和个人的地下水许可开采量。</w:t>
                  </w:r>
                </w:p>
                <w:p w14:paraId="427B3C80">
                  <w:pPr>
                    <w:autoSpaceDE/>
                    <w:autoSpaceDN/>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2.禁止在二十五度以上陡坡地开垦种植农作物。在二十五度以上陡坡地种植经济林的，应当科学选择树种，合理确定规模，采取水土保持措施，防止造成水土流失。</w:t>
                  </w:r>
                </w:p>
                <w:p w14:paraId="0E5CE75F">
                  <w:pPr>
                    <w:autoSpaceDE/>
                    <w:autoSpaceDN/>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3.在禁止开垦坡度以下、五度以上的荒坡地开垦种植农作物，应当采取水土保持措施。具体办法由省、自治区、直辖市根据本行政区域的实际情况规定。</w:t>
                  </w:r>
                </w:p>
              </w:tc>
              <w:tc>
                <w:tcPr>
                  <w:tcW w:w="1278" w:type="dxa"/>
                  <w:shd w:val="clear" w:color="auto" w:fill="auto"/>
                  <w:noWrap w:val="0"/>
                  <w:vAlign w:val="center"/>
                </w:tcPr>
                <w:p w14:paraId="77069F39">
                  <w:pPr>
                    <w:autoSpaceDE/>
                    <w:autoSpaceDN/>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1、不涉及；</w:t>
                  </w:r>
                </w:p>
                <w:p w14:paraId="7987C0F5">
                  <w:pPr>
                    <w:autoSpaceDE/>
                    <w:autoSpaceDN/>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2、不涉及；</w:t>
                  </w:r>
                </w:p>
                <w:p w14:paraId="3592CED4">
                  <w:pPr>
                    <w:autoSpaceDE/>
                    <w:autoSpaceDN/>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3、不涉及。</w:t>
                  </w:r>
                </w:p>
              </w:tc>
              <w:tc>
                <w:tcPr>
                  <w:tcW w:w="996" w:type="dxa"/>
                  <w:vMerge w:val="restart"/>
                  <w:shd w:val="clear" w:color="auto" w:fill="auto"/>
                  <w:noWrap w:val="0"/>
                  <w:vAlign w:val="center"/>
                </w:tcPr>
                <w:p w14:paraId="453F080F">
                  <w:pPr>
                    <w:autoSpaceDE/>
                    <w:autoSpaceDN/>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本项目不采用地下水；不涉及农业和</w:t>
                  </w:r>
                  <w:r>
                    <w:rPr>
                      <w:rFonts w:hint="eastAsia" w:ascii="Times New Roman" w:hAnsi="Times New Roman" w:eastAsia="宋体" w:cs="Times New Roman"/>
                      <w:color w:val="auto"/>
                      <w:sz w:val="21"/>
                      <w:szCs w:val="21"/>
                    </w:rPr>
                    <w:t>.畜禽粪污治理</w:t>
                  </w:r>
                  <w:r>
                    <w:rPr>
                      <w:rFonts w:hint="eastAsia" w:ascii="Times New Roman" w:hAnsi="Times New Roman" w:eastAsia="宋体" w:cs="Times New Roman"/>
                      <w:color w:val="auto"/>
                      <w:sz w:val="21"/>
                      <w:szCs w:val="21"/>
                      <w:lang w:eastAsia="zh-CN"/>
                    </w:rPr>
                    <w:t>。</w:t>
                  </w:r>
                </w:p>
              </w:tc>
            </w:tr>
            <w:tr w14:paraId="76301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7" w:hRule="atLeast"/>
                <w:jc w:val="center"/>
              </w:trPr>
              <w:tc>
                <w:tcPr>
                  <w:tcW w:w="463" w:type="dxa"/>
                  <w:vMerge w:val="continue"/>
                  <w:shd w:val="clear" w:color="auto" w:fill="auto"/>
                  <w:noWrap w:val="0"/>
                  <w:vAlign w:val="center"/>
                </w:tcPr>
                <w:p w14:paraId="62C3A6C6">
                  <w:pPr>
                    <w:autoSpaceDE/>
                    <w:autoSpaceDN/>
                    <w:jc w:val="center"/>
                    <w:rPr>
                      <w:rFonts w:ascii="Times New Roman" w:hAnsi="Times New Roman" w:eastAsia="宋体" w:cs="Times New Roman"/>
                      <w:color w:val="auto"/>
                      <w:sz w:val="21"/>
                      <w:szCs w:val="21"/>
                    </w:rPr>
                  </w:pPr>
                </w:p>
              </w:tc>
              <w:tc>
                <w:tcPr>
                  <w:tcW w:w="865" w:type="dxa"/>
                  <w:vMerge w:val="continue"/>
                  <w:shd w:val="clear" w:color="auto" w:fill="auto"/>
                  <w:noWrap w:val="0"/>
                  <w:vAlign w:val="center"/>
                </w:tcPr>
                <w:p w14:paraId="7A9E4F5C">
                  <w:pPr>
                    <w:autoSpaceDE/>
                    <w:autoSpaceDN/>
                    <w:jc w:val="center"/>
                    <w:rPr>
                      <w:rFonts w:ascii="Times New Roman" w:hAnsi="Times New Roman" w:eastAsia="宋体" w:cs="Times New Roman"/>
                      <w:color w:val="auto"/>
                      <w:sz w:val="21"/>
                      <w:szCs w:val="21"/>
                    </w:rPr>
                  </w:pPr>
                </w:p>
              </w:tc>
              <w:tc>
                <w:tcPr>
                  <w:tcW w:w="551" w:type="dxa"/>
                  <w:shd w:val="clear" w:color="auto" w:fill="auto"/>
                  <w:noWrap w:val="0"/>
                  <w:vAlign w:val="center"/>
                </w:tcPr>
                <w:p w14:paraId="23B50087">
                  <w:pPr>
                    <w:autoSpaceDE/>
                    <w:autoSpaceDN/>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污染物排放管控</w:t>
                  </w:r>
                </w:p>
              </w:tc>
              <w:tc>
                <w:tcPr>
                  <w:tcW w:w="3133" w:type="dxa"/>
                  <w:shd w:val="clear" w:color="auto" w:fill="auto"/>
                  <w:noWrap w:val="0"/>
                  <w:vAlign w:val="center"/>
                </w:tcPr>
                <w:p w14:paraId="45B8F0FB">
                  <w:pPr>
                    <w:autoSpaceDE/>
                    <w:autoSpaceDN/>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1.河流两岸现有的林地、草地、滩地应维持原状，不得开发占用；缓冲带内的现有农田不得施加化肥和农药；缓冲带内的现有违法违章建筑应依法依规由政府组织清除。</w:t>
                  </w:r>
                </w:p>
                <w:p w14:paraId="54A90FB9">
                  <w:pPr>
                    <w:autoSpaceDE/>
                    <w:autoSpaceDN/>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2.2021年，在全市推广氨排放控制措施，完成210万亩农田推广应用，有效降低氨对PM2.5的影响。</w:t>
                  </w:r>
                </w:p>
              </w:tc>
              <w:tc>
                <w:tcPr>
                  <w:tcW w:w="1278" w:type="dxa"/>
                  <w:shd w:val="clear" w:color="auto" w:fill="auto"/>
                  <w:noWrap w:val="0"/>
                  <w:vAlign w:val="center"/>
                </w:tcPr>
                <w:p w14:paraId="79E9D262">
                  <w:pPr>
                    <w:autoSpaceDE/>
                    <w:autoSpaceDN/>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本项目</w:t>
                  </w:r>
                  <w:r>
                    <w:rPr>
                      <w:rFonts w:hint="default" w:ascii="Times New Roman" w:hAnsi="Times New Roman" w:eastAsia="宋体" w:cs="Times New Roman"/>
                      <w:color w:val="auto"/>
                      <w:sz w:val="21"/>
                      <w:szCs w:val="21"/>
                      <w:lang w:val="zh-CN" w:eastAsia="zh-CN"/>
                    </w:rPr>
                    <w:t>位于</w:t>
                  </w:r>
                  <w:r>
                    <w:rPr>
                      <w:rFonts w:ascii="Times New Roman" w:hAnsi="Times New Roman" w:eastAsia="宋体" w:cs="Times New Roman"/>
                      <w:color w:val="auto"/>
                      <w:sz w:val="21"/>
                      <w:szCs w:val="21"/>
                      <w:lang w:val="en-US"/>
                    </w:rPr>
                    <w:t>河北省</w:t>
                  </w:r>
                  <w:r>
                    <w:rPr>
                      <w:rFonts w:hint="eastAsia" w:ascii="Times New Roman" w:hAnsi="Times New Roman" w:eastAsia="宋体" w:cs="Times New Roman"/>
                      <w:color w:val="auto"/>
                      <w:sz w:val="21"/>
                      <w:szCs w:val="21"/>
                      <w:lang w:val="en-US"/>
                    </w:rPr>
                    <w:t>邯郸市魏县</w:t>
                  </w:r>
                  <w:r>
                    <w:rPr>
                      <w:rFonts w:hint="eastAsia" w:ascii="Times New Roman" w:hAnsi="Times New Roman" w:eastAsia="宋体" w:cs="Times New Roman"/>
                      <w:color w:val="auto"/>
                      <w:sz w:val="21"/>
                      <w:szCs w:val="21"/>
                      <w:lang w:val="en-US" w:eastAsia="zh-CN"/>
                    </w:rPr>
                    <w:t>回隆镇南街西村平安南路路北，不涉及河流两岸及缓冲带；排放污染因子中不涉及氨。</w:t>
                  </w:r>
                </w:p>
              </w:tc>
              <w:tc>
                <w:tcPr>
                  <w:tcW w:w="996" w:type="dxa"/>
                  <w:vMerge w:val="continue"/>
                  <w:shd w:val="clear" w:color="auto" w:fill="auto"/>
                  <w:noWrap w:val="0"/>
                  <w:vAlign w:val="center"/>
                </w:tcPr>
                <w:p w14:paraId="7DBB768A">
                  <w:pPr>
                    <w:autoSpaceDE/>
                    <w:autoSpaceDN/>
                    <w:jc w:val="center"/>
                    <w:rPr>
                      <w:rFonts w:hint="eastAsia" w:ascii="Times New Roman" w:hAnsi="Times New Roman" w:eastAsia="宋体" w:cs="Times New Roman"/>
                      <w:color w:val="auto"/>
                      <w:sz w:val="21"/>
                      <w:szCs w:val="21"/>
                    </w:rPr>
                  </w:pPr>
                </w:p>
              </w:tc>
            </w:tr>
            <w:tr w14:paraId="60FB0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7" w:hRule="atLeast"/>
                <w:jc w:val="center"/>
              </w:trPr>
              <w:tc>
                <w:tcPr>
                  <w:tcW w:w="463" w:type="dxa"/>
                  <w:vMerge w:val="continue"/>
                  <w:shd w:val="clear" w:color="auto" w:fill="auto"/>
                  <w:noWrap w:val="0"/>
                  <w:vAlign w:val="center"/>
                </w:tcPr>
                <w:p w14:paraId="28FC6769">
                  <w:pPr>
                    <w:autoSpaceDE/>
                    <w:autoSpaceDN/>
                    <w:jc w:val="center"/>
                    <w:rPr>
                      <w:rFonts w:ascii="Times New Roman" w:hAnsi="Times New Roman" w:eastAsia="宋体" w:cs="Times New Roman"/>
                      <w:color w:val="auto"/>
                      <w:sz w:val="21"/>
                      <w:szCs w:val="21"/>
                    </w:rPr>
                  </w:pPr>
                </w:p>
              </w:tc>
              <w:tc>
                <w:tcPr>
                  <w:tcW w:w="865" w:type="dxa"/>
                  <w:vMerge w:val="continue"/>
                  <w:shd w:val="clear" w:color="auto" w:fill="auto"/>
                  <w:noWrap w:val="0"/>
                  <w:vAlign w:val="center"/>
                </w:tcPr>
                <w:p w14:paraId="1F1457D3">
                  <w:pPr>
                    <w:autoSpaceDE/>
                    <w:autoSpaceDN/>
                    <w:jc w:val="center"/>
                    <w:rPr>
                      <w:rFonts w:ascii="Times New Roman" w:hAnsi="Times New Roman" w:eastAsia="宋体" w:cs="Times New Roman"/>
                      <w:color w:val="auto"/>
                      <w:sz w:val="21"/>
                      <w:szCs w:val="21"/>
                    </w:rPr>
                  </w:pPr>
                </w:p>
              </w:tc>
              <w:tc>
                <w:tcPr>
                  <w:tcW w:w="551" w:type="dxa"/>
                  <w:shd w:val="clear" w:color="auto" w:fill="auto"/>
                  <w:noWrap w:val="0"/>
                  <w:vAlign w:val="center"/>
                </w:tcPr>
                <w:p w14:paraId="2720905B">
                  <w:pPr>
                    <w:autoSpaceDE/>
                    <w:autoSpaceDN/>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环境风险防控</w:t>
                  </w:r>
                </w:p>
              </w:tc>
              <w:tc>
                <w:tcPr>
                  <w:tcW w:w="3133" w:type="dxa"/>
                  <w:shd w:val="clear" w:color="auto" w:fill="auto"/>
                  <w:noWrap w:val="0"/>
                  <w:vAlign w:val="center"/>
                </w:tcPr>
                <w:p w14:paraId="2C841495">
                  <w:pPr>
                    <w:autoSpaceDE/>
                    <w:autoSpaceDN/>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根据土地用途变更、农用地土壤污染状况深度调查成果以及受污染耕地安全利用和严格管控效果，结合实际，进一步精准识别受污染耕地面积、分布等。对曾用于生产、使用、贮存、回收、处置有毒有害物质的工矿用地复垦为耕地的，应确保农用地管控标准之外的特征污染物不超过所在地土壤环境背景值，并依法进行分类管理。</w:t>
                  </w:r>
                </w:p>
                <w:p w14:paraId="47A79EED">
                  <w:pPr>
                    <w:autoSpaceDE/>
                    <w:autoSpaceDN/>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根据农时持续推进风险管控措施落实，在安全利用类耕地继续组织落实农艺调整措施；巩固严格管控类耕地治理成果，引导落实种植结构调整、休耕、退耕还林还草等措施；对确需实施治理修复措施的，优先采取不影响农业生产、不降低土壤生产功能的修复措施。</w:t>
                  </w:r>
                </w:p>
              </w:tc>
              <w:tc>
                <w:tcPr>
                  <w:tcW w:w="1278" w:type="dxa"/>
                  <w:shd w:val="clear" w:color="auto" w:fill="auto"/>
                  <w:noWrap w:val="0"/>
                  <w:vAlign w:val="center"/>
                </w:tcPr>
                <w:p w14:paraId="6B14A344">
                  <w:pPr>
                    <w:autoSpaceDE/>
                    <w:autoSpaceDN/>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本项目不涉及。</w:t>
                  </w:r>
                </w:p>
              </w:tc>
              <w:tc>
                <w:tcPr>
                  <w:tcW w:w="996" w:type="dxa"/>
                  <w:vMerge w:val="continue"/>
                  <w:shd w:val="clear" w:color="auto" w:fill="auto"/>
                  <w:noWrap w:val="0"/>
                  <w:vAlign w:val="center"/>
                </w:tcPr>
                <w:p w14:paraId="0C2904C7">
                  <w:pPr>
                    <w:autoSpaceDE/>
                    <w:autoSpaceDN/>
                    <w:jc w:val="center"/>
                    <w:rPr>
                      <w:rFonts w:hint="eastAsia" w:ascii="Times New Roman" w:hAnsi="Times New Roman" w:eastAsia="宋体" w:cs="Times New Roman"/>
                      <w:color w:val="auto"/>
                      <w:sz w:val="21"/>
                      <w:szCs w:val="21"/>
                    </w:rPr>
                  </w:pPr>
                </w:p>
              </w:tc>
            </w:tr>
            <w:tr w14:paraId="0BAA6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7" w:hRule="atLeast"/>
                <w:jc w:val="center"/>
              </w:trPr>
              <w:tc>
                <w:tcPr>
                  <w:tcW w:w="463" w:type="dxa"/>
                  <w:vMerge w:val="continue"/>
                  <w:shd w:val="clear" w:color="auto" w:fill="auto"/>
                  <w:noWrap w:val="0"/>
                  <w:vAlign w:val="center"/>
                </w:tcPr>
                <w:p w14:paraId="1957D812">
                  <w:pPr>
                    <w:autoSpaceDE/>
                    <w:autoSpaceDN/>
                    <w:jc w:val="center"/>
                    <w:rPr>
                      <w:rFonts w:ascii="Times New Roman" w:hAnsi="Times New Roman" w:eastAsia="宋体" w:cs="Times New Roman"/>
                      <w:color w:val="auto"/>
                      <w:sz w:val="21"/>
                      <w:szCs w:val="21"/>
                    </w:rPr>
                  </w:pPr>
                </w:p>
              </w:tc>
              <w:tc>
                <w:tcPr>
                  <w:tcW w:w="865" w:type="dxa"/>
                  <w:vMerge w:val="continue"/>
                  <w:shd w:val="clear" w:color="auto" w:fill="auto"/>
                  <w:noWrap w:val="0"/>
                  <w:vAlign w:val="center"/>
                </w:tcPr>
                <w:p w14:paraId="355ECC94">
                  <w:pPr>
                    <w:autoSpaceDE/>
                    <w:autoSpaceDN/>
                    <w:jc w:val="center"/>
                    <w:rPr>
                      <w:rFonts w:ascii="Times New Roman" w:hAnsi="Times New Roman" w:eastAsia="宋体" w:cs="Times New Roman"/>
                      <w:color w:val="auto"/>
                      <w:sz w:val="21"/>
                      <w:szCs w:val="21"/>
                    </w:rPr>
                  </w:pPr>
                </w:p>
              </w:tc>
              <w:tc>
                <w:tcPr>
                  <w:tcW w:w="551" w:type="dxa"/>
                  <w:shd w:val="clear" w:color="auto" w:fill="auto"/>
                  <w:noWrap w:val="0"/>
                  <w:vAlign w:val="center"/>
                </w:tcPr>
                <w:p w14:paraId="0251C812">
                  <w:pPr>
                    <w:autoSpaceDE/>
                    <w:autoSpaceDN/>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资源利用效率</w:t>
                  </w:r>
                </w:p>
              </w:tc>
              <w:tc>
                <w:tcPr>
                  <w:tcW w:w="3133" w:type="dxa"/>
                  <w:shd w:val="clear" w:color="auto" w:fill="auto"/>
                  <w:noWrap w:val="0"/>
                  <w:vAlign w:val="center"/>
                </w:tcPr>
                <w:p w14:paraId="66728ED6">
                  <w:pPr>
                    <w:autoSpaceDE/>
                    <w:autoSpaceDN/>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w:t>
                  </w:r>
                </w:p>
              </w:tc>
              <w:tc>
                <w:tcPr>
                  <w:tcW w:w="1278" w:type="dxa"/>
                  <w:shd w:val="clear" w:color="auto" w:fill="auto"/>
                  <w:noWrap w:val="0"/>
                  <w:vAlign w:val="center"/>
                </w:tcPr>
                <w:p w14:paraId="6C570A19">
                  <w:pPr>
                    <w:autoSpaceDE/>
                    <w:autoSpaceDN/>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本项目不涉及。</w:t>
                  </w:r>
                </w:p>
              </w:tc>
              <w:tc>
                <w:tcPr>
                  <w:tcW w:w="996" w:type="dxa"/>
                  <w:vMerge w:val="continue"/>
                  <w:shd w:val="clear" w:color="auto" w:fill="auto"/>
                  <w:noWrap w:val="0"/>
                  <w:vAlign w:val="center"/>
                </w:tcPr>
                <w:p w14:paraId="1E068AF8">
                  <w:pPr>
                    <w:autoSpaceDE/>
                    <w:autoSpaceDN/>
                    <w:jc w:val="center"/>
                    <w:rPr>
                      <w:rFonts w:hint="eastAsia" w:ascii="Times New Roman" w:hAnsi="Times New Roman" w:eastAsia="宋体" w:cs="Times New Roman"/>
                      <w:color w:val="auto"/>
                      <w:sz w:val="21"/>
                      <w:szCs w:val="21"/>
                    </w:rPr>
                  </w:pPr>
                </w:p>
              </w:tc>
            </w:tr>
          </w:tbl>
          <w:p w14:paraId="4C3209D7">
            <w:pPr>
              <w:autoSpaceDE/>
              <w:autoSpaceDN/>
              <w:spacing w:line="400" w:lineRule="exact"/>
              <w:ind w:left="110" w:leftChars="50" w:firstLine="422"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7）</w:t>
            </w:r>
            <w:r>
              <w:rPr>
                <w:rFonts w:ascii="Times New Roman" w:hAnsi="Times New Roman" w:cs="Times New Roman"/>
                <w:b/>
                <w:bCs/>
                <w:color w:val="auto"/>
                <w:sz w:val="21"/>
                <w:szCs w:val="21"/>
                <w:lang w:val="en-US"/>
              </w:rPr>
              <w:t>生态环境准入清单</w:t>
            </w:r>
            <w:r>
              <w:rPr>
                <w:rFonts w:hint="eastAsia" w:ascii="Times New Roman" w:hAnsi="Times New Roman" w:cs="Times New Roman"/>
                <w:b/>
                <w:bCs/>
                <w:color w:val="auto"/>
                <w:sz w:val="21"/>
                <w:szCs w:val="21"/>
                <w:lang w:val="en-US"/>
              </w:rPr>
              <w:t>符合性分析</w:t>
            </w:r>
          </w:p>
          <w:p w14:paraId="36B066C1">
            <w:pPr>
              <w:autoSpaceDE/>
              <w:autoSpaceDN/>
              <w:adjustRightInd w:val="0"/>
              <w:snapToGrid w:val="0"/>
              <w:spacing w:line="480" w:lineRule="exact"/>
              <w:ind w:firstLine="420" w:firstLineChars="200"/>
              <w:jc w:val="both"/>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w:t>
            </w:r>
            <w:r>
              <w:rPr>
                <w:rFonts w:hint="eastAsia" w:ascii="Times New Roman" w:hAnsi="Times New Roman" w:cs="Times New Roman"/>
                <w:color w:val="auto"/>
                <w:kern w:val="2"/>
                <w:sz w:val="21"/>
                <w:szCs w:val="21"/>
                <w:lang w:val="en-US" w:bidi="ar-SA"/>
              </w:rPr>
              <w:t>《邯郸市生态环境准入清单（202</w:t>
            </w:r>
            <w:r>
              <w:rPr>
                <w:rFonts w:hint="eastAsia" w:ascii="Times New Roman" w:hAnsi="Times New Roman" w:cs="Times New Roman"/>
                <w:color w:val="auto"/>
                <w:kern w:val="2"/>
                <w:sz w:val="21"/>
                <w:szCs w:val="21"/>
                <w:lang w:val="en-US" w:eastAsia="zh-CN" w:bidi="ar-SA"/>
              </w:rPr>
              <w:t>5</w:t>
            </w:r>
            <w:r>
              <w:rPr>
                <w:rFonts w:hint="eastAsia" w:ascii="Times New Roman" w:hAnsi="Times New Roman" w:cs="Times New Roman"/>
                <w:color w:val="auto"/>
                <w:kern w:val="2"/>
                <w:sz w:val="21"/>
                <w:szCs w:val="21"/>
                <w:lang w:val="en-US" w:bidi="ar-SA"/>
              </w:rPr>
              <w:t>年版）》（二零二</w:t>
            </w:r>
            <w:r>
              <w:rPr>
                <w:rFonts w:hint="eastAsia" w:ascii="Times New Roman" w:hAnsi="Times New Roman" w:cs="Times New Roman"/>
                <w:color w:val="auto"/>
                <w:kern w:val="2"/>
                <w:sz w:val="21"/>
                <w:szCs w:val="21"/>
                <w:lang w:val="en-US" w:eastAsia="zh-CN" w:bidi="ar-SA"/>
              </w:rPr>
              <w:t>五</w:t>
            </w:r>
            <w:r>
              <w:rPr>
                <w:rFonts w:hint="eastAsia" w:ascii="Times New Roman" w:hAnsi="Times New Roman" w:cs="Times New Roman"/>
                <w:color w:val="auto"/>
                <w:kern w:val="2"/>
                <w:sz w:val="21"/>
                <w:szCs w:val="21"/>
                <w:lang w:val="en-US" w:bidi="ar-SA"/>
              </w:rPr>
              <w:t>年</w:t>
            </w:r>
            <w:r>
              <w:rPr>
                <w:rFonts w:hint="eastAsia" w:ascii="Times New Roman" w:hAnsi="Times New Roman" w:cs="Times New Roman"/>
                <w:color w:val="auto"/>
                <w:kern w:val="2"/>
                <w:sz w:val="21"/>
                <w:szCs w:val="21"/>
                <w:lang w:val="en-US" w:eastAsia="zh-CN" w:bidi="ar-SA"/>
              </w:rPr>
              <w:t>四</w:t>
            </w:r>
            <w:r>
              <w:rPr>
                <w:rFonts w:hint="eastAsia" w:ascii="Times New Roman" w:hAnsi="Times New Roman" w:cs="Times New Roman"/>
                <w:color w:val="auto"/>
                <w:kern w:val="2"/>
                <w:sz w:val="21"/>
                <w:szCs w:val="21"/>
                <w:lang w:val="en-US" w:bidi="ar-SA"/>
              </w:rPr>
              <w:t>月）</w:t>
            </w:r>
            <w:r>
              <w:rPr>
                <w:rFonts w:hint="eastAsia" w:ascii="Times New Roman" w:hAnsi="Times New Roman" w:cs="Times New Roman"/>
                <w:color w:val="auto"/>
                <w:sz w:val="21"/>
                <w:szCs w:val="21"/>
              </w:rPr>
              <w:t>要求，同时查询河北省三线一单管理平台（http://218.11.12.12:8083/query），邯郸市</w:t>
            </w:r>
            <w:r>
              <w:rPr>
                <w:rFonts w:hint="eastAsia" w:ascii="Times New Roman" w:hAnsi="Times New Roman" w:cs="Times New Roman"/>
                <w:color w:val="auto"/>
                <w:sz w:val="21"/>
                <w:szCs w:val="21"/>
                <w:lang w:val="en-US"/>
              </w:rPr>
              <w:t>环境管控单元图见附图</w:t>
            </w:r>
            <w:r>
              <w:rPr>
                <w:rFonts w:hint="eastAsia"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val="en-US"/>
              </w:rPr>
              <w:t>，本项目位于河北省邯郸市魏县</w:t>
            </w:r>
            <w:r>
              <w:rPr>
                <w:rFonts w:hint="eastAsia" w:ascii="Times New Roman" w:hAnsi="Times New Roman" w:cs="Times New Roman"/>
                <w:color w:val="auto"/>
                <w:sz w:val="21"/>
                <w:szCs w:val="21"/>
                <w:lang w:val="en-US" w:eastAsia="zh-CN"/>
              </w:rPr>
              <w:t>回隆镇南街西村平安南路路北</w:t>
            </w:r>
            <w:r>
              <w:rPr>
                <w:rFonts w:hint="eastAsia" w:ascii="Times New Roman" w:hAnsi="Times New Roman" w:cs="Times New Roman"/>
                <w:color w:val="auto"/>
                <w:sz w:val="21"/>
                <w:szCs w:val="21"/>
                <w:lang w:val="en-US"/>
              </w:rPr>
              <w:t>。所在单元类别为一般管控单元，魏县生态环境准入清单如下：</w:t>
            </w:r>
          </w:p>
          <w:p w14:paraId="2862D84D">
            <w:pPr>
              <w:adjustRightInd w:val="0"/>
              <w:snapToGrid w:val="0"/>
              <w:spacing w:line="4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表</w:t>
            </w:r>
            <w:r>
              <w:rPr>
                <w:rFonts w:hint="eastAsia" w:ascii="Times New Roman" w:hAnsi="Times New Roman" w:cs="Times New Roman"/>
                <w:b/>
                <w:bCs/>
                <w:color w:val="auto"/>
                <w:sz w:val="21"/>
                <w:szCs w:val="21"/>
                <w:lang w:val="en-US" w:eastAsia="zh-CN"/>
              </w:rPr>
              <w:t>2.0</w:t>
            </w:r>
            <w:r>
              <w:rPr>
                <w:rFonts w:ascii="Times New Roman" w:hAnsi="Times New Roman" w:cs="Times New Roman"/>
                <w:b/>
                <w:bCs/>
                <w:color w:val="auto"/>
                <w:sz w:val="21"/>
                <w:szCs w:val="21"/>
                <w:lang w:val="en-US"/>
              </w:rPr>
              <w:t xml:space="preserve"> 魏县生态环境准入清单</w:t>
            </w:r>
          </w:p>
          <w:tbl>
            <w:tblPr>
              <w:tblStyle w:val="3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2"/>
              <w:gridCol w:w="247"/>
              <w:gridCol w:w="683"/>
              <w:gridCol w:w="450"/>
              <w:gridCol w:w="600"/>
              <w:gridCol w:w="433"/>
              <w:gridCol w:w="3934"/>
              <w:gridCol w:w="736"/>
            </w:tblGrid>
            <w:tr w14:paraId="3A25D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tcBorders>
                    <w:bottom w:val="single" w:color="000000" w:sz="4" w:space="0"/>
                    <w:right w:val="single" w:color="000000" w:sz="4" w:space="0"/>
                  </w:tcBorders>
                  <w:vAlign w:val="center"/>
                </w:tcPr>
                <w:p w14:paraId="7310C1CF">
                  <w:pPr>
                    <w:pStyle w:val="55"/>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编</w:t>
                  </w:r>
                </w:p>
                <w:p w14:paraId="64E8191C">
                  <w:pPr>
                    <w:pStyle w:val="55"/>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号</w:t>
                  </w:r>
                </w:p>
              </w:tc>
              <w:tc>
                <w:tcPr>
                  <w:tcW w:w="247" w:type="dxa"/>
                  <w:tcBorders>
                    <w:left w:val="single" w:color="000000" w:sz="4" w:space="0"/>
                    <w:bottom w:val="single" w:color="000000" w:sz="4" w:space="0"/>
                  </w:tcBorders>
                  <w:vAlign w:val="center"/>
                </w:tcPr>
                <w:p w14:paraId="37182B34">
                  <w:pPr>
                    <w:pStyle w:val="55"/>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区</w:t>
                  </w:r>
                </w:p>
                <w:p w14:paraId="353E302D">
                  <w:pPr>
                    <w:pStyle w:val="55"/>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县</w:t>
                  </w:r>
                </w:p>
              </w:tc>
              <w:tc>
                <w:tcPr>
                  <w:tcW w:w="683" w:type="dxa"/>
                  <w:tcBorders>
                    <w:left w:val="single" w:color="000000" w:sz="4" w:space="0"/>
                    <w:bottom w:val="single" w:color="000000" w:sz="4" w:space="0"/>
                  </w:tcBorders>
                  <w:vAlign w:val="center"/>
                </w:tcPr>
                <w:p w14:paraId="2DCAF05C">
                  <w:pPr>
                    <w:pStyle w:val="55"/>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涉及</w:t>
                  </w:r>
                </w:p>
                <w:p w14:paraId="5D73D43C">
                  <w:pPr>
                    <w:pStyle w:val="55"/>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乡镇</w:t>
                  </w:r>
                </w:p>
              </w:tc>
              <w:tc>
                <w:tcPr>
                  <w:tcW w:w="450" w:type="dxa"/>
                  <w:tcBorders>
                    <w:left w:val="single" w:color="000000" w:sz="4" w:space="0"/>
                    <w:bottom w:val="single" w:color="000000" w:sz="4" w:space="0"/>
                  </w:tcBorders>
                  <w:vAlign w:val="center"/>
                </w:tcPr>
                <w:p w14:paraId="3FA1E155">
                  <w:pPr>
                    <w:pStyle w:val="55"/>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单位</w:t>
                  </w:r>
                </w:p>
                <w:p w14:paraId="404E440F">
                  <w:pPr>
                    <w:pStyle w:val="55"/>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类别</w:t>
                  </w:r>
                </w:p>
              </w:tc>
              <w:tc>
                <w:tcPr>
                  <w:tcW w:w="600" w:type="dxa"/>
                  <w:tcBorders>
                    <w:left w:val="single" w:color="000000" w:sz="4" w:space="0"/>
                    <w:bottom w:val="single" w:color="000000" w:sz="4" w:space="0"/>
                  </w:tcBorders>
                  <w:vAlign w:val="center"/>
                </w:tcPr>
                <w:p w14:paraId="1595C68C">
                  <w:pPr>
                    <w:pStyle w:val="55"/>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环境要</w:t>
                  </w:r>
                </w:p>
                <w:p w14:paraId="2DEEAD32">
                  <w:pPr>
                    <w:pStyle w:val="55"/>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素类别</w:t>
                  </w:r>
                </w:p>
              </w:tc>
              <w:tc>
                <w:tcPr>
                  <w:tcW w:w="433" w:type="dxa"/>
                  <w:tcBorders>
                    <w:left w:val="single" w:color="000000" w:sz="4" w:space="0"/>
                    <w:bottom w:val="single" w:color="000000" w:sz="4" w:space="0"/>
                  </w:tcBorders>
                  <w:vAlign w:val="center"/>
                </w:tcPr>
                <w:p w14:paraId="387723D1">
                  <w:pPr>
                    <w:pStyle w:val="55"/>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维度</w:t>
                  </w:r>
                </w:p>
              </w:tc>
              <w:tc>
                <w:tcPr>
                  <w:tcW w:w="3934" w:type="dxa"/>
                  <w:tcBorders>
                    <w:left w:val="single" w:color="000000" w:sz="4" w:space="0"/>
                    <w:bottom w:val="single" w:color="000000" w:sz="4" w:space="0"/>
                  </w:tcBorders>
                  <w:vAlign w:val="center"/>
                </w:tcPr>
                <w:p w14:paraId="4DA5DBCC">
                  <w:pPr>
                    <w:pStyle w:val="55"/>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管控措施</w:t>
                  </w:r>
                </w:p>
              </w:tc>
              <w:tc>
                <w:tcPr>
                  <w:tcW w:w="736" w:type="dxa"/>
                  <w:tcBorders>
                    <w:left w:val="single" w:color="000000" w:sz="4" w:space="0"/>
                    <w:bottom w:val="single" w:color="000000" w:sz="4" w:space="0"/>
                  </w:tcBorders>
                  <w:vAlign w:val="center"/>
                </w:tcPr>
                <w:p w14:paraId="6EEDF6E6">
                  <w:pPr>
                    <w:pStyle w:val="55"/>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14:paraId="1EBAA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restart"/>
                  <w:tcBorders>
                    <w:top w:val="single" w:color="000000" w:sz="4" w:space="0"/>
                    <w:right w:val="single" w:color="000000" w:sz="4" w:space="0"/>
                  </w:tcBorders>
                  <w:vAlign w:val="center"/>
                </w:tcPr>
                <w:p w14:paraId="5866A692">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ZH13043430139</w:t>
                  </w:r>
                </w:p>
              </w:tc>
              <w:tc>
                <w:tcPr>
                  <w:tcW w:w="247" w:type="dxa"/>
                  <w:vMerge w:val="restart"/>
                  <w:tcBorders>
                    <w:top w:val="single" w:color="000000" w:sz="4" w:space="0"/>
                    <w:left w:val="single" w:color="000000" w:sz="4" w:space="0"/>
                  </w:tcBorders>
                  <w:vAlign w:val="center"/>
                </w:tcPr>
                <w:p w14:paraId="75110F65">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魏县</w:t>
                  </w:r>
                </w:p>
              </w:tc>
              <w:tc>
                <w:tcPr>
                  <w:tcW w:w="683" w:type="dxa"/>
                  <w:vMerge w:val="restart"/>
                  <w:tcBorders>
                    <w:top w:val="single" w:color="000000" w:sz="4" w:space="0"/>
                    <w:left w:val="single" w:color="000000" w:sz="4" w:space="0"/>
                  </w:tcBorders>
                  <w:vAlign w:val="center"/>
                </w:tcPr>
                <w:p w14:paraId="2A888629">
                  <w:pPr>
                    <w:widowControl/>
                    <w:jc w:val="center"/>
                    <w:rPr>
                      <w:rFonts w:ascii="Times New Roman" w:hAnsi="Times New Roman" w:cs="Times New Roman"/>
                      <w:b w:val="0"/>
                      <w:bCs w:val="0"/>
                      <w:color w:val="auto"/>
                      <w:sz w:val="21"/>
                      <w:szCs w:val="21"/>
                    </w:rPr>
                  </w:pPr>
                  <w:r>
                    <w:rPr>
                      <w:rFonts w:hint="eastAsia" w:ascii="Times New Roman" w:hAnsi="Times New Roman" w:cs="Times New Roman"/>
                      <w:color w:val="auto"/>
                      <w:sz w:val="21"/>
                      <w:szCs w:val="21"/>
                      <w:lang w:val="en-US"/>
                    </w:rPr>
                    <w:t>魏城镇、</w:t>
                  </w:r>
                  <w:r>
                    <w:rPr>
                      <w:rFonts w:hint="eastAsia" w:ascii="Times New Roman" w:hAnsi="Times New Roman" w:cs="Times New Roman"/>
                      <w:b w:val="0"/>
                      <w:bCs w:val="0"/>
                      <w:color w:val="auto"/>
                      <w:sz w:val="21"/>
                      <w:szCs w:val="21"/>
                      <w:lang w:val="en-US"/>
                    </w:rPr>
                    <w:t xml:space="preserve">德 </w:t>
                  </w:r>
                </w:p>
                <w:p w14:paraId="528F9F19">
                  <w:pPr>
                    <w:widowControl/>
                    <w:jc w:val="center"/>
                    <w:rPr>
                      <w:rFonts w:ascii="Times New Roman" w:hAnsi="Times New Roman" w:cs="Times New Roman"/>
                      <w:color w:val="auto"/>
                      <w:sz w:val="21"/>
                      <w:szCs w:val="21"/>
                    </w:rPr>
                  </w:pPr>
                  <w:r>
                    <w:rPr>
                      <w:rFonts w:hint="eastAsia" w:ascii="Times New Roman" w:hAnsi="Times New Roman" w:cs="Times New Roman"/>
                      <w:b w:val="0"/>
                      <w:bCs w:val="0"/>
                      <w:color w:val="auto"/>
                      <w:sz w:val="21"/>
                      <w:szCs w:val="21"/>
                      <w:lang w:val="en-US"/>
                    </w:rPr>
                    <w:t>政镇</w:t>
                  </w:r>
                  <w:r>
                    <w:rPr>
                      <w:rFonts w:hint="eastAsia" w:ascii="Times New Roman" w:hAnsi="Times New Roman" w:cs="Times New Roman"/>
                      <w:color w:val="auto"/>
                      <w:sz w:val="21"/>
                      <w:szCs w:val="21"/>
                      <w:lang w:val="en-US"/>
                    </w:rPr>
                    <w:t xml:space="preserve">、北皋镇、双井镇、车往镇、东代固镇、院堡镇、南双庙 </w:t>
                  </w:r>
                </w:p>
                <w:p w14:paraId="6AD75181">
                  <w:pPr>
                    <w:widowControl/>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 xml:space="preserve">镇、棘针寨镇、沙口集乡、野胡拐乡、仕望集镇、前大磨乡、大辛庄乡、北台头乡、泊口镇、南双庙 </w:t>
                  </w:r>
                </w:p>
                <w:p w14:paraId="615EB061">
                  <w:pPr>
                    <w:widowControl/>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镇、牙里镇、</w:t>
                  </w:r>
                  <w:r>
                    <w:rPr>
                      <w:rFonts w:hint="eastAsia" w:ascii="Times New Roman" w:hAnsi="Times New Roman" w:cs="Times New Roman"/>
                      <w:b/>
                      <w:bCs/>
                      <w:color w:val="auto"/>
                      <w:sz w:val="21"/>
                      <w:szCs w:val="21"/>
                      <w:lang w:val="en-US"/>
                    </w:rPr>
                    <w:t>回隆镇</w:t>
                  </w:r>
                  <w:r>
                    <w:rPr>
                      <w:rFonts w:hint="eastAsia" w:ascii="Times New Roman" w:hAnsi="Times New Roman" w:cs="Times New Roman"/>
                      <w:color w:val="auto"/>
                      <w:sz w:val="21"/>
                      <w:szCs w:val="21"/>
                      <w:lang w:val="en-US"/>
                    </w:rPr>
                    <w:t>、张二庄镇、大马村乡、边马镇</w:t>
                  </w:r>
                </w:p>
              </w:tc>
              <w:tc>
                <w:tcPr>
                  <w:tcW w:w="450" w:type="dxa"/>
                  <w:vMerge w:val="restart"/>
                  <w:tcBorders>
                    <w:top w:val="single" w:color="000000" w:sz="4" w:space="0"/>
                    <w:left w:val="single" w:color="000000" w:sz="4" w:space="0"/>
                  </w:tcBorders>
                  <w:vAlign w:val="center"/>
                </w:tcPr>
                <w:p w14:paraId="08A17672">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一般管控单元</w:t>
                  </w:r>
                </w:p>
              </w:tc>
              <w:tc>
                <w:tcPr>
                  <w:tcW w:w="600" w:type="dxa"/>
                  <w:vMerge w:val="restart"/>
                  <w:tcBorders>
                    <w:top w:val="single" w:color="000000" w:sz="4" w:space="0"/>
                    <w:left w:val="single" w:color="000000" w:sz="4" w:space="0"/>
                  </w:tcBorders>
                  <w:vAlign w:val="center"/>
                </w:tcPr>
                <w:p w14:paraId="3549BAE6">
                  <w:pPr>
                    <w:widowControl/>
                    <w:jc w:val="center"/>
                    <w:rPr>
                      <w:rFonts w:ascii="Times New Roman" w:hAnsi="Times New Roman" w:cs="Times New Roman"/>
                      <w:color w:val="auto"/>
                      <w:kern w:val="2"/>
                      <w:sz w:val="21"/>
                      <w:szCs w:val="21"/>
                    </w:rPr>
                  </w:pPr>
                  <w:r>
                    <w:rPr>
                      <w:rFonts w:hint="eastAsia" w:ascii="Times New Roman" w:hAnsi="Times New Roman" w:cs="Times New Roman"/>
                      <w:color w:val="auto"/>
                      <w:sz w:val="21"/>
                      <w:szCs w:val="21"/>
                      <w:lang w:val="en-US" w:bidi="ar"/>
                    </w:rPr>
                    <w:t>-</w:t>
                  </w:r>
                </w:p>
              </w:tc>
              <w:tc>
                <w:tcPr>
                  <w:tcW w:w="433" w:type="dxa"/>
                  <w:tcBorders>
                    <w:top w:val="single" w:color="000000" w:sz="4" w:space="0"/>
                    <w:left w:val="single" w:color="000000" w:sz="4" w:space="0"/>
                    <w:bottom w:val="single" w:color="000000" w:sz="4" w:space="0"/>
                  </w:tcBorders>
                  <w:vAlign w:val="center"/>
                </w:tcPr>
                <w:p w14:paraId="6893C7F8">
                  <w:pPr>
                    <w:pStyle w:val="55"/>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空间</w:t>
                  </w:r>
                </w:p>
                <w:p w14:paraId="086B5AB3">
                  <w:pPr>
                    <w:pStyle w:val="55"/>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布局</w:t>
                  </w:r>
                </w:p>
              </w:tc>
              <w:tc>
                <w:tcPr>
                  <w:tcW w:w="3934" w:type="dxa"/>
                  <w:tcBorders>
                    <w:top w:val="single" w:color="000000" w:sz="4" w:space="0"/>
                    <w:left w:val="single" w:color="000000" w:sz="4" w:space="0"/>
                    <w:bottom w:val="single" w:color="000000" w:sz="4" w:space="0"/>
                  </w:tcBorders>
                  <w:vAlign w:val="center"/>
                </w:tcPr>
                <w:p w14:paraId="19834432">
                  <w:pPr>
                    <w:widowControl/>
                    <w:jc w:val="both"/>
                    <w:rPr>
                      <w:rFonts w:hint="eastAsia" w:ascii="Times New Roman" w:hAnsi="Times New Roman" w:eastAsia="宋体" w:cs="Times New Roman"/>
                      <w:color w:val="auto"/>
                      <w:kern w:val="2"/>
                      <w:sz w:val="21"/>
                      <w:szCs w:val="21"/>
                      <w:lang w:eastAsia="zh-CN"/>
                    </w:rPr>
                  </w:pPr>
                  <w:r>
                    <w:rPr>
                      <w:rFonts w:ascii="Times New Roman" w:hAnsi="Times New Roman" w:cs="Times New Roman"/>
                      <w:color w:val="auto"/>
                      <w:kern w:val="2"/>
                      <w:sz w:val="21"/>
                      <w:szCs w:val="21"/>
                    </w:rPr>
                    <w:t>1.禁止建设《产业结构调整指导目录》中禁止类项目及设备(如砖瓦轮窑以及立窑、无顶轮窑、马蹄窑等土窑、普通挤砖机等）</w:t>
                  </w:r>
                  <w:r>
                    <w:rPr>
                      <w:rFonts w:hint="eastAsia" w:ascii="Times New Roman" w:hAnsi="Times New Roman" w:cs="Times New Roman"/>
                      <w:color w:val="auto"/>
                      <w:kern w:val="2"/>
                      <w:sz w:val="21"/>
                      <w:szCs w:val="21"/>
                      <w:lang w:eastAsia="zh-CN"/>
                    </w:rPr>
                    <w:t>。</w:t>
                  </w:r>
                </w:p>
              </w:tc>
              <w:tc>
                <w:tcPr>
                  <w:tcW w:w="736" w:type="dxa"/>
                  <w:tcBorders>
                    <w:top w:val="single" w:color="000000" w:sz="4" w:space="0"/>
                    <w:left w:val="single" w:color="000000" w:sz="4" w:space="0"/>
                    <w:bottom w:val="single" w:color="000000" w:sz="4" w:space="0"/>
                  </w:tcBorders>
                  <w:vAlign w:val="center"/>
                </w:tcPr>
                <w:p w14:paraId="5BDBEA5C">
                  <w:pPr>
                    <w:pStyle w:val="55"/>
                    <w:autoSpaceDE/>
                    <w:autoSpaceDN/>
                    <w:jc w:val="center"/>
                    <w:rPr>
                      <w:rFonts w:hint="eastAsia" w:ascii="Times New Roman" w:hAnsi="Times New Roman" w:eastAsia="宋体" w:cs="Times New Roman"/>
                      <w:color w:val="auto"/>
                      <w:kern w:val="2"/>
                      <w:sz w:val="21"/>
                      <w:szCs w:val="21"/>
                      <w:lang w:eastAsia="zh-CN"/>
                    </w:rPr>
                  </w:pPr>
                  <w:r>
                    <w:rPr>
                      <w:rFonts w:hint="eastAsia" w:ascii="Times New Roman" w:hAnsi="Times New Roman" w:cs="Times New Roman"/>
                      <w:color w:val="auto"/>
                      <w:kern w:val="2"/>
                      <w:sz w:val="21"/>
                      <w:szCs w:val="21"/>
                    </w:rPr>
                    <w:t>本项目属</w:t>
                  </w:r>
                  <w:r>
                    <w:rPr>
                      <w:rFonts w:hint="eastAsia" w:ascii="Times New Roman" w:hAnsi="Times New Roman" w:cs="Times New Roman"/>
                      <w:color w:val="auto"/>
                      <w:kern w:val="2"/>
                      <w:sz w:val="21"/>
                      <w:szCs w:val="21"/>
                      <w:lang w:val="en-US" w:eastAsia="zh-CN"/>
                    </w:rPr>
                    <w:t>不涉及</w:t>
                  </w:r>
                </w:p>
              </w:tc>
            </w:tr>
            <w:tr w14:paraId="2078E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vAlign w:val="center"/>
                </w:tcPr>
                <w:p w14:paraId="7AB5FDBF">
                  <w:pPr>
                    <w:pStyle w:val="55"/>
                    <w:autoSpaceDE/>
                    <w:autoSpaceDN/>
                    <w:jc w:val="center"/>
                    <w:rPr>
                      <w:rFonts w:ascii="Times New Roman" w:hAnsi="Times New Roman" w:cs="Times New Roman"/>
                      <w:color w:val="auto"/>
                      <w:sz w:val="21"/>
                      <w:szCs w:val="21"/>
                    </w:rPr>
                  </w:pPr>
                </w:p>
              </w:tc>
              <w:tc>
                <w:tcPr>
                  <w:tcW w:w="247" w:type="dxa"/>
                  <w:vMerge w:val="continue"/>
                  <w:tcBorders>
                    <w:left w:val="single" w:color="000000" w:sz="4" w:space="0"/>
                  </w:tcBorders>
                  <w:vAlign w:val="center"/>
                </w:tcPr>
                <w:p w14:paraId="32D49494">
                  <w:pPr>
                    <w:pStyle w:val="55"/>
                    <w:autoSpaceDE/>
                    <w:autoSpaceDN/>
                    <w:jc w:val="center"/>
                    <w:rPr>
                      <w:rFonts w:ascii="Times New Roman" w:hAnsi="Times New Roman" w:cs="Times New Roman"/>
                      <w:color w:val="auto"/>
                      <w:sz w:val="21"/>
                      <w:szCs w:val="21"/>
                    </w:rPr>
                  </w:pPr>
                </w:p>
              </w:tc>
              <w:tc>
                <w:tcPr>
                  <w:tcW w:w="683" w:type="dxa"/>
                  <w:vMerge w:val="continue"/>
                  <w:tcBorders>
                    <w:left w:val="single" w:color="000000" w:sz="4" w:space="0"/>
                  </w:tcBorders>
                  <w:vAlign w:val="center"/>
                </w:tcPr>
                <w:p w14:paraId="2054C5EA">
                  <w:pPr>
                    <w:pStyle w:val="55"/>
                    <w:autoSpaceDE/>
                    <w:autoSpaceDN/>
                    <w:jc w:val="center"/>
                    <w:rPr>
                      <w:rFonts w:ascii="Times New Roman" w:hAnsi="Times New Roman" w:cs="Times New Roman"/>
                      <w:color w:val="auto"/>
                      <w:sz w:val="21"/>
                      <w:szCs w:val="21"/>
                    </w:rPr>
                  </w:pPr>
                </w:p>
              </w:tc>
              <w:tc>
                <w:tcPr>
                  <w:tcW w:w="450" w:type="dxa"/>
                  <w:vMerge w:val="continue"/>
                  <w:tcBorders>
                    <w:left w:val="single" w:color="000000" w:sz="4" w:space="0"/>
                  </w:tcBorders>
                  <w:vAlign w:val="center"/>
                </w:tcPr>
                <w:p w14:paraId="6F3954CF">
                  <w:pPr>
                    <w:pStyle w:val="55"/>
                    <w:autoSpaceDE/>
                    <w:autoSpaceDN/>
                    <w:jc w:val="center"/>
                    <w:rPr>
                      <w:rFonts w:ascii="Times New Roman" w:hAnsi="Times New Roman" w:cs="Times New Roman"/>
                      <w:color w:val="auto"/>
                      <w:sz w:val="21"/>
                      <w:szCs w:val="21"/>
                    </w:rPr>
                  </w:pPr>
                </w:p>
              </w:tc>
              <w:tc>
                <w:tcPr>
                  <w:tcW w:w="600" w:type="dxa"/>
                  <w:vMerge w:val="continue"/>
                  <w:tcBorders>
                    <w:left w:val="single" w:color="000000" w:sz="4" w:space="0"/>
                  </w:tcBorders>
                  <w:vAlign w:val="center"/>
                </w:tcPr>
                <w:p w14:paraId="057768E3">
                  <w:pPr>
                    <w:pStyle w:val="55"/>
                    <w:autoSpaceDE/>
                    <w:autoSpaceDN/>
                    <w:jc w:val="center"/>
                    <w:rPr>
                      <w:rFonts w:ascii="Times New Roman" w:hAnsi="Times New Roman" w:cs="Times New Roman"/>
                      <w:color w:val="auto"/>
                      <w:sz w:val="21"/>
                      <w:szCs w:val="21"/>
                    </w:rPr>
                  </w:pPr>
                </w:p>
              </w:tc>
              <w:tc>
                <w:tcPr>
                  <w:tcW w:w="433" w:type="dxa"/>
                  <w:tcBorders>
                    <w:top w:val="single" w:color="000000" w:sz="4" w:space="0"/>
                    <w:left w:val="single" w:color="000000" w:sz="4" w:space="0"/>
                    <w:bottom w:val="single" w:color="000000" w:sz="4" w:space="0"/>
                  </w:tcBorders>
                  <w:vAlign w:val="center"/>
                </w:tcPr>
                <w:p w14:paraId="50FF7E4B">
                  <w:pPr>
                    <w:pStyle w:val="55"/>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污染</w:t>
                  </w:r>
                </w:p>
                <w:p w14:paraId="749CD511">
                  <w:pPr>
                    <w:pStyle w:val="55"/>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物排</w:t>
                  </w:r>
                </w:p>
                <w:p w14:paraId="3FA6D481">
                  <w:pPr>
                    <w:pStyle w:val="55"/>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放管</w:t>
                  </w:r>
                </w:p>
                <w:p w14:paraId="7E331EEB">
                  <w:pPr>
                    <w:pStyle w:val="55"/>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控</w:t>
                  </w:r>
                </w:p>
              </w:tc>
              <w:tc>
                <w:tcPr>
                  <w:tcW w:w="3934" w:type="dxa"/>
                  <w:tcBorders>
                    <w:top w:val="single" w:color="000000" w:sz="4" w:space="0"/>
                    <w:left w:val="single" w:color="000000" w:sz="4" w:space="0"/>
                    <w:bottom w:val="single" w:color="000000" w:sz="4" w:space="0"/>
                  </w:tcBorders>
                  <w:vAlign w:val="center"/>
                </w:tcPr>
                <w:p w14:paraId="0A361735">
                  <w:pPr>
                    <w:widowControl/>
                    <w:jc w:val="both"/>
                    <w:rPr>
                      <w:rFonts w:ascii="Times New Roman" w:hAnsi="Times New Roman" w:cs="Times New Roman"/>
                      <w:color w:val="auto"/>
                      <w:kern w:val="2"/>
                      <w:sz w:val="21"/>
                      <w:szCs w:val="21"/>
                    </w:rPr>
                  </w:pPr>
                  <w:r>
                    <w:rPr>
                      <w:rFonts w:ascii="Times New Roman" w:hAnsi="Times New Roman" w:cs="Times New Roman"/>
                      <w:color w:val="auto"/>
                      <w:sz w:val="21"/>
                      <w:szCs w:val="21"/>
                      <w:lang w:val="en-US" w:bidi="ar"/>
                    </w:rPr>
                    <w:t>1.淘汰集中供热管网覆盖范围内的散煤。2.砖瓦行业污染物排放满足《砖瓦工业大气污染物排放标准》（GB2962-2013）及修改单中相应排放限值要求。3.冲天炉、玻璃熔窑、以煤和煤矸石为燃料的砖瓦烧结窑、耐火材料焙烧窑(电窑除外)、炭素焙(煅)烧炉(窑)、石灰窑、和精炼炉等，原则上应纳入重点排污单位名录，安装自动监控设施。4.对涉粉状物料十大行业按照“退后十”方案中相应要求管理。5.工业炉窑污染物排放满足《工业炉窑大气污染物排放标准》 (DB13/1640-2012)和《关于印发&lt;河北省工业炉窑综合治理实施方案&gt;的通知》(冀环大气〔2019〕607号)及“退后十”方案中邯郸限值要求。6.全面加强原辅材料源头替代，从源头减少VOCs产生。涉VOCs重点企业全面执行《挥发性有机物无组织排放控制标准》(GB37822-2019)。选择适宜的废气治理工艺，对VOCs污染源进行有效处理。</w:t>
                  </w:r>
                </w:p>
              </w:tc>
              <w:tc>
                <w:tcPr>
                  <w:tcW w:w="736" w:type="dxa"/>
                  <w:tcBorders>
                    <w:top w:val="single" w:color="000000" w:sz="4" w:space="0"/>
                    <w:left w:val="single" w:color="000000" w:sz="4" w:space="0"/>
                    <w:bottom w:val="single" w:color="000000" w:sz="4" w:space="0"/>
                  </w:tcBorders>
                  <w:vAlign w:val="center"/>
                </w:tcPr>
                <w:p w14:paraId="58250D37">
                  <w:pPr>
                    <w:pStyle w:val="55"/>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本项目不使用燃料，不涉及锅炉、工业炉窑，项目建设符合“退后十”方案要求</w:t>
                  </w:r>
                </w:p>
              </w:tc>
            </w:tr>
            <w:tr w14:paraId="09582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vAlign w:val="center"/>
                </w:tcPr>
                <w:p w14:paraId="58B5DA04">
                  <w:pPr>
                    <w:pStyle w:val="55"/>
                    <w:autoSpaceDE/>
                    <w:autoSpaceDN/>
                    <w:jc w:val="center"/>
                    <w:rPr>
                      <w:rFonts w:ascii="Times New Roman" w:hAnsi="Times New Roman" w:cs="Times New Roman"/>
                      <w:color w:val="auto"/>
                      <w:kern w:val="2"/>
                      <w:sz w:val="21"/>
                      <w:szCs w:val="21"/>
                    </w:rPr>
                  </w:pPr>
                </w:p>
              </w:tc>
              <w:tc>
                <w:tcPr>
                  <w:tcW w:w="247" w:type="dxa"/>
                  <w:vMerge w:val="continue"/>
                  <w:tcBorders>
                    <w:left w:val="single" w:color="000000" w:sz="4" w:space="0"/>
                  </w:tcBorders>
                  <w:vAlign w:val="center"/>
                </w:tcPr>
                <w:p w14:paraId="5379B6C0">
                  <w:pPr>
                    <w:pStyle w:val="55"/>
                    <w:autoSpaceDE/>
                    <w:autoSpaceDN/>
                    <w:jc w:val="center"/>
                    <w:rPr>
                      <w:rFonts w:ascii="Times New Roman" w:hAnsi="Times New Roman" w:cs="Times New Roman"/>
                      <w:color w:val="auto"/>
                      <w:kern w:val="2"/>
                      <w:sz w:val="21"/>
                      <w:szCs w:val="21"/>
                    </w:rPr>
                  </w:pPr>
                </w:p>
              </w:tc>
              <w:tc>
                <w:tcPr>
                  <w:tcW w:w="683" w:type="dxa"/>
                  <w:vMerge w:val="continue"/>
                  <w:tcBorders>
                    <w:left w:val="single" w:color="000000" w:sz="4" w:space="0"/>
                  </w:tcBorders>
                  <w:vAlign w:val="center"/>
                </w:tcPr>
                <w:p w14:paraId="7F64C1C8">
                  <w:pPr>
                    <w:pStyle w:val="55"/>
                    <w:autoSpaceDE/>
                    <w:autoSpaceDN/>
                    <w:jc w:val="center"/>
                    <w:rPr>
                      <w:rFonts w:ascii="Times New Roman" w:hAnsi="Times New Roman" w:cs="Times New Roman"/>
                      <w:color w:val="auto"/>
                      <w:kern w:val="2"/>
                      <w:sz w:val="21"/>
                      <w:szCs w:val="21"/>
                    </w:rPr>
                  </w:pPr>
                </w:p>
              </w:tc>
              <w:tc>
                <w:tcPr>
                  <w:tcW w:w="450" w:type="dxa"/>
                  <w:vMerge w:val="continue"/>
                  <w:tcBorders>
                    <w:left w:val="single" w:color="000000" w:sz="4" w:space="0"/>
                  </w:tcBorders>
                  <w:vAlign w:val="center"/>
                </w:tcPr>
                <w:p w14:paraId="576B1449">
                  <w:pPr>
                    <w:pStyle w:val="55"/>
                    <w:autoSpaceDE/>
                    <w:autoSpaceDN/>
                    <w:jc w:val="center"/>
                    <w:rPr>
                      <w:rFonts w:ascii="Times New Roman" w:hAnsi="Times New Roman" w:cs="Times New Roman"/>
                      <w:color w:val="auto"/>
                      <w:kern w:val="2"/>
                      <w:sz w:val="21"/>
                      <w:szCs w:val="21"/>
                    </w:rPr>
                  </w:pPr>
                </w:p>
              </w:tc>
              <w:tc>
                <w:tcPr>
                  <w:tcW w:w="600" w:type="dxa"/>
                  <w:vMerge w:val="continue"/>
                  <w:tcBorders>
                    <w:left w:val="single" w:color="000000" w:sz="4" w:space="0"/>
                  </w:tcBorders>
                  <w:vAlign w:val="center"/>
                </w:tcPr>
                <w:p w14:paraId="41F60D76">
                  <w:pPr>
                    <w:pStyle w:val="55"/>
                    <w:autoSpaceDE/>
                    <w:autoSpaceDN/>
                    <w:jc w:val="center"/>
                    <w:rPr>
                      <w:rFonts w:ascii="Times New Roman" w:hAnsi="Times New Roman" w:cs="Times New Roman"/>
                      <w:color w:val="auto"/>
                      <w:kern w:val="2"/>
                      <w:sz w:val="21"/>
                      <w:szCs w:val="21"/>
                    </w:rPr>
                  </w:pPr>
                </w:p>
              </w:tc>
              <w:tc>
                <w:tcPr>
                  <w:tcW w:w="433" w:type="dxa"/>
                  <w:tcBorders>
                    <w:top w:val="single" w:color="000000" w:sz="4" w:space="0"/>
                    <w:left w:val="single" w:color="000000" w:sz="4" w:space="0"/>
                    <w:bottom w:val="single" w:color="000000" w:sz="4" w:space="0"/>
                  </w:tcBorders>
                  <w:vAlign w:val="center"/>
                </w:tcPr>
                <w:p w14:paraId="176F32A6">
                  <w:pPr>
                    <w:pStyle w:val="55"/>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环境</w:t>
                  </w:r>
                </w:p>
                <w:p w14:paraId="1FF6C86C">
                  <w:pPr>
                    <w:pStyle w:val="55"/>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风险</w:t>
                  </w:r>
                </w:p>
                <w:p w14:paraId="5973A0F6">
                  <w:pPr>
                    <w:pStyle w:val="55"/>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防控</w:t>
                  </w:r>
                </w:p>
              </w:tc>
              <w:tc>
                <w:tcPr>
                  <w:tcW w:w="3934" w:type="dxa"/>
                  <w:tcBorders>
                    <w:top w:val="single" w:color="000000" w:sz="4" w:space="0"/>
                    <w:left w:val="single" w:color="000000" w:sz="4" w:space="0"/>
                    <w:bottom w:val="single" w:color="000000" w:sz="4" w:space="0"/>
                  </w:tcBorders>
                  <w:vAlign w:val="center"/>
                </w:tcPr>
                <w:p w14:paraId="43F2F361">
                  <w:pPr>
                    <w:widowControl/>
                    <w:jc w:val="both"/>
                    <w:rPr>
                      <w:rFonts w:ascii="Times New Roman" w:hAnsi="Times New Roman" w:cs="Times New Roman"/>
                      <w:color w:val="auto"/>
                      <w:kern w:val="2"/>
                      <w:sz w:val="21"/>
                      <w:szCs w:val="21"/>
                      <w:lang w:val="en-US"/>
                    </w:rPr>
                  </w:pPr>
                  <w:r>
                    <w:rPr>
                      <w:rFonts w:ascii="Times New Roman" w:hAnsi="Times New Roman" w:cs="Times New Roman"/>
                      <w:color w:val="auto"/>
                      <w:kern w:val="2"/>
                      <w:sz w:val="21"/>
                      <w:szCs w:val="21"/>
                      <w:lang w:val="en-US"/>
                    </w:rPr>
                    <w:t>工艺过程中产生的含VOCs废料(渣、液)满足《挥发性有机物无组织排放控制标准》(GB37822-2019)中的要求。</w:t>
                  </w:r>
                </w:p>
              </w:tc>
              <w:tc>
                <w:tcPr>
                  <w:tcW w:w="736" w:type="dxa"/>
                  <w:tcBorders>
                    <w:top w:val="single" w:color="000000" w:sz="4" w:space="0"/>
                    <w:left w:val="single" w:color="000000" w:sz="4" w:space="0"/>
                    <w:bottom w:val="single" w:color="000000" w:sz="4" w:space="0"/>
                  </w:tcBorders>
                  <w:vAlign w:val="center"/>
                </w:tcPr>
                <w:p w14:paraId="5A6FAD4C">
                  <w:pPr>
                    <w:pStyle w:val="55"/>
                    <w:autoSpaceDE/>
                    <w:autoSpaceDN/>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rPr>
                    <w:t>本项目</w:t>
                  </w:r>
                  <w:r>
                    <w:rPr>
                      <w:rFonts w:hint="eastAsia" w:ascii="Times New Roman" w:hAnsi="Times New Roman" w:cs="Times New Roman"/>
                      <w:color w:val="auto"/>
                      <w:kern w:val="2"/>
                      <w:sz w:val="21"/>
                      <w:szCs w:val="21"/>
                      <w:lang w:val="en-US"/>
                    </w:rPr>
                    <w:t>VOCs</w:t>
                  </w:r>
                  <w:r>
                    <w:rPr>
                      <w:rFonts w:hint="eastAsia" w:ascii="Times New Roman" w:hAnsi="Times New Roman" w:cs="Times New Roman"/>
                      <w:color w:val="auto"/>
                      <w:kern w:val="2"/>
                      <w:sz w:val="21"/>
                      <w:szCs w:val="21"/>
                      <w:lang w:val="en-US" w:eastAsia="zh-CN"/>
                    </w:rPr>
                    <w:t>排放满足要求</w:t>
                  </w:r>
                </w:p>
              </w:tc>
            </w:tr>
            <w:tr w14:paraId="50471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vAlign w:val="center"/>
                </w:tcPr>
                <w:p w14:paraId="16D1A3E1">
                  <w:pPr>
                    <w:pStyle w:val="55"/>
                    <w:autoSpaceDE/>
                    <w:autoSpaceDN/>
                    <w:jc w:val="center"/>
                    <w:rPr>
                      <w:rFonts w:ascii="Times New Roman" w:hAnsi="Times New Roman" w:cs="Times New Roman"/>
                      <w:color w:val="auto"/>
                      <w:kern w:val="2"/>
                      <w:sz w:val="21"/>
                      <w:szCs w:val="21"/>
                    </w:rPr>
                  </w:pPr>
                </w:p>
              </w:tc>
              <w:tc>
                <w:tcPr>
                  <w:tcW w:w="247" w:type="dxa"/>
                  <w:vMerge w:val="continue"/>
                  <w:tcBorders>
                    <w:left w:val="single" w:color="000000" w:sz="4" w:space="0"/>
                  </w:tcBorders>
                  <w:vAlign w:val="center"/>
                </w:tcPr>
                <w:p w14:paraId="0388A6B7">
                  <w:pPr>
                    <w:pStyle w:val="55"/>
                    <w:autoSpaceDE/>
                    <w:autoSpaceDN/>
                    <w:jc w:val="center"/>
                    <w:rPr>
                      <w:rFonts w:ascii="Times New Roman" w:hAnsi="Times New Roman" w:cs="Times New Roman"/>
                      <w:color w:val="auto"/>
                      <w:kern w:val="2"/>
                      <w:sz w:val="21"/>
                      <w:szCs w:val="21"/>
                    </w:rPr>
                  </w:pPr>
                </w:p>
              </w:tc>
              <w:tc>
                <w:tcPr>
                  <w:tcW w:w="683" w:type="dxa"/>
                  <w:vMerge w:val="continue"/>
                  <w:tcBorders>
                    <w:left w:val="single" w:color="000000" w:sz="4" w:space="0"/>
                  </w:tcBorders>
                  <w:vAlign w:val="center"/>
                </w:tcPr>
                <w:p w14:paraId="2C7061E5">
                  <w:pPr>
                    <w:pStyle w:val="55"/>
                    <w:autoSpaceDE/>
                    <w:autoSpaceDN/>
                    <w:jc w:val="center"/>
                    <w:rPr>
                      <w:rFonts w:ascii="Times New Roman" w:hAnsi="Times New Roman" w:cs="Times New Roman"/>
                      <w:color w:val="auto"/>
                      <w:kern w:val="2"/>
                      <w:sz w:val="21"/>
                      <w:szCs w:val="21"/>
                    </w:rPr>
                  </w:pPr>
                </w:p>
              </w:tc>
              <w:tc>
                <w:tcPr>
                  <w:tcW w:w="450" w:type="dxa"/>
                  <w:vMerge w:val="continue"/>
                  <w:tcBorders>
                    <w:left w:val="single" w:color="000000" w:sz="4" w:space="0"/>
                  </w:tcBorders>
                  <w:vAlign w:val="center"/>
                </w:tcPr>
                <w:p w14:paraId="6E68567F">
                  <w:pPr>
                    <w:pStyle w:val="55"/>
                    <w:autoSpaceDE/>
                    <w:autoSpaceDN/>
                    <w:jc w:val="center"/>
                    <w:rPr>
                      <w:rFonts w:ascii="Times New Roman" w:hAnsi="Times New Roman" w:cs="Times New Roman"/>
                      <w:color w:val="auto"/>
                      <w:kern w:val="2"/>
                      <w:sz w:val="21"/>
                      <w:szCs w:val="21"/>
                    </w:rPr>
                  </w:pPr>
                </w:p>
              </w:tc>
              <w:tc>
                <w:tcPr>
                  <w:tcW w:w="600" w:type="dxa"/>
                  <w:vMerge w:val="continue"/>
                  <w:tcBorders>
                    <w:left w:val="single" w:color="000000" w:sz="4" w:space="0"/>
                  </w:tcBorders>
                  <w:vAlign w:val="center"/>
                </w:tcPr>
                <w:p w14:paraId="33CB2AD7">
                  <w:pPr>
                    <w:pStyle w:val="55"/>
                    <w:autoSpaceDE/>
                    <w:autoSpaceDN/>
                    <w:jc w:val="center"/>
                    <w:rPr>
                      <w:rFonts w:ascii="Times New Roman" w:hAnsi="Times New Roman" w:cs="Times New Roman"/>
                      <w:color w:val="auto"/>
                      <w:kern w:val="2"/>
                      <w:sz w:val="21"/>
                      <w:szCs w:val="21"/>
                    </w:rPr>
                  </w:pPr>
                </w:p>
              </w:tc>
              <w:tc>
                <w:tcPr>
                  <w:tcW w:w="433" w:type="dxa"/>
                  <w:tcBorders>
                    <w:top w:val="single" w:color="000000" w:sz="4" w:space="0"/>
                    <w:left w:val="single" w:color="000000" w:sz="4" w:space="0"/>
                    <w:bottom w:val="single" w:color="000000" w:sz="4" w:space="0"/>
                  </w:tcBorders>
                  <w:vAlign w:val="center"/>
                </w:tcPr>
                <w:p w14:paraId="143758BE">
                  <w:pPr>
                    <w:pStyle w:val="55"/>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资源</w:t>
                  </w:r>
                </w:p>
                <w:p w14:paraId="2A543450">
                  <w:pPr>
                    <w:pStyle w:val="55"/>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利用</w:t>
                  </w:r>
                </w:p>
                <w:p w14:paraId="7B6798E1">
                  <w:pPr>
                    <w:pStyle w:val="55"/>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效率</w:t>
                  </w:r>
                </w:p>
              </w:tc>
              <w:tc>
                <w:tcPr>
                  <w:tcW w:w="3934" w:type="dxa"/>
                  <w:tcBorders>
                    <w:top w:val="single" w:color="000000" w:sz="4" w:space="0"/>
                    <w:left w:val="single" w:color="000000" w:sz="4" w:space="0"/>
                    <w:bottom w:val="single" w:color="000000" w:sz="4" w:space="0"/>
                  </w:tcBorders>
                  <w:vAlign w:val="center"/>
                </w:tcPr>
                <w:p w14:paraId="5060FC4E">
                  <w:pPr>
                    <w:widowControl/>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鼓励烧结砖瓦生产企业推进合同能源管理，建立能耗综合监测系统，开展窑炉热平衡测试，对主要能源消耗、重点耗能设备实施实时可视化管理。对现有生产烧结墙体材料的企业，要确保达到《烧结墙体材料和泡沫玻璃单位产品能源消耗限额》(GB30526-2019)限定值，争取达到先进值。</w:t>
                  </w:r>
                </w:p>
              </w:tc>
              <w:tc>
                <w:tcPr>
                  <w:tcW w:w="736" w:type="dxa"/>
                  <w:tcBorders>
                    <w:top w:val="single" w:color="000000" w:sz="4" w:space="0"/>
                    <w:left w:val="single" w:color="000000" w:sz="4" w:space="0"/>
                    <w:bottom w:val="single" w:color="000000" w:sz="4" w:space="0"/>
                  </w:tcBorders>
                  <w:vAlign w:val="center"/>
                </w:tcPr>
                <w:p w14:paraId="33BC0CE3">
                  <w:pPr>
                    <w:pStyle w:val="55"/>
                    <w:autoSpaceDE/>
                    <w:autoSpaceDN/>
                    <w:jc w:val="center"/>
                    <w:rPr>
                      <w:rFonts w:hint="eastAsia" w:ascii="Times New Roman" w:hAnsi="Times New Roman" w:eastAsia="宋体" w:cs="Times New Roman"/>
                      <w:color w:val="auto"/>
                      <w:kern w:val="2"/>
                      <w:sz w:val="21"/>
                      <w:szCs w:val="21"/>
                      <w:lang w:eastAsia="zh-CN"/>
                    </w:rPr>
                  </w:pPr>
                  <w:r>
                    <w:rPr>
                      <w:rFonts w:hint="eastAsia" w:ascii="Times New Roman" w:hAnsi="Times New Roman" w:cs="Times New Roman"/>
                      <w:color w:val="auto"/>
                      <w:kern w:val="2"/>
                      <w:sz w:val="21"/>
                      <w:szCs w:val="21"/>
                    </w:rPr>
                    <w:t>本项目不</w:t>
                  </w:r>
                  <w:r>
                    <w:rPr>
                      <w:rFonts w:hint="eastAsia" w:ascii="Times New Roman" w:hAnsi="Times New Roman" w:cs="Times New Roman"/>
                      <w:color w:val="auto"/>
                      <w:kern w:val="2"/>
                      <w:sz w:val="21"/>
                      <w:szCs w:val="21"/>
                      <w:lang w:val="en-US" w:eastAsia="zh-CN"/>
                    </w:rPr>
                    <w:t>涉及</w:t>
                  </w:r>
                </w:p>
              </w:tc>
            </w:tr>
          </w:tbl>
          <w:p w14:paraId="1E192D1C">
            <w:pPr>
              <w:pStyle w:val="55"/>
              <w:tabs>
                <w:tab w:val="left" w:pos="531"/>
              </w:tabs>
              <w:spacing w:line="400" w:lineRule="exact"/>
              <w:ind w:left="110" w:leftChars="50" w:firstLine="422" w:firstLineChars="200"/>
              <w:jc w:val="both"/>
              <w:rPr>
                <w:rFonts w:ascii="Times New Roman" w:hAnsi="Times New Roman" w:cs="Times New Roman"/>
                <w:b/>
                <w:bCs/>
                <w:color w:val="auto"/>
                <w:kern w:val="2"/>
                <w:sz w:val="21"/>
                <w:szCs w:val="21"/>
                <w:lang w:val="en-US"/>
              </w:rPr>
            </w:pPr>
            <w:r>
              <w:rPr>
                <w:rFonts w:hint="eastAsia" w:ascii="Times New Roman" w:hAnsi="Times New Roman" w:cs="Times New Roman"/>
                <w:b/>
                <w:bCs/>
                <w:color w:val="auto"/>
                <w:sz w:val="21"/>
                <w:szCs w:val="21"/>
                <w:lang w:val="en-US"/>
              </w:rPr>
              <w:t>3、</w:t>
            </w:r>
            <w:r>
              <w:rPr>
                <w:rFonts w:hint="eastAsia" w:ascii="Times New Roman" w:hAnsi="Times New Roman" w:cs="Times New Roman"/>
                <w:b/>
                <w:bCs/>
                <w:color w:val="auto"/>
                <w:kern w:val="2"/>
                <w:sz w:val="21"/>
                <w:szCs w:val="21"/>
                <w:lang w:val="en-US"/>
              </w:rPr>
              <w:t>项目与《河北省防沙治沙规划（2021—2030年）》及《河北省生态环境厅办公室关于进一步做好沙区建设项目环境影响评价工作的通知》（冀环办字函【2023】326号）符合性分析</w:t>
            </w:r>
          </w:p>
          <w:p w14:paraId="46E44AA3">
            <w:pPr>
              <w:pStyle w:val="55"/>
              <w:tabs>
                <w:tab w:val="left" w:pos="531"/>
              </w:tabs>
              <w:spacing w:line="400" w:lineRule="exact"/>
              <w:ind w:left="110" w:leftChars="50" w:firstLine="420" w:firstLineChars="200"/>
              <w:jc w:val="both"/>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lang w:val="en-US"/>
              </w:rPr>
              <w:t>为贯彻落实《中华人民共和国防沙治沙法》，按照“在沙化土地范围内从事开发建设活动的，必须事先就该项目可能对当地及相关地区生态产生的影响进行环境影响评价，依法提交环境影响报告;环境影响报告应当包括有关防沙治沙的内容”规定。根据《河北省防沙治沙规划（2021-2030年）》、《河北省生态环境厅办公室关于进一步做好沙区建设项目环境影响评价工作的通知》（环办字函【2023】326号）可知，坚持生态优先、综合治理，统筹</w:t>
            </w:r>
            <w:r>
              <w:rPr>
                <w:rFonts w:hint="eastAsia" w:ascii="Times New Roman" w:hAnsi="Times New Roman" w:cs="Times New Roman"/>
                <w:color w:val="auto"/>
                <w:kern w:val="2"/>
                <w:sz w:val="18"/>
                <w:szCs w:val="18"/>
                <w:lang w:val="en-US"/>
              </w:rPr>
              <w:t>规</w:t>
            </w:r>
            <w:r>
              <w:rPr>
                <w:rFonts w:hint="eastAsia" w:ascii="Times New Roman" w:hAnsi="Times New Roman" w:cs="Times New Roman"/>
                <w:color w:val="auto"/>
                <w:kern w:val="2"/>
                <w:sz w:val="21"/>
                <w:szCs w:val="21"/>
                <w:lang w:val="en-US"/>
              </w:rPr>
              <w:t>划、分区防治，政府主导、全民参与，科学治沙、讲究实效的原则，按照原则，坚持系统保护与规模治理相结合，生物措施与工程措施相结合，确定八项建设内容，因地制宜开展沙化土地综合治理。邯郸市沙区主要涉及的地域有：丛台区、大名县、馆陶县、鸡泽县、临漳县、邱县、永年区。</w:t>
            </w:r>
          </w:p>
          <w:p w14:paraId="3F102349">
            <w:pPr>
              <w:pStyle w:val="55"/>
              <w:tabs>
                <w:tab w:val="left" w:pos="531"/>
              </w:tabs>
              <w:spacing w:line="400" w:lineRule="exact"/>
              <w:ind w:left="110" w:leftChars="50" w:firstLine="420" w:firstLineChars="200"/>
              <w:jc w:val="both"/>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lang w:val="en-US"/>
              </w:rPr>
              <w:t>本项目位于河北省邯郸市</w:t>
            </w:r>
            <w:r>
              <w:rPr>
                <w:rFonts w:hint="eastAsia" w:ascii="Times New Roman" w:hAnsi="Times New Roman" w:cs="Times New Roman"/>
                <w:color w:val="auto"/>
                <w:sz w:val="21"/>
                <w:szCs w:val="21"/>
                <w:lang w:val="en-US"/>
              </w:rPr>
              <w:t>魏县</w:t>
            </w:r>
            <w:r>
              <w:rPr>
                <w:rFonts w:hint="eastAsia" w:ascii="Times New Roman" w:hAnsi="Times New Roman" w:cs="Times New Roman"/>
                <w:color w:val="auto"/>
                <w:sz w:val="21"/>
                <w:szCs w:val="21"/>
                <w:lang w:val="en-US" w:eastAsia="zh-CN"/>
              </w:rPr>
              <w:t>回隆镇南街西村平安南路路北</w:t>
            </w:r>
            <w:r>
              <w:rPr>
                <w:rFonts w:hint="eastAsia" w:ascii="Times New Roman" w:hAnsi="Times New Roman" w:cs="Times New Roman"/>
                <w:color w:val="auto"/>
                <w:kern w:val="2"/>
                <w:sz w:val="21"/>
                <w:szCs w:val="21"/>
                <w:lang w:val="en-US"/>
              </w:rPr>
              <w:t>，区域内地形平坦，不在沙化土地封禁保护区范围内，企业按要求进行环境影响评价工作，不会对区域防沙治沙造成影响，符合要求。</w:t>
            </w:r>
          </w:p>
          <w:p w14:paraId="692679B7">
            <w:pPr>
              <w:pStyle w:val="55"/>
              <w:tabs>
                <w:tab w:val="left" w:pos="531"/>
              </w:tabs>
              <w:spacing w:line="400" w:lineRule="exact"/>
              <w:ind w:left="110" w:leftChars="50" w:firstLine="402" w:firstLineChars="200"/>
              <w:jc w:val="both"/>
              <w:rPr>
                <w:rFonts w:ascii="Times New Roman" w:hAnsi="Times New Roman" w:cs="Times New Roman"/>
                <w:b/>
                <w:bCs/>
                <w:color w:val="auto"/>
                <w:kern w:val="2"/>
                <w:sz w:val="21"/>
                <w:szCs w:val="21"/>
                <w:lang w:val="en-US"/>
              </w:rPr>
            </w:pPr>
            <w:r>
              <w:rPr>
                <w:rFonts w:hint="eastAsia" w:ascii="Times New Roman" w:hAnsi="Times New Roman" w:cs="Times New Roman"/>
                <w:b/>
                <w:bCs/>
                <w:color w:val="auto"/>
                <w:sz w:val="20"/>
                <w:szCs w:val="20"/>
                <w:lang w:val="en-US"/>
              </w:rPr>
              <w:t>4</w:t>
            </w:r>
            <w:r>
              <w:rPr>
                <w:rFonts w:ascii="Times New Roman" w:hAnsi="Times New Roman" w:cs="Times New Roman"/>
                <w:b/>
                <w:bCs/>
                <w:color w:val="auto"/>
                <w:sz w:val="20"/>
                <w:szCs w:val="20"/>
                <w:lang w:val="en-US"/>
              </w:rPr>
              <w:t>、</w:t>
            </w:r>
            <w:r>
              <w:rPr>
                <w:rFonts w:ascii="Times New Roman" w:hAnsi="Times New Roman" w:cs="Times New Roman"/>
                <w:b/>
                <w:bCs/>
                <w:color w:val="auto"/>
                <w:kern w:val="2"/>
                <w:sz w:val="21"/>
                <w:szCs w:val="21"/>
                <w:lang w:val="en-US"/>
              </w:rPr>
              <w:t>占地及规划符合性</w:t>
            </w:r>
          </w:p>
          <w:p w14:paraId="0418454A">
            <w:pPr>
              <w:pStyle w:val="55"/>
              <w:numPr>
                <w:ilvl w:val="0"/>
                <w:numId w:val="2"/>
              </w:numPr>
              <w:tabs>
                <w:tab w:val="left" w:pos="531"/>
              </w:tabs>
              <w:spacing w:line="400" w:lineRule="exact"/>
              <w:ind w:left="110" w:leftChars="50" w:firstLine="422" w:firstLineChars="200"/>
              <w:jc w:val="both"/>
              <w:rPr>
                <w:rFonts w:ascii="Times New Roman" w:hAnsi="Times New Roman" w:cs="Times New Roman"/>
                <w:b/>
                <w:bCs/>
                <w:color w:val="auto"/>
                <w:sz w:val="21"/>
                <w:szCs w:val="21"/>
              </w:rPr>
            </w:pPr>
            <w:r>
              <w:rPr>
                <w:rFonts w:ascii="Times New Roman" w:hAnsi="Times New Roman" w:cs="Times New Roman"/>
                <w:b/>
                <w:bCs/>
                <w:color w:val="auto"/>
                <w:sz w:val="21"/>
                <w:szCs w:val="21"/>
              </w:rPr>
              <w:t>土地利用规划符合性</w:t>
            </w:r>
          </w:p>
          <w:p w14:paraId="3226D943">
            <w:pPr>
              <w:pStyle w:val="55"/>
              <w:tabs>
                <w:tab w:val="left" w:pos="531"/>
              </w:tabs>
              <w:spacing w:line="400" w:lineRule="exact"/>
              <w:ind w:left="110" w:leftChars="50" w:firstLine="420" w:firstLineChars="200"/>
              <w:jc w:val="both"/>
              <w:rPr>
                <w:rFonts w:ascii="Times New Roman" w:hAnsi="Times New Roman" w:cs="Times New Roman"/>
                <w:color w:val="auto"/>
                <w:sz w:val="21"/>
                <w:szCs w:val="21"/>
                <w:highlight w:val="none"/>
                <w:lang w:val="en-US"/>
              </w:rPr>
            </w:pPr>
            <w:r>
              <w:rPr>
                <w:rFonts w:ascii="Times New Roman" w:hAnsi="Times New Roman" w:cs="Times New Roman"/>
                <w:color w:val="auto"/>
                <w:sz w:val="21"/>
                <w:szCs w:val="20"/>
                <w:highlight w:val="none"/>
              </w:rPr>
              <w:t>本项目位于</w:t>
            </w:r>
            <w:r>
              <w:rPr>
                <w:rFonts w:hint="eastAsia" w:ascii="Times New Roman" w:hAnsi="Times New Roman"/>
                <w:color w:val="auto"/>
                <w:sz w:val="21"/>
                <w:szCs w:val="20"/>
                <w:highlight w:val="none"/>
              </w:rPr>
              <w:t>邯郸市</w:t>
            </w:r>
            <w:r>
              <w:rPr>
                <w:rFonts w:hint="eastAsia" w:ascii="Times New Roman" w:hAnsi="Times New Roman" w:cs="Times New Roman"/>
                <w:color w:val="auto"/>
                <w:sz w:val="21"/>
                <w:szCs w:val="21"/>
                <w:highlight w:val="none"/>
                <w:lang w:val="en-US"/>
              </w:rPr>
              <w:t>魏县</w:t>
            </w:r>
            <w:r>
              <w:rPr>
                <w:rFonts w:hint="eastAsia" w:ascii="Times New Roman" w:hAnsi="Times New Roman" w:cs="Times New Roman"/>
                <w:color w:val="auto"/>
                <w:sz w:val="21"/>
                <w:szCs w:val="21"/>
                <w:highlight w:val="none"/>
                <w:lang w:val="en-US" w:eastAsia="zh-CN"/>
              </w:rPr>
              <w:t>回隆镇南街西村平安南路路北</w:t>
            </w:r>
            <w:r>
              <w:rPr>
                <w:rFonts w:hint="eastAsia" w:ascii="Times New Roman" w:hAnsi="Times New Roman"/>
                <w:color w:val="auto"/>
                <w:sz w:val="21"/>
                <w:szCs w:val="20"/>
                <w:highlight w:val="none"/>
              </w:rPr>
              <w:t>，</w:t>
            </w:r>
            <w:r>
              <w:rPr>
                <w:rFonts w:hint="eastAsia" w:ascii="Times New Roman" w:hAnsi="Times New Roman"/>
                <w:color w:val="auto"/>
                <w:sz w:val="21"/>
                <w:szCs w:val="20"/>
                <w:highlight w:val="none"/>
                <w:lang w:val="en-US" w:eastAsia="zh-CN"/>
              </w:rPr>
              <w:t>拟</w:t>
            </w:r>
            <w:r>
              <w:rPr>
                <w:rFonts w:hint="eastAsia" w:ascii="Times New Roman" w:hAnsi="Times New Roman" w:cs="Times New Roman"/>
                <w:color w:val="auto"/>
                <w:sz w:val="21"/>
                <w:szCs w:val="21"/>
                <w:highlight w:val="none"/>
                <w:lang w:val="en-US" w:eastAsia="zh-CN"/>
              </w:rPr>
              <w:t>租赁现有闲置厂房进行生产</w:t>
            </w:r>
            <w:r>
              <w:rPr>
                <w:rFonts w:hint="eastAsia" w:ascii="Times New Roman" w:hAnsi="Times New Roman" w:cs="Times New Roman"/>
                <w:color w:val="auto"/>
                <w:sz w:val="21"/>
                <w:szCs w:val="21"/>
                <w:highlight w:val="none"/>
                <w:lang w:val="en-US"/>
              </w:rPr>
              <w:t>。</w:t>
            </w:r>
            <w:r>
              <w:rPr>
                <w:rFonts w:hint="eastAsia" w:ascii="Times New Roman" w:hAnsi="Times New Roman" w:cs="Times New Roman"/>
                <w:color w:val="auto"/>
                <w:sz w:val="21"/>
                <w:szCs w:val="21"/>
                <w:highlight w:val="none"/>
              </w:rPr>
              <w:t>根据魏县</w:t>
            </w:r>
            <w:r>
              <w:rPr>
                <w:rFonts w:hint="eastAsia" w:ascii="Times New Roman" w:hAnsi="Times New Roman" w:cs="Times New Roman"/>
                <w:color w:val="auto"/>
                <w:sz w:val="21"/>
                <w:szCs w:val="21"/>
                <w:highlight w:val="none"/>
                <w:lang w:val="en-US" w:eastAsia="zh-CN"/>
              </w:rPr>
              <w:t>回隆镇人民政府</w:t>
            </w:r>
            <w:r>
              <w:rPr>
                <w:rFonts w:hint="eastAsia" w:ascii="Times New Roman" w:hAnsi="Times New Roman" w:cs="Times New Roman"/>
                <w:color w:val="auto"/>
                <w:sz w:val="21"/>
                <w:szCs w:val="21"/>
                <w:highlight w:val="none"/>
              </w:rPr>
              <w:t>出具的</w:t>
            </w:r>
            <w:r>
              <w:rPr>
                <w:rFonts w:hint="eastAsia" w:ascii="Times New Roman" w:hAnsi="Times New Roman" w:cs="Times New Roman"/>
                <w:color w:val="auto"/>
                <w:sz w:val="21"/>
                <w:szCs w:val="21"/>
                <w:highlight w:val="none"/>
                <w:lang w:val="en-US" w:eastAsia="zh-CN"/>
              </w:rPr>
              <w:t>意见</w:t>
            </w:r>
            <w:r>
              <w:rPr>
                <w:rFonts w:hint="eastAsia" w:ascii="Times New Roman" w:hAnsi="Times New Roman" w:cs="Times New Roman"/>
                <w:color w:val="auto"/>
                <w:sz w:val="21"/>
                <w:szCs w:val="21"/>
                <w:highlight w:val="none"/>
              </w:rPr>
              <w:t>（见附件）</w:t>
            </w:r>
            <w:r>
              <w:rPr>
                <w:rFonts w:hint="eastAsia" w:ascii="Times New Roman" w:hAnsi="Times New Roman" w:cs="Times New Roman"/>
                <w:color w:val="auto"/>
                <w:sz w:val="21"/>
                <w:szCs w:val="21"/>
                <w:highlight w:val="none"/>
                <w:lang w:val="en-US" w:eastAsia="zh-CN"/>
              </w:rPr>
              <w:t>以及魏县自然资源和规划局出具的用地情况说明</w:t>
            </w:r>
            <w:r>
              <w:rPr>
                <w:rFonts w:hint="eastAsia" w:ascii="Times New Roman" w:hAnsi="Times New Roman" w:cs="Times New Roman"/>
                <w:color w:val="auto"/>
                <w:sz w:val="21"/>
                <w:szCs w:val="21"/>
                <w:highlight w:val="none"/>
              </w:rPr>
              <w:t>（见附件），</w:t>
            </w:r>
            <w:r>
              <w:rPr>
                <w:rFonts w:hint="eastAsia" w:ascii="Times New Roman" w:hAnsi="Times New Roman" w:cs="Times New Roman"/>
                <w:color w:val="auto"/>
                <w:sz w:val="21"/>
                <w:szCs w:val="21"/>
                <w:highlight w:val="none"/>
                <w:lang w:val="en-US" w:eastAsia="zh-CN"/>
              </w:rPr>
              <w:t>本项目占地面积约1.5亩，选址现状地类为工业用地，符合魏县回隆镇城镇建设和项目建设总体规划、符合魏县土地利用总体规划</w:t>
            </w:r>
            <w:r>
              <w:rPr>
                <w:rFonts w:ascii="Times New Roman" w:hAnsi="Times New Roman" w:cs="Times New Roman"/>
                <w:color w:val="auto"/>
                <w:kern w:val="2"/>
                <w:sz w:val="21"/>
                <w:szCs w:val="21"/>
                <w:highlight w:val="none"/>
                <w:lang w:val="en-US" w:bidi="ar-SA"/>
              </w:rPr>
              <w:t>。</w:t>
            </w:r>
          </w:p>
          <w:p w14:paraId="1769ADB8">
            <w:pPr>
              <w:pStyle w:val="55"/>
              <w:numPr>
                <w:ilvl w:val="0"/>
                <w:numId w:val="2"/>
              </w:numPr>
              <w:tabs>
                <w:tab w:val="left" w:pos="531"/>
              </w:tabs>
              <w:spacing w:line="400" w:lineRule="exact"/>
              <w:ind w:left="110" w:leftChars="50" w:firstLine="422" w:firstLineChars="200"/>
              <w:jc w:val="both"/>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选址可行性分析</w:t>
            </w:r>
          </w:p>
          <w:p w14:paraId="4C3A1F2B">
            <w:pPr>
              <w:pStyle w:val="47"/>
              <w:autoSpaceDE/>
              <w:autoSpaceDN/>
              <w:adjustRightInd/>
              <w:snapToGrid/>
              <w:spacing w:line="400" w:lineRule="exact"/>
              <w:ind w:left="110" w:leftChars="50" w:firstLine="420"/>
              <w:jc w:val="both"/>
              <w:rPr>
                <w:rFonts w:ascii="Times New Roman" w:hAnsi="Times New Roman" w:cs="Times New Roman"/>
                <w:color w:val="auto"/>
                <w:sz w:val="21"/>
                <w:szCs w:val="21"/>
                <w:lang w:bidi="ar-SA"/>
              </w:rPr>
            </w:pPr>
            <w:r>
              <w:rPr>
                <w:rFonts w:hint="eastAsia" w:ascii="Times New Roman" w:hAnsi="Times New Roman" w:cs="Times New Roman"/>
                <w:color w:val="auto"/>
                <w:sz w:val="21"/>
              </w:rPr>
              <w:t>本</w:t>
            </w:r>
            <w:r>
              <w:rPr>
                <w:rFonts w:ascii="Times New Roman" w:hAnsi="Times New Roman" w:cs="Times New Roman"/>
                <w:color w:val="auto"/>
                <w:kern w:val="0"/>
                <w:sz w:val="21"/>
                <w:szCs w:val="21"/>
              </w:rPr>
              <w:t>项目主要加工工艺为</w:t>
            </w:r>
            <w:r>
              <w:rPr>
                <w:rFonts w:hint="eastAsia" w:ascii="Times New Roman" w:hAnsi="Times New Roman" w:cs="Times New Roman"/>
                <w:color w:val="auto"/>
                <w:kern w:val="0"/>
                <w:sz w:val="21"/>
                <w:szCs w:val="21"/>
                <w:lang w:val="en-US" w:eastAsia="zh-CN"/>
              </w:rPr>
              <w:t>投料分散</w:t>
            </w:r>
            <w:r>
              <w:rPr>
                <w:rFonts w:hint="eastAsia" w:ascii="Times New Roman" w:hAnsi="Times New Roman" w:cs="Times New Roman"/>
                <w:color w:val="auto"/>
                <w:kern w:val="0"/>
                <w:sz w:val="21"/>
                <w:szCs w:val="21"/>
              </w:rPr>
              <w:t>、搅拌</w:t>
            </w:r>
            <w:r>
              <w:rPr>
                <w:rFonts w:hint="eastAsia" w:ascii="Times New Roman" w:hAnsi="Times New Roman" w:cs="Times New Roman"/>
                <w:color w:val="auto"/>
                <w:kern w:val="0"/>
                <w:sz w:val="21"/>
                <w:szCs w:val="21"/>
                <w:lang w:val="en-US" w:eastAsia="zh-CN"/>
              </w:rPr>
              <w:t>分装、压料灌装</w:t>
            </w:r>
            <w:r>
              <w:rPr>
                <w:rFonts w:ascii="Times New Roman" w:hAnsi="Times New Roman" w:cs="Times New Roman"/>
                <w:color w:val="auto"/>
                <w:kern w:val="0"/>
                <w:sz w:val="21"/>
                <w:szCs w:val="21"/>
              </w:rPr>
              <w:t>等工艺，</w:t>
            </w:r>
            <w:r>
              <w:rPr>
                <w:rFonts w:ascii="Times New Roman" w:hAnsi="Times New Roman" w:cs="Times New Roman"/>
                <w:bCs/>
                <w:color w:val="auto"/>
                <w:sz w:val="21"/>
                <w:szCs w:val="21"/>
                <w:lang w:val="en-US"/>
              </w:rPr>
              <w:t>其他配套设施水、电管网均已铺设完毕。本项目依托现有供水、</w:t>
            </w:r>
            <w:r>
              <w:rPr>
                <w:rFonts w:hint="eastAsia" w:ascii="Times New Roman" w:hAnsi="Times New Roman" w:cs="Times New Roman"/>
                <w:bCs/>
                <w:color w:val="auto"/>
                <w:sz w:val="21"/>
                <w:szCs w:val="21"/>
                <w:lang w:val="en-US" w:eastAsia="zh-CN"/>
              </w:rPr>
              <w:t>供电</w:t>
            </w:r>
            <w:r>
              <w:rPr>
                <w:rFonts w:ascii="Times New Roman" w:hAnsi="Times New Roman" w:cs="Times New Roman"/>
                <w:bCs/>
                <w:color w:val="auto"/>
                <w:sz w:val="21"/>
                <w:szCs w:val="21"/>
                <w:lang w:val="en-US"/>
              </w:rPr>
              <w:t>管网及变压器。</w:t>
            </w:r>
            <w:r>
              <w:rPr>
                <w:rFonts w:hint="eastAsia" w:ascii="Times New Roman" w:hAnsi="Times New Roman" w:cs="Times New Roman"/>
                <w:color w:val="auto"/>
                <w:kern w:val="0"/>
                <w:sz w:val="21"/>
                <w:szCs w:val="21"/>
              </w:rPr>
              <w:t>经严格污染防控措施治理后</w:t>
            </w:r>
            <w:r>
              <w:rPr>
                <w:rFonts w:ascii="Times New Roman" w:hAnsi="Times New Roman" w:cs="Times New Roman"/>
                <w:color w:val="auto"/>
                <w:kern w:val="0"/>
                <w:sz w:val="21"/>
                <w:szCs w:val="21"/>
              </w:rPr>
              <w:t>污染情况较轻，</w:t>
            </w:r>
            <w:r>
              <w:rPr>
                <w:rFonts w:ascii="Times New Roman" w:hAnsi="Times New Roman" w:cs="Times New Roman"/>
                <w:color w:val="auto"/>
                <w:sz w:val="21"/>
                <w:szCs w:val="21"/>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w:t>
            </w:r>
            <w:r>
              <w:rPr>
                <w:rFonts w:hint="eastAsia" w:ascii="Times New Roman" w:hAnsi="Times New Roman" w:cs="Times New Roman"/>
                <w:color w:val="auto"/>
                <w:sz w:val="21"/>
                <w:szCs w:val="21"/>
              </w:rPr>
              <w:t>“</w:t>
            </w:r>
            <w:r>
              <w:rPr>
                <w:rFonts w:ascii="Times New Roman" w:hAnsi="Times New Roman" w:cs="Times New Roman"/>
                <w:color w:val="auto"/>
                <w:sz w:val="21"/>
                <w:szCs w:val="21"/>
              </w:rPr>
              <w:t>三废</w:t>
            </w:r>
            <w:r>
              <w:rPr>
                <w:rFonts w:hint="eastAsia" w:ascii="Times New Roman" w:hAnsi="Times New Roman" w:cs="Times New Roman"/>
                <w:color w:val="auto"/>
                <w:sz w:val="21"/>
                <w:szCs w:val="21"/>
              </w:rPr>
              <w:t>”</w:t>
            </w:r>
            <w:r>
              <w:rPr>
                <w:rFonts w:ascii="Times New Roman" w:hAnsi="Times New Roman" w:cs="Times New Roman"/>
                <w:color w:val="auto"/>
                <w:sz w:val="21"/>
                <w:szCs w:val="21"/>
              </w:rPr>
              <w:t>对周围环境影响不大。</w:t>
            </w:r>
            <w:r>
              <w:rPr>
                <w:rFonts w:hint="eastAsia" w:ascii="Times New Roman" w:hAnsi="Times New Roman" w:cs="Times New Roman"/>
                <w:color w:val="auto"/>
                <w:sz w:val="21"/>
                <w:szCs w:val="21"/>
              </w:rPr>
              <w:t>项目</w:t>
            </w:r>
            <w:r>
              <w:rPr>
                <w:rFonts w:ascii="Times New Roman" w:hAnsi="Times New Roman" w:cs="Times New Roman"/>
                <w:color w:val="auto"/>
                <w:sz w:val="21"/>
                <w:szCs w:val="21"/>
              </w:rPr>
              <w:t>占地符合规划要求，土地资源利用合理，切实保护土地资源。</w:t>
            </w:r>
            <w:r>
              <w:rPr>
                <w:rFonts w:hint="eastAsia" w:ascii="Times New Roman" w:hAnsi="Times New Roman" w:cs="Times New Roman"/>
                <w:color w:val="auto"/>
                <w:sz w:val="21"/>
                <w:szCs w:val="21"/>
              </w:rPr>
              <w:t>排放的污染物</w:t>
            </w:r>
            <w:r>
              <w:rPr>
                <w:rFonts w:ascii="Times New Roman" w:hAnsi="Times New Roman" w:cs="Times New Roman"/>
                <w:color w:val="auto"/>
                <w:sz w:val="21"/>
                <w:szCs w:val="21"/>
              </w:rPr>
              <w:t>对周围环境的影响可以接受。在采取相应环境风险防范措施并严格生产管理的条件下，其环境风险能达到可接受水平。按照本</w:t>
            </w:r>
            <w:r>
              <w:rPr>
                <w:rFonts w:hint="eastAsia" w:ascii="Times New Roman" w:hAnsi="Times New Roman" w:cs="Times New Roman"/>
                <w:color w:val="auto"/>
                <w:sz w:val="21"/>
                <w:szCs w:val="21"/>
              </w:rPr>
              <w:t>评价</w:t>
            </w:r>
            <w:r>
              <w:rPr>
                <w:rFonts w:ascii="Times New Roman" w:hAnsi="Times New Roman" w:cs="Times New Roman"/>
                <w:color w:val="auto"/>
                <w:sz w:val="21"/>
                <w:szCs w:val="21"/>
              </w:rPr>
              <w:t>实施后，资源及环境承载力均能满足要求</w:t>
            </w:r>
            <w:r>
              <w:rPr>
                <w:rFonts w:hint="eastAsia" w:ascii="Times New Roman" w:hAnsi="Times New Roman" w:cs="Times New Roman"/>
                <w:color w:val="auto"/>
                <w:sz w:val="21"/>
                <w:szCs w:val="21"/>
              </w:rPr>
              <w:t>。综上所述，</w:t>
            </w:r>
            <w:r>
              <w:rPr>
                <w:rFonts w:ascii="Times New Roman" w:hAnsi="Times New Roman" w:cs="Times New Roman"/>
                <w:color w:val="auto"/>
                <w:sz w:val="21"/>
                <w:szCs w:val="21"/>
              </w:rPr>
              <w:t>从</w:t>
            </w:r>
            <w:r>
              <w:rPr>
                <w:rFonts w:ascii="Times New Roman" w:hAnsi="Times New Roman" w:cs="Times New Roman"/>
                <w:bCs/>
                <w:color w:val="auto"/>
                <w:sz w:val="21"/>
                <w:szCs w:val="21"/>
              </w:rPr>
              <w:t>环境影响等方面综合分析，</w:t>
            </w:r>
            <w:r>
              <w:rPr>
                <w:rFonts w:hint="eastAsia" w:ascii="Times New Roman" w:hAnsi="Times New Roman" w:cs="Times New Roman"/>
                <w:bCs/>
                <w:color w:val="auto"/>
                <w:sz w:val="21"/>
                <w:szCs w:val="21"/>
                <w:lang w:val="en-US" w:eastAsia="zh-CN"/>
              </w:rPr>
              <w:t>大气环境对周边环境保护目标南街西村不会产生较大影响，</w:t>
            </w:r>
            <w:r>
              <w:rPr>
                <w:rFonts w:ascii="Times New Roman" w:hAnsi="Times New Roman" w:cs="Times New Roman"/>
                <w:bCs/>
                <w:color w:val="auto"/>
                <w:sz w:val="21"/>
                <w:szCs w:val="21"/>
              </w:rPr>
              <w:t>本项目选址可行。</w:t>
            </w:r>
          </w:p>
        </w:tc>
      </w:tr>
    </w:tbl>
    <w:p w14:paraId="0AC475C1">
      <w:pPr>
        <w:jc w:val="center"/>
        <w:rPr>
          <w:rFonts w:ascii="Times New Roman" w:hAnsi="Times New Roman" w:cs="Times New Roman"/>
          <w:color w:val="auto"/>
          <w:sz w:val="21"/>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start="1"/>
          <w:cols w:space="720" w:num="1"/>
        </w:sectPr>
      </w:pPr>
    </w:p>
    <w:p w14:paraId="5A0AEC53">
      <w:pPr>
        <w:pStyle w:val="12"/>
        <w:spacing w:before="58"/>
        <w:ind w:left="635" w:right="653"/>
        <w:jc w:val="center"/>
        <w:rPr>
          <w:rFonts w:hint="default" w:ascii="Times New Roman" w:hAnsi="Times New Roman" w:cs="Times New Roman"/>
          <w:color w:val="auto"/>
          <w:sz w:val="21"/>
        </w:rPr>
      </w:pPr>
      <w:r>
        <w:rPr>
          <w:rFonts w:hint="default" w:ascii="Times New Roman" w:hAnsi="Times New Roman" w:cs="Times New Roman"/>
          <w:color w:val="auto"/>
        </w:rPr>
        <w:t>二、建设项目工程分析</w:t>
      </w:r>
    </w:p>
    <w:tbl>
      <w:tblPr>
        <w:tblStyle w:val="34"/>
        <w:tblW w:w="936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3"/>
        <w:gridCol w:w="8996"/>
      </w:tblGrid>
      <w:tr w14:paraId="785D8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17" w:hRule="atLeast"/>
          <w:jc w:val="center"/>
        </w:trPr>
        <w:tc>
          <w:tcPr>
            <w:tcW w:w="373" w:type="dxa"/>
            <w:tcBorders>
              <w:bottom w:val="single" w:color="000000" w:sz="4" w:space="0"/>
              <w:right w:val="single" w:color="000000" w:sz="4" w:space="0"/>
            </w:tcBorders>
            <w:vAlign w:val="center"/>
          </w:tcPr>
          <w:p w14:paraId="639E8804">
            <w:pPr>
              <w:pStyle w:val="55"/>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auto"/>
                <w:sz w:val="21"/>
                <w:szCs w:val="21"/>
              </w:rPr>
            </w:pPr>
            <w:bookmarkStart w:id="8" w:name="_GoBack"/>
            <w:r>
              <w:rPr>
                <w:rFonts w:hint="default" w:ascii="Times New Roman" w:hAnsi="Times New Roman" w:cs="Times New Roman"/>
                <w:b/>
                <w:bCs/>
                <w:color w:val="auto"/>
                <w:sz w:val="21"/>
                <w:szCs w:val="21"/>
              </w:rPr>
              <w:t>建</w:t>
            </w:r>
          </w:p>
          <w:p w14:paraId="1C1109AE">
            <w:pPr>
              <w:pStyle w:val="55"/>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设</w:t>
            </w:r>
          </w:p>
          <w:p w14:paraId="18D178B1">
            <w:pPr>
              <w:pStyle w:val="55"/>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内</w:t>
            </w:r>
          </w:p>
          <w:p w14:paraId="4988B154">
            <w:pPr>
              <w:pStyle w:val="55"/>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容</w:t>
            </w:r>
          </w:p>
        </w:tc>
        <w:tc>
          <w:tcPr>
            <w:tcW w:w="8996" w:type="dxa"/>
            <w:tcBorders>
              <w:left w:val="single" w:color="000000" w:sz="4" w:space="0"/>
              <w:bottom w:val="single" w:color="000000" w:sz="4" w:space="0"/>
            </w:tcBorders>
            <w:vAlign w:val="top"/>
          </w:tcPr>
          <w:p w14:paraId="02DA503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一、项目由来</w:t>
            </w:r>
          </w:p>
          <w:p w14:paraId="35B09DF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outlineLvl w:val="2"/>
              <w:rPr>
                <w:rFonts w:hint="eastAsia" w:ascii="Times New Roman" w:hAnsi="Times New Roman" w:cs="Times New Roman"/>
                <w:color w:val="auto"/>
                <w:sz w:val="21"/>
                <w:szCs w:val="21"/>
                <w:lang w:val="zh-CN" w:eastAsia="zh-CN"/>
              </w:rPr>
            </w:pPr>
            <w:r>
              <w:rPr>
                <w:rFonts w:hint="eastAsia" w:ascii="Times New Roman" w:hAnsi="Times New Roman" w:cs="Times New Roman"/>
                <w:color w:val="auto"/>
                <w:sz w:val="21"/>
                <w:szCs w:val="21"/>
                <w:lang w:val="zh-CN" w:eastAsia="zh-CN"/>
              </w:rPr>
              <w:t>随着居民装修档次的提高，美缝剂的需求越来越大，美缝剂凝固后在资砖缝上会形成光滑如瓷的洁净面，耐磨、防水、防油、不沾脏污、有优异的自洁性，不易藏污纳垢易清洁、一擦就净，它的硬度，黏结强度，使用寿命等方面都优于填缝剂，从而可彻底解决普遍存在的瓷砖缝脏黑又难以清洁难题。</w:t>
            </w:r>
          </w:p>
          <w:p w14:paraId="3B3AB273">
            <w:pPr>
              <w:keepNext w:val="0"/>
              <w:keepLines w:val="0"/>
              <w:pageBreakBefore w:val="0"/>
              <w:widowControl w:val="0"/>
              <w:kinsoku/>
              <w:wordWrap/>
              <w:overflowPunct/>
              <w:topLinePunct w:val="0"/>
              <w:autoSpaceDE/>
              <w:autoSpaceDN/>
              <w:bidi w:val="0"/>
              <w:adjustRightInd w:val="0"/>
              <w:snapToGrid w:val="0"/>
              <w:spacing w:before="0" w:after="0" w:line="400" w:lineRule="exact"/>
              <w:ind w:left="110" w:leftChars="50" w:right="0" w:firstLine="420" w:firstLineChars="200"/>
              <w:jc w:val="both"/>
              <w:textAlignment w:val="auto"/>
              <w:rPr>
                <w:rFonts w:hint="eastAsia" w:ascii="Times New Roman" w:hAnsi="Times New Roman" w:cs="Times New Roman"/>
                <w:b w:val="0"/>
                <w:bCs w:val="0"/>
                <w:color w:val="auto"/>
                <w:sz w:val="21"/>
                <w:szCs w:val="21"/>
                <w:highlight w:val="yellow"/>
                <w:lang w:val="en-US" w:eastAsia="zh-CN"/>
              </w:rPr>
            </w:pPr>
            <w:r>
              <w:rPr>
                <w:rFonts w:hint="eastAsia" w:ascii="Times New Roman" w:hAnsi="Times New Roman" w:cs="Times New Roman"/>
                <w:color w:val="auto"/>
                <w:sz w:val="21"/>
                <w:szCs w:val="21"/>
                <w:lang w:val="zh-CN" w:eastAsia="zh-CN"/>
              </w:rPr>
              <w:t>河北</w:t>
            </w:r>
            <w:r>
              <w:rPr>
                <w:rFonts w:hint="eastAsia" w:ascii="Times New Roman" w:hAnsi="Times New Roman" w:cs="Times New Roman"/>
                <w:color w:val="auto"/>
                <w:sz w:val="21"/>
                <w:szCs w:val="21"/>
                <w:lang w:val="en-US" w:eastAsia="zh-CN"/>
              </w:rPr>
              <w:t>曼捷新型材料科技</w:t>
            </w:r>
            <w:r>
              <w:rPr>
                <w:rFonts w:hint="eastAsia" w:ascii="Times New Roman" w:hAnsi="Times New Roman" w:cs="Times New Roman"/>
                <w:color w:val="auto"/>
                <w:sz w:val="21"/>
                <w:szCs w:val="21"/>
                <w:lang w:val="zh-CN" w:eastAsia="zh-CN"/>
              </w:rPr>
              <w:t>有限公司</w:t>
            </w:r>
            <w:r>
              <w:rPr>
                <w:rFonts w:hint="eastAsia" w:ascii="Times New Roman" w:hAnsi="Times New Roman" w:cs="Times New Roman"/>
                <w:b w:val="0"/>
                <w:bCs w:val="0"/>
                <w:color w:val="auto"/>
                <w:sz w:val="21"/>
                <w:szCs w:val="21"/>
                <w:lang w:val="en-US" w:eastAsia="zh-CN"/>
              </w:rPr>
              <w:t>成立于2025年4月15日，租赁现有闲置厂房</w:t>
            </w:r>
            <w:r>
              <w:rPr>
                <w:rFonts w:hint="default" w:ascii="Times New Roman" w:hAnsi="Times New Roman" w:eastAsia="宋体" w:cs="Times New Roman"/>
                <w:bCs/>
                <w:color w:val="auto"/>
                <w:sz w:val="21"/>
                <w:szCs w:val="21"/>
                <w:highlight w:val="none"/>
                <w:lang w:eastAsia="zh-CN"/>
              </w:rPr>
              <w:t>建设</w:t>
            </w:r>
            <w:r>
              <w:rPr>
                <w:rFonts w:hint="eastAsia" w:ascii="Times New Roman" w:hAnsi="Times New Roman" w:cs="Times New Roman"/>
                <w:color w:val="auto"/>
                <w:sz w:val="21"/>
                <w:szCs w:val="21"/>
                <w:lang w:val="zh-CN" w:eastAsia="zh-CN"/>
              </w:rPr>
              <w:t>河北</w:t>
            </w:r>
            <w:r>
              <w:rPr>
                <w:rFonts w:hint="eastAsia" w:ascii="Times New Roman" w:hAnsi="Times New Roman" w:cs="Times New Roman"/>
                <w:color w:val="auto"/>
                <w:sz w:val="21"/>
                <w:szCs w:val="21"/>
                <w:lang w:val="en-US" w:eastAsia="zh-CN"/>
              </w:rPr>
              <w:t>曼捷新型材料科技</w:t>
            </w:r>
            <w:r>
              <w:rPr>
                <w:rFonts w:hint="eastAsia" w:ascii="Times New Roman" w:hAnsi="Times New Roman" w:cs="Times New Roman"/>
                <w:color w:val="auto"/>
                <w:sz w:val="21"/>
                <w:szCs w:val="21"/>
                <w:lang w:val="zh-CN" w:eastAsia="zh-CN"/>
              </w:rPr>
              <w:t>有限公司建筑美缝材料混合、分装项目</w:t>
            </w:r>
            <w:r>
              <w:rPr>
                <w:rFonts w:hint="eastAsia" w:ascii="Times New Roman" w:hAnsi="Times New Roman" w:cs="Times New Roman"/>
                <w:b w:val="0"/>
                <w:bCs w:val="0"/>
                <w:color w:val="auto"/>
                <w:sz w:val="21"/>
                <w:szCs w:val="21"/>
                <w:lang w:val="en-US" w:eastAsia="zh-CN"/>
              </w:rPr>
              <w:t>。现有厂房占地面积1.5亩（1000平方米），分为紧邻的南北两部分，中间由墙隔开，有门连通。现已完成地面硬化。厂房自建成后一直当做库房用于闲置材料储存，现已将厂房内存放物品清空。</w:t>
            </w:r>
            <w:r>
              <w:rPr>
                <w:rFonts w:hint="eastAsia" w:ascii="Times New Roman" w:hAnsi="Times New Roman" w:cs="Times New Roman"/>
                <w:bCs/>
                <w:color w:val="auto"/>
                <w:sz w:val="21"/>
                <w:szCs w:val="21"/>
                <w:lang w:val="en-US" w:eastAsia="zh-CN"/>
              </w:rPr>
              <w:t>项目</w:t>
            </w:r>
            <w:r>
              <w:rPr>
                <w:rFonts w:ascii="Times New Roman" w:hAnsi="Times New Roman" w:cs="Times New Roman"/>
                <w:bCs/>
                <w:color w:val="auto"/>
                <w:sz w:val="21"/>
                <w:szCs w:val="21"/>
                <w:lang w:val="en-US"/>
              </w:rPr>
              <w:t>其他配套设施水、电管网均已铺设完毕。本项目依托现有供水、</w:t>
            </w:r>
            <w:r>
              <w:rPr>
                <w:rFonts w:hint="eastAsia" w:ascii="Times New Roman" w:hAnsi="Times New Roman" w:cs="Times New Roman"/>
                <w:bCs/>
                <w:color w:val="auto"/>
                <w:sz w:val="21"/>
                <w:szCs w:val="21"/>
                <w:lang w:val="en-US" w:eastAsia="zh-CN"/>
              </w:rPr>
              <w:t>供电</w:t>
            </w:r>
            <w:r>
              <w:rPr>
                <w:rFonts w:ascii="Times New Roman" w:hAnsi="Times New Roman" w:cs="Times New Roman"/>
                <w:bCs/>
                <w:color w:val="auto"/>
                <w:sz w:val="21"/>
                <w:szCs w:val="21"/>
                <w:lang w:val="en-US"/>
              </w:rPr>
              <w:t>管网及变压器。</w:t>
            </w:r>
            <w:r>
              <w:rPr>
                <w:rFonts w:hint="eastAsia" w:ascii="Times New Roman" w:hAnsi="Times New Roman" w:cs="Times New Roman"/>
                <w:bCs/>
                <w:color w:val="auto"/>
                <w:sz w:val="21"/>
                <w:szCs w:val="21"/>
                <w:lang w:val="en-US" w:eastAsia="zh-CN"/>
              </w:rPr>
              <w:t>项目建成后，年混合、分装建筑美缝材料2000吨。</w:t>
            </w:r>
            <w:r>
              <w:rPr>
                <w:rFonts w:hint="eastAsia" w:ascii="Times New Roman" w:hAnsi="Times New Roman" w:cs="Times New Roman"/>
                <w:color w:val="auto"/>
                <w:sz w:val="21"/>
                <w:szCs w:val="21"/>
                <w:lang w:val="zh-CN" w:eastAsia="zh-CN"/>
              </w:rPr>
              <w:t>河北</w:t>
            </w:r>
            <w:r>
              <w:rPr>
                <w:rFonts w:hint="eastAsia" w:ascii="Times New Roman" w:hAnsi="Times New Roman" w:cs="Times New Roman"/>
                <w:color w:val="auto"/>
                <w:sz w:val="21"/>
                <w:szCs w:val="21"/>
                <w:lang w:val="en-US" w:eastAsia="zh-CN"/>
              </w:rPr>
              <w:t>曼捷新型材料科技</w:t>
            </w:r>
            <w:r>
              <w:rPr>
                <w:rFonts w:hint="eastAsia" w:ascii="Times New Roman" w:hAnsi="Times New Roman" w:cs="Times New Roman"/>
                <w:color w:val="auto"/>
                <w:sz w:val="21"/>
                <w:szCs w:val="21"/>
                <w:lang w:val="zh-CN" w:eastAsia="zh-CN"/>
              </w:rPr>
              <w:t>有限公司建筑美缝材料混合、分装项目</w:t>
            </w:r>
            <w:r>
              <w:rPr>
                <w:rFonts w:hint="eastAsia" w:ascii="Times New Roman" w:hAnsi="Times New Roman" w:cs="Times New Roman"/>
                <w:color w:val="auto"/>
                <w:sz w:val="21"/>
                <w:szCs w:val="21"/>
                <w:lang w:val="en-US" w:eastAsia="zh-CN"/>
              </w:rPr>
              <w:t>已在魏县行政审批局备案（见附件），其备案编号：魏审批备字</w:t>
            </w:r>
            <w:r>
              <w:rPr>
                <w:rFonts w:hint="default" w:ascii="Times New Roman" w:hAnsi="Times New Roman" w:cs="Times New Roman"/>
                <w:color w:val="auto"/>
                <w:sz w:val="21"/>
                <w:szCs w:val="21"/>
                <w:lang w:eastAsia="zh-CN"/>
              </w:rPr>
              <w:t>〔20</w:t>
            </w:r>
            <w:r>
              <w:rPr>
                <w:rFonts w:hint="eastAsia" w:ascii="Times New Roman" w:hAnsi="Times New Roman" w:cs="Times New Roman"/>
                <w:color w:val="auto"/>
                <w:sz w:val="21"/>
                <w:szCs w:val="21"/>
                <w:lang w:val="en-US" w:eastAsia="zh-CN"/>
              </w:rPr>
              <w:t>25</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692</w:t>
            </w:r>
            <w:r>
              <w:rPr>
                <w:rFonts w:hint="default" w:ascii="Times New Roman" w:hAnsi="Times New Roman" w:cs="Times New Roman"/>
                <w:color w:val="auto"/>
                <w:sz w:val="21"/>
                <w:szCs w:val="21"/>
                <w:lang w:eastAsia="zh-CN"/>
              </w:rPr>
              <w:t>号</w:t>
            </w:r>
            <w:r>
              <w:rPr>
                <w:rFonts w:hint="eastAsia" w:ascii="Times New Roman" w:hAnsi="Times New Roman" w:cs="Times New Roman"/>
                <w:color w:val="auto"/>
                <w:sz w:val="21"/>
                <w:szCs w:val="21"/>
                <w:lang w:eastAsia="zh-CN"/>
              </w:rPr>
              <w:t>。</w:t>
            </w:r>
          </w:p>
          <w:p w14:paraId="3A5537F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outlineLvl w:val="2"/>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根据《中华人民共和国环境影响评价法》、《建设项目环境保护管理条例》以及《建设项目环境影响评价分类管理名录》（2021年版）的有关规定，该项目属</w:t>
            </w:r>
            <w:r>
              <w:rPr>
                <w:rFonts w:hint="eastAsia" w:ascii="Times New Roman" w:hAnsi="Times New Roman" w:cs="Times New Roman"/>
                <w:b w:val="0"/>
                <w:bCs w:val="0"/>
                <w:color w:val="auto"/>
                <w:sz w:val="21"/>
                <w:szCs w:val="21"/>
                <w:lang w:val="en-US" w:eastAsia="zh-CN"/>
              </w:rPr>
              <w:t>“</w:t>
            </w:r>
            <w:r>
              <w:rPr>
                <w:rFonts w:hint="default" w:ascii="Times New Roman" w:hAnsi="Times New Roman" w:eastAsia="宋体" w:cs="Times New Roman"/>
                <w:color w:val="auto"/>
                <w:sz w:val="21"/>
                <w:szCs w:val="21"/>
                <w:lang w:val="en-US"/>
              </w:rPr>
              <w:t>二十三、化学原料和化学制品制造业26-涂料、油墨、颜料及类似产品制造264</w:t>
            </w:r>
            <w:r>
              <w:rPr>
                <w:rFonts w:hint="default" w:ascii="Times New Roman" w:hAnsi="Times New Roman" w:cs="Times New Roman"/>
                <w:color w:val="auto"/>
                <w:sz w:val="21"/>
                <w:szCs w:val="21"/>
                <w:lang w:val="en-US" w:eastAsia="zh-CN"/>
              </w:rPr>
              <w:t>-单纯物理分离、物理提纯、混合、分装的（不产生废水或挥发性有机物的除外）</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，需编制环境影响报告表。</w:t>
            </w:r>
          </w:p>
          <w:p w14:paraId="52DAC6A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outlineLvl w:val="2"/>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color w:val="auto"/>
                <w:sz w:val="21"/>
                <w:szCs w:val="21"/>
                <w:lang w:val="zh-CN" w:eastAsia="zh-CN"/>
              </w:rPr>
              <w:t>河北</w:t>
            </w:r>
            <w:r>
              <w:rPr>
                <w:rFonts w:hint="eastAsia" w:ascii="Times New Roman" w:hAnsi="Times New Roman" w:cs="Times New Roman"/>
                <w:color w:val="auto"/>
                <w:sz w:val="21"/>
                <w:szCs w:val="21"/>
                <w:lang w:val="en-US" w:eastAsia="zh-CN"/>
              </w:rPr>
              <w:t>曼捷新型材料科技</w:t>
            </w:r>
            <w:r>
              <w:rPr>
                <w:rFonts w:hint="eastAsia" w:ascii="Times New Roman" w:hAnsi="Times New Roman" w:cs="Times New Roman"/>
                <w:color w:val="auto"/>
                <w:sz w:val="21"/>
                <w:szCs w:val="21"/>
                <w:lang w:val="zh-CN" w:eastAsia="zh-CN"/>
              </w:rPr>
              <w:t>有限公司</w:t>
            </w:r>
            <w:r>
              <w:rPr>
                <w:rFonts w:hint="default" w:ascii="Times New Roman" w:hAnsi="Times New Roman" w:cs="Times New Roman"/>
                <w:b w:val="0"/>
                <w:bCs w:val="0"/>
                <w:color w:val="auto"/>
                <w:sz w:val="21"/>
                <w:szCs w:val="21"/>
                <w:lang w:val="en-US" w:eastAsia="zh-CN"/>
              </w:rPr>
              <w:t>委托我公司进行该项目环境影响评价工作。接受委托后，我单位组织技术人员对本工程厂址进行了现场踏勘，较详细地搜集了与本工程有关的技术资料，按照《建设项目环境影响评价分类管理名录》（2021年版）、《建设项目环境影响报告表编制技术指南（污染影响类）》等有关规定，编制完成了本项目环境影响报告表。</w:t>
            </w:r>
          </w:p>
          <w:p w14:paraId="1653B4C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二、建设项目基本内容</w:t>
            </w:r>
          </w:p>
          <w:p w14:paraId="25A752CE">
            <w:pPr>
              <w:keepNext w:val="0"/>
              <w:keepLines w:val="0"/>
              <w:pageBreakBefore w:val="0"/>
              <w:widowControl w:val="0"/>
              <w:kinsoku/>
              <w:wordWrap/>
              <w:overflowPunct/>
              <w:topLinePunct w:val="0"/>
              <w:autoSpaceDE/>
              <w:autoSpaceDN/>
              <w:bidi w:val="0"/>
              <w:adjustRightInd/>
              <w:snapToGrid/>
              <w:spacing w:before="0" w:after="0" w:line="400" w:lineRule="exact"/>
              <w:ind w:left="110" w:leftChars="50" w:right="0" w:rightChars="0" w:firstLine="422" w:firstLineChars="200"/>
              <w:jc w:val="both"/>
              <w:textAlignment w:val="auto"/>
              <w:outlineLvl w:val="2"/>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1、项目名称：</w:t>
            </w:r>
            <w:r>
              <w:rPr>
                <w:rFonts w:hint="eastAsia" w:ascii="Times New Roman" w:hAnsi="Times New Roman" w:cs="Times New Roman"/>
                <w:color w:val="auto"/>
                <w:sz w:val="21"/>
                <w:szCs w:val="21"/>
                <w:lang w:val="zh-CN" w:eastAsia="zh-CN"/>
              </w:rPr>
              <w:t>河北</w:t>
            </w:r>
            <w:r>
              <w:rPr>
                <w:rFonts w:hint="eastAsia" w:ascii="Times New Roman" w:hAnsi="Times New Roman" w:cs="Times New Roman"/>
                <w:color w:val="auto"/>
                <w:sz w:val="21"/>
                <w:szCs w:val="21"/>
                <w:lang w:val="en-US" w:eastAsia="zh-CN"/>
              </w:rPr>
              <w:t>曼捷新型材料科技</w:t>
            </w:r>
            <w:r>
              <w:rPr>
                <w:rFonts w:hint="eastAsia" w:ascii="Times New Roman" w:hAnsi="Times New Roman" w:cs="Times New Roman"/>
                <w:color w:val="auto"/>
                <w:sz w:val="21"/>
                <w:szCs w:val="21"/>
                <w:lang w:val="zh-CN" w:eastAsia="zh-CN"/>
              </w:rPr>
              <w:t>有限公司建筑美缝材料混合、分装项目</w:t>
            </w:r>
            <w:r>
              <w:rPr>
                <w:rFonts w:hint="default" w:ascii="Times New Roman" w:hAnsi="Times New Roman" w:eastAsia="宋体" w:cs="Times New Roman"/>
                <w:color w:val="auto"/>
                <w:sz w:val="21"/>
                <w:szCs w:val="21"/>
                <w:lang w:val="en-US" w:eastAsia="zh-CN"/>
              </w:rPr>
              <w:t>；</w:t>
            </w:r>
          </w:p>
          <w:p w14:paraId="3F8EFB23">
            <w:pPr>
              <w:keepNext w:val="0"/>
              <w:keepLines w:val="0"/>
              <w:pageBreakBefore w:val="0"/>
              <w:widowControl w:val="0"/>
              <w:kinsoku/>
              <w:wordWrap/>
              <w:overflowPunct/>
              <w:topLinePunct w:val="0"/>
              <w:autoSpaceDE/>
              <w:autoSpaceDN/>
              <w:bidi w:val="0"/>
              <w:adjustRightInd/>
              <w:snapToGrid/>
              <w:spacing w:before="0" w:after="0" w:line="400" w:lineRule="exact"/>
              <w:ind w:left="110" w:leftChars="50" w:right="0" w:rightChars="0" w:firstLine="422" w:firstLineChars="200"/>
              <w:jc w:val="both"/>
              <w:textAlignment w:val="auto"/>
              <w:outlineLvl w:val="2"/>
              <w:rPr>
                <w:rFonts w:hint="default" w:ascii="Times New Roman" w:hAnsi="Times New Roman" w:eastAsia="宋体" w:cs="Times New Roman"/>
                <w:bCs/>
                <w:color w:val="auto"/>
                <w:sz w:val="21"/>
                <w:szCs w:val="21"/>
                <w:lang w:val="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建设单位：</w:t>
            </w:r>
            <w:r>
              <w:rPr>
                <w:rFonts w:hint="eastAsia" w:ascii="Times New Roman" w:hAnsi="Times New Roman" w:cs="Times New Roman"/>
                <w:color w:val="auto"/>
                <w:sz w:val="21"/>
                <w:szCs w:val="21"/>
                <w:lang w:val="zh-CN" w:eastAsia="zh-CN"/>
              </w:rPr>
              <w:t>河北</w:t>
            </w:r>
            <w:r>
              <w:rPr>
                <w:rFonts w:hint="eastAsia" w:ascii="Times New Roman" w:hAnsi="Times New Roman" w:cs="Times New Roman"/>
                <w:color w:val="auto"/>
                <w:sz w:val="21"/>
                <w:szCs w:val="21"/>
                <w:lang w:val="en-US" w:eastAsia="zh-CN"/>
              </w:rPr>
              <w:t>曼捷新型材料科技</w:t>
            </w:r>
            <w:r>
              <w:rPr>
                <w:rFonts w:hint="eastAsia" w:ascii="Times New Roman" w:hAnsi="Times New Roman" w:cs="Times New Roman"/>
                <w:color w:val="auto"/>
                <w:sz w:val="21"/>
                <w:szCs w:val="21"/>
                <w:lang w:val="zh-CN" w:eastAsia="zh-CN"/>
              </w:rPr>
              <w:t>有限公司</w:t>
            </w:r>
            <w:r>
              <w:rPr>
                <w:rFonts w:hint="default" w:ascii="Times New Roman" w:hAnsi="Times New Roman" w:eastAsia="宋体" w:cs="Times New Roman"/>
                <w:color w:val="auto"/>
                <w:sz w:val="21"/>
                <w:szCs w:val="21"/>
                <w:lang w:val="en-US" w:eastAsia="zh-CN"/>
              </w:rPr>
              <w:t>；</w:t>
            </w:r>
          </w:p>
          <w:p w14:paraId="106E0D82">
            <w:pPr>
              <w:keepNext w:val="0"/>
              <w:keepLines w:val="0"/>
              <w:pageBreakBefore w:val="0"/>
              <w:widowControl w:val="0"/>
              <w:kinsoku/>
              <w:wordWrap/>
              <w:overflowPunct/>
              <w:topLinePunct w:val="0"/>
              <w:autoSpaceDE/>
              <w:autoSpaceDN/>
              <w:bidi w:val="0"/>
              <w:adjustRightInd/>
              <w:snapToGrid/>
              <w:spacing w:before="0" w:after="0" w:line="400" w:lineRule="exact"/>
              <w:ind w:left="110" w:leftChars="50" w:right="0" w:rightChars="0" w:firstLine="422" w:firstLineChars="200"/>
              <w:jc w:val="both"/>
              <w:textAlignment w:val="auto"/>
              <w:outlineLvl w:val="2"/>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建设性质：</w:t>
            </w:r>
            <w:r>
              <w:rPr>
                <w:rFonts w:hint="eastAsia" w:ascii="Times New Roman" w:hAnsi="Times New Roman" w:cs="Times New Roman"/>
                <w:color w:val="auto"/>
                <w:sz w:val="21"/>
                <w:szCs w:val="21"/>
                <w:lang w:eastAsia="zh-CN"/>
              </w:rPr>
              <w:t>新建</w:t>
            </w:r>
            <w:r>
              <w:rPr>
                <w:rFonts w:hint="default" w:ascii="Times New Roman" w:hAnsi="Times New Roman" w:cs="Times New Roman"/>
                <w:color w:val="auto"/>
                <w:sz w:val="21"/>
                <w:szCs w:val="21"/>
                <w:lang w:eastAsia="zh-CN"/>
              </w:rPr>
              <w:t>；</w:t>
            </w:r>
          </w:p>
          <w:p w14:paraId="4BECBE1A">
            <w:pPr>
              <w:keepNext w:val="0"/>
              <w:keepLines w:val="0"/>
              <w:pageBreakBefore w:val="0"/>
              <w:widowControl w:val="0"/>
              <w:kinsoku/>
              <w:wordWrap/>
              <w:overflowPunct/>
              <w:topLinePunct w:val="0"/>
              <w:autoSpaceDE/>
              <w:autoSpaceDN/>
              <w:bidi w:val="0"/>
              <w:snapToGrid/>
              <w:spacing w:before="0" w:after="0" w:line="400" w:lineRule="exact"/>
              <w:ind w:left="110" w:leftChars="50" w:right="0" w:rightChars="0" w:firstLine="422"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b/>
                <w:bCs/>
                <w:color w:val="auto"/>
                <w:sz w:val="21"/>
                <w:szCs w:val="21"/>
                <w:highlight w:val="none"/>
                <w:lang w:val="en-US" w:eastAsia="zh-CN"/>
              </w:rPr>
              <w:t>4、建设地点：</w:t>
            </w:r>
            <w:bookmarkStart w:id="1" w:name="_Toc10252"/>
            <w:r>
              <w:rPr>
                <w:rFonts w:hint="default" w:ascii="Times New Roman" w:hAnsi="Times New Roman" w:eastAsia="宋体" w:cs="Times New Roman"/>
                <w:color w:val="auto"/>
                <w:sz w:val="21"/>
                <w:szCs w:val="21"/>
                <w:lang w:val="zh-CN" w:eastAsia="zh-CN"/>
              </w:rPr>
              <w:t>本项目位于</w:t>
            </w:r>
            <w:r>
              <w:rPr>
                <w:rFonts w:ascii="Times New Roman" w:hAnsi="Times New Roman" w:cs="Times New Roman"/>
                <w:color w:val="auto"/>
                <w:sz w:val="21"/>
                <w:szCs w:val="21"/>
                <w:lang w:val="en-US"/>
              </w:rPr>
              <w:t>河北省</w:t>
            </w:r>
            <w:r>
              <w:rPr>
                <w:rFonts w:hint="eastAsia" w:ascii="Times New Roman" w:hAnsi="Times New Roman" w:cs="Times New Roman"/>
                <w:color w:val="auto"/>
                <w:sz w:val="21"/>
                <w:szCs w:val="21"/>
                <w:lang w:val="en-US"/>
              </w:rPr>
              <w:t>邯郸市魏县</w:t>
            </w:r>
            <w:r>
              <w:rPr>
                <w:rFonts w:hint="eastAsia" w:ascii="Times New Roman" w:hAnsi="Times New Roman" w:cs="Times New Roman"/>
                <w:color w:val="auto"/>
                <w:sz w:val="21"/>
                <w:szCs w:val="21"/>
                <w:lang w:val="en-US" w:eastAsia="zh-CN"/>
              </w:rPr>
              <w:t>回隆镇南街西村平安南路路北</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zh-CN" w:eastAsia="zh-CN"/>
              </w:rPr>
              <w:t>厂址中心地理坐标为</w:t>
            </w:r>
            <w:r>
              <w:rPr>
                <w:rFonts w:hint="default" w:ascii="Times New Roman" w:hAnsi="Times New Roman" w:cs="Times New Roman"/>
                <w:color w:val="auto"/>
                <w:sz w:val="21"/>
                <w:szCs w:val="20"/>
              </w:rPr>
              <w:t>东经114°45′17.786″，北纬36°8′39.98</w:t>
            </w:r>
            <w:r>
              <w:rPr>
                <w:rFonts w:hint="default" w:ascii="Times New Roman" w:hAnsi="Times New Roman" w:cs="Times New Roman"/>
                <w:color w:val="auto"/>
                <w:sz w:val="21"/>
                <w:szCs w:val="20"/>
                <w:lang w:val="en-US" w:eastAsia="zh-CN"/>
              </w:rPr>
              <w:t>6</w:t>
            </w:r>
            <w:r>
              <w:rPr>
                <w:rFonts w:hint="default" w:ascii="Times New Roman" w:hAnsi="Times New Roman" w:cs="Times New Roman"/>
                <w:color w:val="auto"/>
                <w:sz w:val="21"/>
                <w:szCs w:val="20"/>
              </w:rPr>
              <w:t>″</w:t>
            </w: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bCs/>
                <w:color w:val="auto"/>
                <w:sz w:val="21"/>
                <w:szCs w:val="21"/>
                <w:highlight w:val="none"/>
                <w:lang w:eastAsia="zh-CN"/>
              </w:rPr>
              <w:t>本项目租赁现有</w:t>
            </w:r>
            <w:r>
              <w:rPr>
                <w:rFonts w:hint="eastAsia" w:ascii="Times New Roman" w:hAnsi="Times New Roman" w:cs="Times New Roman"/>
                <w:bCs/>
                <w:color w:val="auto"/>
                <w:sz w:val="21"/>
                <w:szCs w:val="21"/>
                <w:highlight w:val="none"/>
                <w:lang w:val="en-US" w:eastAsia="zh-CN"/>
              </w:rPr>
              <w:t>闲置厂房，</w:t>
            </w:r>
            <w:r>
              <w:rPr>
                <w:rFonts w:ascii="Times New Roman" w:hAnsi="Times New Roman" w:cs="Times New Roman"/>
                <w:color w:val="auto"/>
                <w:sz w:val="21"/>
                <w:szCs w:val="21"/>
                <w:lang w:val="en-US"/>
              </w:rPr>
              <w:t>厂界</w:t>
            </w:r>
            <w:r>
              <w:rPr>
                <w:rFonts w:hint="eastAsia" w:ascii="Times New Roman" w:hAnsi="Times New Roman" w:cs="Times New Roman"/>
                <w:color w:val="auto"/>
                <w:sz w:val="21"/>
                <w:szCs w:val="21"/>
                <w:lang w:val="en-US"/>
              </w:rPr>
              <w:t>东</w:t>
            </w:r>
            <w:r>
              <w:rPr>
                <w:rFonts w:hint="eastAsia" w:ascii="Times New Roman" w:hAnsi="Times New Roman" w:cs="Times New Roman"/>
                <w:color w:val="auto"/>
                <w:sz w:val="21"/>
                <w:szCs w:val="21"/>
                <w:lang w:val="en-US" w:eastAsia="zh-CN"/>
              </w:rPr>
              <w:t>、西两</w:t>
            </w:r>
            <w:r>
              <w:rPr>
                <w:rFonts w:hint="eastAsia" w:ascii="Times New Roman" w:hAnsi="Times New Roman" w:cs="Times New Roman"/>
                <w:color w:val="auto"/>
                <w:sz w:val="21"/>
                <w:szCs w:val="21"/>
                <w:lang w:val="en-US"/>
              </w:rPr>
              <w:t>侧为空地，北侧</w:t>
            </w:r>
            <w:r>
              <w:rPr>
                <w:rFonts w:hint="eastAsia" w:ascii="Times New Roman" w:hAnsi="Times New Roman" w:cs="Times New Roman"/>
                <w:color w:val="auto"/>
                <w:sz w:val="21"/>
                <w:szCs w:val="21"/>
                <w:lang w:val="en-US" w:eastAsia="zh-CN"/>
              </w:rPr>
              <w:t>位闲置仓库</w:t>
            </w:r>
            <w:r>
              <w:rPr>
                <w:rFonts w:hint="eastAsia" w:ascii="Times New Roman" w:hAnsi="Times New Roman" w:cs="Times New Roman"/>
                <w:color w:val="auto"/>
                <w:sz w:val="21"/>
                <w:szCs w:val="21"/>
                <w:lang w:val="en-US"/>
              </w:rPr>
              <w:t>，南侧为</w:t>
            </w:r>
            <w:r>
              <w:rPr>
                <w:rFonts w:hint="eastAsia" w:ascii="Times New Roman" w:hAnsi="Times New Roman" w:cs="Times New Roman"/>
                <w:color w:val="auto"/>
                <w:sz w:val="21"/>
                <w:szCs w:val="21"/>
                <w:lang w:val="en-US" w:eastAsia="zh-CN"/>
              </w:rPr>
              <w:t>闲置厂房</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rPr>
              <w:t>其地理位置和</w:t>
            </w:r>
            <w:r>
              <w:rPr>
                <w:rFonts w:hint="default" w:ascii="Times New Roman" w:hAnsi="Times New Roman" w:cs="Times New Roman"/>
                <w:color w:val="auto"/>
                <w:sz w:val="21"/>
                <w:szCs w:val="21"/>
                <w:lang w:val="en-US" w:eastAsia="zh-CN"/>
              </w:rPr>
              <w:t>环境保护目标分布</w:t>
            </w:r>
            <w:r>
              <w:rPr>
                <w:rFonts w:hint="default" w:ascii="Times New Roman" w:hAnsi="Times New Roman" w:cs="Times New Roman"/>
                <w:color w:val="auto"/>
                <w:sz w:val="21"/>
                <w:szCs w:val="21"/>
              </w:rPr>
              <w:t>详见附图1、附图</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eastAsia="zh-CN"/>
              </w:rPr>
              <w:t>；</w:t>
            </w:r>
          </w:p>
          <w:bookmarkEnd w:id="1"/>
          <w:p w14:paraId="6FE0E95F">
            <w:pPr>
              <w:pStyle w:val="8"/>
              <w:keepNext w:val="0"/>
              <w:keepLines w:val="0"/>
              <w:pageBreakBefore w:val="0"/>
              <w:widowControl w:val="0"/>
              <w:kinsoku/>
              <w:wordWrap/>
              <w:overflowPunct/>
              <w:topLinePunct w:val="0"/>
              <w:autoSpaceDE/>
              <w:autoSpaceDN/>
              <w:bidi w:val="0"/>
              <w:snapToGrid/>
              <w:spacing w:before="0" w:after="0" w:line="400" w:lineRule="exact"/>
              <w:ind w:left="110" w:leftChars="50" w:right="0" w:rightChars="0" w:firstLine="422" w:firstLineChars="200"/>
              <w:jc w:val="both"/>
              <w:textAlignment w:val="auto"/>
              <w:rPr>
                <w:rFonts w:hint="default" w:ascii="Times New Roman" w:hAnsi="Times New Roman" w:eastAsia="宋体" w:cs="Times New Roman"/>
                <w:b w:val="0"/>
                <w:bCs w:val="0"/>
                <w:color w:val="auto"/>
                <w:sz w:val="21"/>
                <w:szCs w:val="21"/>
                <w:lang w:val="en-US" w:eastAsia="zh-CN" w:bidi="zh-CN"/>
              </w:rPr>
            </w:pPr>
            <w:bookmarkStart w:id="2" w:name="_Toc30271"/>
            <w:r>
              <w:rPr>
                <w:rFonts w:hint="default" w:ascii="Times New Roman" w:hAnsi="Times New Roman" w:cs="Times New Roman"/>
                <w:b/>
                <w:bCs/>
                <w:color w:val="auto"/>
                <w:sz w:val="21"/>
                <w:szCs w:val="21"/>
                <w:lang w:val="en-US" w:eastAsia="zh-CN"/>
              </w:rPr>
              <w:t>5、</w:t>
            </w:r>
            <w:bookmarkEnd w:id="2"/>
            <w:r>
              <w:rPr>
                <w:rFonts w:hint="default" w:ascii="Times New Roman" w:hAnsi="Times New Roman" w:cs="Times New Roman"/>
                <w:b/>
                <w:bCs/>
                <w:color w:val="auto"/>
                <w:sz w:val="21"/>
                <w:szCs w:val="21"/>
                <w:lang w:val="en-US" w:eastAsia="zh-CN"/>
              </w:rPr>
              <w:t>劳动定员与工作制度：</w:t>
            </w:r>
            <w:r>
              <w:rPr>
                <w:rFonts w:hint="default" w:ascii="Times New Roman" w:hAnsi="Times New Roman" w:cs="Times New Roman"/>
                <w:b w:val="0"/>
                <w:bCs w:val="0"/>
                <w:color w:val="auto"/>
                <w:sz w:val="21"/>
                <w:szCs w:val="21"/>
                <w:lang w:val="en-US" w:eastAsia="zh-CN"/>
              </w:rPr>
              <w:t>本项目劳动定员</w:t>
            </w:r>
            <w:r>
              <w:rPr>
                <w:rFonts w:hint="eastAsia" w:ascii="Times New Roman" w:hAnsi="Times New Roman" w:cs="Times New Roman"/>
                <w:b w:val="0"/>
                <w:bCs w:val="0"/>
                <w:color w:val="auto"/>
                <w:sz w:val="21"/>
                <w:szCs w:val="21"/>
                <w:lang w:val="en-US" w:eastAsia="zh-CN"/>
              </w:rPr>
              <w:t>1</w:t>
            </w:r>
            <w:r>
              <w:rPr>
                <w:rFonts w:hint="default" w:ascii="Times New Roman" w:hAnsi="Times New Roman" w:cs="Times New Roman"/>
                <w:b w:val="0"/>
                <w:bCs w:val="0"/>
                <w:color w:val="auto"/>
                <w:sz w:val="21"/>
                <w:szCs w:val="21"/>
                <w:lang w:val="en-US" w:eastAsia="zh-CN"/>
              </w:rPr>
              <w:t>0人，采取</w:t>
            </w:r>
            <w:r>
              <w:rPr>
                <w:rFonts w:hint="eastAsia" w:ascii="Times New Roman" w:hAnsi="Times New Roman" w:cs="Times New Roman"/>
                <w:b w:val="0"/>
                <w:bCs w:val="0"/>
                <w:color w:val="auto"/>
                <w:sz w:val="21"/>
                <w:szCs w:val="21"/>
                <w:lang w:val="en-US" w:eastAsia="zh-CN"/>
              </w:rPr>
              <w:t>一</w:t>
            </w:r>
            <w:r>
              <w:rPr>
                <w:rFonts w:hint="default" w:ascii="Times New Roman" w:hAnsi="Times New Roman" w:cs="Times New Roman"/>
                <w:b w:val="0"/>
                <w:bCs w:val="0"/>
                <w:color w:val="auto"/>
                <w:sz w:val="21"/>
                <w:szCs w:val="21"/>
                <w:lang w:val="en-US" w:eastAsia="zh-CN"/>
              </w:rPr>
              <w:t>班工作制，每班工作8小时，年工作时间300天。</w:t>
            </w:r>
          </w:p>
          <w:p w14:paraId="5836E06E">
            <w:pPr>
              <w:keepNext w:val="0"/>
              <w:keepLines w:val="0"/>
              <w:pageBreakBefore w:val="0"/>
              <w:widowControl w:val="0"/>
              <w:kinsoku/>
              <w:wordWrap/>
              <w:overflowPunct/>
              <w:topLinePunct w:val="0"/>
              <w:autoSpaceDE/>
              <w:autoSpaceDN/>
              <w:bidi w:val="0"/>
              <w:adjustRightInd/>
              <w:snapToGrid/>
              <w:spacing w:before="0" w:after="0" w:line="400" w:lineRule="exact"/>
              <w:ind w:left="110" w:leftChars="50" w:right="0" w:rightChars="0" w:firstLine="422" w:firstLineChars="200"/>
              <w:jc w:val="both"/>
              <w:textAlignment w:val="auto"/>
              <w:outlineLvl w:val="2"/>
              <w:rPr>
                <w:rFonts w:hint="default" w:ascii="Times New Roman" w:hAnsi="Times New Roman" w:cs="Times New Roman"/>
                <w:color w:val="auto"/>
                <w:sz w:val="21"/>
                <w:szCs w:val="21"/>
                <w:lang w:val="en-US"/>
              </w:rPr>
            </w:pPr>
            <w:r>
              <w:rPr>
                <w:rFonts w:hint="default"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lang w:eastAsia="zh-CN"/>
              </w:rPr>
              <w:t>项目投资：</w:t>
            </w:r>
            <w:r>
              <w:rPr>
                <w:rFonts w:hint="default" w:ascii="Times New Roman" w:hAnsi="Times New Roman" w:cs="Times New Roman"/>
                <w:color w:val="auto"/>
                <w:sz w:val="21"/>
                <w:szCs w:val="21"/>
                <w:lang w:eastAsia="zh-CN"/>
              </w:rPr>
              <w:t>项目总投资</w:t>
            </w:r>
            <w:r>
              <w:rPr>
                <w:rFonts w:hint="eastAsia" w:ascii="Times New Roman" w:hAnsi="Times New Roman" w:cs="Times New Roman"/>
                <w:color w:val="auto"/>
                <w:sz w:val="21"/>
                <w:szCs w:val="21"/>
                <w:lang w:val="en-US" w:eastAsia="zh-CN"/>
              </w:rPr>
              <w:t>200</w:t>
            </w:r>
            <w:r>
              <w:rPr>
                <w:rFonts w:hint="default" w:ascii="Times New Roman" w:hAnsi="Times New Roman" w:cs="Times New Roman"/>
                <w:color w:val="auto"/>
                <w:sz w:val="21"/>
                <w:szCs w:val="21"/>
                <w:lang w:val="en-US" w:eastAsia="zh-CN"/>
              </w:rPr>
              <w:t>万元，其中环保投资</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万元。</w:t>
            </w:r>
            <w:r>
              <w:rPr>
                <w:rFonts w:hint="default" w:ascii="Times New Roman" w:hAnsi="Times New Roman" w:eastAsia="宋体" w:cs="Times New Roman"/>
                <w:color w:val="auto"/>
                <w:sz w:val="21"/>
                <w:szCs w:val="21"/>
                <w:lang w:val="en-US" w:eastAsia="zh-CN"/>
              </w:rPr>
              <w:t>占总投资</w:t>
            </w:r>
            <w:r>
              <w:rPr>
                <w:rFonts w:hint="eastAsia" w:ascii="Times New Roman" w:hAnsi="Times New Roman" w:cs="Times New Roman"/>
                <w:color w:val="auto"/>
                <w:sz w:val="21"/>
                <w:szCs w:val="21"/>
                <w:lang w:val="en-US" w:eastAsia="zh-CN"/>
              </w:rPr>
              <w:t>10</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w:t>
            </w:r>
          </w:p>
          <w:p w14:paraId="52F2884A">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jc w:val="both"/>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eastAsia="zh-CN"/>
              </w:rPr>
              <w:t>建设内容：</w:t>
            </w:r>
            <w:r>
              <w:rPr>
                <w:rFonts w:hint="default" w:ascii="Times New Roman" w:hAnsi="Times New Roman" w:cs="Times New Roman"/>
                <w:b w:val="0"/>
                <w:bCs w:val="0"/>
                <w:color w:val="auto"/>
                <w:sz w:val="21"/>
                <w:szCs w:val="21"/>
                <w:lang w:eastAsia="zh-CN"/>
              </w:rPr>
              <w:t>项目</w:t>
            </w:r>
            <w:r>
              <w:rPr>
                <w:rFonts w:hint="default" w:ascii="Times New Roman" w:hAnsi="Times New Roman" w:cs="Times New Roman"/>
                <w:b w:val="0"/>
                <w:bCs w:val="0"/>
                <w:color w:val="auto"/>
                <w:sz w:val="21"/>
                <w:szCs w:val="21"/>
                <w:lang w:val="en-US" w:eastAsia="zh-CN"/>
              </w:rPr>
              <w:t>租赁现有闲置厂房，占地面积1.5亩，购置并安装防尘搅拌罐、分散机、灌装机、挤出机、包膜机、喷码机、转印机等生产设备约50台（套），项目建成后，年混合、分装建筑美缝材料2000吨。</w:t>
            </w:r>
          </w:p>
          <w:p w14:paraId="0C595ED7">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工</w:t>
            </w:r>
            <w:r>
              <w:rPr>
                <w:rFonts w:hint="default" w:ascii="Times New Roman" w:hAnsi="Times New Roman" w:cs="Times New Roman"/>
                <w:color w:val="auto"/>
                <w:sz w:val="21"/>
                <w:szCs w:val="21"/>
                <w:lang w:eastAsia="zh-CN"/>
              </w:rPr>
              <w:t>程内容一览表如下</w:t>
            </w:r>
            <w:r>
              <w:rPr>
                <w:rFonts w:hint="default" w:ascii="Times New Roman" w:hAnsi="Times New Roman" w:cs="Times New Roman"/>
                <w:color w:val="auto"/>
                <w:sz w:val="21"/>
                <w:szCs w:val="21"/>
                <w:lang w:val="en-US" w:eastAsia="zh-CN"/>
              </w:rPr>
              <w:t>。</w:t>
            </w:r>
          </w:p>
          <w:p w14:paraId="2B5902B8">
            <w:pPr>
              <w:pStyle w:val="8"/>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420" w:firstLineChars="20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rPr>
              <mc:AlternateContent>
                <mc:Choice Requires="wps">
                  <w:drawing>
                    <wp:anchor distT="0" distB="0" distL="114300" distR="114300" simplePos="0" relativeHeight="251665408" behindDoc="0" locked="0" layoutInCell="1" allowOverlap="1">
                      <wp:simplePos x="0" y="0"/>
                      <wp:positionH relativeFrom="column">
                        <wp:posOffset>-7101205</wp:posOffset>
                      </wp:positionH>
                      <wp:positionV relativeFrom="paragraph">
                        <wp:posOffset>-1002030</wp:posOffset>
                      </wp:positionV>
                      <wp:extent cx="635" cy="0"/>
                      <wp:effectExtent l="0" t="4445" r="0" b="5080"/>
                      <wp:wrapNone/>
                      <wp:docPr id="7" name="文本框 873"/>
                      <wp:cNvGraphicFramePr/>
                      <a:graphic xmlns:a="http://schemas.openxmlformats.org/drawingml/2006/main">
                        <a:graphicData uri="http://schemas.microsoft.com/office/word/2010/wordprocessingShape">
                          <wps:wsp>
                            <wps:cNvSpPr txBox="1"/>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14:paraId="2C5AD8E6">
                                  <w:r>
                                    <w:rPr>
                                      <w:rFonts w:hint="eastAsia"/>
                                      <w:szCs w:val="21"/>
                                    </w:rPr>
                                    <w:t>废气、噪声</w:t>
                                  </w:r>
                                </w:p>
                              </w:txbxContent>
                            </wps:txbx>
                            <wps:bodyPr upright="1"/>
                          </wps:wsp>
                        </a:graphicData>
                      </a:graphic>
                    </wp:anchor>
                  </w:drawing>
                </mc:Choice>
                <mc:Fallback>
                  <w:pict>
                    <v:shape id="文本框 873" o:spid="_x0000_s1026" o:spt="202" type="#_x0000_t202" style="position:absolute;left:0pt;margin-left:-559.15pt;margin-top:-78.9pt;height:0pt;width:0.05pt;z-index:251665408;mso-width-relative:page;mso-height-relative:page;" filled="f" stroked="t" coordsize="21600,21600" o:gfxdata="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xFbbAAAAEQEAAA8AAAAAAAAAAQAgAAAAIgAAAGRycy9k&#10;b3ducmV2LnhtbFBLAQIUABQAAAAIAIdO4kDQnm9V/wEAAAUEAAAOAAAAAAAAAAEAIAAAACoBAABk&#10;cnMvZTJvRG9jLnhtbFBLBQYAAAAABgAGAFkBAACbBQAAAAA=&#10;">
                      <v:fill on="f" focussize="0,0"/>
                      <v:stroke color="#000000" joinstyle="miter" dashstyle="dash"/>
                      <v:imagedata o:title=""/>
                      <o:lock v:ext="edit" aspectratio="f"/>
                      <v:textbox>
                        <w:txbxContent>
                          <w:p w14:paraId="2C5AD8E6">
                            <w:r>
                              <w:rPr>
                                <w:rFonts w:hint="eastAsia"/>
                                <w:szCs w:val="21"/>
                              </w:rPr>
                              <w:t>废气、噪声</w:t>
                            </w:r>
                          </w:p>
                        </w:txbxContent>
                      </v:textbox>
                    </v:shape>
                  </w:pict>
                </mc:Fallback>
              </mc:AlternateContent>
            </w: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 xml:space="preserve">2.1 </w:t>
            </w:r>
            <w:r>
              <w:rPr>
                <w:rFonts w:hint="default" w:ascii="Times New Roman" w:hAnsi="Times New Roman" w:cs="Times New Roman"/>
                <w:b/>
                <w:bCs/>
                <w:color w:val="auto"/>
                <w:sz w:val="21"/>
                <w:szCs w:val="21"/>
              </w:rPr>
              <w:t>项目工程内容一览表</w:t>
            </w:r>
          </w:p>
          <w:tbl>
            <w:tblPr>
              <w:tblStyle w:val="35"/>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62"/>
              <w:gridCol w:w="696"/>
              <w:gridCol w:w="1058"/>
              <w:gridCol w:w="6016"/>
            </w:tblGrid>
            <w:tr w14:paraId="6755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5" w:type="pct"/>
                  <w:noWrap w:val="0"/>
                  <w:vAlign w:val="center"/>
                </w:tcPr>
                <w:p w14:paraId="49FB396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203" w:type="pct"/>
                  <w:gridSpan w:val="3"/>
                  <w:noWrap w:val="0"/>
                  <w:vAlign w:val="center"/>
                </w:tcPr>
                <w:p w14:paraId="75F94B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3421" w:type="pct"/>
                  <w:noWrap w:val="0"/>
                  <w:vAlign w:val="center"/>
                </w:tcPr>
                <w:p w14:paraId="60894E6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工程内容</w:t>
                  </w:r>
                </w:p>
              </w:tc>
            </w:tr>
            <w:tr w14:paraId="33F5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75" w:type="pct"/>
                  <w:vMerge w:val="restart"/>
                  <w:noWrap w:val="0"/>
                  <w:vAlign w:val="center"/>
                </w:tcPr>
                <w:p w14:paraId="6169AF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主体工程</w:t>
                  </w:r>
                </w:p>
              </w:tc>
              <w:tc>
                <w:tcPr>
                  <w:tcW w:w="601" w:type="pct"/>
                  <w:gridSpan w:val="2"/>
                  <w:vMerge w:val="restart"/>
                  <w:noWrap w:val="0"/>
                  <w:vAlign w:val="center"/>
                </w:tcPr>
                <w:p w14:paraId="038E8B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厂房</w:t>
                  </w:r>
                </w:p>
              </w:tc>
              <w:tc>
                <w:tcPr>
                  <w:tcW w:w="601" w:type="pct"/>
                  <w:shd w:val="clear" w:color="auto" w:fill="auto"/>
                  <w:noWrap w:val="0"/>
                  <w:vAlign w:val="center"/>
                </w:tcPr>
                <w:p w14:paraId="6DB152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南部生产车间</w:t>
                  </w:r>
                </w:p>
              </w:tc>
              <w:tc>
                <w:tcPr>
                  <w:tcW w:w="3421" w:type="pct"/>
                  <w:noWrap w:val="0"/>
                  <w:vAlign w:val="center"/>
                </w:tcPr>
                <w:p w14:paraId="23D8B4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en-US" w:eastAsia="zh-CN"/>
                    </w:rPr>
                    <w:t xml:space="preserve">层，已建钢结构厂房，项目占地面积约 </w:t>
                  </w:r>
                  <w:r>
                    <w:rPr>
                      <w:rFonts w:hint="eastAsia" w:ascii="Times New Roman" w:hAnsi="Times New Roman" w:cs="Times New Roman"/>
                      <w:color w:val="auto"/>
                      <w:sz w:val="21"/>
                      <w:szCs w:val="21"/>
                      <w:lang w:val="en-US" w:eastAsia="zh-CN"/>
                    </w:rPr>
                    <w:t>48</w:t>
                  </w:r>
                  <w:r>
                    <w:rPr>
                      <w:rFonts w:hint="default" w:ascii="Times New Roman" w:hAnsi="Times New Roman" w:cs="Times New Roman"/>
                      <w:color w:val="auto"/>
                      <w:sz w:val="21"/>
                      <w:szCs w:val="21"/>
                      <w:lang w:val="en-US" w:eastAsia="zh-CN"/>
                    </w:rPr>
                    <w:t>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，用于加工生产美缝剂，划分为投料分散区、搅拌区、灌装区等区域</w:t>
                  </w:r>
                  <w:r>
                    <w:rPr>
                      <w:rFonts w:hint="eastAsia" w:ascii="Times New Roman" w:hAnsi="Times New Roman" w:cs="Times New Roman"/>
                      <w:color w:val="auto"/>
                      <w:sz w:val="21"/>
                      <w:szCs w:val="21"/>
                      <w:lang w:val="en-US" w:eastAsia="zh-CN"/>
                    </w:rPr>
                    <w:t>。厂房长</w:t>
                  </w:r>
                  <w:r>
                    <w:rPr>
                      <w:rFonts w:hint="default" w:ascii="Times New Roman" w:hAnsi="Times New Roman" w:cs="Times New Roman"/>
                      <w:color w:val="auto"/>
                      <w:sz w:val="21"/>
                      <w:szCs w:val="21"/>
                      <w:lang w:val="en-US" w:eastAsia="zh-CN"/>
                    </w:rPr>
                    <w:t>约</w:t>
                  </w:r>
                  <w:r>
                    <w:rPr>
                      <w:rFonts w:hint="eastAsia" w:ascii="Times New Roman" w:hAnsi="Times New Roman" w:cs="Times New Roman"/>
                      <w:color w:val="auto"/>
                      <w:sz w:val="21"/>
                      <w:szCs w:val="21"/>
                      <w:lang w:val="en-US" w:eastAsia="zh-CN"/>
                    </w:rPr>
                    <w:t>26.5m，宽</w:t>
                  </w:r>
                  <w:r>
                    <w:rPr>
                      <w:rFonts w:hint="default" w:ascii="Times New Roman" w:hAnsi="Times New Roman" w:cs="Times New Roman"/>
                      <w:color w:val="auto"/>
                      <w:sz w:val="21"/>
                      <w:szCs w:val="21"/>
                      <w:lang w:val="en-US" w:eastAsia="zh-CN"/>
                    </w:rPr>
                    <w:t>约</w:t>
                  </w:r>
                  <w:r>
                    <w:rPr>
                      <w:rFonts w:hint="eastAsia" w:ascii="Times New Roman" w:hAnsi="Times New Roman" w:cs="Times New Roman"/>
                      <w:color w:val="auto"/>
                      <w:sz w:val="21"/>
                      <w:szCs w:val="21"/>
                      <w:lang w:val="en-US" w:eastAsia="zh-CN"/>
                    </w:rPr>
                    <w:t>18m，高3m。</w:t>
                  </w:r>
                </w:p>
              </w:tc>
            </w:tr>
            <w:tr w14:paraId="0D91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75" w:type="pct"/>
                  <w:vMerge w:val="continue"/>
                  <w:noWrap w:val="0"/>
                  <w:vAlign w:val="center"/>
                </w:tcPr>
                <w:p w14:paraId="630EDC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eastAsia" w:ascii="Times New Roman" w:hAnsi="Times New Roman" w:cs="Times New Roman"/>
                      <w:color w:val="auto"/>
                      <w:sz w:val="21"/>
                      <w:szCs w:val="21"/>
                      <w:lang w:eastAsia="zh-CN"/>
                    </w:rPr>
                  </w:pPr>
                </w:p>
              </w:tc>
              <w:tc>
                <w:tcPr>
                  <w:tcW w:w="601" w:type="pct"/>
                  <w:gridSpan w:val="2"/>
                  <w:vMerge w:val="continue"/>
                  <w:noWrap w:val="0"/>
                  <w:vAlign w:val="center"/>
                </w:tcPr>
                <w:p w14:paraId="685ECB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601" w:type="pct"/>
                  <w:shd w:val="clear" w:color="auto" w:fill="auto"/>
                  <w:noWrap w:val="0"/>
                  <w:vAlign w:val="center"/>
                </w:tcPr>
                <w:p w14:paraId="00674F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北部库房</w:t>
                  </w:r>
                </w:p>
              </w:tc>
              <w:tc>
                <w:tcPr>
                  <w:tcW w:w="3421" w:type="pct"/>
                  <w:noWrap w:val="0"/>
                  <w:vAlign w:val="center"/>
                </w:tcPr>
                <w:p w14:paraId="55CA143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en-US" w:eastAsia="zh-CN"/>
                    </w:rPr>
                    <w:t xml:space="preserve">层，已建钢结构厂房，项目占地面积约 </w:t>
                  </w:r>
                  <w:r>
                    <w:rPr>
                      <w:rFonts w:hint="eastAsia" w:ascii="Times New Roman" w:hAnsi="Times New Roman" w:cs="Times New Roman"/>
                      <w:color w:val="auto"/>
                      <w:sz w:val="21"/>
                      <w:szCs w:val="21"/>
                      <w:lang w:val="en-US" w:eastAsia="zh-CN"/>
                    </w:rPr>
                    <w:t>52</w:t>
                  </w:r>
                  <w:r>
                    <w:rPr>
                      <w:rFonts w:hint="default" w:ascii="Times New Roman" w:hAnsi="Times New Roman" w:cs="Times New Roman"/>
                      <w:color w:val="auto"/>
                      <w:sz w:val="21"/>
                      <w:szCs w:val="21"/>
                      <w:lang w:val="en-US" w:eastAsia="zh-CN"/>
                    </w:rPr>
                    <w:t>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，用于</w:t>
                  </w:r>
                  <w:r>
                    <w:rPr>
                      <w:rFonts w:hint="eastAsia" w:ascii="Times New Roman" w:hAnsi="Times New Roman" w:cs="Times New Roman"/>
                      <w:color w:val="auto"/>
                      <w:sz w:val="21"/>
                      <w:szCs w:val="21"/>
                      <w:lang w:val="en-US" w:eastAsia="zh-CN"/>
                    </w:rPr>
                    <w:t>储存原辅材料、成品</w:t>
                  </w:r>
                  <w:r>
                    <w:rPr>
                      <w:rFonts w:hint="default" w:ascii="Times New Roman" w:hAnsi="Times New Roman" w:cs="Times New Roman"/>
                      <w:color w:val="auto"/>
                      <w:sz w:val="21"/>
                      <w:szCs w:val="21"/>
                      <w:lang w:val="en-US" w:eastAsia="zh-CN"/>
                    </w:rPr>
                    <w:t>，划分为</w:t>
                  </w:r>
                  <w:r>
                    <w:rPr>
                      <w:rFonts w:hint="eastAsia" w:ascii="Times New Roman" w:hAnsi="Times New Roman" w:cs="Times New Roman"/>
                      <w:color w:val="auto"/>
                      <w:sz w:val="21"/>
                      <w:szCs w:val="21"/>
                      <w:lang w:val="en-US" w:eastAsia="zh-CN"/>
                    </w:rPr>
                    <w:t>原料暂存区、成品暂存区</w:t>
                  </w:r>
                  <w:r>
                    <w:rPr>
                      <w:rFonts w:hint="default" w:ascii="Times New Roman" w:hAnsi="Times New Roman" w:cs="Times New Roman"/>
                      <w:color w:val="auto"/>
                      <w:sz w:val="21"/>
                      <w:szCs w:val="21"/>
                      <w:lang w:val="en-US" w:eastAsia="zh-CN"/>
                    </w:rPr>
                    <w:t>等区域</w:t>
                  </w:r>
                  <w:r>
                    <w:rPr>
                      <w:rFonts w:hint="eastAsia" w:ascii="Times New Roman" w:hAnsi="Times New Roman" w:cs="Times New Roman"/>
                      <w:color w:val="auto"/>
                      <w:sz w:val="21"/>
                      <w:szCs w:val="21"/>
                      <w:lang w:val="en-US" w:eastAsia="zh-CN"/>
                    </w:rPr>
                    <w:t>。厂房长</w:t>
                  </w:r>
                  <w:r>
                    <w:rPr>
                      <w:rFonts w:hint="default" w:ascii="Times New Roman" w:hAnsi="Times New Roman" w:cs="Times New Roman"/>
                      <w:color w:val="auto"/>
                      <w:sz w:val="21"/>
                      <w:szCs w:val="21"/>
                      <w:lang w:val="en-US" w:eastAsia="zh-CN"/>
                    </w:rPr>
                    <w:t>约</w:t>
                  </w:r>
                  <w:r>
                    <w:rPr>
                      <w:rFonts w:hint="eastAsia" w:ascii="Times New Roman" w:hAnsi="Times New Roman" w:cs="Times New Roman"/>
                      <w:color w:val="auto"/>
                      <w:sz w:val="21"/>
                      <w:szCs w:val="21"/>
                      <w:lang w:val="en-US" w:eastAsia="zh-CN"/>
                    </w:rPr>
                    <w:t>40m，宽</w:t>
                  </w:r>
                  <w:r>
                    <w:rPr>
                      <w:rFonts w:hint="default" w:ascii="Times New Roman" w:hAnsi="Times New Roman" w:cs="Times New Roman"/>
                      <w:color w:val="auto"/>
                      <w:sz w:val="21"/>
                      <w:szCs w:val="21"/>
                      <w:lang w:val="en-US" w:eastAsia="zh-CN"/>
                    </w:rPr>
                    <w:t>约</w:t>
                  </w:r>
                  <w:r>
                    <w:rPr>
                      <w:rFonts w:hint="eastAsia" w:ascii="Times New Roman" w:hAnsi="Times New Roman" w:cs="Times New Roman"/>
                      <w:color w:val="auto"/>
                      <w:sz w:val="21"/>
                      <w:szCs w:val="21"/>
                      <w:lang w:val="en-US" w:eastAsia="zh-CN"/>
                    </w:rPr>
                    <w:t>13m，高3m。</w:t>
                  </w:r>
                </w:p>
              </w:tc>
            </w:tr>
            <w:tr w14:paraId="6566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5" w:type="pct"/>
                  <w:vMerge w:val="restart"/>
                  <w:noWrap w:val="0"/>
                  <w:vAlign w:val="center"/>
                </w:tcPr>
                <w:p w14:paraId="531340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203" w:type="pct"/>
                  <w:gridSpan w:val="3"/>
                  <w:noWrap w:val="0"/>
                  <w:vAlign w:val="center"/>
                </w:tcPr>
                <w:p w14:paraId="1914965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w:t>
                  </w:r>
                  <w:r>
                    <w:rPr>
                      <w:rFonts w:hint="eastAsia" w:ascii="Times New Roman" w:hAnsi="Times New Roman" w:cs="Times New Roman"/>
                      <w:color w:val="auto"/>
                      <w:sz w:val="21"/>
                      <w:szCs w:val="21"/>
                      <w:lang w:val="en-US" w:eastAsia="zh-CN"/>
                    </w:rPr>
                    <w:t>、成品</w:t>
                  </w:r>
                  <w:r>
                    <w:rPr>
                      <w:rFonts w:hint="default" w:ascii="Times New Roman" w:hAnsi="Times New Roman" w:cs="Times New Roman"/>
                      <w:color w:val="auto"/>
                      <w:sz w:val="21"/>
                      <w:szCs w:val="21"/>
                      <w:lang w:val="en-US" w:eastAsia="zh-CN"/>
                    </w:rPr>
                    <w:t>储存</w:t>
                  </w:r>
                </w:p>
              </w:tc>
              <w:tc>
                <w:tcPr>
                  <w:tcW w:w="3421" w:type="pct"/>
                  <w:noWrap w:val="0"/>
                  <w:vAlign w:val="center"/>
                </w:tcPr>
                <w:p w14:paraId="6F1866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车间南部东侧用于成品储存，北部用于原辅料储存</w:t>
                  </w:r>
                </w:p>
              </w:tc>
            </w:tr>
            <w:tr w14:paraId="00B3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5" w:type="pct"/>
                  <w:vMerge w:val="continue"/>
                  <w:noWrap w:val="0"/>
                  <w:vAlign w:val="center"/>
                </w:tcPr>
                <w:p w14:paraId="745D04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203" w:type="pct"/>
                  <w:gridSpan w:val="3"/>
                  <w:noWrap w:val="0"/>
                  <w:vAlign w:val="center"/>
                </w:tcPr>
                <w:p w14:paraId="41DB11C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3421" w:type="pct"/>
                  <w:noWrap w:val="0"/>
                  <w:vAlign w:val="center"/>
                </w:tcPr>
                <w:p w14:paraId="671D6BB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车间内</w:t>
                  </w:r>
                  <w:r>
                    <w:rPr>
                      <w:rFonts w:hint="default" w:ascii="Times New Roman" w:hAnsi="Times New Roman" w:cs="Times New Roman"/>
                      <w:b w:val="0"/>
                      <w:bCs w:val="0"/>
                      <w:color w:val="auto"/>
                      <w:sz w:val="21"/>
                      <w:szCs w:val="21"/>
                      <w:lang w:val="en-US" w:eastAsia="zh-CN"/>
                    </w:rPr>
                    <w:t>建设</w:t>
                  </w:r>
                  <w:r>
                    <w:rPr>
                      <w:rFonts w:hint="eastAsia" w:ascii="Times New Roman" w:hAnsi="Times New Roman" w:cs="Times New Roman"/>
                      <w:b w:val="0"/>
                      <w:bCs w:val="0"/>
                      <w:color w:val="auto"/>
                      <w:sz w:val="21"/>
                      <w:szCs w:val="21"/>
                      <w:lang w:val="en-US" w:eastAsia="zh-CN"/>
                    </w:rPr>
                    <w:t>10</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lang w:val="en-US" w:eastAsia="zh-CN"/>
                    </w:rPr>
                    <w:t>的危废间</w:t>
                  </w:r>
                </w:p>
              </w:tc>
            </w:tr>
            <w:tr w14:paraId="281D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5" w:type="pct"/>
                  <w:vMerge w:val="restart"/>
                  <w:noWrap w:val="0"/>
                  <w:vAlign w:val="center"/>
                </w:tcPr>
                <w:p w14:paraId="222128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203" w:type="pct"/>
                  <w:gridSpan w:val="3"/>
                  <w:noWrap w:val="0"/>
                  <w:vAlign w:val="center"/>
                </w:tcPr>
                <w:p w14:paraId="5D1954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3421" w:type="pct"/>
                  <w:noWrap w:val="0"/>
                  <w:vAlign w:val="center"/>
                </w:tcPr>
                <w:p w14:paraId="6C886C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依托厂区现有变压器，</w:t>
                  </w:r>
                  <w:r>
                    <w:rPr>
                      <w:rFonts w:hint="default" w:ascii="Times New Roman" w:hAnsi="Times New Roman" w:cs="Times New Roman"/>
                      <w:color w:val="auto"/>
                      <w:sz w:val="21"/>
                      <w:szCs w:val="21"/>
                    </w:rPr>
                    <w:t>由</w:t>
                  </w:r>
                  <w:r>
                    <w:rPr>
                      <w:rFonts w:hint="eastAsia" w:ascii="Times New Roman" w:hAnsi="Times New Roman" w:cs="Times New Roman"/>
                      <w:color w:val="auto"/>
                      <w:sz w:val="21"/>
                      <w:szCs w:val="21"/>
                      <w:lang w:val="en-US" w:eastAsia="zh-CN"/>
                    </w:rPr>
                    <w:t>当地</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r w14:paraId="3B9C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5" w:type="pct"/>
                  <w:vMerge w:val="continue"/>
                  <w:noWrap w:val="0"/>
                  <w:vAlign w:val="center"/>
                </w:tcPr>
                <w:p w14:paraId="3399C21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203" w:type="pct"/>
                  <w:gridSpan w:val="3"/>
                  <w:noWrap w:val="0"/>
                  <w:vAlign w:val="center"/>
                </w:tcPr>
                <w:p w14:paraId="524644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3421" w:type="pct"/>
                  <w:noWrap w:val="0"/>
                  <w:vAlign w:val="center"/>
                </w:tcPr>
                <w:p w14:paraId="18BC05C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依托厂区现有供水管网，</w:t>
                  </w:r>
                  <w:r>
                    <w:rPr>
                      <w:rFonts w:hint="default" w:ascii="Times New Roman" w:hAnsi="Times New Roman" w:cs="Times New Roman"/>
                      <w:color w:val="auto"/>
                      <w:sz w:val="21"/>
                      <w:szCs w:val="21"/>
                    </w:rPr>
                    <w:t>由</w:t>
                  </w:r>
                  <w:r>
                    <w:rPr>
                      <w:rFonts w:hint="eastAsia" w:ascii="Times New Roman" w:hAnsi="Times New Roman" w:cs="Times New Roman"/>
                      <w:color w:val="auto"/>
                      <w:sz w:val="21"/>
                      <w:szCs w:val="21"/>
                      <w:lang w:val="en-US" w:eastAsia="zh-CN"/>
                    </w:rPr>
                    <w:t>当地</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14:paraId="45F7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5" w:type="pct"/>
                  <w:vMerge w:val="continue"/>
                  <w:noWrap w:val="0"/>
                  <w:vAlign w:val="center"/>
                </w:tcPr>
                <w:p w14:paraId="372A04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203" w:type="pct"/>
                  <w:gridSpan w:val="3"/>
                  <w:noWrap w:val="0"/>
                  <w:vAlign w:val="center"/>
                </w:tcPr>
                <w:p w14:paraId="277C2D7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排水</w:t>
                  </w:r>
                </w:p>
              </w:tc>
              <w:tc>
                <w:tcPr>
                  <w:tcW w:w="3421" w:type="pct"/>
                  <w:noWrap w:val="0"/>
                  <w:vAlign w:val="center"/>
                </w:tcPr>
                <w:p w14:paraId="65C911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r>
                    <w:rPr>
                      <w:rFonts w:hint="eastAsia"/>
                      <w:color w:val="auto"/>
                      <w:sz w:val="21"/>
                      <w:szCs w:val="21"/>
                      <w:lang w:bidi="ar"/>
                    </w:rPr>
                    <w:t>生活污水用于厂区泼洒抑尘，厂区设防渗旱厕，定期清掏</w:t>
                  </w:r>
                  <w:r>
                    <w:rPr>
                      <w:rFonts w:hint="eastAsia"/>
                      <w:color w:val="auto"/>
                      <w:sz w:val="21"/>
                      <w:szCs w:val="21"/>
                      <w:lang w:eastAsia="zh-CN" w:bidi="ar"/>
                    </w:rPr>
                    <w:t>；</w:t>
                  </w:r>
                  <w:r>
                    <w:rPr>
                      <w:rFonts w:hint="eastAsia"/>
                      <w:color w:val="auto"/>
                      <w:sz w:val="21"/>
                      <w:szCs w:val="21"/>
                      <w:lang w:val="en-US" w:eastAsia="zh-CN" w:bidi="ar"/>
                    </w:rPr>
                    <w:t>冷却水循环使用。无废水外排</w:t>
                  </w:r>
                </w:p>
              </w:tc>
            </w:tr>
            <w:tr w14:paraId="011F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5" w:type="pct"/>
                  <w:vMerge w:val="continue"/>
                  <w:noWrap w:val="0"/>
                  <w:vAlign w:val="center"/>
                </w:tcPr>
                <w:p w14:paraId="194173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203" w:type="pct"/>
                  <w:gridSpan w:val="3"/>
                  <w:noWrap w:val="0"/>
                  <w:vAlign w:val="center"/>
                </w:tcPr>
                <w:p w14:paraId="4B5AF150">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3421" w:type="pct"/>
                  <w:noWrap w:val="0"/>
                  <w:vAlign w:val="center"/>
                </w:tcPr>
                <w:p w14:paraId="25E200F3">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办公楼冬季采暖及夏季制冷由分体空调提供</w:t>
                  </w:r>
                </w:p>
              </w:tc>
            </w:tr>
            <w:tr w14:paraId="06CF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5" w:type="pct"/>
                  <w:noWrap w:val="0"/>
                  <w:vAlign w:val="center"/>
                </w:tcPr>
                <w:p w14:paraId="44A14ED0">
                  <w:pPr>
                    <w:autoSpaceDE/>
                    <w:autoSpaceDN/>
                    <w:ind w:left="-110" w:leftChars="-50" w:right="-110" w:rightChars="-50"/>
                    <w:jc w:val="center"/>
                    <w:textAlignment w:val="center"/>
                    <w:rPr>
                      <w:rFonts w:hint="default" w:ascii="Times New Roman" w:hAnsi="Times New Roman" w:cs="Times New Roman"/>
                      <w:color w:val="auto"/>
                      <w:sz w:val="21"/>
                      <w:szCs w:val="21"/>
                    </w:rPr>
                  </w:pPr>
                  <w:r>
                    <w:rPr>
                      <w:rFonts w:ascii="Times New Roman" w:hAnsi="Times New Roman" w:cs="Times New Roman"/>
                      <w:color w:val="auto"/>
                      <w:kern w:val="2"/>
                      <w:sz w:val="21"/>
                      <w:szCs w:val="21"/>
                      <w:lang w:val="en-US" w:bidi="ar-SA"/>
                    </w:rPr>
                    <w:t>辅助工程</w:t>
                  </w:r>
                </w:p>
              </w:tc>
              <w:tc>
                <w:tcPr>
                  <w:tcW w:w="1203" w:type="pct"/>
                  <w:gridSpan w:val="3"/>
                  <w:noWrap w:val="0"/>
                  <w:vAlign w:val="center"/>
                </w:tcPr>
                <w:p w14:paraId="5C350DC5">
                  <w:pPr>
                    <w:autoSpaceDE/>
                    <w:autoSpaceDN/>
                    <w:ind w:left="-110" w:leftChars="-50" w:right="-110" w:rightChars="-5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办公室</w:t>
                  </w:r>
                  <w:r>
                    <w:rPr>
                      <w:rFonts w:hint="eastAsia" w:ascii="Times New Roman" w:hAnsi="Times New Roman" w:cs="Times New Roman"/>
                      <w:color w:val="auto"/>
                      <w:sz w:val="21"/>
                      <w:szCs w:val="21"/>
                      <w:lang w:val="en-US" w:eastAsia="zh-CN"/>
                    </w:rPr>
                    <w:t>/</w:t>
                  </w:r>
                  <w:r>
                    <w:rPr>
                      <w:color w:val="auto"/>
                      <w:sz w:val="21"/>
                      <w:szCs w:val="20"/>
                    </w:rPr>
                    <w:t>门卫</w:t>
                  </w:r>
                </w:p>
              </w:tc>
              <w:tc>
                <w:tcPr>
                  <w:tcW w:w="3421" w:type="pct"/>
                  <w:noWrap w:val="0"/>
                  <w:vAlign w:val="center"/>
                </w:tcPr>
                <w:p w14:paraId="54C00525">
                  <w:pPr>
                    <w:autoSpaceDE/>
                    <w:autoSpaceDN/>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占地面积</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rPr>
                    <w:t>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2</w:t>
                  </w:r>
                  <w:r>
                    <w:rPr>
                      <w:rFonts w:hint="eastAsia" w:ascii="Times New Roman" w:hAnsi="Times New Roman" w:cs="Times New Roman"/>
                      <w:color w:val="auto"/>
                      <w:sz w:val="21"/>
                      <w:szCs w:val="21"/>
                      <w:lang w:val="en-US"/>
                    </w:rPr>
                    <w:t>，地面简单防渗</w:t>
                  </w:r>
                  <w:r>
                    <w:rPr>
                      <w:rFonts w:hint="eastAsia" w:ascii="Times New Roman" w:hAnsi="Times New Roman" w:cs="Times New Roman"/>
                      <w:color w:val="auto"/>
                      <w:sz w:val="21"/>
                      <w:szCs w:val="21"/>
                      <w:lang w:val="en-US" w:eastAsia="zh-CN"/>
                    </w:rPr>
                    <w:t>，位于南部生产车间东南角</w:t>
                  </w:r>
                </w:p>
              </w:tc>
            </w:tr>
            <w:tr w14:paraId="6EB8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5" w:type="pct"/>
                  <w:vMerge w:val="restart"/>
                  <w:noWrap w:val="0"/>
                  <w:vAlign w:val="center"/>
                </w:tcPr>
                <w:p w14:paraId="190434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zh-CN" w:eastAsia="zh-CN" w:bidi="zh-CN"/>
                    </w:rPr>
                    <w:t>环保工程</w:t>
                  </w:r>
                </w:p>
              </w:tc>
              <w:tc>
                <w:tcPr>
                  <w:tcW w:w="205" w:type="pct"/>
                  <w:vMerge w:val="restart"/>
                  <w:noWrap w:val="0"/>
                  <w:vAlign w:val="center"/>
                </w:tcPr>
                <w:p w14:paraId="421F8D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废气</w:t>
                  </w:r>
                </w:p>
              </w:tc>
              <w:tc>
                <w:tcPr>
                  <w:tcW w:w="997" w:type="pct"/>
                  <w:gridSpan w:val="2"/>
                  <w:noWrap w:val="0"/>
                  <w:vAlign w:val="center"/>
                </w:tcPr>
                <w:p w14:paraId="69BA7CFF">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美缝剂</w:t>
                  </w:r>
                  <w:r>
                    <w:rPr>
                      <w:rFonts w:hint="eastAsia" w:ascii="Times New Roman" w:hAnsi="Times New Roman" w:cs="Times New Roman"/>
                      <w:color w:val="auto"/>
                      <w:sz w:val="21"/>
                      <w:szCs w:val="21"/>
                      <w:lang w:eastAsia="zh-CN"/>
                    </w:rPr>
                    <w:t>生产线废气排放口</w:t>
                  </w:r>
                  <w:r>
                    <w:rPr>
                      <w:rFonts w:hint="default" w:ascii="Times New Roman" w:hAnsi="Times New Roman" w:eastAsia="宋体" w:cs="Times New Roman"/>
                      <w:color w:val="auto"/>
                      <w:sz w:val="21"/>
                      <w:szCs w:val="21"/>
                      <w:lang w:eastAsia="zh-CN"/>
                    </w:rPr>
                    <w:t>（DA001）</w:t>
                  </w:r>
                </w:p>
              </w:tc>
              <w:tc>
                <w:tcPr>
                  <w:tcW w:w="3421" w:type="pct"/>
                  <w:noWrap w:val="0"/>
                  <w:vAlign w:val="center"/>
                </w:tcPr>
                <w:p w14:paraId="1FFFE370">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lang w:val="en-US" w:eastAsia="zh-CN"/>
                    </w:rPr>
                    <w:t>集气罩+布袋除尘器</w:t>
                  </w:r>
                  <w:r>
                    <w:rPr>
                      <w:rFonts w:hint="default" w:ascii="Times New Roman" w:hAnsi="Times New Roman" w:cs="Times New Roman"/>
                      <w:b w:val="0"/>
                      <w:bCs w:val="0"/>
                      <w:color w:val="auto"/>
                      <w:sz w:val="21"/>
                      <w:szCs w:val="21"/>
                      <w:lang w:val="en-US" w:eastAsia="zh-CN"/>
                    </w:rPr>
                    <w:t>+两级活性炭箱</w:t>
                  </w:r>
                  <w:r>
                    <w:rPr>
                      <w:rFonts w:hint="default" w:ascii="Times New Roman" w:hAnsi="Times New Roman" w:cs="Times New Roman"/>
                      <w:color w:val="auto"/>
                      <w:spacing w:val="0"/>
                      <w:kern w:val="21"/>
                      <w:sz w:val="21"/>
                      <w:szCs w:val="21"/>
                      <w:highlight w:val="none"/>
                      <w:lang w:val="en-US" w:eastAsia="zh-CN"/>
                    </w:rPr>
                    <w:t>+</w:t>
                  </w:r>
                  <w:r>
                    <w:rPr>
                      <w:rFonts w:hint="eastAsia" w:ascii="Times New Roman" w:hAnsi="Times New Roman" w:cs="Times New Roman"/>
                      <w:color w:val="auto"/>
                      <w:spacing w:val="0"/>
                      <w:kern w:val="21"/>
                      <w:sz w:val="21"/>
                      <w:szCs w:val="21"/>
                      <w:highlight w:val="none"/>
                      <w:lang w:val="en-US" w:eastAsia="zh-CN"/>
                    </w:rPr>
                    <w:t>15m</w:t>
                  </w:r>
                  <w:r>
                    <w:rPr>
                      <w:rFonts w:hint="default" w:ascii="Times New Roman" w:hAnsi="Times New Roman" w:cs="Times New Roman"/>
                      <w:color w:val="auto"/>
                      <w:spacing w:val="0"/>
                      <w:kern w:val="21"/>
                      <w:sz w:val="21"/>
                      <w:szCs w:val="21"/>
                      <w:highlight w:val="none"/>
                      <w:lang w:val="en-US" w:eastAsia="zh-CN"/>
                    </w:rPr>
                    <w:t>高排气筒</w:t>
                  </w:r>
                </w:p>
              </w:tc>
            </w:tr>
            <w:tr w14:paraId="10F4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5" w:type="pct"/>
                  <w:vMerge w:val="continue"/>
                  <w:noWrap w:val="0"/>
                  <w:vAlign w:val="center"/>
                </w:tcPr>
                <w:p w14:paraId="5BC39C5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205" w:type="pct"/>
                  <w:vMerge w:val="continue"/>
                  <w:noWrap w:val="0"/>
                  <w:vAlign w:val="center"/>
                </w:tcPr>
                <w:p w14:paraId="0F3DAE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997" w:type="pct"/>
                  <w:gridSpan w:val="2"/>
                  <w:noWrap w:val="0"/>
                  <w:vAlign w:val="center"/>
                </w:tcPr>
                <w:p w14:paraId="2AAA8514">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无组织废气</w:t>
                  </w:r>
                </w:p>
              </w:tc>
              <w:tc>
                <w:tcPr>
                  <w:tcW w:w="3421" w:type="pct"/>
                  <w:noWrap w:val="0"/>
                  <w:vAlign w:val="center"/>
                </w:tcPr>
                <w:p w14:paraId="5C00688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color w:val="auto"/>
                      <w:spacing w:val="0"/>
                      <w:kern w:val="21"/>
                      <w:sz w:val="21"/>
                      <w:szCs w:val="21"/>
                      <w:highlight w:val="none"/>
                      <w:lang w:val="en-US" w:eastAsia="zh-CN"/>
                    </w:rPr>
                    <w:t>车间密闭，泼洒抑尘</w:t>
                  </w:r>
                </w:p>
              </w:tc>
            </w:tr>
            <w:tr w14:paraId="7A50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5" w:type="pct"/>
                  <w:vMerge w:val="continue"/>
                  <w:noWrap w:val="0"/>
                  <w:vAlign w:val="center"/>
                </w:tcPr>
                <w:p w14:paraId="41C8D7A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205" w:type="pct"/>
                  <w:vMerge w:val="restart"/>
                  <w:noWrap w:val="0"/>
                  <w:vAlign w:val="center"/>
                </w:tcPr>
                <w:p w14:paraId="407B89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997" w:type="pct"/>
                  <w:gridSpan w:val="2"/>
                  <w:noWrap w:val="0"/>
                  <w:vAlign w:val="center"/>
                </w:tcPr>
                <w:p w14:paraId="24F91FDC">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生活污水</w:t>
                  </w:r>
                </w:p>
              </w:tc>
              <w:tc>
                <w:tcPr>
                  <w:tcW w:w="3421" w:type="pct"/>
                  <w:noWrap w:val="0"/>
                  <w:vAlign w:val="center"/>
                </w:tcPr>
                <w:p w14:paraId="003081B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bidi="zh-CN"/>
                    </w:rPr>
                  </w:pPr>
                  <w:r>
                    <w:rPr>
                      <w:rFonts w:hint="eastAsia"/>
                      <w:color w:val="auto"/>
                      <w:sz w:val="21"/>
                      <w:szCs w:val="21"/>
                      <w:lang w:bidi="ar"/>
                    </w:rPr>
                    <w:t>生活污水用于厂区泼洒抑尘，厂区设防渗旱厕，定期清掏</w:t>
                  </w:r>
                </w:p>
              </w:tc>
            </w:tr>
            <w:tr w14:paraId="3E45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5" w:type="pct"/>
                  <w:vMerge w:val="continue"/>
                  <w:noWrap w:val="0"/>
                  <w:vAlign w:val="center"/>
                </w:tcPr>
                <w:p w14:paraId="30D674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205" w:type="pct"/>
                  <w:vMerge w:val="continue"/>
                  <w:noWrap w:val="0"/>
                  <w:vAlign w:val="center"/>
                </w:tcPr>
                <w:p w14:paraId="0ADA435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997" w:type="pct"/>
                  <w:gridSpan w:val="2"/>
                  <w:noWrap w:val="0"/>
                  <w:vAlign w:val="center"/>
                </w:tcPr>
                <w:p w14:paraId="03ACAFFF">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冷却水</w:t>
                  </w:r>
                </w:p>
              </w:tc>
              <w:tc>
                <w:tcPr>
                  <w:tcW w:w="3421" w:type="pct"/>
                  <w:noWrap w:val="0"/>
                  <w:vAlign w:val="center"/>
                </w:tcPr>
                <w:p w14:paraId="3BD4495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eastAsia="宋体"/>
                      <w:color w:val="auto"/>
                      <w:sz w:val="21"/>
                      <w:szCs w:val="21"/>
                      <w:lang w:val="en-US" w:eastAsia="zh-CN" w:bidi="ar"/>
                    </w:rPr>
                  </w:pPr>
                  <w:r>
                    <w:rPr>
                      <w:rFonts w:hint="eastAsia"/>
                      <w:color w:val="auto"/>
                      <w:sz w:val="21"/>
                      <w:szCs w:val="21"/>
                      <w:lang w:val="en-US" w:eastAsia="zh-CN" w:bidi="ar"/>
                    </w:rPr>
                    <w:t>生产设备无须清洗，仅为生产过程中冷却水，循环使用，不外排</w:t>
                  </w:r>
                </w:p>
              </w:tc>
            </w:tr>
            <w:tr w14:paraId="7001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5" w:type="pct"/>
                  <w:vMerge w:val="continue"/>
                  <w:noWrap w:val="0"/>
                  <w:vAlign w:val="center"/>
                </w:tcPr>
                <w:p w14:paraId="67EFE4B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05" w:type="pct"/>
                  <w:noWrap w:val="0"/>
                  <w:vAlign w:val="center"/>
                </w:tcPr>
                <w:p w14:paraId="7C9D2E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997" w:type="pct"/>
                  <w:gridSpan w:val="2"/>
                  <w:noWrap w:val="0"/>
                  <w:vAlign w:val="center"/>
                </w:tcPr>
                <w:p w14:paraId="73929BF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各生产设备噪声</w:t>
                  </w:r>
                </w:p>
              </w:tc>
              <w:tc>
                <w:tcPr>
                  <w:tcW w:w="3421" w:type="pct"/>
                  <w:noWrap w:val="0"/>
                  <w:vAlign w:val="center"/>
                </w:tcPr>
                <w:p w14:paraId="792F790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低噪设备、基础减震、隔声、距离衰减</w:t>
                  </w:r>
                  <w:r>
                    <w:rPr>
                      <w:rFonts w:hint="eastAsia" w:ascii="Times New Roman" w:hAnsi="Times New Roman" w:cs="Times New Roman"/>
                      <w:color w:val="auto"/>
                      <w:sz w:val="21"/>
                      <w:szCs w:val="21"/>
                      <w:lang w:val="en-US" w:eastAsia="zh-CN"/>
                    </w:rPr>
                    <w:t>等措施降噪</w:t>
                  </w:r>
                </w:p>
              </w:tc>
            </w:tr>
            <w:tr w14:paraId="4DBB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5" w:type="pct"/>
                  <w:vMerge w:val="continue"/>
                  <w:noWrap w:val="0"/>
                  <w:vAlign w:val="center"/>
                </w:tcPr>
                <w:p w14:paraId="4DED439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05" w:type="pct"/>
                  <w:vMerge w:val="restart"/>
                  <w:noWrap w:val="0"/>
                  <w:vAlign w:val="center"/>
                </w:tcPr>
                <w:p w14:paraId="18A29E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997" w:type="pct"/>
                  <w:gridSpan w:val="2"/>
                  <w:noWrap w:val="0"/>
                  <w:vAlign w:val="center"/>
                </w:tcPr>
                <w:p w14:paraId="7F7B902D">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eastAsia="zh-CN"/>
                    </w:rPr>
                    <w:t>除尘灰</w:t>
                  </w:r>
                </w:p>
              </w:tc>
              <w:tc>
                <w:tcPr>
                  <w:tcW w:w="3421" w:type="pct"/>
                  <w:noWrap w:val="0"/>
                  <w:vAlign w:val="center"/>
                </w:tcPr>
                <w:p w14:paraId="561C64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集中收集</w:t>
                  </w:r>
                  <w:r>
                    <w:rPr>
                      <w:rFonts w:hint="eastAsia" w:ascii="Times New Roman" w:hAnsi="Times New Roman" w:cs="Times New Roman"/>
                      <w:b w:val="0"/>
                      <w:bCs w:val="0"/>
                      <w:color w:val="auto"/>
                      <w:sz w:val="21"/>
                      <w:szCs w:val="21"/>
                      <w:lang w:val="en-US" w:eastAsia="zh-CN"/>
                    </w:rPr>
                    <w:t>后回用于生产</w:t>
                  </w:r>
                </w:p>
              </w:tc>
            </w:tr>
            <w:tr w14:paraId="44FA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5" w:type="pct"/>
                  <w:vMerge w:val="continue"/>
                  <w:noWrap w:val="0"/>
                  <w:vAlign w:val="center"/>
                </w:tcPr>
                <w:p w14:paraId="2EE30A1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05" w:type="pct"/>
                  <w:vMerge w:val="continue"/>
                  <w:noWrap w:val="0"/>
                  <w:vAlign w:val="center"/>
                </w:tcPr>
                <w:p w14:paraId="39C1FF5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997" w:type="pct"/>
                  <w:gridSpan w:val="2"/>
                  <w:shd w:val="clear" w:color="auto" w:fill="auto"/>
                  <w:noWrap w:val="0"/>
                  <w:vAlign w:val="center"/>
                </w:tcPr>
                <w:p w14:paraId="6B1C4088">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生产剩余材料</w:t>
                  </w:r>
                </w:p>
              </w:tc>
              <w:tc>
                <w:tcPr>
                  <w:tcW w:w="3421" w:type="pct"/>
                  <w:shd w:val="clear" w:color="auto" w:fill="auto"/>
                  <w:noWrap w:val="0"/>
                  <w:vAlign w:val="center"/>
                </w:tcPr>
                <w:p w14:paraId="679084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集中收集后回用于生产</w:t>
                  </w:r>
                </w:p>
              </w:tc>
            </w:tr>
            <w:tr w14:paraId="3C9C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5" w:type="pct"/>
                  <w:vMerge w:val="continue"/>
                  <w:noWrap w:val="0"/>
                  <w:vAlign w:val="center"/>
                </w:tcPr>
                <w:p w14:paraId="657680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05" w:type="pct"/>
                  <w:vMerge w:val="continue"/>
                  <w:noWrap w:val="0"/>
                  <w:vAlign w:val="center"/>
                </w:tcPr>
                <w:p w14:paraId="21A9C5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997" w:type="pct"/>
                  <w:gridSpan w:val="2"/>
                  <w:noWrap w:val="0"/>
                  <w:vAlign w:val="center"/>
                </w:tcPr>
                <w:p w14:paraId="61A9194E">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eastAsia="zh-CN"/>
                    </w:rPr>
                    <w:t>废包装</w:t>
                  </w:r>
                  <w:r>
                    <w:rPr>
                      <w:rFonts w:hint="eastAsia" w:ascii="Times New Roman" w:hAnsi="Times New Roman" w:cs="Times New Roman"/>
                      <w:b w:val="0"/>
                      <w:bCs w:val="0"/>
                      <w:color w:val="auto"/>
                      <w:sz w:val="21"/>
                      <w:szCs w:val="21"/>
                      <w:lang w:val="en-US" w:eastAsia="zh-CN"/>
                    </w:rPr>
                    <w:t>材料</w:t>
                  </w:r>
                </w:p>
              </w:tc>
              <w:tc>
                <w:tcPr>
                  <w:tcW w:w="3421" w:type="pct"/>
                  <w:noWrap w:val="0"/>
                  <w:vAlign w:val="center"/>
                </w:tcPr>
                <w:p w14:paraId="6464A9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集中收集后外售</w:t>
                  </w:r>
                </w:p>
              </w:tc>
            </w:tr>
            <w:tr w14:paraId="33EA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5" w:type="pct"/>
                  <w:vMerge w:val="continue"/>
                  <w:noWrap w:val="0"/>
                  <w:vAlign w:val="center"/>
                </w:tcPr>
                <w:p w14:paraId="096B28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05" w:type="pct"/>
                  <w:vMerge w:val="continue"/>
                  <w:noWrap w:val="0"/>
                  <w:vAlign w:val="center"/>
                </w:tcPr>
                <w:p w14:paraId="3A831AC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997" w:type="pct"/>
                  <w:gridSpan w:val="2"/>
                  <w:noWrap w:val="0"/>
                  <w:vAlign w:val="center"/>
                </w:tcPr>
                <w:p w14:paraId="35290923">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b w:val="0"/>
                      <w:bCs w:val="0"/>
                      <w:color w:val="auto"/>
                      <w:sz w:val="21"/>
                      <w:szCs w:val="21"/>
                      <w:lang w:eastAsia="zh-CN"/>
                    </w:rPr>
                    <w:t>废液压油、</w:t>
                  </w:r>
                  <w:r>
                    <w:rPr>
                      <w:rFonts w:hint="eastAsia" w:ascii="Times New Roman" w:hAnsi="Times New Roman" w:cs="Times New Roman"/>
                      <w:b w:val="0"/>
                      <w:bCs w:val="0"/>
                      <w:color w:val="auto"/>
                      <w:sz w:val="21"/>
                      <w:szCs w:val="21"/>
                      <w:lang w:eastAsia="zh-CN"/>
                    </w:rPr>
                    <w:t>废机油、废</w:t>
                  </w:r>
                  <w:r>
                    <w:rPr>
                      <w:rFonts w:hint="eastAsia" w:ascii="Times New Roman" w:hAnsi="Times New Roman" w:cs="Times New Roman"/>
                      <w:b w:val="0"/>
                      <w:bCs w:val="0"/>
                      <w:color w:val="auto"/>
                      <w:sz w:val="21"/>
                      <w:szCs w:val="21"/>
                      <w:lang w:val="en-US" w:eastAsia="zh-CN"/>
                    </w:rPr>
                    <w:t>包装</w:t>
                  </w:r>
                  <w:r>
                    <w:rPr>
                      <w:rFonts w:hint="eastAsia" w:ascii="Times New Roman" w:hAnsi="Times New Roman" w:cs="Times New Roman"/>
                      <w:b w:val="0"/>
                      <w:bCs w:val="0"/>
                      <w:color w:val="auto"/>
                      <w:sz w:val="21"/>
                      <w:szCs w:val="21"/>
                      <w:lang w:eastAsia="zh-CN"/>
                    </w:rPr>
                    <w:t>桶、</w:t>
                  </w:r>
                  <w:r>
                    <w:rPr>
                      <w:rFonts w:hint="eastAsia" w:ascii="Times New Roman" w:hAnsi="Times New Roman" w:cs="Times New Roman"/>
                      <w:b w:val="0"/>
                      <w:bCs w:val="0"/>
                      <w:color w:val="auto"/>
                      <w:sz w:val="21"/>
                      <w:szCs w:val="21"/>
                      <w:lang w:val="en-US" w:eastAsia="zh-CN"/>
                    </w:rPr>
                    <w:t>废活性炭</w:t>
                  </w:r>
                </w:p>
              </w:tc>
              <w:tc>
                <w:tcPr>
                  <w:tcW w:w="3421" w:type="pct"/>
                  <w:noWrap w:val="0"/>
                  <w:vAlign w:val="center"/>
                </w:tcPr>
                <w:p w14:paraId="1DD445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暂存危废间，</w:t>
                  </w:r>
                  <w:r>
                    <w:rPr>
                      <w:rFonts w:hint="default" w:ascii="Times New Roman" w:hAnsi="Times New Roman" w:cs="Times New Roman"/>
                      <w:color w:val="auto"/>
                      <w:sz w:val="21"/>
                      <w:szCs w:val="21"/>
                      <w:lang w:eastAsia="zh-CN"/>
                    </w:rPr>
                    <w:t>定期</w:t>
                  </w:r>
                  <w:r>
                    <w:rPr>
                      <w:rFonts w:hint="default" w:ascii="Times New Roman" w:hAnsi="Times New Roman" w:cs="Times New Roman"/>
                      <w:color w:val="auto"/>
                      <w:sz w:val="21"/>
                      <w:szCs w:val="21"/>
                    </w:rPr>
                    <w:t>由资质单位处置</w:t>
                  </w:r>
                </w:p>
              </w:tc>
            </w:tr>
            <w:tr w14:paraId="6A01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5" w:type="pct"/>
                  <w:vMerge w:val="continue"/>
                  <w:noWrap w:val="0"/>
                  <w:vAlign w:val="center"/>
                </w:tcPr>
                <w:p w14:paraId="4206EA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05" w:type="pct"/>
                  <w:vMerge w:val="continue"/>
                  <w:noWrap w:val="0"/>
                  <w:vAlign w:val="center"/>
                </w:tcPr>
                <w:p w14:paraId="060458B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997" w:type="pct"/>
                  <w:gridSpan w:val="2"/>
                  <w:noWrap w:val="0"/>
                  <w:vAlign w:val="center"/>
                </w:tcPr>
                <w:p w14:paraId="462DF94D">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zh-CN" w:eastAsia="zh-CN" w:bidi="zh-CN"/>
                    </w:rPr>
                    <w:t>生活垃圾</w:t>
                  </w:r>
                </w:p>
              </w:tc>
              <w:tc>
                <w:tcPr>
                  <w:tcW w:w="3421" w:type="pct"/>
                  <w:noWrap w:val="0"/>
                  <w:vAlign w:val="center"/>
                </w:tcPr>
                <w:p w14:paraId="097699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vertAlign w:val="baseline"/>
                      <w:lang w:val="en-US" w:eastAsia="zh-CN"/>
                    </w:rPr>
                    <w:t>由环卫部门统一清运</w:t>
                  </w:r>
                </w:p>
              </w:tc>
            </w:tr>
          </w:tbl>
          <w:p w14:paraId="7EF615E5">
            <w:pPr>
              <w:keepNext w:val="0"/>
              <w:keepLines w:val="0"/>
              <w:pageBreakBefore w:val="0"/>
              <w:widowControl w:val="0"/>
              <w:kinsoku/>
              <w:wordWrap/>
              <w:overflowPunct/>
              <w:topLinePunct w:val="0"/>
              <w:autoSpaceDE/>
              <w:autoSpaceDN/>
              <w:bidi w:val="0"/>
              <w:snapToGrid/>
              <w:spacing w:before="0" w:after="0" w:line="400" w:lineRule="exact"/>
              <w:ind w:left="110" w:leftChars="50" w:right="0" w:rightChars="0" w:firstLine="422"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8、</w:t>
            </w:r>
            <w:r>
              <w:rPr>
                <w:rFonts w:hint="default" w:ascii="Times New Roman" w:hAnsi="Times New Roman" w:cs="Times New Roman"/>
                <w:b/>
                <w:bCs/>
                <w:color w:val="auto"/>
                <w:sz w:val="21"/>
                <w:szCs w:val="21"/>
              </w:rPr>
              <w:t>生产规模</w:t>
            </w:r>
            <w:r>
              <w:rPr>
                <w:rFonts w:hint="default" w:ascii="Times New Roman" w:hAnsi="Times New Roman" w:eastAsia="宋体" w:cs="Times New Roman"/>
                <w:b/>
                <w:bCs/>
                <w:color w:val="auto"/>
                <w:sz w:val="21"/>
                <w:szCs w:val="21"/>
                <w:lang w:val="zh-CN" w:eastAsia="zh-CN"/>
              </w:rPr>
              <w:t>：</w:t>
            </w:r>
            <w:r>
              <w:rPr>
                <w:rFonts w:hint="eastAsia" w:ascii="Times New Roman" w:hAnsi="Times New Roman" w:cs="Times New Roman"/>
                <w:b w:val="0"/>
                <w:bCs w:val="0"/>
                <w:color w:val="auto"/>
                <w:sz w:val="21"/>
                <w:szCs w:val="21"/>
                <w:lang w:val="zh-CN" w:eastAsia="zh-CN"/>
              </w:rPr>
              <w:t>项目建成后，</w:t>
            </w:r>
            <w:r>
              <w:rPr>
                <w:rFonts w:hint="default" w:ascii="Times New Roman" w:hAnsi="Times New Roman" w:cs="Times New Roman"/>
                <w:b w:val="0"/>
                <w:bCs w:val="0"/>
                <w:color w:val="auto"/>
                <w:sz w:val="21"/>
                <w:szCs w:val="21"/>
                <w:lang w:eastAsia="zh-CN"/>
              </w:rPr>
              <w:t>年产</w:t>
            </w:r>
            <w:r>
              <w:rPr>
                <w:rFonts w:hint="eastAsia" w:ascii="Times New Roman" w:hAnsi="Times New Roman" w:cs="Times New Roman"/>
                <w:b w:val="0"/>
                <w:bCs w:val="0"/>
                <w:color w:val="auto"/>
                <w:sz w:val="21"/>
                <w:szCs w:val="21"/>
                <w:lang w:val="en-US" w:eastAsia="zh-CN"/>
              </w:rPr>
              <w:t>美缝剂2000吨，分为其中</w:t>
            </w:r>
            <w:r>
              <w:rPr>
                <w:rFonts w:hint="eastAsia" w:ascii="Times New Roman" w:hAnsi="Times New Roman" w:cs="Times New Roman"/>
                <w:b w:val="0"/>
                <w:bCs w:val="0"/>
                <w:color w:val="auto"/>
                <w:sz w:val="21"/>
                <w:szCs w:val="21"/>
                <w:lang w:val="zh-CN" w:eastAsia="zh-CN"/>
              </w:rPr>
              <w:t>A组份和B组份，</w:t>
            </w:r>
            <w:r>
              <w:rPr>
                <w:rFonts w:hint="eastAsia" w:ascii="Times New Roman" w:hAnsi="Times New Roman" w:cs="Times New Roman"/>
                <w:b w:val="0"/>
                <w:bCs w:val="0"/>
                <w:color w:val="auto"/>
                <w:sz w:val="21"/>
                <w:szCs w:val="21"/>
                <w:lang w:val="en-US" w:eastAsia="zh-CN"/>
              </w:rPr>
              <w:t>包装方式有两种管装和桶装。</w:t>
            </w:r>
            <w:r>
              <w:rPr>
                <w:rFonts w:hint="eastAsia" w:ascii="Times New Roman" w:hAnsi="Times New Roman" w:cs="Times New Roman"/>
                <w:b w:val="0"/>
                <w:bCs w:val="0"/>
                <w:color w:val="auto"/>
                <w:sz w:val="21"/>
                <w:szCs w:val="21"/>
                <w:lang w:val="zh-CN" w:eastAsia="zh-CN"/>
              </w:rPr>
              <w:t>A组份原辅材料</w:t>
            </w:r>
            <w:r>
              <w:rPr>
                <w:rFonts w:hint="eastAsia" w:ascii="Times New Roman" w:hAnsi="Times New Roman" w:cs="Times New Roman"/>
                <w:b w:val="0"/>
                <w:bCs w:val="0"/>
                <w:color w:val="auto"/>
                <w:sz w:val="21"/>
                <w:szCs w:val="21"/>
                <w:lang w:val="en-US" w:eastAsia="zh-CN"/>
              </w:rPr>
              <w:t>主要</w:t>
            </w:r>
            <w:r>
              <w:rPr>
                <w:rFonts w:hint="eastAsia" w:ascii="Times New Roman" w:hAnsi="Times New Roman" w:cs="Times New Roman"/>
                <w:b w:val="0"/>
                <w:bCs w:val="0"/>
                <w:color w:val="auto"/>
                <w:sz w:val="21"/>
                <w:szCs w:val="21"/>
                <w:lang w:val="zh-CN" w:eastAsia="zh-CN"/>
              </w:rPr>
              <w:t>为</w:t>
            </w:r>
            <w:r>
              <w:rPr>
                <w:rFonts w:hint="eastAsia" w:ascii="Times New Roman" w:hAnsi="Times New Roman" w:cs="Times New Roman"/>
                <w:b w:val="0"/>
                <w:bCs w:val="0"/>
                <w:color w:val="auto"/>
                <w:sz w:val="21"/>
                <w:szCs w:val="21"/>
                <w:lang w:val="en-US" w:eastAsia="zh-CN"/>
              </w:rPr>
              <w:t>环氧树脂、二氧化硅、填充粉、色粉</w:t>
            </w:r>
            <w:r>
              <w:rPr>
                <w:rFonts w:hint="eastAsia" w:ascii="Times New Roman" w:hAnsi="Times New Roman" w:cs="Times New Roman"/>
                <w:b w:val="0"/>
                <w:bCs w:val="0"/>
                <w:color w:val="auto"/>
                <w:sz w:val="21"/>
                <w:szCs w:val="21"/>
                <w:lang w:val="zh-CN" w:eastAsia="zh-CN"/>
              </w:rPr>
              <w:t>等，B 组份原辅材料</w:t>
            </w:r>
            <w:r>
              <w:rPr>
                <w:rFonts w:hint="eastAsia" w:ascii="Times New Roman" w:hAnsi="Times New Roman" w:cs="Times New Roman"/>
                <w:b w:val="0"/>
                <w:bCs w:val="0"/>
                <w:color w:val="auto"/>
                <w:sz w:val="21"/>
                <w:szCs w:val="21"/>
                <w:lang w:val="en-US" w:eastAsia="zh-CN"/>
              </w:rPr>
              <w:t>主要</w:t>
            </w:r>
            <w:r>
              <w:rPr>
                <w:rFonts w:hint="eastAsia" w:ascii="Times New Roman" w:hAnsi="Times New Roman" w:cs="Times New Roman"/>
                <w:b w:val="0"/>
                <w:bCs w:val="0"/>
                <w:color w:val="auto"/>
                <w:sz w:val="21"/>
                <w:szCs w:val="21"/>
                <w:lang w:val="zh-CN" w:eastAsia="zh-CN"/>
              </w:rPr>
              <w:t>为</w:t>
            </w:r>
            <w:r>
              <w:rPr>
                <w:rFonts w:hint="eastAsia" w:ascii="Times New Roman" w:hAnsi="Times New Roman" w:cs="Times New Roman"/>
                <w:b w:val="0"/>
                <w:bCs w:val="0"/>
                <w:color w:val="auto"/>
                <w:sz w:val="21"/>
                <w:szCs w:val="21"/>
                <w:lang w:val="en-US" w:eastAsia="zh-CN"/>
              </w:rPr>
              <w:t>固化剂、二氧化硅、填充粉、色粉</w:t>
            </w:r>
            <w:r>
              <w:rPr>
                <w:rFonts w:hint="eastAsia" w:ascii="Times New Roman" w:hAnsi="Times New Roman" w:cs="Times New Roman"/>
                <w:b w:val="0"/>
                <w:bCs w:val="0"/>
                <w:color w:val="auto"/>
                <w:sz w:val="21"/>
                <w:szCs w:val="21"/>
                <w:lang w:val="zh-CN" w:eastAsia="zh-CN"/>
              </w:rPr>
              <w:t>等。A组份与B组份分别进行生产，客户使用时两者按照质量比1：1的比例混合使用。</w:t>
            </w:r>
            <w:r>
              <w:rPr>
                <w:rFonts w:hint="eastAsia" w:ascii="Times New Roman" w:hAnsi="Times New Roman" w:cs="Times New Roman"/>
                <w:b w:val="0"/>
                <w:bCs w:val="0"/>
                <w:color w:val="auto"/>
                <w:sz w:val="21"/>
                <w:szCs w:val="21"/>
                <w:lang w:val="en-US" w:eastAsia="zh-CN"/>
              </w:rPr>
              <w:t>A组分和B组分在生产过程中，为单纯的物理混合、分装，各组分原辅料分散、搅拌、混合等过程不发生化学反应。</w:t>
            </w:r>
          </w:p>
          <w:p w14:paraId="09D936EC">
            <w:pPr>
              <w:pStyle w:val="5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firstLine="0" w:firstLine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表2</w:t>
            </w: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lang w:eastAsia="zh-CN"/>
              </w:rPr>
              <w:t>2 产品方案</w:t>
            </w:r>
          </w:p>
          <w:tbl>
            <w:tblPr>
              <w:tblStyle w:val="35"/>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457"/>
              <w:gridCol w:w="1186"/>
              <w:gridCol w:w="1751"/>
              <w:gridCol w:w="2630"/>
            </w:tblGrid>
            <w:tr w14:paraId="4B4B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noWrap w:val="0"/>
                  <w:vAlign w:val="center"/>
                </w:tcPr>
                <w:p w14:paraId="789B12EA">
                  <w:pPr>
                    <w:numPr>
                      <w:ilvl w:val="0"/>
                      <w:numId w:val="0"/>
                    </w:numPr>
                    <w:adjustRightInd w:val="0"/>
                    <w:snapToGrid w:val="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序号</w:t>
                  </w:r>
                </w:p>
              </w:tc>
              <w:tc>
                <w:tcPr>
                  <w:tcW w:w="1414" w:type="pct"/>
                  <w:noWrap w:val="0"/>
                  <w:vAlign w:val="center"/>
                </w:tcPr>
                <w:p w14:paraId="07B86EB9">
                  <w:pPr>
                    <w:numPr>
                      <w:ilvl w:val="0"/>
                      <w:numId w:val="0"/>
                    </w:numPr>
                    <w:adjustRightInd w:val="0"/>
                    <w:snapToGrid w:val="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产品</w:t>
                  </w:r>
                </w:p>
              </w:tc>
              <w:tc>
                <w:tcPr>
                  <w:tcW w:w="682" w:type="pct"/>
                  <w:noWrap w:val="0"/>
                  <w:vAlign w:val="center"/>
                </w:tcPr>
                <w:p w14:paraId="68768501">
                  <w:pPr>
                    <w:numPr>
                      <w:ilvl w:val="0"/>
                      <w:numId w:val="0"/>
                    </w:numPr>
                    <w:adjustRightInd w:val="0"/>
                    <w:snapToGrid w:val="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年产量</w:t>
                  </w:r>
                </w:p>
              </w:tc>
              <w:tc>
                <w:tcPr>
                  <w:tcW w:w="1008" w:type="pct"/>
                  <w:noWrap w:val="0"/>
                  <w:vAlign w:val="center"/>
                </w:tcPr>
                <w:p w14:paraId="6CD19CB0">
                  <w:pPr>
                    <w:numPr>
                      <w:ilvl w:val="0"/>
                      <w:numId w:val="0"/>
                    </w:num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备注</w:t>
                  </w:r>
                </w:p>
              </w:tc>
              <w:tc>
                <w:tcPr>
                  <w:tcW w:w="1514" w:type="pct"/>
                  <w:noWrap w:val="0"/>
                  <w:vAlign w:val="center"/>
                </w:tcPr>
                <w:p w14:paraId="65F0F46F">
                  <w:pPr>
                    <w:numPr>
                      <w:ilvl w:val="0"/>
                      <w:numId w:val="0"/>
                    </w:num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执行标准</w:t>
                  </w:r>
                </w:p>
              </w:tc>
            </w:tr>
            <w:tr w14:paraId="2D5F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Merge w:val="restart"/>
                  <w:noWrap w:val="0"/>
                  <w:vAlign w:val="center"/>
                </w:tcPr>
                <w:p w14:paraId="3C93F0A4">
                  <w:pPr>
                    <w:numPr>
                      <w:ilvl w:val="0"/>
                      <w:numId w:val="0"/>
                    </w:num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414" w:type="pct"/>
                  <w:vMerge w:val="restart"/>
                  <w:noWrap w:val="0"/>
                  <w:vAlign w:val="center"/>
                </w:tcPr>
                <w:p w14:paraId="1190470B">
                  <w:pPr>
                    <w:numPr>
                      <w:ilvl w:val="0"/>
                      <w:numId w:val="0"/>
                    </w:num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A组分</w:t>
                  </w:r>
                  <w:r>
                    <w:rPr>
                      <w:rFonts w:hint="eastAsia" w:ascii="Times New Roman" w:hAnsi="Times New Roman" w:cs="Times New Roman"/>
                      <w:color w:val="auto"/>
                      <w:sz w:val="21"/>
                      <w:szCs w:val="21"/>
                      <w:highlight w:val="none"/>
                      <w:lang w:val="en-US" w:eastAsia="zh-CN"/>
                    </w:rPr>
                    <w:t>美缝剂</w:t>
                  </w:r>
                </w:p>
              </w:tc>
              <w:tc>
                <w:tcPr>
                  <w:tcW w:w="682" w:type="pct"/>
                  <w:noWrap w:val="0"/>
                  <w:vAlign w:val="center"/>
                </w:tcPr>
                <w:p w14:paraId="1ED5C867">
                  <w:pPr>
                    <w:numPr>
                      <w:ilvl w:val="0"/>
                      <w:numId w:val="0"/>
                    </w:num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500</w:t>
                  </w:r>
                  <w:r>
                    <w:rPr>
                      <w:rFonts w:hint="eastAsia" w:ascii="Times New Roman" w:hAnsi="Times New Roman" w:eastAsia="宋体" w:cs="Times New Roman"/>
                      <w:color w:val="auto"/>
                      <w:sz w:val="21"/>
                      <w:szCs w:val="21"/>
                      <w:highlight w:val="none"/>
                      <w:lang w:val="en-US" w:eastAsia="zh-CN"/>
                    </w:rPr>
                    <w:t>t/a</w:t>
                  </w:r>
                </w:p>
              </w:tc>
              <w:tc>
                <w:tcPr>
                  <w:tcW w:w="1008" w:type="pct"/>
                  <w:noWrap w:val="0"/>
                  <w:vAlign w:val="center"/>
                </w:tcPr>
                <w:p w14:paraId="3929A0DA">
                  <w:pPr>
                    <w:numPr>
                      <w:ilvl w:val="0"/>
                      <w:numId w:val="0"/>
                    </w:num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管装，0.2kg/支</w:t>
                  </w:r>
                </w:p>
              </w:tc>
              <w:tc>
                <w:tcPr>
                  <w:tcW w:w="1514" w:type="pct"/>
                  <w:vMerge w:val="restart"/>
                  <w:noWrap w:val="0"/>
                  <w:vAlign w:val="center"/>
                </w:tcPr>
                <w:p w14:paraId="25BA6BC5">
                  <w:pPr>
                    <w:numPr>
                      <w:ilvl w:val="0"/>
                      <w:numId w:val="0"/>
                    </w:numPr>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产品执行</w:t>
                  </w:r>
                  <w:r>
                    <w:rPr>
                      <w:rFonts w:hint="eastAsia" w:ascii="Times New Roman" w:hAnsi="Times New Roman" w:cs="Times New Roman"/>
                      <w:color w:val="auto"/>
                      <w:sz w:val="21"/>
                      <w:szCs w:val="21"/>
                      <w:highlight w:val="none"/>
                      <w:lang w:val="en-US" w:eastAsia="zh-CN"/>
                    </w:rPr>
                    <w:t>《装修防开裂用环氧树脂接缝胶》 GB/T 36797-2018</w:t>
                  </w:r>
                  <w:r>
                    <w:rPr>
                      <w:rFonts w:hint="eastAsia" w:ascii="Times New Roman" w:hAnsi="Times New Roman" w:eastAsia="宋体" w:cs="Times New Roman"/>
                      <w:color w:val="auto"/>
                      <w:sz w:val="21"/>
                      <w:szCs w:val="21"/>
                      <w:highlight w:val="none"/>
                      <w:lang w:val="en-US" w:eastAsia="zh-CN"/>
                    </w:rPr>
                    <w:t>要求</w:t>
                  </w:r>
                </w:p>
              </w:tc>
            </w:tr>
            <w:tr w14:paraId="2D95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Merge w:val="continue"/>
                  <w:noWrap w:val="0"/>
                  <w:vAlign w:val="center"/>
                </w:tcPr>
                <w:p w14:paraId="0FF7674F">
                  <w:pPr>
                    <w:numPr>
                      <w:ilvl w:val="0"/>
                      <w:numId w:val="0"/>
                    </w:num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414" w:type="pct"/>
                  <w:vMerge w:val="continue"/>
                  <w:noWrap w:val="0"/>
                  <w:vAlign w:val="center"/>
                </w:tcPr>
                <w:p w14:paraId="7999D099">
                  <w:pPr>
                    <w:numPr>
                      <w:ilvl w:val="0"/>
                      <w:numId w:val="0"/>
                    </w:numPr>
                    <w:adjustRightInd w:val="0"/>
                    <w:snapToGrid w:val="0"/>
                    <w:jc w:val="center"/>
                    <w:rPr>
                      <w:rFonts w:hint="eastAsia" w:ascii="Times New Roman" w:hAnsi="Times New Roman" w:eastAsia="宋体" w:cs="Times New Roman"/>
                      <w:color w:val="auto"/>
                      <w:sz w:val="21"/>
                      <w:szCs w:val="21"/>
                      <w:highlight w:val="none"/>
                      <w:lang w:val="en-US" w:eastAsia="zh-CN"/>
                    </w:rPr>
                  </w:pPr>
                </w:p>
              </w:tc>
              <w:tc>
                <w:tcPr>
                  <w:tcW w:w="682" w:type="pct"/>
                  <w:noWrap w:val="0"/>
                  <w:vAlign w:val="center"/>
                </w:tcPr>
                <w:p w14:paraId="3396CC9D">
                  <w:pPr>
                    <w:numPr>
                      <w:ilvl w:val="0"/>
                      <w:numId w:val="0"/>
                    </w:numPr>
                    <w:adjustRightInd w:val="0"/>
                    <w:snapToGrid w:val="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500</w:t>
                  </w:r>
                  <w:r>
                    <w:rPr>
                      <w:rFonts w:hint="eastAsia" w:ascii="Times New Roman" w:hAnsi="Times New Roman" w:eastAsia="宋体" w:cs="Times New Roman"/>
                      <w:color w:val="auto"/>
                      <w:sz w:val="21"/>
                      <w:szCs w:val="21"/>
                      <w:highlight w:val="none"/>
                      <w:lang w:val="en-US" w:eastAsia="zh-CN"/>
                    </w:rPr>
                    <w:t>t/a</w:t>
                  </w:r>
                </w:p>
              </w:tc>
              <w:tc>
                <w:tcPr>
                  <w:tcW w:w="1008" w:type="pct"/>
                  <w:noWrap w:val="0"/>
                  <w:vAlign w:val="center"/>
                </w:tcPr>
                <w:p w14:paraId="53A6FF43">
                  <w:pPr>
                    <w:numPr>
                      <w:ilvl w:val="0"/>
                      <w:numId w:val="0"/>
                    </w:num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桶装，3kg/桶</w:t>
                  </w:r>
                </w:p>
              </w:tc>
              <w:tc>
                <w:tcPr>
                  <w:tcW w:w="1514" w:type="pct"/>
                  <w:vMerge w:val="continue"/>
                  <w:noWrap w:val="0"/>
                  <w:vAlign w:val="center"/>
                </w:tcPr>
                <w:p w14:paraId="52FEEA71">
                  <w:pPr>
                    <w:numPr>
                      <w:ilvl w:val="0"/>
                      <w:numId w:val="0"/>
                    </w:numPr>
                    <w:adjustRightInd w:val="0"/>
                    <w:snapToGrid w:val="0"/>
                    <w:jc w:val="center"/>
                    <w:rPr>
                      <w:rFonts w:hint="eastAsia" w:ascii="Times New Roman" w:hAnsi="Times New Roman" w:eastAsia="宋体" w:cs="Times New Roman"/>
                      <w:color w:val="auto"/>
                      <w:sz w:val="21"/>
                      <w:szCs w:val="21"/>
                      <w:highlight w:val="none"/>
                      <w:lang w:val="en-US" w:eastAsia="zh-CN"/>
                    </w:rPr>
                  </w:pPr>
                </w:p>
              </w:tc>
            </w:tr>
            <w:tr w14:paraId="6D10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Merge w:val="restart"/>
                  <w:noWrap w:val="0"/>
                  <w:vAlign w:val="center"/>
                </w:tcPr>
                <w:p w14:paraId="66B133E9">
                  <w:pPr>
                    <w:numPr>
                      <w:ilvl w:val="0"/>
                      <w:numId w:val="0"/>
                    </w:num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414" w:type="pct"/>
                  <w:vMerge w:val="restart"/>
                  <w:noWrap w:val="0"/>
                  <w:vAlign w:val="center"/>
                </w:tcPr>
                <w:p w14:paraId="23166991">
                  <w:pPr>
                    <w:numPr>
                      <w:ilvl w:val="0"/>
                      <w:numId w:val="0"/>
                    </w:numPr>
                    <w:adjustRightInd w:val="0"/>
                    <w:snapToGrid w:val="0"/>
                    <w:ind w:left="0" w:leftChars="0"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B组分</w:t>
                  </w:r>
                  <w:r>
                    <w:rPr>
                      <w:rFonts w:hint="eastAsia" w:ascii="Times New Roman" w:hAnsi="Times New Roman" w:cs="Times New Roman"/>
                      <w:color w:val="auto"/>
                      <w:sz w:val="21"/>
                      <w:szCs w:val="21"/>
                      <w:highlight w:val="none"/>
                      <w:lang w:val="en-US" w:eastAsia="zh-CN"/>
                    </w:rPr>
                    <w:t>美缝剂</w:t>
                  </w:r>
                </w:p>
              </w:tc>
              <w:tc>
                <w:tcPr>
                  <w:tcW w:w="1186" w:type="dxa"/>
                  <w:noWrap w:val="0"/>
                  <w:vAlign w:val="center"/>
                </w:tcPr>
                <w:p w14:paraId="6AA0ED46">
                  <w:pPr>
                    <w:numPr>
                      <w:ilvl w:val="0"/>
                      <w:numId w:val="0"/>
                    </w:numPr>
                    <w:adjustRightInd w:val="0"/>
                    <w:snapToGrid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500</w:t>
                  </w:r>
                  <w:r>
                    <w:rPr>
                      <w:rFonts w:hint="eastAsia" w:ascii="Times New Roman" w:hAnsi="Times New Roman" w:eastAsia="宋体" w:cs="Times New Roman"/>
                      <w:color w:val="auto"/>
                      <w:sz w:val="21"/>
                      <w:szCs w:val="21"/>
                      <w:highlight w:val="none"/>
                      <w:lang w:val="en-US" w:eastAsia="zh-CN"/>
                    </w:rPr>
                    <w:t>t/a</w:t>
                  </w:r>
                </w:p>
              </w:tc>
              <w:tc>
                <w:tcPr>
                  <w:tcW w:w="1008" w:type="pct"/>
                  <w:noWrap w:val="0"/>
                  <w:vAlign w:val="center"/>
                </w:tcPr>
                <w:p w14:paraId="165670C7">
                  <w:pPr>
                    <w:numPr>
                      <w:ilvl w:val="0"/>
                      <w:numId w:val="0"/>
                    </w:numPr>
                    <w:adjustRightInd w:val="0"/>
                    <w:snapToGrid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管装，0.2kg/支</w:t>
                  </w:r>
                </w:p>
              </w:tc>
              <w:tc>
                <w:tcPr>
                  <w:tcW w:w="1514" w:type="pct"/>
                  <w:vMerge w:val="continue"/>
                  <w:noWrap w:val="0"/>
                  <w:vAlign w:val="center"/>
                </w:tcPr>
                <w:p w14:paraId="5A8E56F3">
                  <w:pPr>
                    <w:numPr>
                      <w:ilvl w:val="0"/>
                      <w:numId w:val="0"/>
                    </w:numPr>
                    <w:adjustRightInd w:val="0"/>
                    <w:snapToGrid w:val="0"/>
                    <w:ind w:left="0" w:leftChars="0" w:firstLine="0" w:firstLineChars="0"/>
                    <w:jc w:val="center"/>
                    <w:rPr>
                      <w:rFonts w:hint="eastAsia" w:ascii="Times New Roman" w:hAnsi="Times New Roman" w:eastAsia="宋体" w:cs="Times New Roman"/>
                      <w:color w:val="auto"/>
                      <w:sz w:val="21"/>
                      <w:szCs w:val="21"/>
                      <w:highlight w:val="none"/>
                      <w:lang w:val="en-US" w:eastAsia="zh-CN"/>
                    </w:rPr>
                  </w:pPr>
                </w:p>
              </w:tc>
            </w:tr>
            <w:tr w14:paraId="14BA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Merge w:val="continue"/>
                  <w:noWrap w:val="0"/>
                  <w:vAlign w:val="center"/>
                </w:tcPr>
                <w:p w14:paraId="4D010BE9">
                  <w:pPr>
                    <w:numPr>
                      <w:ilvl w:val="0"/>
                      <w:numId w:val="0"/>
                    </w:numPr>
                    <w:adjustRightInd w:val="0"/>
                    <w:snapToGrid w:val="0"/>
                    <w:jc w:val="center"/>
                    <w:rPr>
                      <w:rFonts w:hint="eastAsia" w:ascii="Times New Roman" w:hAnsi="Times New Roman" w:eastAsia="宋体" w:cs="Times New Roman"/>
                      <w:color w:val="auto"/>
                      <w:sz w:val="21"/>
                      <w:szCs w:val="21"/>
                      <w:highlight w:val="none"/>
                      <w:lang w:val="en-US" w:eastAsia="zh-CN"/>
                    </w:rPr>
                  </w:pPr>
                </w:p>
              </w:tc>
              <w:tc>
                <w:tcPr>
                  <w:tcW w:w="1414" w:type="pct"/>
                  <w:vMerge w:val="continue"/>
                  <w:noWrap w:val="0"/>
                  <w:vAlign w:val="center"/>
                </w:tcPr>
                <w:p w14:paraId="3935C64B">
                  <w:pPr>
                    <w:numPr>
                      <w:ilvl w:val="0"/>
                      <w:numId w:val="0"/>
                    </w:numPr>
                    <w:adjustRightInd w:val="0"/>
                    <w:snapToGrid w:val="0"/>
                    <w:ind w:left="0" w:leftChars="0" w:firstLine="0" w:firstLineChars="0"/>
                    <w:jc w:val="center"/>
                    <w:rPr>
                      <w:rFonts w:hint="eastAsia" w:ascii="Times New Roman" w:hAnsi="Times New Roman" w:eastAsia="宋体" w:cs="Times New Roman"/>
                      <w:color w:val="auto"/>
                      <w:sz w:val="21"/>
                      <w:szCs w:val="21"/>
                      <w:highlight w:val="none"/>
                      <w:lang w:val="en-US" w:eastAsia="zh-CN"/>
                    </w:rPr>
                  </w:pPr>
                </w:p>
              </w:tc>
              <w:tc>
                <w:tcPr>
                  <w:tcW w:w="1186" w:type="dxa"/>
                  <w:noWrap w:val="0"/>
                  <w:vAlign w:val="center"/>
                </w:tcPr>
                <w:p w14:paraId="2018748F">
                  <w:pPr>
                    <w:numPr>
                      <w:ilvl w:val="0"/>
                      <w:numId w:val="0"/>
                    </w:numPr>
                    <w:adjustRightInd w:val="0"/>
                    <w:snapToGrid w:val="0"/>
                    <w:ind w:left="0" w:leftChars="0"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500</w:t>
                  </w:r>
                  <w:r>
                    <w:rPr>
                      <w:rFonts w:hint="eastAsia" w:ascii="Times New Roman" w:hAnsi="Times New Roman" w:eastAsia="宋体" w:cs="Times New Roman"/>
                      <w:color w:val="auto"/>
                      <w:sz w:val="21"/>
                      <w:szCs w:val="21"/>
                      <w:highlight w:val="none"/>
                      <w:lang w:val="en-US" w:eastAsia="zh-CN"/>
                    </w:rPr>
                    <w:t>t/a</w:t>
                  </w:r>
                </w:p>
              </w:tc>
              <w:tc>
                <w:tcPr>
                  <w:tcW w:w="1008" w:type="pct"/>
                  <w:noWrap w:val="0"/>
                  <w:vAlign w:val="center"/>
                </w:tcPr>
                <w:p w14:paraId="440673DB">
                  <w:pPr>
                    <w:numPr>
                      <w:ilvl w:val="0"/>
                      <w:numId w:val="0"/>
                    </w:numPr>
                    <w:adjustRightInd w:val="0"/>
                    <w:snapToGrid w:val="0"/>
                    <w:ind w:left="0" w:leftChars="0"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桶装，3kg/桶</w:t>
                  </w:r>
                </w:p>
              </w:tc>
              <w:tc>
                <w:tcPr>
                  <w:tcW w:w="1514" w:type="pct"/>
                  <w:vMerge w:val="continue"/>
                  <w:noWrap w:val="0"/>
                  <w:vAlign w:val="center"/>
                </w:tcPr>
                <w:p w14:paraId="1839DD36">
                  <w:pPr>
                    <w:numPr>
                      <w:ilvl w:val="0"/>
                      <w:numId w:val="0"/>
                    </w:numPr>
                    <w:adjustRightInd w:val="0"/>
                    <w:snapToGrid w:val="0"/>
                    <w:ind w:left="0" w:leftChars="0" w:firstLine="0" w:firstLineChars="0"/>
                    <w:jc w:val="center"/>
                    <w:rPr>
                      <w:rFonts w:hint="eastAsia" w:ascii="Times New Roman" w:hAnsi="Times New Roman" w:eastAsia="宋体" w:cs="Times New Roman"/>
                      <w:color w:val="auto"/>
                      <w:sz w:val="21"/>
                      <w:szCs w:val="21"/>
                      <w:highlight w:val="none"/>
                      <w:lang w:val="en-US" w:eastAsia="zh-CN"/>
                    </w:rPr>
                  </w:pPr>
                </w:p>
              </w:tc>
            </w:tr>
            <w:tr w14:paraId="5E91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pct"/>
                  <w:gridSpan w:val="2"/>
                  <w:noWrap w:val="0"/>
                  <w:vAlign w:val="center"/>
                </w:tcPr>
                <w:p w14:paraId="23A465FB">
                  <w:pPr>
                    <w:numPr>
                      <w:ilvl w:val="0"/>
                      <w:numId w:val="0"/>
                    </w:numPr>
                    <w:adjustRightInd w:val="0"/>
                    <w:snapToGrid w:val="0"/>
                    <w:ind w:left="0" w:leftChars="0"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合计</w:t>
                  </w:r>
                </w:p>
              </w:tc>
              <w:tc>
                <w:tcPr>
                  <w:tcW w:w="3205" w:type="pct"/>
                  <w:gridSpan w:val="3"/>
                  <w:noWrap w:val="0"/>
                  <w:vAlign w:val="center"/>
                </w:tcPr>
                <w:p w14:paraId="2385DB69">
                  <w:pPr>
                    <w:numPr>
                      <w:ilvl w:val="0"/>
                      <w:numId w:val="0"/>
                    </w:numPr>
                    <w:adjustRightInd w:val="0"/>
                    <w:snapToGrid w:val="0"/>
                    <w:ind w:left="0" w:leftChars="0"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2000t/a</w:t>
                  </w:r>
                </w:p>
              </w:tc>
            </w:tr>
          </w:tbl>
          <w:p w14:paraId="6409E81F">
            <w:pPr>
              <w:pStyle w:val="5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val="en-US" w:eastAsia="zh-CN"/>
              </w:rPr>
              <w:t>三、</w:t>
            </w:r>
            <w:r>
              <w:rPr>
                <w:rFonts w:hint="default" w:ascii="Times New Roman" w:hAnsi="Times New Roman" w:cs="Times New Roman"/>
                <w:b/>
                <w:bCs/>
                <w:color w:val="auto"/>
                <w:sz w:val="21"/>
                <w:szCs w:val="21"/>
                <w:lang w:eastAsia="zh-CN"/>
              </w:rPr>
              <w:t>主要生产设备</w:t>
            </w:r>
          </w:p>
          <w:p w14:paraId="34C92AA2">
            <w:pPr>
              <w:pStyle w:val="13"/>
              <w:keepNext w:val="0"/>
              <w:keepLines w:val="0"/>
              <w:pageBreakBefore w:val="0"/>
              <w:widowControl w:val="0"/>
              <w:kinsoku/>
              <w:wordWrap/>
              <w:overflowPunct/>
              <w:topLinePunct w:val="0"/>
              <w:autoSpaceDE/>
              <w:autoSpaceDN/>
              <w:bidi w:val="0"/>
              <w:adjustRightInd/>
              <w:snapToGrid/>
              <w:spacing w:before="0" w:after="0" w:line="400" w:lineRule="exact"/>
              <w:ind w:left="110" w:leftChars="50" w:right="0" w:rightChars="0" w:firstLine="420" w:firstLineChars="200"/>
              <w:jc w:val="both"/>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主要生产设备明细表如下：</w:t>
            </w:r>
          </w:p>
          <w:p w14:paraId="061F19BD">
            <w:pPr>
              <w:pStyle w:val="5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eastAsia="zh-CN"/>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val="en-US" w:eastAsia="zh-CN"/>
              </w:rPr>
              <w:t xml:space="preserve"> 主要生产设备一览表</w:t>
            </w:r>
          </w:p>
          <w:tbl>
            <w:tblPr>
              <w:tblStyle w:val="34"/>
              <w:tblW w:w="4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500"/>
              <w:gridCol w:w="2296"/>
              <w:gridCol w:w="781"/>
              <w:gridCol w:w="2117"/>
            </w:tblGrid>
            <w:tr w14:paraId="7F36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noWrap w:val="0"/>
                  <w:vAlign w:val="center"/>
                </w:tcPr>
                <w:p w14:paraId="59224DF5">
                  <w:pPr>
                    <w:pStyle w:val="9"/>
                    <w:jc w:val="center"/>
                    <w:textAlignment w:val="baseline"/>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序号</w:t>
                  </w:r>
                </w:p>
              </w:tc>
              <w:tc>
                <w:tcPr>
                  <w:tcW w:w="1472" w:type="pct"/>
                  <w:noWrap w:val="0"/>
                  <w:vAlign w:val="center"/>
                </w:tcPr>
                <w:p w14:paraId="3F343534">
                  <w:pPr>
                    <w:pStyle w:val="9"/>
                    <w:jc w:val="center"/>
                    <w:textAlignment w:val="baseline"/>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设备名称</w:t>
                  </w:r>
                </w:p>
              </w:tc>
              <w:tc>
                <w:tcPr>
                  <w:tcW w:w="1352" w:type="pct"/>
                  <w:noWrap w:val="0"/>
                  <w:vAlign w:val="center"/>
                </w:tcPr>
                <w:p w14:paraId="0F737BA4">
                  <w:pPr>
                    <w:pStyle w:val="9"/>
                    <w:jc w:val="center"/>
                    <w:textAlignment w:val="baseline"/>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型号/规格</w:t>
                  </w:r>
                </w:p>
              </w:tc>
              <w:tc>
                <w:tcPr>
                  <w:tcW w:w="460" w:type="pct"/>
                  <w:noWrap w:val="0"/>
                  <w:vAlign w:val="center"/>
                </w:tcPr>
                <w:p w14:paraId="395186F7">
                  <w:pPr>
                    <w:pStyle w:val="9"/>
                    <w:ind w:left="0" w:leftChars="0" w:right="0" w:rightChars="0"/>
                    <w:jc w:val="center"/>
                    <w:textAlignment w:val="baseline"/>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数量</w:t>
                  </w:r>
                </w:p>
              </w:tc>
              <w:tc>
                <w:tcPr>
                  <w:tcW w:w="1247" w:type="pct"/>
                  <w:noWrap w:val="0"/>
                  <w:vAlign w:val="center"/>
                </w:tcPr>
                <w:p w14:paraId="4FEDA98E">
                  <w:pPr>
                    <w:pStyle w:val="9"/>
                    <w:ind w:left="0" w:leftChars="0" w:right="0" w:rightChars="0"/>
                    <w:jc w:val="center"/>
                    <w:textAlignment w:val="baseline"/>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备注</w:t>
                  </w:r>
                </w:p>
              </w:tc>
            </w:tr>
            <w:tr w14:paraId="4301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noWrap w:val="0"/>
                  <w:vAlign w:val="center"/>
                </w:tcPr>
                <w:p w14:paraId="485774B7">
                  <w:pPr>
                    <w:pStyle w:val="9"/>
                    <w:ind w:left="0" w:leftChars="0" w:right="0" w:rightChars="0"/>
                    <w:jc w:val="center"/>
                    <w:textAlignment w:val="baseline"/>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A组分生产线</w:t>
                  </w:r>
                </w:p>
              </w:tc>
            </w:tr>
            <w:tr w14:paraId="608D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467" w:type="pct"/>
                  <w:noWrap w:val="0"/>
                  <w:vAlign w:val="center"/>
                </w:tcPr>
                <w:p w14:paraId="73B9BA12">
                  <w:pPr>
                    <w:widowControl/>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1</w:t>
                  </w:r>
                </w:p>
              </w:tc>
              <w:tc>
                <w:tcPr>
                  <w:tcW w:w="1472" w:type="pct"/>
                  <w:noWrap w:val="0"/>
                  <w:vAlign w:val="center"/>
                </w:tcPr>
                <w:p w14:paraId="07CDB462">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防尘搅拌罐</w:t>
                  </w:r>
                </w:p>
              </w:tc>
              <w:tc>
                <w:tcPr>
                  <w:tcW w:w="1352" w:type="pct"/>
                  <w:noWrap w:val="0"/>
                  <w:vAlign w:val="center"/>
                </w:tcPr>
                <w:p w14:paraId="5CB777D9">
                  <w:pPr>
                    <w:widowControl/>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2t，41KW</w:t>
                  </w:r>
                </w:p>
              </w:tc>
              <w:tc>
                <w:tcPr>
                  <w:tcW w:w="460" w:type="pct"/>
                  <w:noWrap w:val="0"/>
                  <w:vAlign w:val="center"/>
                </w:tcPr>
                <w:p w14:paraId="79F8C896">
                  <w:pPr>
                    <w:widowControl/>
                    <w:adjustRightInd w:val="0"/>
                    <w:snapToGrid w:val="0"/>
                    <w:spacing w:line="240" w:lineRule="auto"/>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2</w:t>
                  </w:r>
                  <w:r>
                    <w:rPr>
                      <w:rFonts w:hint="eastAsia" w:ascii="Times New Roman" w:hAnsi="Times New Roman" w:eastAsia="宋体" w:cs="Times New Roman"/>
                      <w:bCs/>
                      <w:color w:val="auto"/>
                      <w:sz w:val="21"/>
                      <w:szCs w:val="21"/>
                      <w:highlight w:val="none"/>
                      <w:lang w:val="en-US" w:eastAsia="zh-CN"/>
                    </w:rPr>
                    <w:t>台</w:t>
                  </w:r>
                </w:p>
              </w:tc>
              <w:tc>
                <w:tcPr>
                  <w:tcW w:w="1247" w:type="pct"/>
                  <w:noWrap w:val="0"/>
                  <w:vAlign w:val="center"/>
                </w:tcPr>
                <w:p w14:paraId="2443A945">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w:t>
                  </w:r>
                </w:p>
              </w:tc>
            </w:tr>
            <w:tr w14:paraId="1B80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shd w:val="clear" w:color="auto" w:fill="auto"/>
                  <w:noWrap w:val="0"/>
                  <w:vAlign w:val="center"/>
                </w:tcPr>
                <w:p w14:paraId="33E40014">
                  <w:pPr>
                    <w:widowControl/>
                    <w:adjustRightInd w:val="0"/>
                    <w:snapToGrid w:val="0"/>
                    <w:spacing w:line="240" w:lineRule="auto"/>
                    <w:ind w:left="0" w:leftChars="0" w:right="0" w:rightChars="0"/>
                    <w:jc w:val="center"/>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bCs/>
                      <w:color w:val="auto"/>
                      <w:sz w:val="21"/>
                      <w:szCs w:val="21"/>
                      <w:highlight w:val="none"/>
                    </w:rPr>
                    <w:t>2</w:t>
                  </w:r>
                </w:p>
              </w:tc>
              <w:tc>
                <w:tcPr>
                  <w:tcW w:w="1472" w:type="pct"/>
                  <w:noWrap w:val="0"/>
                  <w:vAlign w:val="center"/>
                </w:tcPr>
                <w:p w14:paraId="3C1523C0">
                  <w:pPr>
                    <w:adjustRightInd w:val="0"/>
                    <w:snapToGrid w:val="0"/>
                    <w:spacing w:line="240" w:lineRule="auto"/>
                    <w:ind w:left="0" w:leftChars="0" w:right="0" w:right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防尘搅拌罐</w:t>
                  </w:r>
                </w:p>
              </w:tc>
              <w:tc>
                <w:tcPr>
                  <w:tcW w:w="1352" w:type="pct"/>
                  <w:noWrap w:val="0"/>
                  <w:vAlign w:val="center"/>
                </w:tcPr>
                <w:p w14:paraId="04358733">
                  <w:pPr>
                    <w:widowControl/>
                    <w:adjustRightInd w:val="0"/>
                    <w:snapToGrid w:val="0"/>
                    <w:spacing w:line="240" w:lineRule="auto"/>
                    <w:ind w:left="0" w:leftChars="0" w:right="0" w:right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1t，15KW</w:t>
                  </w:r>
                </w:p>
              </w:tc>
              <w:tc>
                <w:tcPr>
                  <w:tcW w:w="460" w:type="pct"/>
                  <w:noWrap w:val="0"/>
                  <w:vAlign w:val="center"/>
                </w:tcPr>
                <w:p w14:paraId="2FDE5079">
                  <w:pPr>
                    <w:widowControl/>
                    <w:adjustRightInd w:val="0"/>
                    <w:snapToGrid w:val="0"/>
                    <w:spacing w:line="240" w:lineRule="auto"/>
                    <w:ind w:left="0" w:leftChars="0" w:right="0" w:rightChars="0"/>
                    <w:jc w:val="center"/>
                    <w:rPr>
                      <w:rFonts w:hint="eastAsia"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3</w:t>
                  </w:r>
                  <w:r>
                    <w:rPr>
                      <w:rFonts w:hint="eastAsia" w:ascii="Times New Roman" w:hAnsi="Times New Roman" w:eastAsia="宋体" w:cs="Times New Roman"/>
                      <w:bCs/>
                      <w:color w:val="auto"/>
                      <w:sz w:val="21"/>
                      <w:szCs w:val="21"/>
                      <w:highlight w:val="none"/>
                      <w:lang w:val="en-US" w:eastAsia="zh-CN"/>
                    </w:rPr>
                    <w:t>台</w:t>
                  </w:r>
                </w:p>
              </w:tc>
              <w:tc>
                <w:tcPr>
                  <w:tcW w:w="1247" w:type="pct"/>
                  <w:noWrap w:val="0"/>
                  <w:vAlign w:val="center"/>
                </w:tcPr>
                <w:p w14:paraId="4C100D3F">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w:t>
                  </w:r>
                </w:p>
              </w:tc>
            </w:tr>
            <w:tr w14:paraId="2378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shd w:val="clear" w:color="auto" w:fill="auto"/>
                  <w:noWrap w:val="0"/>
                  <w:vAlign w:val="center"/>
                </w:tcPr>
                <w:p w14:paraId="78A8BE40">
                  <w:pPr>
                    <w:widowControl/>
                    <w:adjustRightInd w:val="0"/>
                    <w:snapToGrid w:val="0"/>
                    <w:spacing w:line="240" w:lineRule="auto"/>
                    <w:ind w:left="0" w:leftChars="0" w:right="0" w:rightChars="0"/>
                    <w:jc w:val="center"/>
                    <w:rPr>
                      <w:rFonts w:hint="default" w:ascii="Times New Roman" w:hAnsi="Times New Roman" w:eastAsia="宋体" w:cs="Times New Roman"/>
                      <w:bCs/>
                      <w:color w:val="auto"/>
                      <w:sz w:val="21"/>
                      <w:szCs w:val="21"/>
                      <w:highlight w:val="none"/>
                      <w:lang w:val="en-US" w:eastAsia="zh-CN" w:bidi="zh-CN"/>
                    </w:rPr>
                  </w:pPr>
                  <w:r>
                    <w:rPr>
                      <w:rFonts w:hint="eastAsia" w:ascii="Times New Roman" w:hAnsi="Times New Roman" w:eastAsia="宋体" w:cs="Times New Roman"/>
                      <w:bCs/>
                      <w:color w:val="auto"/>
                      <w:sz w:val="21"/>
                      <w:szCs w:val="21"/>
                      <w:highlight w:val="none"/>
                      <w:lang w:val="en-US" w:eastAsia="zh-CN"/>
                    </w:rPr>
                    <w:t>3</w:t>
                  </w:r>
                </w:p>
              </w:tc>
              <w:tc>
                <w:tcPr>
                  <w:tcW w:w="1472" w:type="pct"/>
                  <w:noWrap w:val="0"/>
                  <w:vAlign w:val="center"/>
                </w:tcPr>
                <w:p w14:paraId="66350FC4">
                  <w:pPr>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分散机</w:t>
                  </w:r>
                </w:p>
              </w:tc>
              <w:tc>
                <w:tcPr>
                  <w:tcW w:w="1352" w:type="pct"/>
                  <w:noWrap w:val="0"/>
                  <w:vAlign w:val="center"/>
                </w:tcPr>
                <w:p w14:paraId="6328AD53">
                  <w:pPr>
                    <w:widowControl/>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1t</w:t>
                  </w:r>
                </w:p>
              </w:tc>
              <w:tc>
                <w:tcPr>
                  <w:tcW w:w="460" w:type="pct"/>
                  <w:noWrap w:val="0"/>
                  <w:vAlign w:val="center"/>
                </w:tcPr>
                <w:p w14:paraId="163139E4">
                  <w:pPr>
                    <w:widowControl/>
                    <w:adjustRightInd w:val="0"/>
                    <w:snapToGrid w:val="0"/>
                    <w:spacing w:line="240" w:lineRule="auto"/>
                    <w:ind w:left="0" w:leftChars="0" w:right="0" w:rightChars="0"/>
                    <w:jc w:val="center"/>
                    <w:rPr>
                      <w:rFonts w:hint="eastAsia"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2</w:t>
                  </w:r>
                  <w:r>
                    <w:rPr>
                      <w:rFonts w:hint="eastAsia" w:ascii="Times New Roman" w:hAnsi="Times New Roman" w:eastAsia="宋体" w:cs="Times New Roman"/>
                      <w:bCs/>
                      <w:color w:val="auto"/>
                      <w:sz w:val="21"/>
                      <w:szCs w:val="21"/>
                      <w:highlight w:val="none"/>
                      <w:lang w:val="en-US" w:eastAsia="zh-CN"/>
                    </w:rPr>
                    <w:t>台</w:t>
                  </w:r>
                </w:p>
              </w:tc>
              <w:tc>
                <w:tcPr>
                  <w:tcW w:w="1247" w:type="pct"/>
                  <w:noWrap w:val="0"/>
                  <w:vAlign w:val="center"/>
                </w:tcPr>
                <w:p w14:paraId="1394DBE6">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w:t>
                  </w:r>
                </w:p>
              </w:tc>
            </w:tr>
            <w:tr w14:paraId="65E6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noWrap w:val="0"/>
                  <w:vAlign w:val="center"/>
                </w:tcPr>
                <w:p w14:paraId="485F1841">
                  <w:pPr>
                    <w:widowControl/>
                    <w:adjustRightInd w:val="0"/>
                    <w:snapToGrid w:val="0"/>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4</w:t>
                  </w:r>
                </w:p>
              </w:tc>
              <w:tc>
                <w:tcPr>
                  <w:tcW w:w="1472" w:type="pct"/>
                  <w:noWrap w:val="0"/>
                  <w:vAlign w:val="center"/>
                </w:tcPr>
                <w:p w14:paraId="6949BBEE">
                  <w:pPr>
                    <w:adjustRightInd w:val="0"/>
                    <w:snapToGrid w:val="0"/>
                    <w:spacing w:line="240" w:lineRule="auto"/>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分散机</w:t>
                  </w:r>
                </w:p>
              </w:tc>
              <w:tc>
                <w:tcPr>
                  <w:tcW w:w="1352" w:type="pct"/>
                  <w:noWrap w:val="0"/>
                  <w:vAlign w:val="center"/>
                </w:tcPr>
                <w:p w14:paraId="2EB23771">
                  <w:pPr>
                    <w:widowControl/>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500L</w:t>
                  </w:r>
                </w:p>
              </w:tc>
              <w:tc>
                <w:tcPr>
                  <w:tcW w:w="460" w:type="pct"/>
                  <w:noWrap w:val="0"/>
                  <w:vAlign w:val="center"/>
                </w:tcPr>
                <w:p w14:paraId="5A5256D7">
                  <w:pPr>
                    <w:widowControl/>
                    <w:adjustRightInd w:val="0"/>
                    <w:snapToGrid w:val="0"/>
                    <w:spacing w:line="240" w:lineRule="auto"/>
                    <w:ind w:left="0" w:leftChars="0" w:right="0" w:rightChars="0"/>
                    <w:jc w:val="center"/>
                    <w:rPr>
                      <w:rFonts w:hint="eastAsia"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2</w:t>
                  </w:r>
                  <w:r>
                    <w:rPr>
                      <w:rFonts w:hint="eastAsia" w:ascii="Times New Roman" w:hAnsi="Times New Roman" w:eastAsia="宋体" w:cs="Times New Roman"/>
                      <w:bCs/>
                      <w:color w:val="auto"/>
                      <w:sz w:val="21"/>
                      <w:szCs w:val="21"/>
                      <w:highlight w:val="none"/>
                      <w:lang w:val="en-US" w:eastAsia="zh-CN"/>
                    </w:rPr>
                    <w:t>台</w:t>
                  </w:r>
                </w:p>
              </w:tc>
              <w:tc>
                <w:tcPr>
                  <w:tcW w:w="1247" w:type="pct"/>
                  <w:noWrap w:val="0"/>
                  <w:vAlign w:val="center"/>
                </w:tcPr>
                <w:p w14:paraId="7F5C5D29">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w:t>
                  </w:r>
                </w:p>
              </w:tc>
            </w:tr>
            <w:tr w14:paraId="4298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shd w:val="clear" w:color="auto" w:fill="auto"/>
                  <w:noWrap w:val="0"/>
                  <w:vAlign w:val="center"/>
                </w:tcPr>
                <w:p w14:paraId="7217729C">
                  <w:pPr>
                    <w:widowControl/>
                    <w:adjustRightInd w:val="0"/>
                    <w:snapToGrid w:val="0"/>
                    <w:spacing w:line="240" w:lineRule="auto"/>
                    <w:ind w:left="0" w:leftChars="0" w:right="0" w:rightChars="0"/>
                    <w:jc w:val="center"/>
                    <w:rPr>
                      <w:rFonts w:hint="default"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5</w:t>
                  </w:r>
                </w:p>
              </w:tc>
              <w:tc>
                <w:tcPr>
                  <w:tcW w:w="1472" w:type="pct"/>
                  <w:noWrap w:val="0"/>
                  <w:vAlign w:val="center"/>
                </w:tcPr>
                <w:p w14:paraId="242C8549">
                  <w:pPr>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灌装机</w:t>
                  </w:r>
                </w:p>
              </w:tc>
              <w:tc>
                <w:tcPr>
                  <w:tcW w:w="1352" w:type="pct"/>
                  <w:noWrap w:val="0"/>
                  <w:vAlign w:val="center"/>
                </w:tcPr>
                <w:p w14:paraId="1929A506">
                  <w:pPr>
                    <w:widowControl/>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w:t>
                  </w:r>
                </w:p>
              </w:tc>
              <w:tc>
                <w:tcPr>
                  <w:tcW w:w="460" w:type="pct"/>
                  <w:noWrap w:val="0"/>
                  <w:vAlign w:val="center"/>
                </w:tcPr>
                <w:p w14:paraId="64E56BBA">
                  <w:pPr>
                    <w:widowControl/>
                    <w:adjustRightInd w:val="0"/>
                    <w:snapToGrid w:val="0"/>
                    <w:spacing w:line="240" w:lineRule="auto"/>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7</w:t>
                  </w:r>
                  <w:r>
                    <w:rPr>
                      <w:rFonts w:hint="eastAsia" w:ascii="Times New Roman" w:hAnsi="Times New Roman" w:eastAsia="宋体" w:cs="Times New Roman"/>
                      <w:bCs/>
                      <w:color w:val="auto"/>
                      <w:sz w:val="21"/>
                      <w:szCs w:val="21"/>
                      <w:highlight w:val="none"/>
                      <w:lang w:val="en-US" w:eastAsia="zh-CN"/>
                    </w:rPr>
                    <w:t>台</w:t>
                  </w:r>
                </w:p>
              </w:tc>
              <w:tc>
                <w:tcPr>
                  <w:tcW w:w="1247" w:type="pct"/>
                  <w:noWrap w:val="0"/>
                  <w:vAlign w:val="center"/>
                </w:tcPr>
                <w:p w14:paraId="27E7E2DB">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w:t>
                  </w:r>
                </w:p>
              </w:tc>
            </w:tr>
            <w:tr w14:paraId="0BF2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67" w:type="pct"/>
                  <w:shd w:val="clear" w:color="auto" w:fill="auto"/>
                  <w:noWrap w:val="0"/>
                  <w:vAlign w:val="center"/>
                </w:tcPr>
                <w:p w14:paraId="2A583049">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6</w:t>
                  </w:r>
                </w:p>
              </w:tc>
              <w:tc>
                <w:tcPr>
                  <w:tcW w:w="1472" w:type="pct"/>
                  <w:noWrap w:val="0"/>
                  <w:vAlign w:val="center"/>
                </w:tcPr>
                <w:p w14:paraId="3D30064E">
                  <w:pPr>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挤出机</w:t>
                  </w:r>
                </w:p>
              </w:tc>
              <w:tc>
                <w:tcPr>
                  <w:tcW w:w="1352" w:type="pct"/>
                  <w:noWrap w:val="0"/>
                  <w:vAlign w:val="center"/>
                </w:tcPr>
                <w:p w14:paraId="0F63BAE6">
                  <w:pPr>
                    <w:widowControl/>
                    <w:adjustRightInd w:val="0"/>
                    <w:snapToGrid w:val="0"/>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w:t>
                  </w:r>
                </w:p>
              </w:tc>
              <w:tc>
                <w:tcPr>
                  <w:tcW w:w="460" w:type="pct"/>
                  <w:noWrap w:val="0"/>
                  <w:vAlign w:val="center"/>
                </w:tcPr>
                <w:p w14:paraId="5AF785E4">
                  <w:pPr>
                    <w:widowControl/>
                    <w:adjustRightInd w:val="0"/>
                    <w:snapToGrid w:val="0"/>
                    <w:spacing w:line="240" w:lineRule="auto"/>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2台</w:t>
                  </w:r>
                </w:p>
              </w:tc>
              <w:tc>
                <w:tcPr>
                  <w:tcW w:w="1247" w:type="pct"/>
                  <w:noWrap w:val="0"/>
                  <w:vAlign w:val="center"/>
                </w:tcPr>
                <w:p w14:paraId="57C83995">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w:t>
                  </w:r>
                </w:p>
              </w:tc>
            </w:tr>
            <w:tr w14:paraId="72B0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000" w:type="pct"/>
                  <w:gridSpan w:val="5"/>
                  <w:shd w:val="clear" w:color="auto" w:fill="auto"/>
                  <w:noWrap w:val="0"/>
                  <w:vAlign w:val="center"/>
                </w:tcPr>
                <w:p w14:paraId="27EF6249">
                  <w:pPr>
                    <w:widowControl/>
                    <w:adjustRightInd w:val="0"/>
                    <w:snapToGrid w:val="0"/>
                    <w:spacing w:line="240" w:lineRule="auto"/>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B组分生产线</w:t>
                  </w:r>
                </w:p>
              </w:tc>
            </w:tr>
            <w:tr w14:paraId="5EB9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shd w:val="clear" w:color="auto" w:fill="auto"/>
                  <w:noWrap w:val="0"/>
                  <w:vAlign w:val="center"/>
                </w:tcPr>
                <w:p w14:paraId="4B94AF13">
                  <w:pPr>
                    <w:widowControl/>
                    <w:adjustRightInd w:val="0"/>
                    <w:snapToGrid w:val="0"/>
                    <w:spacing w:line="240" w:lineRule="auto"/>
                    <w:ind w:left="0" w:leftChars="0" w:right="0" w:rightChars="0"/>
                    <w:jc w:val="center"/>
                    <w:rPr>
                      <w:rFonts w:hint="default"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7</w:t>
                  </w:r>
                </w:p>
              </w:tc>
              <w:tc>
                <w:tcPr>
                  <w:tcW w:w="1472" w:type="pct"/>
                  <w:shd w:val="clear" w:color="auto" w:fill="auto"/>
                  <w:noWrap w:val="0"/>
                  <w:vAlign w:val="center"/>
                </w:tcPr>
                <w:p w14:paraId="03A1C40A">
                  <w:pPr>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防尘搅拌罐</w:t>
                  </w:r>
                </w:p>
              </w:tc>
              <w:tc>
                <w:tcPr>
                  <w:tcW w:w="1352" w:type="pct"/>
                  <w:shd w:val="clear" w:color="auto" w:fill="auto"/>
                  <w:noWrap w:val="0"/>
                  <w:vAlign w:val="center"/>
                </w:tcPr>
                <w:p w14:paraId="3CE1EEB4">
                  <w:pPr>
                    <w:widowControl/>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2t，41KW</w:t>
                  </w:r>
                </w:p>
              </w:tc>
              <w:tc>
                <w:tcPr>
                  <w:tcW w:w="460" w:type="pct"/>
                  <w:shd w:val="clear" w:color="auto" w:fill="auto"/>
                  <w:noWrap w:val="0"/>
                  <w:vAlign w:val="center"/>
                </w:tcPr>
                <w:p w14:paraId="501B7618">
                  <w:pPr>
                    <w:widowControl/>
                    <w:adjustRightInd w:val="0"/>
                    <w:snapToGrid w:val="0"/>
                    <w:spacing w:line="240" w:lineRule="auto"/>
                    <w:ind w:left="0" w:leftChars="0" w:right="0" w:rightChars="0"/>
                    <w:jc w:val="center"/>
                    <w:rPr>
                      <w:rFonts w:hint="default"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2</w:t>
                  </w:r>
                  <w:r>
                    <w:rPr>
                      <w:rFonts w:hint="eastAsia" w:ascii="Times New Roman" w:hAnsi="Times New Roman" w:eastAsia="宋体" w:cs="Times New Roman"/>
                      <w:bCs/>
                      <w:color w:val="auto"/>
                      <w:sz w:val="21"/>
                      <w:szCs w:val="21"/>
                      <w:highlight w:val="none"/>
                      <w:lang w:val="en-US" w:eastAsia="zh-CN"/>
                    </w:rPr>
                    <w:t>台</w:t>
                  </w:r>
                </w:p>
              </w:tc>
              <w:tc>
                <w:tcPr>
                  <w:tcW w:w="1247" w:type="pct"/>
                  <w:noWrap w:val="0"/>
                  <w:vAlign w:val="center"/>
                </w:tcPr>
                <w:p w14:paraId="7FEF09F5">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rPr>
                  </w:pPr>
                </w:p>
              </w:tc>
            </w:tr>
            <w:tr w14:paraId="19A9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shd w:val="clear" w:color="auto" w:fill="auto"/>
                  <w:noWrap w:val="0"/>
                  <w:vAlign w:val="center"/>
                </w:tcPr>
                <w:p w14:paraId="18DE859B">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8</w:t>
                  </w:r>
                </w:p>
              </w:tc>
              <w:tc>
                <w:tcPr>
                  <w:tcW w:w="1472" w:type="pct"/>
                  <w:shd w:val="clear" w:color="auto" w:fill="auto"/>
                  <w:noWrap w:val="0"/>
                  <w:vAlign w:val="center"/>
                </w:tcPr>
                <w:p w14:paraId="0FA371C7">
                  <w:pPr>
                    <w:adjustRightInd w:val="0"/>
                    <w:snapToGrid w:val="0"/>
                    <w:spacing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防尘搅拌罐</w:t>
                  </w:r>
                </w:p>
              </w:tc>
              <w:tc>
                <w:tcPr>
                  <w:tcW w:w="1352" w:type="pct"/>
                  <w:shd w:val="clear" w:color="auto" w:fill="auto"/>
                  <w:noWrap w:val="0"/>
                  <w:vAlign w:val="center"/>
                </w:tcPr>
                <w:p w14:paraId="3EA00952">
                  <w:pPr>
                    <w:widowControl/>
                    <w:adjustRightInd w:val="0"/>
                    <w:snapToGrid w:val="0"/>
                    <w:spacing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1t，15KW</w:t>
                  </w:r>
                </w:p>
              </w:tc>
              <w:tc>
                <w:tcPr>
                  <w:tcW w:w="460" w:type="pct"/>
                  <w:shd w:val="clear" w:color="auto" w:fill="auto"/>
                  <w:noWrap w:val="0"/>
                  <w:vAlign w:val="center"/>
                </w:tcPr>
                <w:p w14:paraId="5547FECD">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3</w:t>
                  </w:r>
                  <w:r>
                    <w:rPr>
                      <w:rFonts w:hint="eastAsia" w:ascii="Times New Roman" w:hAnsi="Times New Roman" w:eastAsia="宋体" w:cs="Times New Roman"/>
                      <w:bCs/>
                      <w:color w:val="auto"/>
                      <w:sz w:val="21"/>
                      <w:szCs w:val="21"/>
                      <w:highlight w:val="none"/>
                      <w:lang w:val="en-US" w:eastAsia="zh-CN"/>
                    </w:rPr>
                    <w:t>台</w:t>
                  </w:r>
                </w:p>
              </w:tc>
              <w:tc>
                <w:tcPr>
                  <w:tcW w:w="1247" w:type="pct"/>
                  <w:noWrap w:val="0"/>
                  <w:vAlign w:val="center"/>
                </w:tcPr>
                <w:p w14:paraId="636B2DF7">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rPr>
                  </w:pPr>
                </w:p>
              </w:tc>
            </w:tr>
            <w:tr w14:paraId="0FCF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shd w:val="clear" w:color="auto" w:fill="auto"/>
                  <w:noWrap w:val="0"/>
                  <w:vAlign w:val="center"/>
                </w:tcPr>
                <w:p w14:paraId="461A6310">
                  <w:pPr>
                    <w:widowControl/>
                    <w:adjustRightInd w:val="0"/>
                    <w:snapToGrid w:val="0"/>
                    <w:spacing w:line="240" w:lineRule="auto"/>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9</w:t>
                  </w:r>
                </w:p>
              </w:tc>
              <w:tc>
                <w:tcPr>
                  <w:tcW w:w="1472" w:type="pct"/>
                  <w:shd w:val="clear" w:color="auto" w:fill="auto"/>
                  <w:noWrap w:val="0"/>
                  <w:vAlign w:val="center"/>
                </w:tcPr>
                <w:p w14:paraId="26211B63">
                  <w:pPr>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分散机</w:t>
                  </w:r>
                </w:p>
              </w:tc>
              <w:tc>
                <w:tcPr>
                  <w:tcW w:w="1352" w:type="pct"/>
                  <w:shd w:val="clear" w:color="auto" w:fill="auto"/>
                  <w:noWrap w:val="0"/>
                  <w:vAlign w:val="center"/>
                </w:tcPr>
                <w:p w14:paraId="4D97580E">
                  <w:pPr>
                    <w:widowControl/>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1t</w:t>
                  </w:r>
                </w:p>
              </w:tc>
              <w:tc>
                <w:tcPr>
                  <w:tcW w:w="460" w:type="pct"/>
                  <w:shd w:val="clear" w:color="auto" w:fill="auto"/>
                  <w:noWrap w:val="0"/>
                  <w:vAlign w:val="center"/>
                </w:tcPr>
                <w:p w14:paraId="6D2A01E8">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2</w:t>
                  </w:r>
                  <w:r>
                    <w:rPr>
                      <w:rFonts w:hint="eastAsia" w:ascii="Times New Roman" w:hAnsi="Times New Roman" w:eastAsia="宋体" w:cs="Times New Roman"/>
                      <w:bCs/>
                      <w:color w:val="auto"/>
                      <w:sz w:val="21"/>
                      <w:szCs w:val="21"/>
                      <w:highlight w:val="none"/>
                      <w:lang w:val="en-US" w:eastAsia="zh-CN"/>
                    </w:rPr>
                    <w:t>台</w:t>
                  </w:r>
                </w:p>
              </w:tc>
              <w:tc>
                <w:tcPr>
                  <w:tcW w:w="1247" w:type="pct"/>
                  <w:noWrap w:val="0"/>
                  <w:vAlign w:val="center"/>
                </w:tcPr>
                <w:p w14:paraId="1B41D5BE">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rPr>
                  </w:pPr>
                </w:p>
              </w:tc>
            </w:tr>
            <w:tr w14:paraId="251F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shd w:val="clear" w:color="auto" w:fill="auto"/>
                  <w:noWrap w:val="0"/>
                  <w:vAlign w:val="center"/>
                </w:tcPr>
                <w:p w14:paraId="0762840F">
                  <w:pPr>
                    <w:widowControl/>
                    <w:adjustRightInd w:val="0"/>
                    <w:snapToGrid w:val="0"/>
                    <w:spacing w:line="240" w:lineRule="auto"/>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10</w:t>
                  </w:r>
                </w:p>
              </w:tc>
              <w:tc>
                <w:tcPr>
                  <w:tcW w:w="1472" w:type="pct"/>
                  <w:shd w:val="clear" w:color="auto" w:fill="auto"/>
                  <w:noWrap w:val="0"/>
                  <w:vAlign w:val="center"/>
                </w:tcPr>
                <w:p w14:paraId="50FCABB0">
                  <w:pPr>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分散机</w:t>
                  </w:r>
                </w:p>
              </w:tc>
              <w:tc>
                <w:tcPr>
                  <w:tcW w:w="1352" w:type="pct"/>
                  <w:shd w:val="clear" w:color="auto" w:fill="auto"/>
                  <w:noWrap w:val="0"/>
                  <w:vAlign w:val="center"/>
                </w:tcPr>
                <w:p w14:paraId="394F3877">
                  <w:pPr>
                    <w:widowControl/>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500L</w:t>
                  </w:r>
                </w:p>
              </w:tc>
              <w:tc>
                <w:tcPr>
                  <w:tcW w:w="460" w:type="pct"/>
                  <w:shd w:val="clear" w:color="auto" w:fill="auto"/>
                  <w:noWrap w:val="0"/>
                  <w:vAlign w:val="center"/>
                </w:tcPr>
                <w:p w14:paraId="5D4D8E88">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2</w:t>
                  </w:r>
                  <w:r>
                    <w:rPr>
                      <w:rFonts w:hint="eastAsia" w:ascii="Times New Roman" w:hAnsi="Times New Roman" w:eastAsia="宋体" w:cs="Times New Roman"/>
                      <w:bCs/>
                      <w:color w:val="auto"/>
                      <w:sz w:val="21"/>
                      <w:szCs w:val="21"/>
                      <w:highlight w:val="none"/>
                      <w:lang w:val="en-US" w:eastAsia="zh-CN"/>
                    </w:rPr>
                    <w:t>台</w:t>
                  </w:r>
                </w:p>
              </w:tc>
              <w:tc>
                <w:tcPr>
                  <w:tcW w:w="1247" w:type="pct"/>
                  <w:noWrap w:val="0"/>
                  <w:vAlign w:val="center"/>
                </w:tcPr>
                <w:p w14:paraId="2F47BC01">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rPr>
                  </w:pPr>
                </w:p>
              </w:tc>
            </w:tr>
            <w:tr w14:paraId="2C02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shd w:val="clear" w:color="auto" w:fill="auto"/>
                  <w:noWrap w:val="0"/>
                  <w:vAlign w:val="center"/>
                </w:tcPr>
                <w:p w14:paraId="3EC0F577">
                  <w:pPr>
                    <w:widowControl/>
                    <w:adjustRightInd w:val="0"/>
                    <w:snapToGrid w:val="0"/>
                    <w:spacing w:line="240" w:lineRule="auto"/>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11</w:t>
                  </w:r>
                </w:p>
              </w:tc>
              <w:tc>
                <w:tcPr>
                  <w:tcW w:w="1472" w:type="pct"/>
                  <w:shd w:val="clear" w:color="auto" w:fill="auto"/>
                  <w:noWrap w:val="0"/>
                  <w:vAlign w:val="center"/>
                </w:tcPr>
                <w:p w14:paraId="6335E365">
                  <w:pPr>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灌装机</w:t>
                  </w:r>
                </w:p>
              </w:tc>
              <w:tc>
                <w:tcPr>
                  <w:tcW w:w="1352" w:type="pct"/>
                  <w:shd w:val="clear" w:color="auto" w:fill="auto"/>
                  <w:noWrap w:val="0"/>
                  <w:vAlign w:val="center"/>
                </w:tcPr>
                <w:p w14:paraId="1A028B40">
                  <w:pPr>
                    <w:widowControl/>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w:t>
                  </w:r>
                </w:p>
              </w:tc>
              <w:tc>
                <w:tcPr>
                  <w:tcW w:w="460" w:type="pct"/>
                  <w:shd w:val="clear" w:color="auto" w:fill="auto"/>
                  <w:noWrap w:val="0"/>
                  <w:vAlign w:val="center"/>
                </w:tcPr>
                <w:p w14:paraId="1D035885">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7</w:t>
                  </w:r>
                  <w:r>
                    <w:rPr>
                      <w:rFonts w:hint="eastAsia" w:ascii="Times New Roman" w:hAnsi="Times New Roman" w:eastAsia="宋体" w:cs="Times New Roman"/>
                      <w:bCs/>
                      <w:color w:val="auto"/>
                      <w:sz w:val="21"/>
                      <w:szCs w:val="21"/>
                      <w:highlight w:val="none"/>
                      <w:lang w:val="en-US" w:eastAsia="zh-CN"/>
                    </w:rPr>
                    <w:t>台</w:t>
                  </w:r>
                </w:p>
              </w:tc>
              <w:tc>
                <w:tcPr>
                  <w:tcW w:w="1247" w:type="pct"/>
                  <w:noWrap w:val="0"/>
                  <w:vAlign w:val="center"/>
                </w:tcPr>
                <w:p w14:paraId="0F089146">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rPr>
                  </w:pPr>
                </w:p>
              </w:tc>
            </w:tr>
            <w:tr w14:paraId="6EAB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shd w:val="clear" w:color="auto" w:fill="auto"/>
                  <w:noWrap w:val="0"/>
                  <w:vAlign w:val="center"/>
                </w:tcPr>
                <w:p w14:paraId="52FCBE78">
                  <w:pPr>
                    <w:widowControl/>
                    <w:adjustRightInd w:val="0"/>
                    <w:snapToGrid w:val="0"/>
                    <w:spacing w:line="240" w:lineRule="auto"/>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12</w:t>
                  </w:r>
                </w:p>
              </w:tc>
              <w:tc>
                <w:tcPr>
                  <w:tcW w:w="1472" w:type="pct"/>
                  <w:shd w:val="clear" w:color="auto" w:fill="auto"/>
                  <w:noWrap w:val="0"/>
                  <w:vAlign w:val="center"/>
                </w:tcPr>
                <w:p w14:paraId="1B7A8C03">
                  <w:pPr>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挤出机</w:t>
                  </w:r>
                </w:p>
              </w:tc>
              <w:tc>
                <w:tcPr>
                  <w:tcW w:w="1352" w:type="pct"/>
                  <w:shd w:val="clear" w:color="auto" w:fill="auto"/>
                  <w:noWrap w:val="0"/>
                  <w:vAlign w:val="center"/>
                </w:tcPr>
                <w:p w14:paraId="2003654C">
                  <w:pPr>
                    <w:widowControl/>
                    <w:adjustRightInd w:val="0"/>
                    <w:snapToGrid w:val="0"/>
                    <w:spacing w:line="240" w:lineRule="auto"/>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w:t>
                  </w:r>
                </w:p>
              </w:tc>
              <w:tc>
                <w:tcPr>
                  <w:tcW w:w="460" w:type="pct"/>
                  <w:shd w:val="clear" w:color="auto" w:fill="auto"/>
                  <w:noWrap w:val="0"/>
                  <w:vAlign w:val="center"/>
                </w:tcPr>
                <w:p w14:paraId="7166CB48">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2台</w:t>
                  </w:r>
                </w:p>
              </w:tc>
              <w:tc>
                <w:tcPr>
                  <w:tcW w:w="1247" w:type="pct"/>
                  <w:noWrap w:val="0"/>
                  <w:vAlign w:val="center"/>
                </w:tcPr>
                <w:p w14:paraId="3A06AF2A">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rPr>
                  </w:pPr>
                </w:p>
              </w:tc>
            </w:tr>
            <w:tr w14:paraId="29DE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000" w:type="pct"/>
                  <w:gridSpan w:val="5"/>
                  <w:shd w:val="clear" w:color="auto" w:fill="auto"/>
                  <w:noWrap w:val="0"/>
                  <w:vAlign w:val="center"/>
                </w:tcPr>
                <w:p w14:paraId="5AF45A03">
                  <w:pPr>
                    <w:widowControl/>
                    <w:adjustRightInd w:val="0"/>
                    <w:snapToGrid w:val="0"/>
                    <w:spacing w:line="240" w:lineRule="auto"/>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公用设备</w:t>
                  </w:r>
                </w:p>
              </w:tc>
            </w:tr>
            <w:tr w14:paraId="26B7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shd w:val="clear" w:color="auto" w:fill="auto"/>
                  <w:noWrap w:val="0"/>
                  <w:vAlign w:val="center"/>
                </w:tcPr>
                <w:p w14:paraId="54A77B49">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13</w:t>
                  </w:r>
                </w:p>
              </w:tc>
              <w:tc>
                <w:tcPr>
                  <w:tcW w:w="1472" w:type="pct"/>
                  <w:shd w:val="clear" w:color="auto" w:fill="auto"/>
                  <w:noWrap w:val="0"/>
                  <w:vAlign w:val="center"/>
                </w:tcPr>
                <w:p w14:paraId="50263104">
                  <w:pPr>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纸箱包膜机</w:t>
                  </w:r>
                </w:p>
              </w:tc>
              <w:tc>
                <w:tcPr>
                  <w:tcW w:w="1352" w:type="pct"/>
                  <w:shd w:val="clear" w:color="auto" w:fill="auto"/>
                  <w:noWrap w:val="0"/>
                  <w:vAlign w:val="center"/>
                </w:tcPr>
                <w:p w14:paraId="2064D400">
                  <w:pPr>
                    <w:widowControl/>
                    <w:adjustRightInd w:val="0"/>
                    <w:snapToGrid w:val="0"/>
                    <w:spacing w:line="240" w:lineRule="auto"/>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w:t>
                  </w:r>
                </w:p>
              </w:tc>
              <w:tc>
                <w:tcPr>
                  <w:tcW w:w="460" w:type="pct"/>
                  <w:shd w:val="clear" w:color="auto" w:fill="auto"/>
                  <w:noWrap w:val="0"/>
                  <w:vAlign w:val="center"/>
                </w:tcPr>
                <w:p w14:paraId="0BBFC2A8">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1台</w:t>
                  </w:r>
                </w:p>
              </w:tc>
              <w:tc>
                <w:tcPr>
                  <w:tcW w:w="1247" w:type="pct"/>
                  <w:shd w:val="clear" w:color="auto" w:fill="auto"/>
                  <w:noWrap w:val="0"/>
                  <w:vAlign w:val="center"/>
                </w:tcPr>
                <w:p w14:paraId="18B2F4D2">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eastAsia="宋体" w:cs="Times New Roman"/>
                      <w:bCs/>
                      <w:color w:val="auto"/>
                      <w:sz w:val="21"/>
                      <w:szCs w:val="21"/>
                      <w:highlight w:val="none"/>
                      <w:lang w:val="en-US" w:eastAsia="zh-CN"/>
                    </w:rPr>
                    <w:t>/</w:t>
                  </w:r>
                </w:p>
              </w:tc>
            </w:tr>
            <w:tr w14:paraId="0B34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shd w:val="clear" w:color="auto" w:fill="auto"/>
                  <w:noWrap w:val="0"/>
                  <w:vAlign w:val="center"/>
                </w:tcPr>
                <w:p w14:paraId="66875E2F">
                  <w:pPr>
                    <w:widowControl/>
                    <w:adjustRightInd w:val="0"/>
                    <w:snapToGrid w:val="0"/>
                    <w:spacing w:line="240" w:lineRule="auto"/>
                    <w:ind w:left="0" w:leftChars="0" w:right="0" w:rightChars="0"/>
                    <w:jc w:val="center"/>
                    <w:rPr>
                      <w:rFonts w:hint="default"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bidi="zh-CN"/>
                    </w:rPr>
                    <w:t>14</w:t>
                  </w:r>
                </w:p>
              </w:tc>
              <w:tc>
                <w:tcPr>
                  <w:tcW w:w="1472" w:type="pct"/>
                  <w:noWrap w:val="0"/>
                  <w:vAlign w:val="center"/>
                </w:tcPr>
                <w:p w14:paraId="41FE9200">
                  <w:pPr>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喷码日期机</w:t>
                  </w:r>
                </w:p>
              </w:tc>
              <w:tc>
                <w:tcPr>
                  <w:tcW w:w="1352" w:type="pct"/>
                  <w:noWrap w:val="0"/>
                  <w:vAlign w:val="center"/>
                </w:tcPr>
                <w:p w14:paraId="6A864E41">
                  <w:pPr>
                    <w:widowControl/>
                    <w:adjustRightInd w:val="0"/>
                    <w:snapToGrid w:val="0"/>
                    <w:spacing w:line="240" w:lineRule="auto"/>
                    <w:jc w:val="center"/>
                    <w:rPr>
                      <w:rFonts w:hint="eastAsia"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w:t>
                  </w:r>
                </w:p>
              </w:tc>
              <w:tc>
                <w:tcPr>
                  <w:tcW w:w="460" w:type="pct"/>
                  <w:noWrap w:val="0"/>
                  <w:vAlign w:val="center"/>
                </w:tcPr>
                <w:p w14:paraId="7040CF97">
                  <w:pPr>
                    <w:widowControl/>
                    <w:adjustRightInd w:val="0"/>
                    <w:snapToGrid w:val="0"/>
                    <w:spacing w:line="240" w:lineRule="auto"/>
                    <w:ind w:left="0" w:leftChars="0" w:right="0" w:right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2台</w:t>
                  </w:r>
                </w:p>
              </w:tc>
              <w:tc>
                <w:tcPr>
                  <w:tcW w:w="1247" w:type="pct"/>
                  <w:noWrap w:val="0"/>
                  <w:vAlign w:val="center"/>
                </w:tcPr>
                <w:p w14:paraId="63E5AE6E">
                  <w:pPr>
                    <w:widowControl/>
                    <w:adjustRightInd w:val="0"/>
                    <w:snapToGrid w:val="0"/>
                    <w:spacing w:line="240" w:lineRule="auto"/>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w:t>
                  </w:r>
                </w:p>
              </w:tc>
            </w:tr>
            <w:tr w14:paraId="6784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noWrap w:val="0"/>
                  <w:vAlign w:val="center"/>
                </w:tcPr>
                <w:p w14:paraId="5D189957">
                  <w:pPr>
                    <w:widowControl/>
                    <w:adjustRightInd w:val="0"/>
                    <w:snapToGrid w:val="0"/>
                    <w:spacing w:line="240" w:lineRule="auto"/>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15</w:t>
                  </w:r>
                </w:p>
              </w:tc>
              <w:tc>
                <w:tcPr>
                  <w:tcW w:w="1472" w:type="pct"/>
                  <w:noWrap w:val="0"/>
                  <w:vAlign w:val="center"/>
                </w:tcPr>
                <w:p w14:paraId="0E38563B">
                  <w:pPr>
                    <w:adjustRightInd w:val="0"/>
                    <w:snapToGrid w:val="0"/>
                    <w:spacing w:line="240" w:lineRule="auto"/>
                    <w:ind w:left="0" w:leftChars="0" w:right="0" w:rightChars="0"/>
                    <w:jc w:val="center"/>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空压机</w:t>
                  </w:r>
                </w:p>
              </w:tc>
              <w:tc>
                <w:tcPr>
                  <w:tcW w:w="1352" w:type="pct"/>
                  <w:noWrap w:val="0"/>
                  <w:vAlign w:val="center"/>
                </w:tcPr>
                <w:p w14:paraId="61C8D966">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w:t>
                  </w:r>
                </w:p>
              </w:tc>
              <w:tc>
                <w:tcPr>
                  <w:tcW w:w="460" w:type="pct"/>
                  <w:noWrap w:val="0"/>
                  <w:vAlign w:val="center"/>
                </w:tcPr>
                <w:p w14:paraId="6D1B84FB">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cs="Times New Roman"/>
                      <w:bCs/>
                      <w:color w:val="auto"/>
                      <w:sz w:val="21"/>
                      <w:szCs w:val="21"/>
                      <w:highlight w:val="none"/>
                      <w:lang w:val="en-US" w:eastAsia="zh-CN"/>
                    </w:rPr>
                    <w:t>2台</w:t>
                  </w:r>
                </w:p>
              </w:tc>
              <w:tc>
                <w:tcPr>
                  <w:tcW w:w="1247" w:type="pct"/>
                  <w:noWrap w:val="0"/>
                  <w:vAlign w:val="center"/>
                </w:tcPr>
                <w:p w14:paraId="23FC22EA">
                  <w:pPr>
                    <w:widowControl/>
                    <w:adjustRightInd w:val="0"/>
                    <w:snapToGrid w:val="0"/>
                    <w:spacing w:line="240" w:lineRule="auto"/>
                    <w:ind w:left="0" w:leftChars="0" w:right="0" w:rightChars="0"/>
                    <w:jc w:val="center"/>
                    <w:rPr>
                      <w:rFonts w:hint="eastAsia" w:ascii="Times New Roman" w:hAnsi="Times New Roman" w:eastAsia="宋体" w:cs="Times New Roman"/>
                      <w:bCs/>
                      <w:color w:val="auto"/>
                      <w:sz w:val="21"/>
                      <w:szCs w:val="21"/>
                      <w:highlight w:val="none"/>
                      <w:lang w:val="en-US" w:eastAsia="zh-CN" w:bidi="zh-CN"/>
                    </w:rPr>
                  </w:pPr>
                  <w:r>
                    <w:rPr>
                      <w:rFonts w:hint="eastAsia" w:ascii="Times New Roman" w:hAnsi="Times New Roman" w:eastAsia="宋体" w:cs="Times New Roman"/>
                      <w:bCs/>
                      <w:color w:val="auto"/>
                      <w:sz w:val="21"/>
                      <w:szCs w:val="21"/>
                      <w:highlight w:val="none"/>
                      <w:lang w:val="en-US" w:eastAsia="zh-CN"/>
                    </w:rPr>
                    <w:t>/</w:t>
                  </w:r>
                </w:p>
              </w:tc>
            </w:tr>
            <w:tr w14:paraId="3278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67" w:type="pct"/>
                  <w:noWrap w:val="0"/>
                  <w:vAlign w:val="center"/>
                </w:tcPr>
                <w:p w14:paraId="3FE495AB">
                  <w:pPr>
                    <w:widowControl/>
                    <w:adjustRightInd w:val="0"/>
                    <w:snapToGrid w:val="0"/>
                    <w:spacing w:line="240" w:lineRule="auto"/>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16</w:t>
                  </w:r>
                </w:p>
              </w:tc>
              <w:tc>
                <w:tcPr>
                  <w:tcW w:w="1472" w:type="pct"/>
                  <w:noWrap w:val="0"/>
                  <w:vAlign w:val="center"/>
                </w:tcPr>
                <w:p w14:paraId="645FB4E8">
                  <w:pPr>
                    <w:adjustRightInd w:val="0"/>
                    <w:snapToGrid w:val="0"/>
                    <w:spacing w:line="240" w:lineRule="auto"/>
                    <w:ind w:left="0" w:leftChars="0" w:right="0" w:right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液压机</w:t>
                  </w:r>
                </w:p>
              </w:tc>
              <w:tc>
                <w:tcPr>
                  <w:tcW w:w="1352" w:type="pct"/>
                  <w:noWrap w:val="0"/>
                  <w:vAlign w:val="center"/>
                </w:tcPr>
                <w:p w14:paraId="67A20EA4">
                  <w:pPr>
                    <w:widowControl/>
                    <w:adjustRightInd w:val="0"/>
                    <w:snapToGrid w:val="0"/>
                    <w:spacing w:line="240" w:lineRule="auto"/>
                    <w:ind w:left="0" w:leftChars="0" w:right="0" w:right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w:t>
                  </w:r>
                </w:p>
              </w:tc>
              <w:tc>
                <w:tcPr>
                  <w:tcW w:w="460" w:type="pct"/>
                  <w:noWrap w:val="0"/>
                  <w:vAlign w:val="center"/>
                </w:tcPr>
                <w:p w14:paraId="609960DD">
                  <w:pPr>
                    <w:widowControl/>
                    <w:adjustRightInd w:val="0"/>
                    <w:snapToGrid w:val="0"/>
                    <w:spacing w:line="240" w:lineRule="auto"/>
                    <w:ind w:left="0" w:leftChars="0" w:right="0" w:right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2台</w:t>
                  </w:r>
                </w:p>
              </w:tc>
              <w:tc>
                <w:tcPr>
                  <w:tcW w:w="1247" w:type="pct"/>
                  <w:noWrap w:val="0"/>
                  <w:vAlign w:val="center"/>
                </w:tcPr>
                <w:p w14:paraId="553B0E48">
                  <w:pPr>
                    <w:widowControl/>
                    <w:adjustRightInd w:val="0"/>
                    <w:snapToGrid w:val="0"/>
                    <w:spacing w:line="240" w:lineRule="auto"/>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w:t>
                  </w:r>
                </w:p>
              </w:tc>
            </w:tr>
            <w:tr w14:paraId="7A37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noWrap w:val="0"/>
                  <w:vAlign w:val="center"/>
                </w:tcPr>
                <w:p w14:paraId="697D1D81">
                  <w:pPr>
                    <w:widowControl/>
                    <w:adjustRightInd w:val="0"/>
                    <w:snapToGrid w:val="0"/>
                    <w:spacing w:line="240" w:lineRule="auto"/>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17</w:t>
                  </w:r>
                </w:p>
              </w:tc>
              <w:tc>
                <w:tcPr>
                  <w:tcW w:w="1472" w:type="pct"/>
                  <w:noWrap w:val="0"/>
                  <w:vAlign w:val="center"/>
                </w:tcPr>
                <w:p w14:paraId="3EE40694">
                  <w:pPr>
                    <w:adjustRightInd w:val="0"/>
                    <w:snapToGrid w:val="0"/>
                    <w:spacing w:line="240" w:lineRule="auto"/>
                    <w:ind w:left="0" w:leftChars="0" w:right="0" w:right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转印机</w:t>
                  </w:r>
                </w:p>
              </w:tc>
              <w:tc>
                <w:tcPr>
                  <w:tcW w:w="1352" w:type="pct"/>
                  <w:noWrap w:val="0"/>
                  <w:vAlign w:val="center"/>
                </w:tcPr>
                <w:p w14:paraId="1F8B20F5">
                  <w:pPr>
                    <w:widowControl/>
                    <w:adjustRightInd w:val="0"/>
                    <w:snapToGrid w:val="0"/>
                    <w:spacing w:line="240" w:lineRule="auto"/>
                    <w:ind w:left="0" w:leftChars="0" w:right="0" w:right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w:t>
                  </w:r>
                </w:p>
              </w:tc>
              <w:tc>
                <w:tcPr>
                  <w:tcW w:w="460" w:type="pct"/>
                  <w:noWrap w:val="0"/>
                  <w:vAlign w:val="center"/>
                </w:tcPr>
                <w:p w14:paraId="293419C2">
                  <w:pPr>
                    <w:widowControl/>
                    <w:adjustRightInd w:val="0"/>
                    <w:snapToGrid w:val="0"/>
                    <w:spacing w:line="240" w:lineRule="auto"/>
                    <w:ind w:left="0" w:leftChars="0" w:right="0" w:right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5台</w:t>
                  </w:r>
                </w:p>
              </w:tc>
              <w:tc>
                <w:tcPr>
                  <w:tcW w:w="1247" w:type="pct"/>
                  <w:noWrap w:val="0"/>
                  <w:vAlign w:val="center"/>
                </w:tcPr>
                <w:p w14:paraId="06FB6E9A">
                  <w:pPr>
                    <w:widowControl/>
                    <w:adjustRightInd w:val="0"/>
                    <w:snapToGrid w:val="0"/>
                    <w:spacing w:line="240" w:lineRule="auto"/>
                    <w:ind w:left="0" w:leftChars="0" w:right="0" w:right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w:t>
                  </w:r>
                </w:p>
              </w:tc>
            </w:tr>
            <w:tr w14:paraId="1FFE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noWrap w:val="0"/>
                  <w:vAlign w:val="center"/>
                </w:tcPr>
                <w:p w14:paraId="52796940">
                  <w:pPr>
                    <w:widowControl/>
                    <w:adjustRightInd w:val="0"/>
                    <w:snapToGrid w:val="0"/>
                    <w:spacing w:line="240" w:lineRule="auto"/>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18</w:t>
                  </w:r>
                </w:p>
              </w:tc>
              <w:tc>
                <w:tcPr>
                  <w:tcW w:w="1472" w:type="pct"/>
                  <w:noWrap w:val="0"/>
                  <w:vAlign w:val="center"/>
                </w:tcPr>
                <w:p w14:paraId="6AEC0192">
                  <w:pPr>
                    <w:adjustRightInd w:val="0"/>
                    <w:snapToGrid w:val="0"/>
                    <w:spacing w:line="240" w:lineRule="auto"/>
                    <w:ind w:left="0" w:leftChars="0" w:right="0" w:right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冷却水塔</w:t>
                  </w:r>
                </w:p>
              </w:tc>
              <w:tc>
                <w:tcPr>
                  <w:tcW w:w="1352" w:type="pct"/>
                  <w:noWrap w:val="0"/>
                  <w:vAlign w:val="center"/>
                </w:tcPr>
                <w:p w14:paraId="4C20AC87">
                  <w:pPr>
                    <w:widowControl/>
                    <w:adjustRightInd w:val="0"/>
                    <w:snapToGrid w:val="0"/>
                    <w:spacing w:line="240" w:lineRule="auto"/>
                    <w:ind w:left="0" w:leftChars="0" w:right="0" w:right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KTZ-10L/B</w:t>
                  </w:r>
                </w:p>
              </w:tc>
              <w:tc>
                <w:tcPr>
                  <w:tcW w:w="460" w:type="pct"/>
                  <w:noWrap w:val="0"/>
                  <w:vAlign w:val="center"/>
                </w:tcPr>
                <w:p w14:paraId="35FF8917">
                  <w:pPr>
                    <w:widowControl/>
                    <w:adjustRightInd w:val="0"/>
                    <w:snapToGrid w:val="0"/>
                    <w:spacing w:line="240" w:lineRule="auto"/>
                    <w:ind w:left="0" w:leftChars="0" w:right="0" w:right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1台</w:t>
                  </w:r>
                </w:p>
              </w:tc>
              <w:tc>
                <w:tcPr>
                  <w:tcW w:w="1247" w:type="pct"/>
                  <w:noWrap w:val="0"/>
                  <w:vAlign w:val="center"/>
                </w:tcPr>
                <w:p w14:paraId="7FE94411">
                  <w:pPr>
                    <w:widowControl/>
                    <w:adjustRightInd w:val="0"/>
                    <w:snapToGrid w:val="0"/>
                    <w:spacing w:line="240" w:lineRule="auto"/>
                    <w:ind w:left="0" w:leftChars="0" w:right="0" w:rightChars="0"/>
                    <w:jc w:val="center"/>
                    <w:rPr>
                      <w:rFonts w:hint="eastAsia" w:ascii="Times New Roman" w:hAnsi="Times New Roman" w:cs="Times New Roman"/>
                      <w:bCs/>
                      <w:color w:val="auto"/>
                      <w:sz w:val="21"/>
                      <w:szCs w:val="21"/>
                      <w:highlight w:val="none"/>
                      <w:lang w:val="en-US" w:eastAsia="zh-CN"/>
                    </w:rPr>
                  </w:pPr>
                </w:p>
              </w:tc>
            </w:tr>
            <w:tr w14:paraId="2BE5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67" w:type="pct"/>
                  <w:noWrap w:val="0"/>
                  <w:vAlign w:val="center"/>
                </w:tcPr>
                <w:p w14:paraId="488386A9">
                  <w:pPr>
                    <w:widowControl/>
                    <w:adjustRightInd w:val="0"/>
                    <w:snapToGrid w:val="0"/>
                    <w:spacing w:line="240" w:lineRule="auto"/>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19</w:t>
                  </w:r>
                </w:p>
              </w:tc>
              <w:tc>
                <w:tcPr>
                  <w:tcW w:w="1472" w:type="pct"/>
                  <w:noWrap w:val="0"/>
                  <w:vAlign w:val="center"/>
                </w:tcPr>
                <w:p w14:paraId="1FCBD3D5">
                  <w:pPr>
                    <w:adjustRightInd w:val="0"/>
                    <w:snapToGrid w:val="0"/>
                    <w:spacing w:line="240" w:lineRule="auto"/>
                    <w:ind w:left="0" w:leftChars="0" w:right="0" w:right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叉车</w:t>
                  </w:r>
                </w:p>
              </w:tc>
              <w:tc>
                <w:tcPr>
                  <w:tcW w:w="1352" w:type="pct"/>
                  <w:noWrap w:val="0"/>
                  <w:vAlign w:val="center"/>
                </w:tcPr>
                <w:p w14:paraId="03661261">
                  <w:pPr>
                    <w:widowControl/>
                    <w:adjustRightInd w:val="0"/>
                    <w:snapToGrid w:val="0"/>
                    <w:spacing w:line="240" w:lineRule="auto"/>
                    <w:ind w:left="0" w:leftChars="0" w:right="0" w:right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4t</w:t>
                  </w:r>
                </w:p>
              </w:tc>
              <w:tc>
                <w:tcPr>
                  <w:tcW w:w="460" w:type="pct"/>
                  <w:noWrap w:val="0"/>
                  <w:vAlign w:val="center"/>
                </w:tcPr>
                <w:p w14:paraId="2B8DDE8D">
                  <w:pPr>
                    <w:widowControl/>
                    <w:adjustRightInd w:val="0"/>
                    <w:snapToGrid w:val="0"/>
                    <w:spacing w:line="240" w:lineRule="auto"/>
                    <w:ind w:left="0" w:leftChars="0" w:right="0" w:right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1辆</w:t>
                  </w:r>
                </w:p>
              </w:tc>
              <w:tc>
                <w:tcPr>
                  <w:tcW w:w="1247" w:type="pct"/>
                  <w:noWrap w:val="0"/>
                  <w:vAlign w:val="center"/>
                </w:tcPr>
                <w:p w14:paraId="680E7D42">
                  <w:pPr>
                    <w:widowControl/>
                    <w:adjustRightInd w:val="0"/>
                    <w:snapToGrid w:val="0"/>
                    <w:spacing w:line="240" w:lineRule="auto"/>
                    <w:ind w:left="0" w:leftChars="0" w:right="0" w:rightChars="0"/>
                    <w:jc w:val="center"/>
                    <w:rPr>
                      <w:rFonts w:hint="eastAsia"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w:t>
                  </w:r>
                </w:p>
              </w:tc>
            </w:tr>
          </w:tbl>
          <w:p w14:paraId="628CA02F">
            <w:pPr>
              <w:pStyle w:val="5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四、原辅材料消耗量</w:t>
            </w:r>
          </w:p>
          <w:p w14:paraId="414C5076">
            <w:pPr>
              <w:pStyle w:val="5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主要原材料及能源消耗情况见下表。</w:t>
            </w:r>
          </w:p>
          <w:p w14:paraId="25C06467">
            <w:pPr>
              <w:keepNext w:val="0"/>
              <w:keepLines w:val="0"/>
              <w:pageBreakBefore w:val="0"/>
              <w:widowControl w:val="0"/>
              <w:kinsoku/>
              <w:wordWrap/>
              <w:overflowPunct/>
              <w:topLinePunct w:val="0"/>
              <w:autoSpaceDE/>
              <w:autoSpaceDN/>
              <w:bidi w:val="0"/>
              <w:adjustRightInd/>
              <w:snapToGrid/>
              <w:spacing w:before="0" w:after="0" w:line="400" w:lineRule="exact"/>
              <w:ind w:leftChars="0" w:firstLine="0" w:firstLineChars="0"/>
              <w:jc w:val="center"/>
              <w:textAlignment w:val="auto"/>
              <w:rPr>
                <w:rFonts w:hint="eastAsia" w:ascii="Times New Roman" w:hAnsi="Times New Roman" w:cs="Times New Roman"/>
                <w:b/>
                <w:bCs w:val="0"/>
                <w:snapToGrid w:val="0"/>
                <w:color w:val="auto"/>
                <w:kern w:val="0"/>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本项目</w:t>
            </w:r>
            <w:r>
              <w:rPr>
                <w:rFonts w:hint="default" w:ascii="Times New Roman" w:hAnsi="Times New Roman" w:eastAsia="宋体" w:cs="Times New Roman"/>
                <w:b/>
                <w:bCs/>
                <w:color w:val="auto"/>
                <w:sz w:val="21"/>
                <w:szCs w:val="21"/>
                <w:lang w:val="en-US" w:eastAsia="zh-CN"/>
              </w:rPr>
              <w:t>主要原辅材料消耗一览表</w:t>
            </w:r>
          </w:p>
          <w:tbl>
            <w:tblPr>
              <w:tblStyle w:val="34"/>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6"/>
              <w:gridCol w:w="1671"/>
              <w:gridCol w:w="1200"/>
              <w:gridCol w:w="1034"/>
              <w:gridCol w:w="1963"/>
              <w:gridCol w:w="2289"/>
            </w:tblGrid>
            <w:tr w14:paraId="33AC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76" w:type="dxa"/>
                  <w:vAlign w:val="center"/>
                </w:tcPr>
                <w:p w14:paraId="7B69883E">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b/>
                      <w:color w:val="auto"/>
                      <w:w w:val="100"/>
                      <w:sz w:val="21"/>
                      <w:szCs w:val="21"/>
                      <w:u w:val="none"/>
                    </w:rPr>
                  </w:pPr>
                  <w:r>
                    <w:rPr>
                      <w:rFonts w:hint="default" w:ascii="Times New Roman" w:hAnsi="Times New Roman" w:eastAsia="宋体" w:cs="Times New Roman"/>
                      <w:b/>
                      <w:color w:val="auto"/>
                      <w:w w:val="100"/>
                      <w:sz w:val="21"/>
                      <w:szCs w:val="21"/>
                      <w:u w:val="none"/>
                    </w:rPr>
                    <w:t>序号</w:t>
                  </w:r>
                </w:p>
              </w:tc>
              <w:tc>
                <w:tcPr>
                  <w:tcW w:w="1671" w:type="dxa"/>
                  <w:vAlign w:val="center"/>
                </w:tcPr>
                <w:p w14:paraId="0840A681">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b/>
                      <w:color w:val="auto"/>
                      <w:w w:val="100"/>
                      <w:sz w:val="21"/>
                      <w:szCs w:val="21"/>
                      <w:u w:val="none"/>
                    </w:rPr>
                  </w:pPr>
                  <w:r>
                    <w:rPr>
                      <w:rFonts w:hint="default" w:ascii="Times New Roman" w:hAnsi="Times New Roman" w:eastAsia="宋体" w:cs="Times New Roman"/>
                      <w:b/>
                      <w:color w:val="auto"/>
                      <w:w w:val="100"/>
                      <w:sz w:val="21"/>
                      <w:szCs w:val="21"/>
                      <w:u w:val="none"/>
                    </w:rPr>
                    <w:t>原材料</w:t>
                  </w:r>
                </w:p>
              </w:tc>
              <w:tc>
                <w:tcPr>
                  <w:tcW w:w="1200" w:type="dxa"/>
                  <w:vAlign w:val="center"/>
                </w:tcPr>
                <w:p w14:paraId="7F5C21D3">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b/>
                      <w:color w:val="auto"/>
                      <w:w w:val="100"/>
                      <w:sz w:val="21"/>
                      <w:szCs w:val="21"/>
                      <w:u w:val="none"/>
                    </w:rPr>
                  </w:pPr>
                  <w:r>
                    <w:rPr>
                      <w:rFonts w:hint="default" w:ascii="Times New Roman" w:hAnsi="Times New Roman" w:eastAsia="宋体" w:cs="Times New Roman"/>
                      <w:b/>
                      <w:color w:val="auto"/>
                      <w:w w:val="100"/>
                      <w:sz w:val="21"/>
                      <w:szCs w:val="21"/>
                      <w:u w:val="none"/>
                    </w:rPr>
                    <w:t>规格型号</w:t>
                  </w:r>
                </w:p>
              </w:tc>
              <w:tc>
                <w:tcPr>
                  <w:tcW w:w="1034" w:type="dxa"/>
                  <w:vAlign w:val="center"/>
                </w:tcPr>
                <w:p w14:paraId="4D6E0309">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b/>
                      <w:color w:val="auto"/>
                      <w:w w:val="100"/>
                      <w:sz w:val="21"/>
                      <w:szCs w:val="21"/>
                      <w:u w:val="none"/>
                    </w:rPr>
                  </w:pPr>
                  <w:r>
                    <w:rPr>
                      <w:rFonts w:hint="default" w:ascii="Times New Roman" w:hAnsi="Times New Roman" w:eastAsia="宋体" w:cs="Times New Roman"/>
                      <w:b/>
                      <w:color w:val="auto"/>
                      <w:w w:val="100"/>
                      <w:sz w:val="21"/>
                      <w:szCs w:val="21"/>
                      <w:u w:val="none"/>
                    </w:rPr>
                    <w:t>用量</w:t>
                  </w:r>
                </w:p>
              </w:tc>
              <w:tc>
                <w:tcPr>
                  <w:tcW w:w="1963" w:type="dxa"/>
                  <w:vAlign w:val="center"/>
                </w:tcPr>
                <w:p w14:paraId="423D43BC">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b/>
                      <w:color w:val="auto"/>
                      <w:w w:val="100"/>
                      <w:sz w:val="21"/>
                      <w:szCs w:val="21"/>
                      <w:u w:val="none"/>
                    </w:rPr>
                  </w:pPr>
                  <w:r>
                    <w:rPr>
                      <w:rFonts w:hint="default" w:ascii="Times New Roman" w:hAnsi="Times New Roman" w:eastAsia="宋体" w:cs="Times New Roman"/>
                      <w:b/>
                      <w:color w:val="auto"/>
                      <w:w w:val="100"/>
                      <w:sz w:val="21"/>
                      <w:szCs w:val="21"/>
                      <w:u w:val="none"/>
                    </w:rPr>
                    <w:t>来源</w:t>
                  </w:r>
                </w:p>
              </w:tc>
              <w:tc>
                <w:tcPr>
                  <w:tcW w:w="2289" w:type="dxa"/>
                  <w:vAlign w:val="center"/>
                </w:tcPr>
                <w:p w14:paraId="7B29055A">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b/>
                      <w:color w:val="auto"/>
                      <w:w w:val="100"/>
                      <w:sz w:val="21"/>
                      <w:szCs w:val="21"/>
                      <w:u w:val="none"/>
                    </w:rPr>
                  </w:pPr>
                  <w:r>
                    <w:rPr>
                      <w:rFonts w:hint="default" w:ascii="Times New Roman" w:hAnsi="Times New Roman" w:eastAsia="宋体" w:cs="Times New Roman"/>
                      <w:b/>
                      <w:color w:val="auto"/>
                      <w:w w:val="100"/>
                      <w:sz w:val="21"/>
                      <w:szCs w:val="21"/>
                      <w:u w:val="none"/>
                    </w:rPr>
                    <w:t>备注</w:t>
                  </w:r>
                </w:p>
              </w:tc>
            </w:tr>
            <w:tr w14:paraId="6A35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089B245B">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b/>
                      <w:color w:val="auto"/>
                      <w:w w:val="100"/>
                      <w:sz w:val="21"/>
                      <w:szCs w:val="21"/>
                      <w:u w:val="none"/>
                    </w:rPr>
                  </w:pPr>
                  <w:r>
                    <w:rPr>
                      <w:rFonts w:hint="default" w:ascii="Times New Roman" w:hAnsi="Times New Roman" w:eastAsia="宋体" w:cs="Times New Roman"/>
                      <w:b/>
                      <w:color w:val="auto"/>
                      <w:w w:val="100"/>
                      <w:sz w:val="21"/>
                      <w:szCs w:val="21"/>
                      <w:u w:val="none"/>
                    </w:rPr>
                    <w:t>一</w:t>
                  </w:r>
                </w:p>
              </w:tc>
              <w:tc>
                <w:tcPr>
                  <w:tcW w:w="8157" w:type="dxa"/>
                  <w:gridSpan w:val="5"/>
                  <w:vAlign w:val="center"/>
                </w:tcPr>
                <w:p w14:paraId="3C89B419">
                  <w:pPr>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default" w:ascii="Times New Roman" w:hAnsi="Times New Roman" w:eastAsia="宋体" w:cs="Times New Roman"/>
                      <w:color w:val="auto"/>
                      <w:w w:val="100"/>
                      <w:sz w:val="21"/>
                      <w:szCs w:val="21"/>
                      <w:u w:val="none"/>
                    </w:rPr>
                  </w:pPr>
                  <w:r>
                    <w:rPr>
                      <w:rFonts w:hint="eastAsia" w:ascii="Times New Roman" w:hAnsi="Times New Roman" w:cs="Times New Roman"/>
                      <w:b/>
                      <w:color w:val="auto"/>
                      <w:w w:val="100"/>
                      <w:sz w:val="21"/>
                      <w:szCs w:val="21"/>
                      <w:u w:val="none"/>
                      <w:lang w:val="en-US" w:eastAsia="zh-CN"/>
                    </w:rPr>
                    <w:t>美缝剂</w:t>
                  </w:r>
                  <w:r>
                    <w:rPr>
                      <w:rFonts w:hint="default" w:ascii="Times New Roman" w:hAnsi="Times New Roman" w:eastAsia="宋体" w:cs="Times New Roman"/>
                      <w:b/>
                      <w:color w:val="auto"/>
                      <w:w w:val="100"/>
                      <w:sz w:val="21"/>
                      <w:szCs w:val="21"/>
                      <w:u w:val="none"/>
                    </w:rPr>
                    <w:t>（A 组分）</w:t>
                  </w:r>
                </w:p>
              </w:tc>
            </w:tr>
            <w:tr w14:paraId="54E3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6" w:type="dxa"/>
                  <w:vAlign w:val="center"/>
                </w:tcPr>
                <w:p w14:paraId="09885CE8">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1</w:t>
                  </w:r>
                </w:p>
              </w:tc>
              <w:tc>
                <w:tcPr>
                  <w:tcW w:w="1671" w:type="dxa"/>
                  <w:vAlign w:val="center"/>
                </w:tcPr>
                <w:p w14:paraId="21D6852A">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Times New Roman" w:hAnsi="Times New Roman" w:eastAsia="宋体" w:cs="Times New Roman"/>
                      <w:color w:val="auto"/>
                      <w:w w:val="100"/>
                      <w:sz w:val="21"/>
                      <w:szCs w:val="21"/>
                      <w:u w:val="none"/>
                      <w:lang w:eastAsia="zh-CN"/>
                    </w:rPr>
                  </w:pPr>
                  <w:r>
                    <w:rPr>
                      <w:rFonts w:hint="eastAsia" w:ascii="Times New Roman" w:hAnsi="Times New Roman" w:cs="Times New Roman"/>
                      <w:color w:val="auto"/>
                      <w:w w:val="100"/>
                      <w:sz w:val="21"/>
                      <w:szCs w:val="21"/>
                      <w:u w:val="none"/>
                      <w:lang w:val="en-US" w:eastAsia="zh-CN"/>
                    </w:rPr>
                    <w:t>环氧树脂</w:t>
                  </w:r>
                </w:p>
              </w:tc>
              <w:tc>
                <w:tcPr>
                  <w:tcW w:w="1200" w:type="dxa"/>
                  <w:vAlign w:val="center"/>
                </w:tcPr>
                <w:p w14:paraId="5D610328">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200kg/桶</w:t>
                  </w:r>
                </w:p>
              </w:tc>
              <w:tc>
                <w:tcPr>
                  <w:tcW w:w="1034" w:type="dxa"/>
                  <w:vAlign w:val="center"/>
                </w:tcPr>
                <w:p w14:paraId="076AF986">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400t/a</w:t>
                  </w:r>
                </w:p>
              </w:tc>
              <w:tc>
                <w:tcPr>
                  <w:tcW w:w="1963" w:type="dxa"/>
                  <w:vAlign w:val="center"/>
                </w:tcPr>
                <w:p w14:paraId="6E4A496F">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Times New Roman" w:hAnsi="Times New Roman" w:eastAsia="宋体" w:cs="Times New Roman"/>
                      <w:color w:val="auto"/>
                      <w:w w:val="100"/>
                      <w:sz w:val="21"/>
                      <w:szCs w:val="21"/>
                      <w:u w:val="none"/>
                      <w:lang w:eastAsia="zh-CN"/>
                    </w:rPr>
                  </w:pPr>
                  <w:r>
                    <w:rPr>
                      <w:rFonts w:hint="eastAsia" w:ascii="Times New Roman" w:hAnsi="Times New Roman" w:eastAsia="宋体" w:cs="Times New Roman"/>
                      <w:color w:val="auto"/>
                      <w:w w:val="100"/>
                      <w:sz w:val="21"/>
                      <w:szCs w:val="21"/>
                      <w:u w:val="none"/>
                      <w:lang w:eastAsia="zh-CN"/>
                    </w:rPr>
                    <w:t>外购</w:t>
                  </w:r>
                </w:p>
              </w:tc>
              <w:tc>
                <w:tcPr>
                  <w:tcW w:w="2289" w:type="dxa"/>
                  <w:vAlign w:val="center"/>
                </w:tcPr>
                <w:p w14:paraId="4BCDD8DC">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液体，</w:t>
                  </w:r>
                  <w:r>
                    <w:rPr>
                      <w:rFonts w:hint="eastAsia" w:ascii="Times New Roman" w:hAnsi="Times New Roman" w:cs="Times New Roman"/>
                      <w:color w:val="auto"/>
                      <w:w w:val="100"/>
                      <w:sz w:val="21"/>
                      <w:szCs w:val="21"/>
                      <w:u w:val="none"/>
                      <w:lang w:val="en-US" w:eastAsia="zh-CN"/>
                    </w:rPr>
                    <w:t>桶装堆放。</w:t>
                  </w:r>
                  <w:r>
                    <w:rPr>
                      <w:rFonts w:hint="default" w:ascii="Times New Roman" w:hAnsi="Times New Roman" w:eastAsia="宋体" w:cs="Times New Roman"/>
                      <w:color w:val="auto"/>
                      <w:w w:val="100"/>
                      <w:sz w:val="21"/>
                      <w:szCs w:val="21"/>
                      <w:u w:val="none"/>
                    </w:rPr>
                    <w:t>存放于车间</w:t>
                  </w:r>
                  <w:r>
                    <w:rPr>
                      <w:rFonts w:hint="eastAsia" w:ascii="Times New Roman" w:hAnsi="Times New Roman" w:eastAsia="宋体" w:cs="Times New Roman"/>
                      <w:color w:val="auto"/>
                      <w:w w:val="100"/>
                      <w:sz w:val="21"/>
                      <w:szCs w:val="21"/>
                      <w:u w:val="none"/>
                      <w:lang w:eastAsia="zh-CN"/>
                    </w:rPr>
                    <w:t>北</w:t>
                  </w:r>
                  <w:r>
                    <w:rPr>
                      <w:rFonts w:hint="default" w:ascii="Times New Roman" w:hAnsi="Times New Roman" w:eastAsia="宋体" w:cs="Times New Roman"/>
                      <w:color w:val="auto"/>
                      <w:w w:val="100"/>
                      <w:sz w:val="21"/>
                      <w:szCs w:val="21"/>
                      <w:u w:val="none"/>
                    </w:rPr>
                    <w:t>侧，最大存量</w:t>
                  </w:r>
                  <w:r>
                    <w:rPr>
                      <w:rFonts w:hint="eastAsia" w:ascii="Times New Roman" w:hAnsi="Times New Roman" w:eastAsia="宋体" w:cs="Times New Roman"/>
                      <w:color w:val="auto"/>
                      <w:w w:val="100"/>
                      <w:sz w:val="21"/>
                      <w:szCs w:val="21"/>
                      <w:u w:val="none"/>
                      <w:lang w:val="en-US" w:eastAsia="zh-CN"/>
                    </w:rPr>
                    <w:t>100</w:t>
                  </w:r>
                  <w:r>
                    <w:rPr>
                      <w:rFonts w:hint="default" w:ascii="Times New Roman" w:hAnsi="Times New Roman" w:eastAsia="宋体" w:cs="Times New Roman"/>
                      <w:color w:val="auto"/>
                      <w:w w:val="100"/>
                      <w:sz w:val="21"/>
                      <w:szCs w:val="21"/>
                      <w:u w:val="none"/>
                    </w:rPr>
                    <w:t>吨</w:t>
                  </w:r>
                </w:p>
              </w:tc>
            </w:tr>
            <w:tr w14:paraId="77AE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481605E9">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2</w:t>
                  </w:r>
                </w:p>
              </w:tc>
              <w:tc>
                <w:tcPr>
                  <w:tcW w:w="1671" w:type="dxa"/>
                  <w:vAlign w:val="center"/>
                </w:tcPr>
                <w:p w14:paraId="76B5F928">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Times New Roman" w:hAnsi="Times New Roman" w:eastAsia="宋体" w:cs="Times New Roman"/>
                      <w:color w:val="auto"/>
                      <w:w w:val="100"/>
                      <w:sz w:val="21"/>
                      <w:szCs w:val="21"/>
                      <w:u w:val="none"/>
                      <w:lang w:eastAsia="zh-CN"/>
                    </w:rPr>
                  </w:pPr>
                  <w:r>
                    <w:rPr>
                      <w:rFonts w:hint="eastAsia" w:ascii="Times New Roman" w:hAnsi="Times New Roman" w:cs="Times New Roman"/>
                      <w:color w:val="auto"/>
                      <w:w w:val="100"/>
                      <w:sz w:val="21"/>
                      <w:szCs w:val="21"/>
                      <w:u w:val="none"/>
                      <w:lang w:val="en-US" w:eastAsia="zh-CN"/>
                    </w:rPr>
                    <w:t>二氧化硅</w:t>
                  </w:r>
                </w:p>
              </w:tc>
              <w:tc>
                <w:tcPr>
                  <w:tcW w:w="1200" w:type="dxa"/>
                  <w:vAlign w:val="center"/>
                </w:tcPr>
                <w:p w14:paraId="23672BC1">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25kg/包</w:t>
                  </w:r>
                </w:p>
              </w:tc>
              <w:tc>
                <w:tcPr>
                  <w:tcW w:w="1034" w:type="dxa"/>
                  <w:vAlign w:val="center"/>
                </w:tcPr>
                <w:p w14:paraId="5C857F1A">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w w:val="100"/>
                      <w:sz w:val="21"/>
                      <w:szCs w:val="21"/>
                      <w:u w:val="none"/>
                    </w:rPr>
                  </w:pPr>
                  <w:r>
                    <w:rPr>
                      <w:rFonts w:hint="eastAsia" w:ascii="Times New Roman" w:hAnsi="Times New Roman" w:cs="Times New Roman"/>
                      <w:color w:val="auto"/>
                      <w:w w:val="100"/>
                      <w:sz w:val="21"/>
                      <w:szCs w:val="21"/>
                      <w:u w:val="none"/>
                      <w:lang w:val="en-US" w:eastAsia="zh-CN"/>
                    </w:rPr>
                    <w:t>320t/a</w:t>
                  </w:r>
                </w:p>
              </w:tc>
              <w:tc>
                <w:tcPr>
                  <w:tcW w:w="1963" w:type="dxa"/>
                  <w:vAlign w:val="center"/>
                </w:tcPr>
                <w:p w14:paraId="013AFC91">
                  <w:pPr>
                    <w:ind w:left="0" w:leftChars="0" w:right="0" w:rightChars="0"/>
                    <w:jc w:val="center"/>
                    <w:rPr>
                      <w:rFonts w:hint="default"/>
                      <w:color w:val="auto"/>
                      <w:sz w:val="21"/>
                      <w:szCs w:val="21"/>
                    </w:rPr>
                  </w:pPr>
                  <w:r>
                    <w:rPr>
                      <w:rFonts w:hint="eastAsia" w:ascii="Times New Roman" w:hAnsi="Times New Roman" w:eastAsia="宋体" w:cs="Times New Roman"/>
                      <w:color w:val="auto"/>
                      <w:w w:val="100"/>
                      <w:sz w:val="21"/>
                      <w:szCs w:val="21"/>
                      <w:u w:val="none"/>
                      <w:lang w:eastAsia="zh-CN"/>
                    </w:rPr>
                    <w:t>外购</w:t>
                  </w:r>
                </w:p>
              </w:tc>
              <w:tc>
                <w:tcPr>
                  <w:tcW w:w="2289" w:type="dxa"/>
                  <w:vAlign w:val="center"/>
                </w:tcPr>
                <w:p w14:paraId="307D09A9">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eastAsia" w:ascii="Times New Roman" w:hAnsi="Times New Roman" w:cs="Times New Roman"/>
                      <w:color w:val="auto"/>
                      <w:w w:val="100"/>
                      <w:sz w:val="21"/>
                      <w:szCs w:val="21"/>
                      <w:u w:val="none"/>
                      <w:lang w:val="en-US" w:eastAsia="zh-CN"/>
                    </w:rPr>
                    <w:t>粉状</w:t>
                  </w:r>
                  <w:r>
                    <w:rPr>
                      <w:rFonts w:hint="default" w:ascii="Times New Roman" w:hAnsi="Times New Roman" w:eastAsia="宋体" w:cs="Times New Roman"/>
                      <w:color w:val="auto"/>
                      <w:w w:val="100"/>
                      <w:sz w:val="21"/>
                      <w:szCs w:val="21"/>
                      <w:u w:val="none"/>
                    </w:rPr>
                    <w:t>，存放于车间</w:t>
                  </w:r>
                  <w:r>
                    <w:rPr>
                      <w:rFonts w:hint="eastAsia" w:ascii="Times New Roman" w:hAnsi="Times New Roman" w:eastAsia="宋体" w:cs="Times New Roman"/>
                      <w:color w:val="auto"/>
                      <w:w w:val="100"/>
                      <w:sz w:val="21"/>
                      <w:szCs w:val="21"/>
                      <w:u w:val="none"/>
                      <w:lang w:eastAsia="zh-CN"/>
                    </w:rPr>
                    <w:t>北</w:t>
                  </w:r>
                  <w:r>
                    <w:rPr>
                      <w:rFonts w:hint="default" w:ascii="Times New Roman" w:hAnsi="Times New Roman" w:eastAsia="宋体" w:cs="Times New Roman"/>
                      <w:color w:val="auto"/>
                      <w:w w:val="100"/>
                      <w:sz w:val="21"/>
                      <w:szCs w:val="21"/>
                      <w:u w:val="none"/>
                    </w:rPr>
                    <w:t>侧，最大存量</w:t>
                  </w:r>
                  <w:r>
                    <w:rPr>
                      <w:rFonts w:hint="eastAsia" w:ascii="Times New Roman" w:hAnsi="Times New Roman" w:eastAsia="宋体" w:cs="Times New Roman"/>
                      <w:color w:val="auto"/>
                      <w:w w:val="100"/>
                      <w:sz w:val="21"/>
                      <w:szCs w:val="21"/>
                      <w:u w:val="none"/>
                      <w:lang w:val="en-US" w:eastAsia="zh-CN"/>
                    </w:rPr>
                    <w:t>40</w:t>
                  </w:r>
                  <w:r>
                    <w:rPr>
                      <w:rFonts w:hint="default" w:ascii="Times New Roman" w:hAnsi="Times New Roman" w:eastAsia="宋体" w:cs="Times New Roman"/>
                      <w:color w:val="auto"/>
                      <w:w w:val="100"/>
                      <w:sz w:val="21"/>
                      <w:szCs w:val="21"/>
                      <w:u w:val="none"/>
                    </w:rPr>
                    <w:t>吨</w:t>
                  </w:r>
                </w:p>
              </w:tc>
            </w:tr>
            <w:tr w14:paraId="2549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2284B071">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3</w:t>
                  </w:r>
                </w:p>
              </w:tc>
              <w:tc>
                <w:tcPr>
                  <w:tcW w:w="1671" w:type="dxa"/>
                  <w:vAlign w:val="center"/>
                </w:tcPr>
                <w:p w14:paraId="5FA95ADB">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Times New Roman" w:hAnsi="Times New Roman" w:eastAsia="宋体"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填充粉</w:t>
                  </w:r>
                </w:p>
              </w:tc>
              <w:tc>
                <w:tcPr>
                  <w:tcW w:w="1200" w:type="dxa"/>
                  <w:vAlign w:val="center"/>
                </w:tcPr>
                <w:p w14:paraId="7C87824E">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25kg/包</w:t>
                  </w:r>
                </w:p>
              </w:tc>
              <w:tc>
                <w:tcPr>
                  <w:tcW w:w="1034" w:type="dxa"/>
                  <w:vAlign w:val="center"/>
                </w:tcPr>
                <w:p w14:paraId="00195719">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auto"/>
                      <w:w w:val="100"/>
                      <w:sz w:val="21"/>
                      <w:szCs w:val="21"/>
                      <w:u w:val="none"/>
                    </w:rPr>
                  </w:pPr>
                  <w:r>
                    <w:rPr>
                      <w:rFonts w:hint="eastAsia" w:ascii="Times New Roman" w:hAnsi="Times New Roman" w:cs="Times New Roman"/>
                      <w:color w:val="auto"/>
                      <w:w w:val="100"/>
                      <w:sz w:val="21"/>
                      <w:szCs w:val="21"/>
                      <w:u w:val="none"/>
                      <w:lang w:val="en-US" w:eastAsia="zh-CN"/>
                    </w:rPr>
                    <w:t>270t/a</w:t>
                  </w:r>
                </w:p>
              </w:tc>
              <w:tc>
                <w:tcPr>
                  <w:tcW w:w="1963" w:type="dxa"/>
                  <w:vAlign w:val="center"/>
                </w:tcPr>
                <w:p w14:paraId="062A32CD">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sz w:val="21"/>
                      <w:szCs w:val="21"/>
                      <w:u w:val="none"/>
                    </w:rPr>
                  </w:pPr>
                  <w:r>
                    <w:rPr>
                      <w:rFonts w:hint="eastAsia" w:ascii="Times New Roman" w:hAnsi="Times New Roman" w:eastAsia="宋体" w:cs="Times New Roman"/>
                      <w:color w:val="auto"/>
                      <w:w w:val="100"/>
                      <w:sz w:val="21"/>
                      <w:szCs w:val="21"/>
                      <w:u w:val="none"/>
                      <w:lang w:eastAsia="zh-CN"/>
                    </w:rPr>
                    <w:t>外购</w:t>
                  </w:r>
                </w:p>
              </w:tc>
              <w:tc>
                <w:tcPr>
                  <w:tcW w:w="2289" w:type="dxa"/>
                  <w:vAlign w:val="center"/>
                </w:tcPr>
                <w:p w14:paraId="14CAC4D1">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eastAsia" w:ascii="Times New Roman" w:hAnsi="Times New Roman" w:cs="Times New Roman"/>
                      <w:color w:val="auto"/>
                      <w:w w:val="100"/>
                      <w:sz w:val="21"/>
                      <w:szCs w:val="21"/>
                      <w:u w:val="none"/>
                      <w:lang w:val="en-US" w:eastAsia="zh-CN"/>
                    </w:rPr>
                    <w:t>粉状</w:t>
                  </w:r>
                  <w:r>
                    <w:rPr>
                      <w:rFonts w:hint="default" w:ascii="Times New Roman" w:hAnsi="Times New Roman" w:eastAsia="宋体" w:cs="Times New Roman"/>
                      <w:color w:val="auto"/>
                      <w:w w:val="100"/>
                      <w:sz w:val="21"/>
                      <w:szCs w:val="21"/>
                      <w:u w:val="none"/>
                    </w:rPr>
                    <w:t>，存放于车间</w:t>
                  </w:r>
                  <w:r>
                    <w:rPr>
                      <w:rFonts w:hint="eastAsia" w:ascii="Times New Roman" w:hAnsi="Times New Roman" w:eastAsia="宋体" w:cs="Times New Roman"/>
                      <w:color w:val="auto"/>
                      <w:w w:val="100"/>
                      <w:sz w:val="21"/>
                      <w:szCs w:val="21"/>
                      <w:u w:val="none"/>
                      <w:lang w:eastAsia="zh-CN"/>
                    </w:rPr>
                    <w:t>北</w:t>
                  </w:r>
                  <w:r>
                    <w:rPr>
                      <w:rFonts w:hint="default" w:ascii="Times New Roman" w:hAnsi="Times New Roman" w:eastAsia="宋体" w:cs="Times New Roman"/>
                      <w:color w:val="auto"/>
                      <w:w w:val="100"/>
                      <w:sz w:val="21"/>
                      <w:szCs w:val="21"/>
                      <w:u w:val="none"/>
                    </w:rPr>
                    <w:t>侧，最大存量</w:t>
                  </w:r>
                  <w:r>
                    <w:rPr>
                      <w:rFonts w:hint="eastAsia" w:ascii="Times New Roman" w:hAnsi="Times New Roman" w:eastAsia="宋体" w:cs="Times New Roman"/>
                      <w:color w:val="auto"/>
                      <w:w w:val="100"/>
                      <w:sz w:val="21"/>
                      <w:szCs w:val="21"/>
                      <w:u w:val="none"/>
                      <w:lang w:val="en-US" w:eastAsia="zh-CN"/>
                    </w:rPr>
                    <w:t>100</w:t>
                  </w:r>
                  <w:r>
                    <w:rPr>
                      <w:rFonts w:hint="default" w:ascii="Times New Roman" w:hAnsi="Times New Roman" w:eastAsia="宋体" w:cs="Times New Roman"/>
                      <w:color w:val="auto"/>
                      <w:w w:val="100"/>
                      <w:sz w:val="21"/>
                      <w:szCs w:val="21"/>
                      <w:u w:val="none"/>
                    </w:rPr>
                    <w:t>吨</w:t>
                  </w:r>
                </w:p>
              </w:tc>
            </w:tr>
            <w:tr w14:paraId="50ED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34571F4B">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Times New Roman" w:hAnsi="Times New Roman" w:eastAsia="宋体"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4</w:t>
                  </w:r>
                </w:p>
              </w:tc>
              <w:tc>
                <w:tcPr>
                  <w:tcW w:w="1671" w:type="dxa"/>
                  <w:vAlign w:val="center"/>
                </w:tcPr>
                <w:p w14:paraId="30093C5C">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色粉</w:t>
                  </w:r>
                </w:p>
              </w:tc>
              <w:tc>
                <w:tcPr>
                  <w:tcW w:w="1200" w:type="dxa"/>
                  <w:vAlign w:val="center"/>
                </w:tcPr>
                <w:p w14:paraId="563B7F6D">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25kg/包</w:t>
                  </w:r>
                </w:p>
              </w:tc>
              <w:tc>
                <w:tcPr>
                  <w:tcW w:w="1034" w:type="dxa"/>
                  <w:vAlign w:val="center"/>
                </w:tcPr>
                <w:p w14:paraId="5010279E">
                  <w:pPr>
                    <w:keepNext w:val="0"/>
                    <w:keepLines w:val="0"/>
                    <w:widowControl/>
                    <w:suppressLineNumbers w:val="0"/>
                    <w:ind w:left="0" w:leftChars="0" w:right="0" w:rightChars="0"/>
                    <w:jc w:val="center"/>
                    <w:textAlignment w:val="center"/>
                    <w:rPr>
                      <w:rFonts w:hint="eastAsia" w:ascii="Times New Roman" w:hAnsi="Times New Roman"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10t/a</w:t>
                  </w:r>
                </w:p>
              </w:tc>
              <w:tc>
                <w:tcPr>
                  <w:tcW w:w="1963" w:type="dxa"/>
                  <w:vAlign w:val="center"/>
                </w:tcPr>
                <w:p w14:paraId="3392C502">
                  <w:pPr>
                    <w:ind w:left="0" w:leftChars="0" w:right="0" w:rightChars="0"/>
                    <w:jc w:val="center"/>
                    <w:rPr>
                      <w:rFonts w:hint="eastAsia" w:ascii="Times New Roman" w:hAnsi="Times New Roman" w:eastAsia="宋体" w:cs="Times New Roman"/>
                      <w:color w:val="auto"/>
                      <w:w w:val="100"/>
                      <w:sz w:val="21"/>
                      <w:szCs w:val="21"/>
                      <w:u w:val="none"/>
                      <w:lang w:eastAsia="zh-CN"/>
                    </w:rPr>
                  </w:pPr>
                  <w:r>
                    <w:rPr>
                      <w:rFonts w:hint="eastAsia" w:ascii="Times New Roman" w:hAnsi="Times New Roman" w:eastAsia="宋体" w:cs="Times New Roman"/>
                      <w:color w:val="auto"/>
                      <w:w w:val="100"/>
                      <w:sz w:val="21"/>
                      <w:szCs w:val="21"/>
                      <w:u w:val="none"/>
                      <w:lang w:eastAsia="zh-CN"/>
                    </w:rPr>
                    <w:t>外购</w:t>
                  </w:r>
                </w:p>
              </w:tc>
              <w:tc>
                <w:tcPr>
                  <w:tcW w:w="2289" w:type="dxa"/>
                  <w:vAlign w:val="center"/>
                </w:tcPr>
                <w:p w14:paraId="35F2A1A3">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Times New Roman" w:hAnsi="Times New Roman"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包括云母粉、珠光粉、钛白粉、金葱粉等。粉状</w:t>
                  </w:r>
                  <w:r>
                    <w:rPr>
                      <w:rFonts w:hint="default" w:ascii="Times New Roman" w:hAnsi="Times New Roman" w:eastAsia="宋体" w:cs="Times New Roman"/>
                      <w:color w:val="auto"/>
                      <w:w w:val="100"/>
                      <w:sz w:val="21"/>
                      <w:szCs w:val="21"/>
                      <w:u w:val="none"/>
                    </w:rPr>
                    <w:t>，存放于车间</w:t>
                  </w:r>
                  <w:r>
                    <w:rPr>
                      <w:rFonts w:hint="eastAsia" w:ascii="Times New Roman" w:hAnsi="Times New Roman" w:eastAsia="宋体" w:cs="Times New Roman"/>
                      <w:color w:val="auto"/>
                      <w:w w:val="100"/>
                      <w:sz w:val="21"/>
                      <w:szCs w:val="21"/>
                      <w:u w:val="none"/>
                      <w:lang w:eastAsia="zh-CN"/>
                    </w:rPr>
                    <w:t>北</w:t>
                  </w:r>
                  <w:r>
                    <w:rPr>
                      <w:rFonts w:hint="default" w:ascii="Times New Roman" w:hAnsi="Times New Roman" w:eastAsia="宋体" w:cs="Times New Roman"/>
                      <w:color w:val="auto"/>
                      <w:w w:val="100"/>
                      <w:sz w:val="21"/>
                      <w:szCs w:val="21"/>
                      <w:u w:val="none"/>
                    </w:rPr>
                    <w:t>侧，最大存量</w:t>
                  </w:r>
                  <w:r>
                    <w:rPr>
                      <w:rFonts w:hint="eastAsia" w:ascii="Times New Roman" w:hAnsi="Times New Roman" w:cs="Times New Roman"/>
                      <w:color w:val="auto"/>
                      <w:w w:val="100"/>
                      <w:sz w:val="21"/>
                      <w:szCs w:val="21"/>
                      <w:u w:val="none"/>
                      <w:lang w:val="en-US" w:eastAsia="zh-CN"/>
                    </w:rPr>
                    <w:t>5</w:t>
                  </w:r>
                  <w:r>
                    <w:rPr>
                      <w:rFonts w:hint="default" w:ascii="Times New Roman" w:hAnsi="Times New Roman" w:eastAsia="宋体" w:cs="Times New Roman"/>
                      <w:color w:val="auto"/>
                      <w:w w:val="100"/>
                      <w:sz w:val="21"/>
                      <w:szCs w:val="21"/>
                      <w:u w:val="none"/>
                    </w:rPr>
                    <w:t>吨</w:t>
                  </w:r>
                </w:p>
              </w:tc>
            </w:tr>
            <w:tr w14:paraId="3510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13BCFC25">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b/>
                      <w:color w:val="auto"/>
                      <w:w w:val="100"/>
                      <w:sz w:val="21"/>
                      <w:szCs w:val="21"/>
                      <w:u w:val="none"/>
                    </w:rPr>
                  </w:pPr>
                  <w:r>
                    <w:rPr>
                      <w:rFonts w:hint="default" w:ascii="Times New Roman" w:hAnsi="Times New Roman" w:eastAsia="宋体" w:cs="Times New Roman"/>
                      <w:b/>
                      <w:color w:val="auto"/>
                      <w:w w:val="100"/>
                      <w:sz w:val="21"/>
                      <w:szCs w:val="21"/>
                      <w:u w:val="none"/>
                    </w:rPr>
                    <w:t>二</w:t>
                  </w:r>
                </w:p>
              </w:tc>
              <w:tc>
                <w:tcPr>
                  <w:tcW w:w="8157" w:type="dxa"/>
                  <w:gridSpan w:val="5"/>
                  <w:vAlign w:val="center"/>
                </w:tcPr>
                <w:p w14:paraId="0D27CDF4">
                  <w:pPr>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default" w:ascii="Times New Roman" w:hAnsi="Times New Roman" w:eastAsia="宋体" w:cs="Times New Roman"/>
                      <w:color w:val="auto"/>
                      <w:w w:val="100"/>
                      <w:sz w:val="21"/>
                      <w:szCs w:val="21"/>
                      <w:u w:val="none"/>
                    </w:rPr>
                  </w:pPr>
                  <w:r>
                    <w:rPr>
                      <w:rFonts w:hint="eastAsia" w:ascii="Times New Roman" w:hAnsi="Times New Roman" w:cs="Times New Roman"/>
                      <w:b/>
                      <w:color w:val="auto"/>
                      <w:w w:val="100"/>
                      <w:sz w:val="21"/>
                      <w:szCs w:val="21"/>
                      <w:u w:val="none"/>
                      <w:lang w:val="en-US" w:eastAsia="zh-CN"/>
                    </w:rPr>
                    <w:t>美缝剂</w:t>
                  </w:r>
                  <w:r>
                    <w:rPr>
                      <w:rFonts w:hint="default" w:ascii="Times New Roman" w:hAnsi="Times New Roman" w:eastAsia="宋体" w:cs="Times New Roman"/>
                      <w:b/>
                      <w:color w:val="auto"/>
                      <w:w w:val="100"/>
                      <w:sz w:val="21"/>
                      <w:szCs w:val="21"/>
                      <w:u w:val="none"/>
                    </w:rPr>
                    <w:t>（</w:t>
                  </w:r>
                  <w:r>
                    <w:rPr>
                      <w:rFonts w:hint="eastAsia" w:ascii="Times New Roman" w:hAnsi="Times New Roman" w:cs="Times New Roman"/>
                      <w:b/>
                      <w:color w:val="auto"/>
                      <w:w w:val="100"/>
                      <w:sz w:val="21"/>
                      <w:szCs w:val="21"/>
                      <w:u w:val="none"/>
                      <w:lang w:val="en-US" w:eastAsia="zh-CN"/>
                    </w:rPr>
                    <w:t>B</w:t>
                  </w:r>
                  <w:r>
                    <w:rPr>
                      <w:rFonts w:hint="default" w:ascii="Times New Roman" w:hAnsi="Times New Roman" w:eastAsia="宋体" w:cs="Times New Roman"/>
                      <w:b/>
                      <w:color w:val="auto"/>
                      <w:w w:val="100"/>
                      <w:sz w:val="21"/>
                      <w:szCs w:val="21"/>
                      <w:u w:val="none"/>
                    </w:rPr>
                    <w:t xml:space="preserve"> 组分）</w:t>
                  </w:r>
                </w:p>
              </w:tc>
            </w:tr>
            <w:tr w14:paraId="330C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6FCA3539">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1</w:t>
                  </w:r>
                </w:p>
              </w:tc>
              <w:tc>
                <w:tcPr>
                  <w:tcW w:w="1671" w:type="dxa"/>
                  <w:vAlign w:val="center"/>
                </w:tcPr>
                <w:p w14:paraId="5819516E">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固化剂</w:t>
                  </w:r>
                </w:p>
              </w:tc>
              <w:tc>
                <w:tcPr>
                  <w:tcW w:w="1200" w:type="dxa"/>
                  <w:vAlign w:val="center"/>
                </w:tcPr>
                <w:p w14:paraId="522EDCB8">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200kg/桶</w:t>
                  </w:r>
                </w:p>
              </w:tc>
              <w:tc>
                <w:tcPr>
                  <w:tcW w:w="1034" w:type="dxa"/>
                  <w:vAlign w:val="center"/>
                </w:tcPr>
                <w:p w14:paraId="065D32E8">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w w:val="100"/>
                      <w:sz w:val="21"/>
                      <w:szCs w:val="21"/>
                      <w:u w:val="none"/>
                      <w:lang w:val="en-US" w:eastAsia="zh-CN"/>
                    </w:rPr>
                    <w:t>400t/a</w:t>
                  </w:r>
                </w:p>
              </w:tc>
              <w:tc>
                <w:tcPr>
                  <w:tcW w:w="1963" w:type="dxa"/>
                  <w:vAlign w:val="center"/>
                </w:tcPr>
                <w:p w14:paraId="6DD0AAE7">
                  <w:pPr>
                    <w:ind w:left="0" w:leftChars="0" w:right="0" w:rightChars="0"/>
                    <w:jc w:val="center"/>
                    <w:rPr>
                      <w:rFonts w:hint="default"/>
                      <w:color w:val="auto"/>
                      <w:sz w:val="21"/>
                      <w:szCs w:val="21"/>
                    </w:rPr>
                  </w:pPr>
                  <w:r>
                    <w:rPr>
                      <w:rFonts w:hint="eastAsia" w:ascii="Times New Roman" w:hAnsi="Times New Roman" w:eastAsia="宋体" w:cs="Times New Roman"/>
                      <w:color w:val="auto"/>
                      <w:w w:val="100"/>
                      <w:sz w:val="21"/>
                      <w:szCs w:val="21"/>
                      <w:u w:val="none"/>
                      <w:lang w:eastAsia="zh-CN"/>
                    </w:rPr>
                    <w:t>外购</w:t>
                  </w:r>
                </w:p>
              </w:tc>
              <w:tc>
                <w:tcPr>
                  <w:tcW w:w="2289" w:type="dxa"/>
                  <w:vAlign w:val="center"/>
                </w:tcPr>
                <w:p w14:paraId="52D9925E">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液体，存放于车间</w:t>
                  </w:r>
                  <w:r>
                    <w:rPr>
                      <w:rFonts w:hint="eastAsia" w:ascii="Times New Roman" w:hAnsi="Times New Roman" w:eastAsia="宋体" w:cs="Times New Roman"/>
                      <w:color w:val="auto"/>
                      <w:w w:val="100"/>
                      <w:sz w:val="21"/>
                      <w:szCs w:val="21"/>
                      <w:u w:val="none"/>
                      <w:lang w:eastAsia="zh-CN"/>
                    </w:rPr>
                    <w:t>北</w:t>
                  </w:r>
                  <w:r>
                    <w:rPr>
                      <w:rFonts w:hint="default" w:ascii="Times New Roman" w:hAnsi="Times New Roman" w:eastAsia="宋体" w:cs="Times New Roman"/>
                      <w:color w:val="auto"/>
                      <w:w w:val="100"/>
                      <w:sz w:val="21"/>
                      <w:szCs w:val="21"/>
                      <w:u w:val="none"/>
                    </w:rPr>
                    <w:t>侧，最大存量</w:t>
                  </w:r>
                  <w:r>
                    <w:rPr>
                      <w:rFonts w:hint="eastAsia" w:ascii="Times New Roman" w:hAnsi="Times New Roman" w:eastAsia="宋体" w:cs="Times New Roman"/>
                      <w:color w:val="auto"/>
                      <w:w w:val="100"/>
                      <w:sz w:val="21"/>
                      <w:szCs w:val="21"/>
                      <w:u w:val="none"/>
                      <w:lang w:val="en-US" w:eastAsia="zh-CN"/>
                    </w:rPr>
                    <w:t>100</w:t>
                  </w:r>
                  <w:r>
                    <w:rPr>
                      <w:rFonts w:hint="default" w:ascii="Times New Roman" w:hAnsi="Times New Roman" w:eastAsia="宋体" w:cs="Times New Roman"/>
                      <w:color w:val="auto"/>
                      <w:w w:val="100"/>
                      <w:sz w:val="21"/>
                      <w:szCs w:val="21"/>
                      <w:u w:val="none"/>
                    </w:rPr>
                    <w:t>吨</w:t>
                  </w:r>
                </w:p>
              </w:tc>
            </w:tr>
            <w:tr w14:paraId="5DB0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572CFD8B">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2</w:t>
                  </w:r>
                </w:p>
              </w:tc>
              <w:tc>
                <w:tcPr>
                  <w:tcW w:w="1671" w:type="dxa"/>
                  <w:vAlign w:val="center"/>
                </w:tcPr>
                <w:p w14:paraId="249E01F9">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eastAsia" w:ascii="Times New Roman" w:hAnsi="Times New Roman" w:cs="Times New Roman"/>
                      <w:color w:val="auto"/>
                      <w:w w:val="100"/>
                      <w:sz w:val="21"/>
                      <w:szCs w:val="21"/>
                      <w:u w:val="none"/>
                      <w:lang w:val="en-US" w:eastAsia="zh-CN"/>
                    </w:rPr>
                    <w:t>二氧化硅</w:t>
                  </w:r>
                </w:p>
              </w:tc>
              <w:tc>
                <w:tcPr>
                  <w:tcW w:w="1200" w:type="dxa"/>
                  <w:vAlign w:val="center"/>
                </w:tcPr>
                <w:p w14:paraId="12A7C694">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25kg/包</w:t>
                  </w:r>
                </w:p>
              </w:tc>
              <w:tc>
                <w:tcPr>
                  <w:tcW w:w="1034" w:type="dxa"/>
                  <w:vAlign w:val="center"/>
                </w:tcPr>
                <w:p w14:paraId="14D7B336">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w w:val="100"/>
                      <w:sz w:val="21"/>
                      <w:szCs w:val="21"/>
                      <w:u w:val="none"/>
                      <w:lang w:val="en-US" w:eastAsia="zh-CN"/>
                    </w:rPr>
                    <w:t>320t/a</w:t>
                  </w:r>
                </w:p>
              </w:tc>
              <w:tc>
                <w:tcPr>
                  <w:tcW w:w="1963" w:type="dxa"/>
                  <w:vAlign w:val="center"/>
                </w:tcPr>
                <w:p w14:paraId="003BA4AF">
                  <w:pPr>
                    <w:ind w:left="0" w:leftChars="0" w:right="0" w:rightChars="0"/>
                    <w:jc w:val="center"/>
                    <w:rPr>
                      <w:rFonts w:hint="default"/>
                      <w:color w:val="auto"/>
                      <w:sz w:val="21"/>
                      <w:szCs w:val="21"/>
                    </w:rPr>
                  </w:pPr>
                  <w:r>
                    <w:rPr>
                      <w:rFonts w:hint="eastAsia" w:ascii="Times New Roman" w:hAnsi="Times New Roman" w:eastAsia="宋体" w:cs="Times New Roman"/>
                      <w:color w:val="auto"/>
                      <w:w w:val="100"/>
                      <w:sz w:val="21"/>
                      <w:szCs w:val="21"/>
                      <w:u w:val="none"/>
                      <w:lang w:eastAsia="zh-CN"/>
                    </w:rPr>
                    <w:t>外购</w:t>
                  </w:r>
                </w:p>
              </w:tc>
              <w:tc>
                <w:tcPr>
                  <w:tcW w:w="2289" w:type="dxa"/>
                  <w:vAlign w:val="center"/>
                </w:tcPr>
                <w:p w14:paraId="1EA1F770">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eastAsia" w:ascii="Times New Roman" w:hAnsi="Times New Roman" w:cs="Times New Roman"/>
                      <w:color w:val="auto"/>
                      <w:w w:val="100"/>
                      <w:sz w:val="21"/>
                      <w:szCs w:val="21"/>
                      <w:u w:val="none"/>
                      <w:lang w:val="en-US" w:eastAsia="zh-CN"/>
                    </w:rPr>
                    <w:t>粉状</w:t>
                  </w:r>
                  <w:r>
                    <w:rPr>
                      <w:rFonts w:hint="default" w:ascii="Times New Roman" w:hAnsi="Times New Roman" w:eastAsia="宋体" w:cs="Times New Roman"/>
                      <w:color w:val="auto"/>
                      <w:w w:val="100"/>
                      <w:sz w:val="21"/>
                      <w:szCs w:val="21"/>
                      <w:u w:val="none"/>
                    </w:rPr>
                    <w:t>，存放于车间</w:t>
                  </w:r>
                  <w:r>
                    <w:rPr>
                      <w:rFonts w:hint="eastAsia" w:ascii="Times New Roman" w:hAnsi="Times New Roman" w:eastAsia="宋体" w:cs="Times New Roman"/>
                      <w:color w:val="auto"/>
                      <w:w w:val="100"/>
                      <w:sz w:val="21"/>
                      <w:szCs w:val="21"/>
                      <w:u w:val="none"/>
                      <w:lang w:eastAsia="zh-CN"/>
                    </w:rPr>
                    <w:t>北</w:t>
                  </w:r>
                  <w:r>
                    <w:rPr>
                      <w:rFonts w:hint="default" w:ascii="Times New Roman" w:hAnsi="Times New Roman" w:eastAsia="宋体" w:cs="Times New Roman"/>
                      <w:color w:val="auto"/>
                      <w:w w:val="100"/>
                      <w:sz w:val="21"/>
                      <w:szCs w:val="21"/>
                      <w:u w:val="none"/>
                    </w:rPr>
                    <w:t>侧，最大存量</w:t>
                  </w:r>
                  <w:r>
                    <w:rPr>
                      <w:rFonts w:hint="eastAsia" w:ascii="Times New Roman" w:hAnsi="Times New Roman" w:cs="Times New Roman"/>
                      <w:color w:val="auto"/>
                      <w:w w:val="100"/>
                      <w:sz w:val="21"/>
                      <w:szCs w:val="21"/>
                      <w:u w:val="none"/>
                      <w:lang w:val="en-US" w:eastAsia="zh-CN"/>
                    </w:rPr>
                    <w:t>40</w:t>
                  </w:r>
                  <w:r>
                    <w:rPr>
                      <w:rFonts w:hint="default" w:ascii="Times New Roman" w:hAnsi="Times New Roman" w:eastAsia="宋体" w:cs="Times New Roman"/>
                      <w:color w:val="auto"/>
                      <w:w w:val="100"/>
                      <w:sz w:val="21"/>
                      <w:szCs w:val="21"/>
                      <w:u w:val="none"/>
                    </w:rPr>
                    <w:t>吨</w:t>
                  </w:r>
                </w:p>
              </w:tc>
            </w:tr>
            <w:tr w14:paraId="0F69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4B2D16C6">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3</w:t>
                  </w:r>
                </w:p>
              </w:tc>
              <w:tc>
                <w:tcPr>
                  <w:tcW w:w="1671" w:type="dxa"/>
                  <w:vAlign w:val="center"/>
                </w:tcPr>
                <w:p w14:paraId="7F71A8B0">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Times New Roman" w:hAnsi="Times New Roman" w:eastAsia="宋体"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填充粉</w:t>
                  </w:r>
                </w:p>
              </w:tc>
              <w:tc>
                <w:tcPr>
                  <w:tcW w:w="1200" w:type="dxa"/>
                  <w:vAlign w:val="center"/>
                </w:tcPr>
                <w:p w14:paraId="0C5D8993">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25kg/包</w:t>
                  </w:r>
                </w:p>
              </w:tc>
              <w:tc>
                <w:tcPr>
                  <w:tcW w:w="1034" w:type="dxa"/>
                  <w:vAlign w:val="center"/>
                </w:tcPr>
                <w:p w14:paraId="70A705DD">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w w:val="100"/>
                      <w:sz w:val="21"/>
                      <w:szCs w:val="21"/>
                      <w:u w:val="none"/>
                      <w:lang w:val="en-US" w:eastAsia="zh-CN"/>
                    </w:rPr>
                    <w:t>270t/a</w:t>
                  </w:r>
                </w:p>
              </w:tc>
              <w:tc>
                <w:tcPr>
                  <w:tcW w:w="1963" w:type="dxa"/>
                  <w:vAlign w:val="center"/>
                </w:tcPr>
                <w:p w14:paraId="3BCD8D2E">
                  <w:pPr>
                    <w:ind w:left="0" w:leftChars="0" w:right="0" w:rightChars="0"/>
                    <w:jc w:val="center"/>
                    <w:rPr>
                      <w:rFonts w:hint="default"/>
                      <w:color w:val="auto"/>
                      <w:sz w:val="21"/>
                      <w:szCs w:val="21"/>
                    </w:rPr>
                  </w:pPr>
                  <w:r>
                    <w:rPr>
                      <w:rFonts w:hint="eastAsia" w:ascii="Times New Roman" w:hAnsi="Times New Roman" w:eastAsia="宋体" w:cs="Times New Roman"/>
                      <w:color w:val="auto"/>
                      <w:w w:val="100"/>
                      <w:sz w:val="21"/>
                      <w:szCs w:val="21"/>
                      <w:u w:val="none"/>
                      <w:lang w:eastAsia="zh-CN"/>
                    </w:rPr>
                    <w:t>外购</w:t>
                  </w:r>
                </w:p>
              </w:tc>
              <w:tc>
                <w:tcPr>
                  <w:tcW w:w="2289" w:type="dxa"/>
                  <w:vAlign w:val="center"/>
                </w:tcPr>
                <w:p w14:paraId="4F087D9A">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eastAsia" w:ascii="Times New Roman" w:hAnsi="Times New Roman" w:cs="Times New Roman"/>
                      <w:color w:val="auto"/>
                      <w:w w:val="100"/>
                      <w:sz w:val="21"/>
                      <w:szCs w:val="21"/>
                      <w:u w:val="none"/>
                      <w:lang w:val="en-US" w:eastAsia="zh-CN"/>
                    </w:rPr>
                    <w:t>粉状</w:t>
                  </w:r>
                  <w:r>
                    <w:rPr>
                      <w:rFonts w:hint="default" w:ascii="Times New Roman" w:hAnsi="Times New Roman" w:eastAsia="宋体" w:cs="Times New Roman"/>
                      <w:color w:val="auto"/>
                      <w:w w:val="100"/>
                      <w:sz w:val="21"/>
                      <w:szCs w:val="21"/>
                      <w:u w:val="none"/>
                    </w:rPr>
                    <w:t>，存放于车间</w:t>
                  </w:r>
                  <w:r>
                    <w:rPr>
                      <w:rFonts w:hint="eastAsia" w:ascii="Times New Roman" w:hAnsi="Times New Roman" w:eastAsia="宋体" w:cs="Times New Roman"/>
                      <w:color w:val="auto"/>
                      <w:w w:val="100"/>
                      <w:sz w:val="21"/>
                      <w:szCs w:val="21"/>
                      <w:u w:val="none"/>
                      <w:lang w:eastAsia="zh-CN"/>
                    </w:rPr>
                    <w:t>北</w:t>
                  </w:r>
                  <w:r>
                    <w:rPr>
                      <w:rFonts w:hint="default" w:ascii="Times New Roman" w:hAnsi="Times New Roman" w:eastAsia="宋体" w:cs="Times New Roman"/>
                      <w:color w:val="auto"/>
                      <w:w w:val="100"/>
                      <w:sz w:val="21"/>
                      <w:szCs w:val="21"/>
                      <w:u w:val="none"/>
                    </w:rPr>
                    <w:t>侧，最大存量</w:t>
                  </w:r>
                  <w:r>
                    <w:rPr>
                      <w:rFonts w:hint="eastAsia" w:ascii="Times New Roman" w:hAnsi="Times New Roman" w:cs="Times New Roman"/>
                      <w:color w:val="auto"/>
                      <w:w w:val="100"/>
                      <w:sz w:val="21"/>
                      <w:szCs w:val="21"/>
                      <w:u w:val="none"/>
                      <w:lang w:val="en-US" w:eastAsia="zh-CN"/>
                    </w:rPr>
                    <w:t>100</w:t>
                  </w:r>
                  <w:r>
                    <w:rPr>
                      <w:rFonts w:hint="default" w:ascii="Times New Roman" w:hAnsi="Times New Roman" w:eastAsia="宋体" w:cs="Times New Roman"/>
                      <w:color w:val="auto"/>
                      <w:w w:val="100"/>
                      <w:sz w:val="21"/>
                      <w:szCs w:val="21"/>
                      <w:u w:val="none"/>
                    </w:rPr>
                    <w:t>吨</w:t>
                  </w:r>
                </w:p>
              </w:tc>
            </w:tr>
            <w:tr w14:paraId="27EE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1BDCD097">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Times New Roman" w:hAnsi="Times New Roman" w:eastAsia="宋体"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4</w:t>
                  </w:r>
                </w:p>
              </w:tc>
              <w:tc>
                <w:tcPr>
                  <w:tcW w:w="1671" w:type="dxa"/>
                  <w:vAlign w:val="center"/>
                </w:tcPr>
                <w:p w14:paraId="269DA3B9">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Times New Roman" w:hAnsi="Times New Roman"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色粉</w:t>
                  </w:r>
                </w:p>
              </w:tc>
              <w:tc>
                <w:tcPr>
                  <w:tcW w:w="1200" w:type="dxa"/>
                  <w:vAlign w:val="center"/>
                </w:tcPr>
                <w:p w14:paraId="4DE0359F">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25kg/包</w:t>
                  </w:r>
                </w:p>
              </w:tc>
              <w:tc>
                <w:tcPr>
                  <w:tcW w:w="1034" w:type="dxa"/>
                  <w:vAlign w:val="center"/>
                </w:tcPr>
                <w:p w14:paraId="71C7EB60">
                  <w:pPr>
                    <w:keepNext w:val="0"/>
                    <w:keepLines w:val="0"/>
                    <w:widowControl/>
                    <w:suppressLineNumbers w:val="0"/>
                    <w:ind w:left="0" w:leftChars="0" w:right="0" w:rightChars="0"/>
                    <w:jc w:val="center"/>
                    <w:textAlignment w:val="center"/>
                    <w:rPr>
                      <w:rFonts w:hint="eastAsia" w:ascii="Times New Roman" w:hAnsi="Times New Roman"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10t/a</w:t>
                  </w:r>
                </w:p>
              </w:tc>
              <w:tc>
                <w:tcPr>
                  <w:tcW w:w="1963" w:type="dxa"/>
                  <w:vAlign w:val="center"/>
                </w:tcPr>
                <w:p w14:paraId="20A808D7">
                  <w:pPr>
                    <w:ind w:left="0" w:leftChars="0" w:right="0" w:rightChars="0"/>
                    <w:jc w:val="center"/>
                    <w:rPr>
                      <w:rFonts w:hint="eastAsia" w:ascii="Times New Roman" w:hAnsi="Times New Roman" w:eastAsia="宋体" w:cs="Times New Roman"/>
                      <w:color w:val="auto"/>
                      <w:w w:val="100"/>
                      <w:sz w:val="21"/>
                      <w:szCs w:val="21"/>
                      <w:u w:val="none"/>
                      <w:lang w:eastAsia="zh-CN"/>
                    </w:rPr>
                  </w:pPr>
                  <w:r>
                    <w:rPr>
                      <w:rFonts w:hint="eastAsia" w:ascii="Times New Roman" w:hAnsi="Times New Roman" w:eastAsia="宋体" w:cs="Times New Roman"/>
                      <w:color w:val="auto"/>
                      <w:w w:val="100"/>
                      <w:sz w:val="21"/>
                      <w:szCs w:val="21"/>
                      <w:u w:val="none"/>
                      <w:lang w:eastAsia="zh-CN"/>
                    </w:rPr>
                    <w:t>外购</w:t>
                  </w:r>
                </w:p>
              </w:tc>
              <w:tc>
                <w:tcPr>
                  <w:tcW w:w="2289" w:type="dxa"/>
                  <w:vAlign w:val="center"/>
                </w:tcPr>
                <w:p w14:paraId="65EDBE9B">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Times New Roman" w:hAnsi="Times New Roman"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包括云母粉、珠光粉、钛白粉、金葱粉等。粉状</w:t>
                  </w:r>
                  <w:r>
                    <w:rPr>
                      <w:rFonts w:hint="default" w:ascii="Times New Roman" w:hAnsi="Times New Roman" w:eastAsia="宋体" w:cs="Times New Roman"/>
                      <w:color w:val="auto"/>
                      <w:w w:val="100"/>
                      <w:sz w:val="21"/>
                      <w:szCs w:val="21"/>
                      <w:u w:val="none"/>
                    </w:rPr>
                    <w:t>，存放于车间</w:t>
                  </w:r>
                  <w:r>
                    <w:rPr>
                      <w:rFonts w:hint="eastAsia" w:ascii="Times New Roman" w:hAnsi="Times New Roman" w:eastAsia="宋体" w:cs="Times New Roman"/>
                      <w:color w:val="auto"/>
                      <w:w w:val="100"/>
                      <w:sz w:val="21"/>
                      <w:szCs w:val="21"/>
                      <w:u w:val="none"/>
                      <w:lang w:eastAsia="zh-CN"/>
                    </w:rPr>
                    <w:t>北</w:t>
                  </w:r>
                  <w:r>
                    <w:rPr>
                      <w:rFonts w:hint="default" w:ascii="Times New Roman" w:hAnsi="Times New Roman" w:eastAsia="宋体" w:cs="Times New Roman"/>
                      <w:color w:val="auto"/>
                      <w:w w:val="100"/>
                      <w:sz w:val="21"/>
                      <w:szCs w:val="21"/>
                      <w:u w:val="none"/>
                    </w:rPr>
                    <w:t>侧，最大存量</w:t>
                  </w:r>
                  <w:r>
                    <w:rPr>
                      <w:rFonts w:hint="eastAsia" w:ascii="Times New Roman" w:hAnsi="Times New Roman" w:cs="Times New Roman"/>
                      <w:color w:val="auto"/>
                      <w:w w:val="100"/>
                      <w:sz w:val="21"/>
                      <w:szCs w:val="21"/>
                      <w:u w:val="none"/>
                      <w:lang w:val="en-US" w:eastAsia="zh-CN"/>
                    </w:rPr>
                    <w:t>5</w:t>
                  </w:r>
                  <w:r>
                    <w:rPr>
                      <w:rFonts w:hint="default" w:ascii="Times New Roman" w:hAnsi="Times New Roman" w:eastAsia="宋体" w:cs="Times New Roman"/>
                      <w:color w:val="auto"/>
                      <w:w w:val="100"/>
                      <w:sz w:val="21"/>
                      <w:szCs w:val="21"/>
                      <w:u w:val="none"/>
                    </w:rPr>
                    <w:t>吨</w:t>
                  </w:r>
                </w:p>
              </w:tc>
            </w:tr>
            <w:tr w14:paraId="00C3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7D6A4B00">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Times New Roman" w:hAnsi="Times New Roman" w:eastAsia="宋体" w:cs="Times New Roman"/>
                      <w:color w:val="auto"/>
                      <w:w w:val="100"/>
                      <w:sz w:val="21"/>
                      <w:szCs w:val="21"/>
                      <w:u w:val="none"/>
                      <w:lang w:eastAsia="zh-CN"/>
                    </w:rPr>
                  </w:pPr>
                  <w:r>
                    <w:rPr>
                      <w:rFonts w:hint="eastAsia" w:ascii="Times New Roman" w:hAnsi="Times New Roman" w:cs="Times New Roman"/>
                      <w:color w:val="auto"/>
                      <w:w w:val="100"/>
                      <w:sz w:val="21"/>
                      <w:szCs w:val="21"/>
                      <w:u w:val="none"/>
                      <w:lang w:val="en-US" w:eastAsia="zh-CN"/>
                    </w:rPr>
                    <w:t>三</w:t>
                  </w:r>
                </w:p>
              </w:tc>
              <w:tc>
                <w:tcPr>
                  <w:tcW w:w="8157" w:type="dxa"/>
                  <w:gridSpan w:val="5"/>
                  <w:vAlign w:val="center"/>
                </w:tcPr>
                <w:p w14:paraId="20451DBC">
                  <w:pPr>
                    <w:keepNext w:val="0"/>
                    <w:keepLines w:val="0"/>
                    <w:pageBreakBefore w:val="0"/>
                    <w:widowControl w:val="0"/>
                    <w:kinsoku/>
                    <w:wordWrap/>
                    <w:overflowPunct/>
                    <w:topLinePunct w:val="0"/>
                    <w:autoSpaceDE w:val="0"/>
                    <w:autoSpaceDN w:val="0"/>
                    <w:bidi w:val="0"/>
                    <w:adjustRightInd/>
                    <w:snapToGrid/>
                    <w:spacing w:line="240" w:lineRule="auto"/>
                    <w:ind w:left="0" w:right="0"/>
                    <w:jc w:val="both"/>
                    <w:textAlignment w:val="auto"/>
                    <w:rPr>
                      <w:rFonts w:hint="eastAsia" w:ascii="Times New Roman" w:hAnsi="Times New Roman" w:eastAsia="宋体" w:cs="Times New Roman"/>
                      <w:color w:val="auto"/>
                      <w:w w:val="100"/>
                      <w:sz w:val="21"/>
                      <w:szCs w:val="21"/>
                      <w:u w:val="none"/>
                      <w:lang w:val="en-US" w:eastAsia="zh-CN"/>
                    </w:rPr>
                  </w:pPr>
                  <w:r>
                    <w:rPr>
                      <w:rFonts w:hint="eastAsia" w:ascii="Times New Roman" w:hAnsi="Times New Roman" w:cs="Times New Roman"/>
                      <w:b/>
                      <w:bCs/>
                      <w:color w:val="auto"/>
                      <w:w w:val="100"/>
                      <w:sz w:val="21"/>
                      <w:szCs w:val="21"/>
                      <w:u w:val="none"/>
                      <w:lang w:val="en-US" w:eastAsia="zh-CN"/>
                    </w:rPr>
                    <w:t>公用材料</w:t>
                  </w:r>
                </w:p>
              </w:tc>
            </w:tr>
            <w:tr w14:paraId="1754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714AD389">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1</w:t>
                  </w:r>
                </w:p>
              </w:tc>
              <w:tc>
                <w:tcPr>
                  <w:tcW w:w="1671" w:type="dxa"/>
                  <w:vAlign w:val="center"/>
                </w:tcPr>
                <w:p w14:paraId="0FF9705B">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油墨</w:t>
                  </w:r>
                </w:p>
              </w:tc>
              <w:tc>
                <w:tcPr>
                  <w:tcW w:w="1200" w:type="dxa"/>
                  <w:vAlign w:val="center"/>
                </w:tcPr>
                <w:p w14:paraId="5433819D">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0.5kg/瓶</w:t>
                  </w:r>
                </w:p>
              </w:tc>
              <w:tc>
                <w:tcPr>
                  <w:tcW w:w="1034" w:type="dxa"/>
                  <w:vAlign w:val="center"/>
                </w:tcPr>
                <w:p w14:paraId="3161480F">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0.01</w:t>
                  </w:r>
                  <w:r>
                    <w:rPr>
                      <w:rFonts w:hint="eastAsia" w:ascii="Times New Roman" w:hAnsi="Times New Roman" w:cs="Times New Roman"/>
                      <w:color w:val="auto"/>
                      <w:w w:val="100"/>
                      <w:sz w:val="21"/>
                      <w:szCs w:val="21"/>
                      <w:u w:val="none"/>
                      <w:lang w:val="en-US" w:eastAsia="zh-CN"/>
                    </w:rPr>
                    <w:t>t/a</w:t>
                  </w:r>
                </w:p>
              </w:tc>
              <w:tc>
                <w:tcPr>
                  <w:tcW w:w="1963" w:type="dxa"/>
                  <w:shd w:val="clear" w:color="auto" w:fill="auto"/>
                  <w:vAlign w:val="center"/>
                </w:tcPr>
                <w:p w14:paraId="149A9173">
                  <w:pPr>
                    <w:ind w:left="0" w:leftChars="0" w:right="0" w:rightChars="0"/>
                    <w:jc w:val="center"/>
                    <w:rPr>
                      <w:rFonts w:hint="default" w:ascii="宋体" w:hAnsi="宋体" w:eastAsia="宋体" w:cs="宋体"/>
                      <w:color w:val="auto"/>
                      <w:sz w:val="21"/>
                      <w:szCs w:val="21"/>
                      <w:lang w:val="en-US" w:eastAsia="zh-CN" w:bidi="zh-CN"/>
                    </w:rPr>
                  </w:pPr>
                  <w:r>
                    <w:rPr>
                      <w:rFonts w:hint="eastAsia" w:cs="宋体"/>
                      <w:color w:val="auto"/>
                      <w:sz w:val="21"/>
                      <w:szCs w:val="21"/>
                      <w:lang w:val="en-US" w:eastAsia="zh-CN" w:bidi="zh-CN"/>
                    </w:rPr>
                    <w:t>外购</w:t>
                  </w:r>
                </w:p>
              </w:tc>
              <w:tc>
                <w:tcPr>
                  <w:tcW w:w="2289" w:type="dxa"/>
                  <w:vAlign w:val="center"/>
                </w:tcPr>
                <w:p w14:paraId="5446A710">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液体，存放于车间北侧</w:t>
                  </w:r>
                  <w:r>
                    <w:rPr>
                      <w:rFonts w:hint="default" w:ascii="Times New Roman" w:hAnsi="Times New Roman" w:eastAsia="宋体" w:cs="Times New Roman"/>
                      <w:color w:val="auto"/>
                      <w:w w:val="100"/>
                      <w:sz w:val="21"/>
                      <w:szCs w:val="21"/>
                      <w:u w:val="none"/>
                    </w:rPr>
                    <w:t>，最大存量</w:t>
                  </w:r>
                  <w:r>
                    <w:rPr>
                      <w:rFonts w:hint="eastAsia" w:ascii="Times New Roman" w:hAnsi="Times New Roman" w:cs="Times New Roman"/>
                      <w:color w:val="auto"/>
                      <w:w w:val="100"/>
                      <w:sz w:val="21"/>
                      <w:szCs w:val="21"/>
                      <w:u w:val="none"/>
                      <w:lang w:val="en-US" w:eastAsia="zh-CN"/>
                    </w:rPr>
                    <w:t>1</w:t>
                  </w:r>
                  <w:r>
                    <w:rPr>
                      <w:rFonts w:hint="default" w:ascii="Times New Roman" w:hAnsi="Times New Roman" w:eastAsia="宋体" w:cs="Times New Roman"/>
                      <w:color w:val="auto"/>
                      <w:w w:val="100"/>
                      <w:sz w:val="21"/>
                      <w:szCs w:val="21"/>
                      <w:u w:val="none"/>
                    </w:rPr>
                    <w:t>吨</w:t>
                  </w:r>
                </w:p>
              </w:tc>
            </w:tr>
            <w:tr w14:paraId="4969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6" w:type="dxa"/>
                  <w:vAlign w:val="center"/>
                </w:tcPr>
                <w:p w14:paraId="6DA329C2">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2</w:t>
                  </w:r>
                </w:p>
              </w:tc>
              <w:tc>
                <w:tcPr>
                  <w:tcW w:w="1671" w:type="dxa"/>
                  <w:shd w:val="clear" w:color="auto" w:fill="auto"/>
                  <w:vAlign w:val="center"/>
                </w:tcPr>
                <w:p w14:paraId="4DCF9C65">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sz w:val="21"/>
                      <w:szCs w:val="21"/>
                      <w:u w:val="none"/>
                      <w:lang w:val="en-US" w:eastAsia="zh-CN" w:bidi="zh-CN"/>
                    </w:rPr>
                  </w:pPr>
                  <w:r>
                    <w:rPr>
                      <w:rFonts w:hint="eastAsia" w:ascii="Times New Roman" w:hAnsi="Times New Roman" w:cs="Times New Roman"/>
                      <w:color w:val="auto"/>
                      <w:w w:val="100"/>
                      <w:sz w:val="21"/>
                      <w:szCs w:val="21"/>
                      <w:u w:val="none"/>
                      <w:lang w:val="en-US" w:eastAsia="zh-CN"/>
                    </w:rPr>
                    <w:t>包装管</w:t>
                  </w:r>
                </w:p>
              </w:tc>
              <w:tc>
                <w:tcPr>
                  <w:tcW w:w="1200" w:type="dxa"/>
                  <w:shd w:val="clear" w:color="auto" w:fill="auto"/>
                  <w:vAlign w:val="center"/>
                </w:tcPr>
                <w:p w14:paraId="0D4024B9">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sz w:val="21"/>
                      <w:szCs w:val="21"/>
                      <w:u w:val="none"/>
                      <w:lang w:val="en-US" w:eastAsia="zh-CN" w:bidi="zh-CN"/>
                    </w:rPr>
                  </w:pPr>
                  <w:r>
                    <w:rPr>
                      <w:rFonts w:hint="eastAsia" w:ascii="Times New Roman" w:hAnsi="Times New Roman" w:cs="Times New Roman"/>
                      <w:color w:val="auto"/>
                      <w:sz w:val="21"/>
                      <w:szCs w:val="21"/>
                      <w:highlight w:val="none"/>
                      <w:lang w:val="en-US" w:eastAsia="zh-CN"/>
                    </w:rPr>
                    <w:t>0.4kg/组</w:t>
                  </w:r>
                </w:p>
              </w:tc>
              <w:tc>
                <w:tcPr>
                  <w:tcW w:w="1034" w:type="dxa"/>
                  <w:shd w:val="clear" w:color="auto" w:fill="auto"/>
                  <w:vAlign w:val="center"/>
                </w:tcPr>
                <w:p w14:paraId="1AAB63A8">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250万组/a</w:t>
                  </w:r>
                </w:p>
              </w:tc>
              <w:tc>
                <w:tcPr>
                  <w:tcW w:w="1963" w:type="dxa"/>
                  <w:shd w:val="clear" w:color="auto" w:fill="auto"/>
                  <w:vAlign w:val="center"/>
                </w:tcPr>
                <w:p w14:paraId="1AFC2D6A">
                  <w:pPr>
                    <w:ind w:left="0" w:leftChars="0" w:right="0" w:rightChars="0"/>
                    <w:jc w:val="center"/>
                    <w:rPr>
                      <w:rFonts w:hint="eastAsia" w:ascii="宋体" w:hAnsi="宋体" w:eastAsia="宋体" w:cs="宋体"/>
                      <w:color w:val="auto"/>
                      <w:sz w:val="21"/>
                      <w:szCs w:val="21"/>
                      <w:lang w:val="zh-CN" w:eastAsia="zh-CN" w:bidi="zh-CN"/>
                    </w:rPr>
                  </w:pPr>
                  <w:r>
                    <w:rPr>
                      <w:rFonts w:hint="eastAsia" w:ascii="Times New Roman" w:hAnsi="Times New Roman" w:eastAsia="宋体" w:cs="Times New Roman"/>
                      <w:color w:val="auto"/>
                      <w:w w:val="100"/>
                      <w:sz w:val="21"/>
                      <w:szCs w:val="21"/>
                      <w:u w:val="none"/>
                      <w:lang w:eastAsia="zh-CN"/>
                    </w:rPr>
                    <w:t>外购</w:t>
                  </w:r>
                </w:p>
              </w:tc>
              <w:tc>
                <w:tcPr>
                  <w:tcW w:w="2289" w:type="dxa"/>
                  <w:shd w:val="clear" w:color="auto" w:fill="auto"/>
                  <w:vAlign w:val="center"/>
                </w:tcPr>
                <w:p w14:paraId="3D92EDE5">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Times New Roman" w:hAnsi="Times New Roman" w:eastAsia="宋体" w:cs="Times New Roman"/>
                      <w:color w:val="auto"/>
                      <w:w w:val="100"/>
                      <w:sz w:val="21"/>
                      <w:szCs w:val="21"/>
                      <w:u w:val="none"/>
                      <w:lang w:val="en-US" w:eastAsia="zh-CN" w:bidi="zh-CN"/>
                    </w:rPr>
                  </w:pPr>
                  <w:r>
                    <w:rPr>
                      <w:rFonts w:hint="eastAsia" w:ascii="Times New Roman" w:hAnsi="Times New Roman" w:cs="Times New Roman"/>
                      <w:color w:val="auto"/>
                      <w:sz w:val="21"/>
                      <w:szCs w:val="21"/>
                      <w:highlight w:val="none"/>
                      <w:lang w:val="en-US" w:eastAsia="zh-CN"/>
                    </w:rPr>
                    <w:t>一组两支，A、B组分各一支</w:t>
                  </w:r>
                </w:p>
              </w:tc>
            </w:tr>
            <w:tr w14:paraId="3729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6" w:type="dxa"/>
                  <w:vAlign w:val="center"/>
                </w:tcPr>
                <w:p w14:paraId="5605CDBC">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color w:val="auto"/>
                      <w:w w:val="100"/>
                      <w:sz w:val="21"/>
                      <w:szCs w:val="21"/>
                      <w:u w:val="none"/>
                      <w:lang w:val="en-US" w:eastAsia="zh-CN"/>
                    </w:rPr>
                  </w:pPr>
                  <w:r>
                    <w:rPr>
                      <w:rFonts w:hint="eastAsia" w:ascii="Times New Roman" w:hAnsi="Times New Roman" w:cs="Times New Roman"/>
                      <w:color w:val="auto"/>
                      <w:w w:val="100"/>
                      <w:sz w:val="21"/>
                      <w:szCs w:val="21"/>
                      <w:u w:val="none"/>
                      <w:lang w:val="en-US" w:eastAsia="zh-CN"/>
                    </w:rPr>
                    <w:t>3</w:t>
                  </w:r>
                </w:p>
              </w:tc>
              <w:tc>
                <w:tcPr>
                  <w:tcW w:w="1671" w:type="dxa"/>
                  <w:shd w:val="clear" w:color="auto" w:fill="auto"/>
                  <w:vAlign w:val="center"/>
                </w:tcPr>
                <w:p w14:paraId="329A543B">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sz w:val="21"/>
                      <w:szCs w:val="21"/>
                      <w:u w:val="none"/>
                      <w:lang w:val="en-US" w:eastAsia="zh-CN" w:bidi="zh-CN"/>
                    </w:rPr>
                  </w:pPr>
                  <w:r>
                    <w:rPr>
                      <w:rFonts w:hint="eastAsia" w:ascii="Times New Roman" w:hAnsi="Times New Roman" w:cs="Times New Roman"/>
                      <w:color w:val="auto"/>
                      <w:w w:val="100"/>
                      <w:sz w:val="21"/>
                      <w:szCs w:val="21"/>
                      <w:u w:val="none"/>
                      <w:lang w:val="en-US" w:eastAsia="zh-CN"/>
                    </w:rPr>
                    <w:t>包装桶</w:t>
                  </w:r>
                </w:p>
              </w:tc>
              <w:tc>
                <w:tcPr>
                  <w:tcW w:w="1200" w:type="dxa"/>
                  <w:shd w:val="clear" w:color="auto" w:fill="auto"/>
                  <w:vAlign w:val="center"/>
                </w:tcPr>
                <w:p w14:paraId="56374BBB">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Times New Roman" w:hAnsi="Times New Roman" w:eastAsia="宋体" w:cs="Times New Roman"/>
                      <w:color w:val="auto"/>
                      <w:w w:val="100"/>
                      <w:sz w:val="21"/>
                      <w:szCs w:val="21"/>
                      <w:u w:val="none"/>
                      <w:lang w:val="en-US" w:eastAsia="zh-CN" w:bidi="zh-CN"/>
                    </w:rPr>
                  </w:pPr>
                  <w:r>
                    <w:rPr>
                      <w:rFonts w:hint="eastAsia" w:ascii="Times New Roman" w:hAnsi="Times New Roman" w:cs="Times New Roman"/>
                      <w:color w:val="auto"/>
                      <w:sz w:val="21"/>
                      <w:szCs w:val="21"/>
                      <w:highlight w:val="none"/>
                      <w:lang w:val="en-US" w:eastAsia="zh-CN"/>
                    </w:rPr>
                    <w:t>3kg/桶</w:t>
                  </w:r>
                </w:p>
              </w:tc>
              <w:tc>
                <w:tcPr>
                  <w:tcW w:w="1034" w:type="dxa"/>
                  <w:shd w:val="clear" w:color="auto" w:fill="auto"/>
                  <w:vAlign w:val="center"/>
                </w:tcPr>
                <w:p w14:paraId="47A4AB02">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33.4万个/a</w:t>
                  </w:r>
                </w:p>
              </w:tc>
              <w:tc>
                <w:tcPr>
                  <w:tcW w:w="1963" w:type="dxa"/>
                  <w:shd w:val="clear" w:color="auto" w:fill="auto"/>
                  <w:vAlign w:val="center"/>
                </w:tcPr>
                <w:p w14:paraId="3704AF3B">
                  <w:pPr>
                    <w:ind w:left="0" w:leftChars="0" w:right="0" w:rightChars="0"/>
                    <w:jc w:val="center"/>
                    <w:rPr>
                      <w:rFonts w:hint="eastAsia" w:ascii="宋体" w:hAnsi="宋体" w:eastAsia="宋体" w:cs="宋体"/>
                      <w:color w:val="auto"/>
                      <w:sz w:val="21"/>
                      <w:szCs w:val="21"/>
                      <w:lang w:val="zh-CN" w:eastAsia="zh-CN" w:bidi="zh-CN"/>
                    </w:rPr>
                  </w:pPr>
                  <w:r>
                    <w:rPr>
                      <w:rFonts w:hint="eastAsia" w:ascii="Times New Roman" w:hAnsi="Times New Roman" w:eastAsia="宋体" w:cs="Times New Roman"/>
                      <w:color w:val="auto"/>
                      <w:w w:val="100"/>
                      <w:sz w:val="21"/>
                      <w:szCs w:val="21"/>
                      <w:u w:val="none"/>
                      <w:lang w:eastAsia="zh-CN"/>
                    </w:rPr>
                    <w:t>外购</w:t>
                  </w:r>
                </w:p>
              </w:tc>
              <w:tc>
                <w:tcPr>
                  <w:tcW w:w="2289" w:type="dxa"/>
                  <w:shd w:val="clear" w:color="auto" w:fill="auto"/>
                  <w:vAlign w:val="center"/>
                </w:tcPr>
                <w:p w14:paraId="2E7366D2">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Times New Roman" w:hAnsi="Times New Roman" w:eastAsia="宋体" w:cs="Times New Roman"/>
                      <w:color w:val="auto"/>
                      <w:w w:val="100"/>
                      <w:sz w:val="21"/>
                      <w:szCs w:val="21"/>
                      <w:u w:val="none"/>
                      <w:lang w:val="en-US" w:eastAsia="zh-CN" w:bidi="zh-CN"/>
                    </w:rPr>
                  </w:pPr>
                  <w:r>
                    <w:rPr>
                      <w:rFonts w:hint="eastAsia" w:ascii="Times New Roman" w:hAnsi="Times New Roman" w:cs="Times New Roman"/>
                      <w:color w:val="auto"/>
                      <w:w w:val="100"/>
                      <w:sz w:val="21"/>
                      <w:szCs w:val="21"/>
                      <w:u w:val="none"/>
                      <w:lang w:val="en-US" w:eastAsia="zh-CN"/>
                    </w:rPr>
                    <w:t>/</w:t>
                  </w:r>
                </w:p>
              </w:tc>
            </w:tr>
            <w:tr w14:paraId="4853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00EE4D05">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三</w:t>
                  </w:r>
                </w:p>
              </w:tc>
              <w:tc>
                <w:tcPr>
                  <w:tcW w:w="8157" w:type="dxa"/>
                  <w:gridSpan w:val="5"/>
                  <w:vAlign w:val="center"/>
                </w:tcPr>
                <w:p w14:paraId="42E8F7E5">
                  <w:pPr>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b/>
                      <w:color w:val="auto"/>
                      <w:w w:val="100"/>
                      <w:sz w:val="21"/>
                      <w:szCs w:val="21"/>
                      <w:u w:val="none"/>
                    </w:rPr>
                    <w:t>能耗</w:t>
                  </w:r>
                </w:p>
              </w:tc>
            </w:tr>
            <w:tr w14:paraId="1583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5B68B8B1">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1</w:t>
                  </w:r>
                </w:p>
              </w:tc>
              <w:tc>
                <w:tcPr>
                  <w:tcW w:w="1671" w:type="dxa"/>
                  <w:vAlign w:val="center"/>
                </w:tcPr>
                <w:p w14:paraId="05225F8D">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水</w:t>
                  </w:r>
                </w:p>
              </w:tc>
              <w:tc>
                <w:tcPr>
                  <w:tcW w:w="1200" w:type="dxa"/>
                  <w:vAlign w:val="center"/>
                </w:tcPr>
                <w:p w14:paraId="48D8B147">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w:t>
                  </w:r>
                </w:p>
              </w:tc>
              <w:tc>
                <w:tcPr>
                  <w:tcW w:w="1034" w:type="dxa"/>
                  <w:vAlign w:val="center"/>
                </w:tcPr>
                <w:p w14:paraId="7017DC51">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lang w:val="en-US" w:eastAsia="zh-CN"/>
                    </w:rPr>
                  </w:pPr>
                  <w:r>
                    <w:rPr>
                      <w:rFonts w:hint="eastAsia" w:ascii="Times New Roman" w:hAnsi="Times New Roman" w:eastAsia="宋体" w:cs="Times New Roman"/>
                      <w:color w:val="auto"/>
                      <w:w w:val="100"/>
                      <w:sz w:val="21"/>
                      <w:szCs w:val="21"/>
                      <w:u w:val="none"/>
                      <w:lang w:val="en-US" w:eastAsia="zh-CN"/>
                    </w:rPr>
                    <w:t>185</w:t>
                  </w:r>
                  <w:r>
                    <w:rPr>
                      <w:rFonts w:hint="eastAsia" w:ascii="Times New Roman" w:hAnsi="Times New Roman" w:cs="Times New Roman"/>
                      <w:b w:val="0"/>
                      <w:bCs w:val="0"/>
                      <w:color w:val="auto"/>
                      <w:kern w:val="0"/>
                      <w:sz w:val="21"/>
                      <w:szCs w:val="21"/>
                      <w:lang w:val="en-US" w:eastAsia="zh-CN" w:bidi="ar-SA"/>
                    </w:rPr>
                    <w:t>m</w:t>
                  </w:r>
                  <w:r>
                    <w:rPr>
                      <w:rFonts w:hint="eastAsia" w:ascii="Times New Roman" w:hAnsi="Times New Roman" w:cs="Times New Roman"/>
                      <w:b w:val="0"/>
                      <w:bCs w:val="0"/>
                      <w:color w:val="auto"/>
                      <w:kern w:val="0"/>
                      <w:sz w:val="21"/>
                      <w:szCs w:val="21"/>
                      <w:vertAlign w:val="superscript"/>
                      <w:lang w:val="en-US" w:eastAsia="zh-CN" w:bidi="ar-SA"/>
                    </w:rPr>
                    <w:t>3</w:t>
                  </w:r>
                  <w:r>
                    <w:rPr>
                      <w:rFonts w:hint="eastAsia" w:ascii="Times New Roman" w:hAnsi="Times New Roman" w:cs="Times New Roman"/>
                      <w:b w:val="0"/>
                      <w:bCs w:val="0"/>
                      <w:color w:val="auto"/>
                      <w:kern w:val="0"/>
                      <w:sz w:val="21"/>
                      <w:szCs w:val="21"/>
                      <w:lang w:val="en-US" w:eastAsia="zh-CN" w:bidi="ar-SA"/>
                    </w:rPr>
                    <w:t>/a</w:t>
                  </w:r>
                </w:p>
              </w:tc>
              <w:tc>
                <w:tcPr>
                  <w:tcW w:w="1963" w:type="dxa"/>
                  <w:vAlign w:val="center"/>
                </w:tcPr>
                <w:p w14:paraId="51E73630">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cs="Times New Roman"/>
                      <w:color w:val="auto"/>
                      <w:sz w:val="21"/>
                      <w:szCs w:val="21"/>
                    </w:rPr>
                    <w:t>由</w:t>
                  </w:r>
                  <w:r>
                    <w:rPr>
                      <w:rFonts w:hint="eastAsia" w:ascii="Times New Roman" w:hAnsi="Times New Roman" w:cs="Times New Roman"/>
                      <w:color w:val="auto"/>
                      <w:sz w:val="21"/>
                      <w:szCs w:val="21"/>
                      <w:lang w:val="en-US" w:eastAsia="zh-CN"/>
                    </w:rPr>
                    <w:t>当地</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c>
                <w:tcPr>
                  <w:tcW w:w="2289" w:type="dxa"/>
                  <w:vAlign w:val="center"/>
                </w:tcPr>
                <w:p w14:paraId="5C0116E6">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w:t>
                  </w:r>
                </w:p>
              </w:tc>
            </w:tr>
            <w:tr w14:paraId="5244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76" w:type="dxa"/>
                  <w:vAlign w:val="center"/>
                </w:tcPr>
                <w:p w14:paraId="5F79E6C4">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2</w:t>
                  </w:r>
                </w:p>
              </w:tc>
              <w:tc>
                <w:tcPr>
                  <w:tcW w:w="1671" w:type="dxa"/>
                  <w:vAlign w:val="center"/>
                </w:tcPr>
                <w:p w14:paraId="0FDD2C06">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电</w:t>
                  </w:r>
                </w:p>
              </w:tc>
              <w:tc>
                <w:tcPr>
                  <w:tcW w:w="1200" w:type="dxa"/>
                  <w:vAlign w:val="center"/>
                </w:tcPr>
                <w:p w14:paraId="42B1100B">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w:t>
                  </w:r>
                </w:p>
              </w:tc>
              <w:tc>
                <w:tcPr>
                  <w:tcW w:w="1034" w:type="dxa"/>
                  <w:vAlign w:val="center"/>
                </w:tcPr>
                <w:p w14:paraId="19D2268E">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eastAsia" w:ascii="Times New Roman" w:hAnsi="Times New Roman" w:eastAsia="宋体" w:cs="Times New Roman"/>
                      <w:color w:val="auto"/>
                      <w:w w:val="100"/>
                      <w:sz w:val="21"/>
                      <w:szCs w:val="21"/>
                      <w:u w:val="none"/>
                      <w:lang w:val="en-US" w:eastAsia="zh-CN"/>
                    </w:rPr>
                    <w:t>20</w:t>
                  </w:r>
                  <w:r>
                    <w:rPr>
                      <w:rFonts w:hint="default" w:ascii="Times New Roman" w:hAnsi="Times New Roman" w:eastAsia="宋体" w:cs="Times New Roman"/>
                      <w:color w:val="auto"/>
                      <w:w w:val="100"/>
                      <w:sz w:val="21"/>
                      <w:szCs w:val="21"/>
                      <w:u w:val="none"/>
                    </w:rPr>
                    <w:t>万</w:t>
                  </w:r>
                  <w:r>
                    <w:rPr>
                      <w:rFonts w:hint="default" w:ascii="Times New Roman" w:hAnsi="Times New Roman" w:cs="Times New Roman"/>
                      <w:color w:val="auto"/>
                      <w:sz w:val="21"/>
                      <w:szCs w:val="21"/>
                      <w:lang w:eastAsia="zh-CN"/>
                    </w:rPr>
                    <w:t>kWh</w:t>
                  </w:r>
                </w:p>
              </w:tc>
              <w:tc>
                <w:tcPr>
                  <w:tcW w:w="1963" w:type="dxa"/>
                  <w:vAlign w:val="center"/>
                </w:tcPr>
                <w:p w14:paraId="7E9570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由</w:t>
                  </w:r>
                  <w:r>
                    <w:rPr>
                      <w:rFonts w:hint="eastAsia" w:ascii="Times New Roman" w:hAnsi="Times New Roman" w:cs="Times New Roman"/>
                      <w:color w:val="auto"/>
                      <w:sz w:val="21"/>
                      <w:szCs w:val="21"/>
                      <w:lang w:val="en-US" w:eastAsia="zh-CN"/>
                    </w:rPr>
                    <w:t>当地</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c>
                <w:tcPr>
                  <w:tcW w:w="2289" w:type="dxa"/>
                  <w:vAlign w:val="center"/>
                </w:tcPr>
                <w:p w14:paraId="34997047">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color w:val="auto"/>
                      <w:w w:val="100"/>
                      <w:sz w:val="21"/>
                      <w:szCs w:val="21"/>
                      <w:u w:val="none"/>
                    </w:rPr>
                    <w:t>-</w:t>
                  </w:r>
                </w:p>
              </w:tc>
            </w:tr>
          </w:tbl>
          <w:p w14:paraId="19BC9460">
            <w:pPr>
              <w:pStyle w:val="55"/>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center"/>
              <w:textAlignment w:val="auto"/>
              <w:rPr>
                <w:rFonts w:hint="eastAsia" w:ascii="Times New Roman" w:hAnsi="Times New Roman" w:cs="Times New Roman"/>
                <w:b/>
                <w:bCs w:val="0"/>
                <w:snapToGrid w:val="0"/>
                <w:color w:val="auto"/>
                <w:kern w:val="0"/>
                <w:sz w:val="21"/>
                <w:szCs w:val="21"/>
                <w:lang w:val="en-US" w:eastAsia="zh-CN"/>
              </w:rPr>
            </w:pPr>
            <w:r>
              <w:rPr>
                <w:rFonts w:hint="eastAsia" w:ascii="Times New Roman" w:hAnsi="Times New Roman" w:cs="Times New Roman"/>
                <w:b/>
                <w:bCs w:val="0"/>
                <w:snapToGrid w:val="0"/>
                <w:color w:val="auto"/>
                <w:kern w:val="0"/>
                <w:sz w:val="21"/>
                <w:szCs w:val="21"/>
                <w:lang w:val="en-US" w:eastAsia="zh-CN"/>
              </w:rPr>
              <w:t>表 2.5 主要原辅材料理化性质一览表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017"/>
              <w:gridCol w:w="6900"/>
            </w:tblGrid>
            <w:tr w14:paraId="33B7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05" w:type="dxa"/>
                  <w:vAlign w:val="center"/>
                </w:tcPr>
                <w:p w14:paraId="7647E4B8">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u w:val="none"/>
                    </w:rPr>
                  </w:pPr>
                  <w:r>
                    <w:rPr>
                      <w:rFonts w:hint="default" w:ascii="Times New Roman" w:hAnsi="Times New Roman" w:eastAsia="宋体" w:cs="Times New Roman"/>
                      <w:b/>
                      <w:color w:val="auto"/>
                      <w:w w:val="100"/>
                      <w:sz w:val="21"/>
                      <w:szCs w:val="21"/>
                      <w:u w:val="none"/>
                    </w:rPr>
                    <w:t>序号</w:t>
                  </w:r>
                </w:p>
              </w:tc>
              <w:tc>
                <w:tcPr>
                  <w:tcW w:w="1017" w:type="dxa"/>
                  <w:vAlign w:val="center"/>
                </w:tcPr>
                <w:p w14:paraId="0DA26C59">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b/>
                      <w:color w:val="auto"/>
                      <w:w w:val="100"/>
                      <w:sz w:val="21"/>
                      <w:szCs w:val="21"/>
                      <w:u w:val="none"/>
                    </w:rPr>
                  </w:pPr>
                  <w:r>
                    <w:rPr>
                      <w:rFonts w:hint="default" w:ascii="Times New Roman" w:hAnsi="Times New Roman" w:eastAsia="宋体" w:cs="Times New Roman"/>
                      <w:b/>
                      <w:color w:val="auto"/>
                      <w:w w:val="100"/>
                      <w:sz w:val="21"/>
                      <w:szCs w:val="21"/>
                      <w:u w:val="none"/>
                    </w:rPr>
                    <w:t>名称</w:t>
                  </w:r>
                </w:p>
              </w:tc>
              <w:tc>
                <w:tcPr>
                  <w:tcW w:w="6900" w:type="dxa"/>
                  <w:vAlign w:val="center"/>
                </w:tcPr>
                <w:p w14:paraId="29C833BC">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宋体" w:cs="Times New Roman"/>
                      <w:b/>
                      <w:color w:val="auto"/>
                      <w:w w:val="100"/>
                      <w:sz w:val="21"/>
                      <w:szCs w:val="21"/>
                      <w:u w:val="none"/>
                    </w:rPr>
                  </w:pPr>
                  <w:r>
                    <w:rPr>
                      <w:rFonts w:hint="default" w:ascii="Times New Roman" w:hAnsi="Times New Roman" w:eastAsia="宋体" w:cs="Times New Roman"/>
                      <w:b/>
                      <w:color w:val="auto"/>
                      <w:w w:val="100"/>
                      <w:sz w:val="21"/>
                      <w:szCs w:val="21"/>
                      <w:u w:val="none"/>
                    </w:rPr>
                    <w:t>理化性质</w:t>
                  </w:r>
                </w:p>
              </w:tc>
            </w:tr>
            <w:tr w14:paraId="2A6D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05" w:type="dxa"/>
                  <w:vAlign w:val="center"/>
                </w:tcPr>
                <w:p w14:paraId="47543413">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w w:val="100"/>
                      <w:sz w:val="21"/>
                      <w:szCs w:val="21"/>
                      <w:u w:val="none"/>
                    </w:rPr>
                  </w:pPr>
                  <w:r>
                    <w:rPr>
                      <w:rFonts w:hint="default" w:ascii="Times New Roman" w:hAnsi="Times New Roman" w:eastAsia="宋体" w:cs="Times New Roman"/>
                      <w:b w:val="0"/>
                      <w:bCs w:val="0"/>
                      <w:color w:val="auto"/>
                      <w:w w:val="100"/>
                      <w:sz w:val="21"/>
                      <w:szCs w:val="21"/>
                      <w:u w:val="none"/>
                    </w:rPr>
                    <w:t>1</w:t>
                  </w:r>
                </w:p>
              </w:tc>
              <w:tc>
                <w:tcPr>
                  <w:tcW w:w="1017" w:type="dxa"/>
                  <w:vAlign w:val="center"/>
                </w:tcPr>
                <w:p w14:paraId="366E5721">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w w:val="100"/>
                      <w:sz w:val="21"/>
                      <w:szCs w:val="21"/>
                      <w:u w:val="none"/>
                    </w:rPr>
                  </w:pPr>
                  <w:r>
                    <w:rPr>
                      <w:rFonts w:hint="default" w:ascii="Times New Roman" w:hAnsi="Times New Roman" w:eastAsia="宋体" w:cs="Times New Roman"/>
                      <w:b w:val="0"/>
                      <w:bCs w:val="0"/>
                      <w:color w:val="auto"/>
                      <w:w w:val="100"/>
                      <w:sz w:val="21"/>
                      <w:szCs w:val="21"/>
                      <w:u w:val="none"/>
                    </w:rPr>
                    <w:t>环氧树脂</w:t>
                  </w:r>
                </w:p>
              </w:tc>
              <w:tc>
                <w:tcPr>
                  <w:tcW w:w="6900" w:type="dxa"/>
                  <w:vAlign w:val="center"/>
                </w:tcPr>
                <w:p w14:paraId="02B41B9B">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sz w:val="21"/>
                      <w:szCs w:val="21"/>
                      <w:u w:val="none"/>
                    </w:rPr>
                  </w:pPr>
                  <w:r>
                    <w:rPr>
                      <w:rFonts w:hint="eastAsia" w:ascii="Times New Roman" w:hAnsi="Times New Roman" w:cs="Times New Roman"/>
                      <w:b w:val="0"/>
                      <w:bCs w:val="0"/>
                      <w:color w:val="auto"/>
                      <w:w w:val="100"/>
                      <w:sz w:val="21"/>
                      <w:szCs w:val="21"/>
                      <w:u w:val="none"/>
                      <w:lang w:val="en-US" w:eastAsia="zh-CN"/>
                    </w:rPr>
                    <w:t>外观为无杂质透明液体，环氧值Eq/100g（环氧当量）为0.51~0.54，挥发份（150</w:t>
                  </w:r>
                  <w:r>
                    <w:rPr>
                      <w:rFonts w:hint="default" w:ascii="Times New Roman" w:hAnsi="Times New Roman" w:cs="Times New Roman"/>
                      <w:b w:val="0"/>
                      <w:bCs w:val="0"/>
                      <w:color w:val="auto"/>
                      <w:w w:val="100"/>
                      <w:sz w:val="21"/>
                      <w:szCs w:val="21"/>
                      <w:u w:val="none"/>
                      <w:lang w:val="en-US" w:eastAsia="zh-CN"/>
                    </w:rPr>
                    <w:t>°C</w:t>
                  </w:r>
                  <w:r>
                    <w:rPr>
                      <w:rFonts w:hint="eastAsia" w:ascii="Times New Roman" w:hAnsi="Times New Roman" w:cs="Times New Roman"/>
                      <w:b w:val="0"/>
                      <w:bCs w:val="0"/>
                      <w:color w:val="auto"/>
                      <w:w w:val="100"/>
                      <w:sz w:val="21"/>
                      <w:szCs w:val="21"/>
                      <w:u w:val="none"/>
                      <w:lang w:val="en-US" w:eastAsia="zh-CN"/>
                    </w:rPr>
                    <w:t>，40mins），%≤0.5，无机氯值Eq/100g≤0.001，水解氯值%≤0.050，粘度（25</w:t>
                  </w:r>
                  <w:r>
                    <w:rPr>
                      <w:rFonts w:hint="default" w:ascii="Times New Roman" w:hAnsi="Times New Roman" w:cs="Times New Roman"/>
                      <w:b w:val="0"/>
                      <w:bCs w:val="0"/>
                      <w:color w:val="auto"/>
                      <w:w w:val="100"/>
                      <w:sz w:val="21"/>
                      <w:szCs w:val="21"/>
                      <w:u w:val="none"/>
                      <w:lang w:val="en-US" w:eastAsia="zh-CN"/>
                    </w:rPr>
                    <w:t>°C</w:t>
                  </w:r>
                  <w:r>
                    <w:rPr>
                      <w:rFonts w:hint="eastAsia" w:ascii="Times New Roman" w:hAnsi="Times New Roman" w:cs="Times New Roman"/>
                      <w:b w:val="0"/>
                      <w:bCs w:val="0"/>
                      <w:color w:val="auto"/>
                      <w:w w:val="100"/>
                      <w:sz w:val="21"/>
                      <w:szCs w:val="21"/>
                      <w:u w:val="none"/>
                      <w:lang w:val="en-US" w:eastAsia="zh-CN"/>
                    </w:rPr>
                    <w:t>）mPa</w:t>
                  </w:r>
                  <w:r>
                    <w:rPr>
                      <w:rFonts w:hint="default" w:ascii="Times New Roman" w:hAnsi="Times New Roman" w:cs="Times New Roman"/>
                      <w:b w:val="0"/>
                      <w:bCs w:val="0"/>
                      <w:color w:val="auto"/>
                      <w:w w:val="100"/>
                      <w:sz w:val="21"/>
                      <w:szCs w:val="21"/>
                      <w:u w:val="none"/>
                      <w:lang w:val="en-US" w:eastAsia="zh-CN"/>
                    </w:rPr>
                    <w:t>·</w:t>
                  </w:r>
                  <w:r>
                    <w:rPr>
                      <w:rFonts w:hint="eastAsia" w:ascii="Times New Roman" w:hAnsi="Times New Roman" w:cs="Times New Roman"/>
                      <w:b w:val="0"/>
                      <w:bCs w:val="0"/>
                      <w:color w:val="auto"/>
                      <w:w w:val="100"/>
                      <w:sz w:val="21"/>
                      <w:szCs w:val="21"/>
                      <w:u w:val="none"/>
                      <w:lang w:val="en-US" w:eastAsia="zh-CN"/>
                    </w:rPr>
                    <w:t>s为10000~14000。</w:t>
                  </w:r>
                  <w:r>
                    <w:rPr>
                      <w:rFonts w:hint="default" w:ascii="Times New Roman" w:hAnsi="Times New Roman" w:eastAsia="宋体" w:cs="Times New Roman"/>
                      <w:b w:val="0"/>
                      <w:bCs w:val="0"/>
                      <w:color w:val="auto"/>
                      <w:w w:val="100"/>
                      <w:sz w:val="21"/>
                      <w:szCs w:val="21"/>
                      <w:u w:val="none"/>
                    </w:rPr>
                    <w:t>本项目用的环氧树脂主要是</w:t>
                  </w:r>
                  <w:r>
                    <w:rPr>
                      <w:rFonts w:hint="eastAsia" w:ascii="Times New Roman" w:hAnsi="Times New Roman" w:cs="Times New Roman"/>
                      <w:b w:val="0"/>
                      <w:bCs w:val="0"/>
                      <w:color w:val="auto"/>
                      <w:w w:val="100"/>
                      <w:sz w:val="21"/>
                      <w:szCs w:val="21"/>
                      <w:u w:val="none"/>
                      <w:lang w:val="en-US" w:eastAsia="zh-CN"/>
                    </w:rPr>
                    <w:t>128</w:t>
                  </w:r>
                  <w:r>
                    <w:rPr>
                      <w:rFonts w:hint="default" w:ascii="Times New Roman" w:hAnsi="Times New Roman" w:eastAsia="宋体" w:cs="Times New Roman"/>
                      <w:b w:val="0"/>
                      <w:bCs w:val="0"/>
                      <w:color w:val="auto"/>
                      <w:w w:val="100"/>
                      <w:sz w:val="21"/>
                      <w:szCs w:val="21"/>
                      <w:u w:val="none"/>
                    </w:rPr>
                    <w:t>型环氧树脂，</w:t>
                  </w:r>
                  <w:r>
                    <w:rPr>
                      <w:rFonts w:hint="eastAsia" w:ascii="Times New Roman" w:hAnsi="Times New Roman" w:cs="Times New Roman"/>
                      <w:b w:val="0"/>
                      <w:bCs w:val="0"/>
                      <w:color w:val="auto"/>
                      <w:w w:val="100"/>
                      <w:sz w:val="21"/>
                      <w:szCs w:val="21"/>
                      <w:u w:val="none"/>
                      <w:lang w:val="en-US" w:eastAsia="zh-CN"/>
                    </w:rPr>
                    <w:t>即</w:t>
                  </w:r>
                  <w:r>
                    <w:rPr>
                      <w:rFonts w:hint="default" w:ascii="Times New Roman" w:hAnsi="Times New Roman" w:eastAsia="宋体" w:cs="Times New Roman"/>
                      <w:b w:val="0"/>
                      <w:bCs w:val="0"/>
                      <w:color w:val="auto"/>
                      <w:w w:val="100"/>
                      <w:sz w:val="21"/>
                      <w:szCs w:val="21"/>
                      <w:u w:val="none"/>
                    </w:rPr>
                    <w:t>双酚A型树脂</w:t>
                  </w:r>
                  <w:r>
                    <w:rPr>
                      <w:rFonts w:hint="eastAsia" w:ascii="Times New Roman" w:hAnsi="Times New Roman" w:cs="Times New Roman"/>
                      <w:b w:val="0"/>
                      <w:bCs w:val="0"/>
                      <w:color w:val="auto"/>
                      <w:w w:val="100"/>
                      <w:sz w:val="21"/>
                      <w:szCs w:val="21"/>
                      <w:u w:val="none"/>
                      <w:lang w:eastAsia="zh-CN"/>
                    </w:rPr>
                    <w:t>，需150℃以上才开始挥发。双酚A型环氧树脂是由双酚A、环氧氯丙烷在碱性条件下缩合，经水洗，脱溶剂精制而成的高分子化合物。环氧树脂固化温度为175℃，可在 - 60~260℃长期使用，最高使用温度可达260~310℃。一般在无氧条件下，环氧树脂板的热分解温度在300℃以上，但在空气中使用时，在180~200℃就会被氧化分解。</w:t>
                  </w:r>
                </w:p>
              </w:tc>
            </w:tr>
            <w:tr w14:paraId="0B47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05" w:type="dxa"/>
                  <w:vAlign w:val="center"/>
                </w:tcPr>
                <w:p w14:paraId="5C62FFD8">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w w:val="100"/>
                      <w:sz w:val="21"/>
                      <w:szCs w:val="21"/>
                      <w:u w:val="none"/>
                    </w:rPr>
                  </w:pPr>
                  <w:r>
                    <w:rPr>
                      <w:rFonts w:hint="default" w:ascii="Times New Roman" w:hAnsi="Times New Roman" w:eastAsia="宋体" w:cs="Times New Roman"/>
                      <w:b w:val="0"/>
                      <w:bCs w:val="0"/>
                      <w:color w:val="auto"/>
                      <w:w w:val="100"/>
                      <w:sz w:val="21"/>
                      <w:szCs w:val="21"/>
                      <w:u w:val="none"/>
                    </w:rPr>
                    <w:t>2</w:t>
                  </w:r>
                </w:p>
              </w:tc>
              <w:tc>
                <w:tcPr>
                  <w:tcW w:w="1017" w:type="dxa"/>
                  <w:vMerge w:val="restart"/>
                  <w:vAlign w:val="center"/>
                </w:tcPr>
                <w:p w14:paraId="2B443792">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w w:val="100"/>
                      <w:sz w:val="21"/>
                      <w:szCs w:val="21"/>
                      <w:u w:val="none"/>
                    </w:rPr>
                  </w:pPr>
                  <w:r>
                    <w:rPr>
                      <w:rFonts w:hint="default" w:ascii="Times New Roman" w:hAnsi="Times New Roman" w:eastAsia="宋体" w:cs="Times New Roman"/>
                      <w:b w:val="0"/>
                      <w:bCs w:val="0"/>
                      <w:color w:val="auto"/>
                      <w:w w:val="100"/>
                      <w:sz w:val="21"/>
                      <w:szCs w:val="21"/>
                      <w:u w:val="none"/>
                    </w:rPr>
                    <w:t>固化剂</w:t>
                  </w:r>
                </w:p>
              </w:tc>
              <w:tc>
                <w:tcPr>
                  <w:tcW w:w="6900" w:type="dxa"/>
                  <w:vAlign w:val="center"/>
                </w:tcPr>
                <w:p w14:paraId="4151D434">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rPr>
                      <w:rFonts w:hint="default" w:ascii="Times New Roman" w:hAnsi="Times New Roman" w:eastAsia="宋体" w:cs="Times New Roman"/>
                      <w:color w:val="auto"/>
                      <w:w w:val="100"/>
                      <w:sz w:val="21"/>
                      <w:szCs w:val="21"/>
                      <w:u w:val="none"/>
                    </w:rPr>
                  </w:pPr>
                  <w:r>
                    <w:rPr>
                      <w:rFonts w:hint="eastAsia" w:ascii="Times New Roman" w:hAnsi="Times New Roman" w:cs="Times New Roman"/>
                      <w:color w:val="auto"/>
                      <w:w w:val="100"/>
                      <w:sz w:val="21"/>
                      <w:szCs w:val="21"/>
                      <w:u w:val="none"/>
                      <w:lang w:val="en-US" w:eastAsia="zh-CN"/>
                    </w:rPr>
                    <w:t>主</w:t>
                  </w:r>
                  <w:r>
                    <w:rPr>
                      <w:rFonts w:hint="default" w:ascii="Times New Roman" w:hAnsi="Times New Roman" w:eastAsia="宋体" w:cs="Times New Roman"/>
                      <w:color w:val="auto"/>
                      <w:w w:val="100"/>
                      <w:sz w:val="21"/>
                      <w:szCs w:val="21"/>
                      <w:u w:val="none"/>
                      <w:lang w:val="en-US" w:eastAsia="zh-CN"/>
                    </w:rPr>
                    <w:t>要成分为脂环胺（10~20%）、环氧树脂（25~35%）、苯甲醇（22~28%）、脂肪胺（5~15%）、十二烷基酚（5~10%），外观无色至淡黄色液体</w:t>
                  </w:r>
                  <w:r>
                    <w:rPr>
                      <w:rFonts w:hint="eastAsia" w:ascii="Times New Roman" w:hAnsi="Times New Roman" w:cs="Times New Roman"/>
                      <w:color w:val="auto"/>
                      <w:w w:val="100"/>
                      <w:sz w:val="21"/>
                      <w:szCs w:val="21"/>
                      <w:u w:val="none"/>
                      <w:lang w:val="en-US" w:eastAsia="zh-CN"/>
                    </w:rPr>
                    <w:t>，</w:t>
                  </w:r>
                  <w:r>
                    <w:rPr>
                      <w:rFonts w:hint="default" w:ascii="Times New Roman" w:hAnsi="Times New Roman" w:eastAsia="宋体" w:cs="Times New Roman"/>
                      <w:color w:val="auto"/>
                      <w:w w:val="100"/>
                      <w:sz w:val="21"/>
                      <w:szCs w:val="21"/>
                      <w:u w:val="none"/>
                      <w:lang w:val="en-US" w:eastAsia="zh-CN"/>
                    </w:rPr>
                    <w:t>略带胺味。熔点(℃)：-15，相对密度(水=1)：1.05(25℃)，闪点(℃)：＞100℃，引燃温度(℃)：280℃，溶于水，易溶于醇、醚、芳烃。遇明火、高热可燃，低毒，具刺激性。按照建议处置和储存，密闭于容器中</w:t>
                  </w:r>
                  <w:r>
                    <w:rPr>
                      <w:rFonts w:hint="eastAsia" w:ascii="Times New Roman" w:hAnsi="Times New Roman" w:cs="Times New Roman"/>
                      <w:color w:val="auto"/>
                      <w:w w:val="100"/>
                      <w:sz w:val="21"/>
                      <w:szCs w:val="21"/>
                      <w:u w:val="none"/>
                      <w:lang w:val="en-US" w:eastAsia="zh-CN"/>
                    </w:rPr>
                    <w:t>，</w:t>
                  </w:r>
                  <w:r>
                    <w:rPr>
                      <w:rFonts w:hint="default" w:ascii="Times New Roman" w:hAnsi="Times New Roman" w:eastAsia="宋体" w:cs="Times New Roman"/>
                      <w:color w:val="auto"/>
                      <w:w w:val="100"/>
                      <w:sz w:val="21"/>
                      <w:szCs w:val="21"/>
                      <w:u w:val="none"/>
                      <w:lang w:val="en-US" w:eastAsia="zh-CN"/>
                    </w:rPr>
                    <w:t>常温下稳定。</w:t>
                  </w:r>
                </w:p>
              </w:tc>
            </w:tr>
            <w:tr w14:paraId="76C2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05" w:type="dxa"/>
                  <w:vAlign w:val="center"/>
                </w:tcPr>
                <w:p w14:paraId="7387CBA9">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w w:val="100"/>
                      <w:sz w:val="21"/>
                      <w:szCs w:val="21"/>
                      <w:u w:val="none"/>
                    </w:rPr>
                  </w:pPr>
                  <w:r>
                    <w:rPr>
                      <w:rFonts w:hint="default" w:ascii="Times New Roman" w:hAnsi="Times New Roman" w:eastAsia="宋体" w:cs="Times New Roman"/>
                      <w:b w:val="0"/>
                      <w:bCs w:val="0"/>
                      <w:color w:val="auto"/>
                      <w:w w:val="100"/>
                      <w:sz w:val="21"/>
                      <w:szCs w:val="21"/>
                      <w:u w:val="none"/>
                    </w:rPr>
                    <w:t>3</w:t>
                  </w:r>
                </w:p>
              </w:tc>
              <w:tc>
                <w:tcPr>
                  <w:tcW w:w="1017" w:type="dxa"/>
                  <w:vAlign w:val="center"/>
                </w:tcPr>
                <w:p w14:paraId="233084F8">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w w:val="100"/>
                      <w:sz w:val="21"/>
                      <w:szCs w:val="21"/>
                      <w:u w:val="none"/>
                    </w:rPr>
                  </w:pPr>
                  <w:r>
                    <w:rPr>
                      <w:rFonts w:hint="default" w:ascii="Times New Roman" w:hAnsi="Times New Roman" w:eastAsia="宋体" w:cs="Times New Roman"/>
                      <w:b w:val="0"/>
                      <w:bCs w:val="0"/>
                      <w:color w:val="auto"/>
                      <w:w w:val="100"/>
                      <w:sz w:val="21"/>
                      <w:szCs w:val="21"/>
                      <w:u w:val="none"/>
                    </w:rPr>
                    <w:t>二氧化硅</w:t>
                  </w:r>
                </w:p>
              </w:tc>
              <w:tc>
                <w:tcPr>
                  <w:tcW w:w="6900" w:type="dxa"/>
                  <w:vAlign w:val="center"/>
                </w:tcPr>
                <w:p w14:paraId="6231D8B2">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sz w:val="21"/>
                      <w:szCs w:val="21"/>
                      <w:u w:val="none"/>
                    </w:rPr>
                  </w:pPr>
                  <w:r>
                    <w:rPr>
                      <w:rFonts w:hint="eastAsia" w:ascii="Times New Roman" w:hAnsi="Times New Roman" w:cs="Times New Roman"/>
                      <w:color w:val="auto"/>
                      <w:w w:val="100"/>
                      <w:sz w:val="21"/>
                      <w:szCs w:val="21"/>
                      <w:u w:val="none"/>
                      <w:lang w:val="en-US" w:eastAsia="zh-CN"/>
                    </w:rPr>
                    <w:t>由</w:t>
                  </w:r>
                  <w:r>
                    <w:rPr>
                      <w:rFonts w:hint="default" w:ascii="Times New Roman" w:hAnsi="Times New Roman" w:eastAsia="宋体" w:cs="Times New Roman"/>
                      <w:color w:val="auto"/>
                      <w:w w:val="100"/>
                      <w:sz w:val="21"/>
                      <w:szCs w:val="21"/>
                      <w:u w:val="none"/>
                      <w:lang w:val="en-US" w:eastAsia="zh-CN"/>
                    </w:rPr>
                    <w:t>卤硅烷在氢氧火焰中高温水解得到的一种无定形粉末，是一种高纯、无色、无味的无机粉体材料。气相二氧化硅具有原生粒径小、纯度高（大于99.8%）、比表面积高（通常介于 100～400m</w:t>
                  </w:r>
                  <w:r>
                    <w:rPr>
                      <w:rFonts w:hint="default" w:ascii="Times New Roman" w:hAnsi="Times New Roman" w:eastAsia="宋体" w:cs="Times New Roman"/>
                      <w:color w:val="auto"/>
                      <w:w w:val="100"/>
                      <w:sz w:val="21"/>
                      <w:szCs w:val="21"/>
                      <w:u w:val="none"/>
                      <w:vertAlign w:val="superscript"/>
                      <w:lang w:val="en-US" w:eastAsia="zh-CN"/>
                    </w:rPr>
                    <w:t>2</w:t>
                  </w:r>
                  <w:r>
                    <w:rPr>
                      <w:rFonts w:hint="default" w:ascii="Times New Roman" w:hAnsi="Times New Roman" w:eastAsia="宋体" w:cs="Times New Roman"/>
                      <w:color w:val="auto"/>
                      <w:w w:val="100"/>
                      <w:sz w:val="21"/>
                      <w:szCs w:val="21"/>
                      <w:u w:val="none"/>
                      <w:lang w:val="en-US" w:eastAsia="zh-CN"/>
                    </w:rPr>
                    <w:t xml:space="preserve"> /g）、绝缘系数和绝热系数低，以及表面具有高活性羟基等特点，被广泛应用到硅橡胶、涂料油墨、不饱和聚酯、环氧树脂、阻燃塑料、隔热板、机械抛光等领域，起到补强、增稠、触变、阻燃、隔热等作用。</w:t>
                  </w:r>
                </w:p>
              </w:tc>
            </w:tr>
            <w:tr w14:paraId="3AEC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05" w:type="dxa"/>
                  <w:vAlign w:val="center"/>
                </w:tcPr>
                <w:p w14:paraId="339F93AB">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w w:val="100"/>
                      <w:sz w:val="21"/>
                      <w:szCs w:val="21"/>
                      <w:u w:val="none"/>
                    </w:rPr>
                  </w:pPr>
                  <w:r>
                    <w:rPr>
                      <w:rFonts w:hint="default" w:ascii="Times New Roman" w:hAnsi="Times New Roman" w:eastAsia="宋体" w:cs="Times New Roman"/>
                      <w:b w:val="0"/>
                      <w:bCs w:val="0"/>
                      <w:color w:val="auto"/>
                      <w:w w:val="100"/>
                      <w:sz w:val="21"/>
                      <w:szCs w:val="21"/>
                      <w:u w:val="none"/>
                    </w:rPr>
                    <w:t>4</w:t>
                  </w:r>
                </w:p>
              </w:tc>
              <w:tc>
                <w:tcPr>
                  <w:tcW w:w="1017" w:type="dxa"/>
                  <w:vAlign w:val="center"/>
                </w:tcPr>
                <w:p w14:paraId="6750CAD5">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w w:val="100"/>
                      <w:sz w:val="21"/>
                      <w:szCs w:val="21"/>
                      <w:u w:val="none"/>
                    </w:rPr>
                  </w:pPr>
                  <w:r>
                    <w:rPr>
                      <w:rFonts w:hint="eastAsia" w:ascii="Times New Roman" w:hAnsi="Times New Roman" w:cs="Times New Roman"/>
                      <w:b w:val="0"/>
                      <w:bCs w:val="0"/>
                      <w:color w:val="auto"/>
                      <w:w w:val="100"/>
                      <w:sz w:val="21"/>
                      <w:szCs w:val="21"/>
                      <w:u w:val="none"/>
                      <w:lang w:val="en-US" w:eastAsia="zh-CN"/>
                    </w:rPr>
                    <w:t>填充粉</w:t>
                  </w:r>
                </w:p>
              </w:tc>
              <w:tc>
                <w:tcPr>
                  <w:tcW w:w="6900" w:type="dxa"/>
                  <w:vAlign w:val="center"/>
                </w:tcPr>
                <w:p w14:paraId="17500725">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sz w:val="21"/>
                      <w:szCs w:val="21"/>
                      <w:u w:val="none"/>
                    </w:rPr>
                  </w:pPr>
                  <w:r>
                    <w:rPr>
                      <w:rFonts w:hint="eastAsia" w:ascii="Times New Roman" w:hAnsi="Times New Roman" w:cs="Times New Roman"/>
                      <w:color w:val="auto"/>
                      <w:w w:val="100"/>
                      <w:sz w:val="21"/>
                      <w:szCs w:val="21"/>
                      <w:u w:val="none"/>
                      <w:lang w:val="en-US" w:eastAsia="zh-CN"/>
                    </w:rPr>
                    <w:t>填充粉为硅微粉、玻璃粉。通常是无色或白色的粉末，具有较高的透明度和硬度。它的粒径分布均匀，这有助于在各种材料中实现均匀的分散。具有耐酸碱性、化学惰性和低膨胀系数等特点。这些性质使得填充粉能够在多种化学环境下保持稳定，不易与其他物质发生反应。填充粉具有良好的分散性和相容性，可以轻易地与其他树脂、油漆、PVC等体系混合。这种特性使得填充粉成为提高材料硬度、强度和抗刮伤性能的理想添加剂。</w:t>
                  </w:r>
                </w:p>
              </w:tc>
            </w:tr>
            <w:tr w14:paraId="6930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05" w:type="dxa"/>
                  <w:vAlign w:val="center"/>
                </w:tcPr>
                <w:p w14:paraId="663B8780">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w w:val="100"/>
                      <w:sz w:val="21"/>
                      <w:szCs w:val="21"/>
                      <w:u w:val="none"/>
                    </w:rPr>
                  </w:pPr>
                  <w:r>
                    <w:rPr>
                      <w:rFonts w:hint="default" w:ascii="Times New Roman" w:hAnsi="Times New Roman" w:eastAsia="宋体" w:cs="Times New Roman"/>
                      <w:b w:val="0"/>
                      <w:bCs w:val="0"/>
                      <w:color w:val="auto"/>
                      <w:w w:val="100"/>
                      <w:sz w:val="21"/>
                      <w:szCs w:val="21"/>
                      <w:u w:val="none"/>
                    </w:rPr>
                    <w:t>5</w:t>
                  </w:r>
                </w:p>
              </w:tc>
              <w:tc>
                <w:tcPr>
                  <w:tcW w:w="1017" w:type="dxa"/>
                  <w:vAlign w:val="center"/>
                </w:tcPr>
                <w:p w14:paraId="60E703E9">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w w:val="100"/>
                      <w:sz w:val="21"/>
                      <w:szCs w:val="21"/>
                      <w:u w:val="none"/>
                    </w:rPr>
                  </w:pPr>
                  <w:r>
                    <w:rPr>
                      <w:rFonts w:hint="eastAsia" w:ascii="Times New Roman" w:hAnsi="Times New Roman" w:cs="Times New Roman"/>
                      <w:b w:val="0"/>
                      <w:bCs w:val="0"/>
                      <w:color w:val="auto"/>
                      <w:w w:val="100"/>
                      <w:sz w:val="21"/>
                      <w:szCs w:val="21"/>
                      <w:u w:val="none"/>
                      <w:lang w:val="en-US" w:eastAsia="zh-CN"/>
                    </w:rPr>
                    <w:t>色</w:t>
                  </w:r>
                  <w:r>
                    <w:rPr>
                      <w:rFonts w:hint="default" w:ascii="Times New Roman" w:hAnsi="Times New Roman" w:eastAsia="宋体" w:cs="Times New Roman"/>
                      <w:b w:val="0"/>
                      <w:bCs w:val="0"/>
                      <w:color w:val="auto"/>
                      <w:w w:val="100"/>
                      <w:sz w:val="21"/>
                      <w:szCs w:val="21"/>
                      <w:u w:val="none"/>
                    </w:rPr>
                    <w:t>粉</w:t>
                  </w:r>
                </w:p>
              </w:tc>
              <w:tc>
                <w:tcPr>
                  <w:tcW w:w="6900" w:type="dxa"/>
                  <w:vAlign w:val="center"/>
                </w:tcPr>
                <w:p w14:paraId="31D3087A">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Times New Roman" w:hAnsi="Times New Roman" w:eastAsia="宋体" w:cs="Times New Roman"/>
                      <w:color w:val="auto"/>
                      <w:w w:val="100"/>
                      <w:sz w:val="21"/>
                      <w:szCs w:val="21"/>
                      <w:u w:val="none"/>
                      <w:lang w:eastAsia="zh-CN"/>
                    </w:rPr>
                  </w:pPr>
                  <w:r>
                    <w:rPr>
                      <w:rFonts w:hint="default" w:ascii="Times New Roman" w:hAnsi="Times New Roman" w:eastAsia="宋体" w:cs="Times New Roman"/>
                      <w:b w:val="0"/>
                      <w:bCs w:val="0"/>
                      <w:color w:val="auto"/>
                      <w:w w:val="100"/>
                      <w:sz w:val="21"/>
                      <w:szCs w:val="21"/>
                      <w:u w:val="none"/>
                    </w:rPr>
                    <w:t>用于制作美缝剂的色粉，包括</w:t>
                  </w:r>
                  <w:r>
                    <w:rPr>
                      <w:rFonts w:hint="eastAsia" w:ascii="Times New Roman" w:hAnsi="Times New Roman" w:cs="Times New Roman"/>
                      <w:color w:val="auto"/>
                      <w:w w:val="100"/>
                      <w:sz w:val="21"/>
                      <w:szCs w:val="21"/>
                      <w:u w:val="none"/>
                      <w:lang w:val="en-US" w:eastAsia="zh-CN"/>
                    </w:rPr>
                    <w:t>云母粉、珠光粉、钛白粉、金葱粉</w:t>
                  </w:r>
                  <w:r>
                    <w:rPr>
                      <w:rFonts w:hint="default" w:ascii="Times New Roman" w:hAnsi="Times New Roman" w:eastAsia="宋体" w:cs="Times New Roman"/>
                      <w:b w:val="0"/>
                      <w:bCs w:val="0"/>
                      <w:color w:val="auto"/>
                      <w:w w:val="100"/>
                      <w:sz w:val="21"/>
                      <w:szCs w:val="21"/>
                      <w:u w:val="none"/>
                    </w:rPr>
                    <w:t>，不涉及重金属。珠光粉是天然云母薄皮外覆盖金属氧化物而产生的珍珠光泽的新型颜料，它能再现自然界珍珠，贝壳，珊瑚及金属所具有的绚丽和色彩。微观为透明，扁平状分无，依靠光线折射，反射，透射来表现色彩与光亮</w:t>
                  </w:r>
                  <w:r>
                    <w:rPr>
                      <w:rFonts w:hint="eastAsia" w:ascii="Times New Roman" w:hAnsi="Times New Roman" w:cs="Times New Roman"/>
                      <w:b w:val="0"/>
                      <w:bCs w:val="0"/>
                      <w:color w:val="auto"/>
                      <w:w w:val="100"/>
                      <w:sz w:val="21"/>
                      <w:szCs w:val="21"/>
                      <w:u w:val="none"/>
                      <w:lang w:eastAsia="zh-CN"/>
                    </w:rPr>
                    <w:t>；</w:t>
                  </w:r>
                  <w:r>
                    <w:rPr>
                      <w:rFonts w:hint="default" w:ascii="Times New Roman" w:hAnsi="Times New Roman" w:eastAsia="宋体" w:cs="Times New Roman"/>
                      <w:b w:val="0"/>
                      <w:bCs w:val="0"/>
                      <w:color w:val="auto"/>
                      <w:w w:val="100"/>
                      <w:sz w:val="21"/>
                      <w:szCs w:val="21"/>
                      <w:u w:val="none"/>
                    </w:rPr>
                    <w:t>金葱粉也叫闪光片，闪光粉，其形状有四角形、六角形、长方形等、棱形等。金葱粉色系分为锦射银、铀射金、锦射彩(包括红蓝绿紫桃红黑)银色、金色、彩色(红蓝绿紫桃红黑)幻彩系列。云母粉是一种层状结构的硅酸盐，为浅灰色粉末，无味、无毒、不燃、无放射性，600℃以下稳定。云母粉具有良好的弹性、韧性。绝缘性、耐高温、耐酸碱、耐腐蚀、附着力强等特性，是一种</w:t>
                  </w:r>
                  <w:r>
                    <w:rPr>
                      <w:rFonts w:hint="eastAsia" w:ascii="Times New Roman" w:hAnsi="Times New Roman" w:cs="Times New Roman"/>
                      <w:b w:val="0"/>
                      <w:bCs w:val="0"/>
                      <w:color w:val="auto"/>
                      <w:w w:val="100"/>
                      <w:sz w:val="21"/>
                      <w:szCs w:val="21"/>
                      <w:u w:val="none"/>
                      <w:lang w:val="en-US" w:eastAsia="zh-CN"/>
                    </w:rPr>
                    <w:t>优良的添加剂。</w:t>
                  </w:r>
                  <w:r>
                    <w:rPr>
                      <w:rFonts w:hint="default" w:ascii="Times New Roman" w:hAnsi="Times New Roman" w:eastAsia="宋体" w:cs="Times New Roman"/>
                      <w:b w:val="0"/>
                      <w:bCs w:val="0"/>
                      <w:color w:val="auto"/>
                      <w:w w:val="100"/>
                      <w:sz w:val="21"/>
                      <w:szCs w:val="21"/>
                      <w:u w:val="none"/>
                    </w:rPr>
                    <w:t>钛白粉是氧化钛的俗称，化学性质极为稳定，是一种偏酸性的两性氧化物。常温下几乎不与其他元素和化合物反应</w:t>
                  </w:r>
                  <w:r>
                    <w:rPr>
                      <w:rFonts w:hint="eastAsia" w:ascii="Times New Roman" w:hAnsi="Times New Roman" w:cs="Times New Roman"/>
                      <w:b w:val="0"/>
                      <w:bCs w:val="0"/>
                      <w:color w:val="auto"/>
                      <w:w w:val="100"/>
                      <w:sz w:val="21"/>
                      <w:szCs w:val="21"/>
                      <w:u w:val="none"/>
                      <w:lang w:eastAsia="zh-CN"/>
                    </w:rPr>
                    <w:t>。</w:t>
                  </w:r>
                </w:p>
              </w:tc>
            </w:tr>
            <w:tr w14:paraId="54F4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705" w:type="dxa"/>
                  <w:vAlign w:val="center"/>
                </w:tcPr>
                <w:p w14:paraId="517124AA">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cs="Times New Roman"/>
                      <w:b w:val="0"/>
                      <w:bCs w:val="0"/>
                      <w:color w:val="auto"/>
                      <w:w w:val="100"/>
                      <w:sz w:val="21"/>
                      <w:szCs w:val="21"/>
                      <w:u w:val="none"/>
                      <w:lang w:val="en-US" w:eastAsia="zh-CN"/>
                    </w:rPr>
                  </w:pPr>
                  <w:r>
                    <w:rPr>
                      <w:rFonts w:hint="eastAsia" w:ascii="Times New Roman" w:hAnsi="Times New Roman" w:cs="Times New Roman"/>
                      <w:b w:val="0"/>
                      <w:bCs w:val="0"/>
                      <w:color w:val="auto"/>
                      <w:w w:val="100"/>
                      <w:sz w:val="21"/>
                      <w:szCs w:val="21"/>
                      <w:u w:val="none"/>
                      <w:lang w:val="en-US" w:eastAsia="zh-CN"/>
                    </w:rPr>
                    <w:t>6</w:t>
                  </w:r>
                </w:p>
              </w:tc>
              <w:tc>
                <w:tcPr>
                  <w:tcW w:w="1017" w:type="dxa"/>
                  <w:vAlign w:val="center"/>
                </w:tcPr>
                <w:p w14:paraId="16164AAC">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Times New Roman" w:hAnsi="Times New Roman" w:eastAsia="宋体" w:cs="Times New Roman"/>
                      <w:b w:val="0"/>
                      <w:bCs w:val="0"/>
                      <w:color w:val="auto"/>
                      <w:w w:val="100"/>
                      <w:sz w:val="21"/>
                      <w:szCs w:val="21"/>
                      <w:u w:val="none"/>
                      <w:lang w:val="en-US" w:eastAsia="zh-CN"/>
                    </w:rPr>
                  </w:pPr>
                  <w:r>
                    <w:rPr>
                      <w:rFonts w:hint="eastAsia" w:ascii="Times New Roman" w:hAnsi="Times New Roman" w:cs="Times New Roman"/>
                      <w:b w:val="0"/>
                      <w:bCs w:val="0"/>
                      <w:color w:val="auto"/>
                      <w:w w:val="100"/>
                      <w:sz w:val="21"/>
                      <w:szCs w:val="21"/>
                      <w:u w:val="none"/>
                      <w:lang w:val="en-US" w:eastAsia="zh-CN"/>
                    </w:rPr>
                    <w:t>油墨</w:t>
                  </w:r>
                </w:p>
              </w:tc>
              <w:tc>
                <w:tcPr>
                  <w:tcW w:w="6900" w:type="dxa"/>
                  <w:vAlign w:val="center"/>
                </w:tcPr>
                <w:p w14:paraId="6DE4D451">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w w:val="100"/>
                      <w:sz w:val="21"/>
                      <w:szCs w:val="21"/>
                      <w:u w:val="none"/>
                    </w:rPr>
                  </w:pPr>
                  <w:r>
                    <w:rPr>
                      <w:rFonts w:hint="default" w:ascii="Times New Roman" w:hAnsi="Times New Roman" w:cs="Times New Roman"/>
                      <w:b w:val="0"/>
                      <w:bCs w:val="0"/>
                      <w:color w:val="auto"/>
                      <w:sz w:val="21"/>
                      <w:szCs w:val="21"/>
                      <w:lang w:val="en-US" w:eastAsia="zh-CN"/>
                    </w:rPr>
                    <w:t>主要成分为 2-丁酮 75%、染料 11%、乙醇 10%、保护剂 2.5%、导电剂 1.5%</w:t>
                  </w:r>
                </w:p>
              </w:tc>
            </w:tr>
          </w:tbl>
          <w:p w14:paraId="3C8414AB">
            <w:pPr>
              <w:pStyle w:val="55"/>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left="110" w:leftChars="50" w:right="0" w:rightChars="0" w:firstLine="422" w:firstLineChars="200"/>
              <w:jc w:val="both"/>
              <w:textAlignment w:val="auto"/>
              <w:rPr>
                <w:rFonts w:hint="default" w:ascii="Times New Roman" w:hAnsi="Times New Roman" w:cs="Times New Roman"/>
                <w:b/>
                <w:bCs w:val="0"/>
                <w:snapToGrid w:val="0"/>
                <w:color w:val="auto"/>
                <w:kern w:val="0"/>
                <w:sz w:val="21"/>
                <w:szCs w:val="21"/>
                <w:lang w:val="en-US" w:eastAsia="zh-CN"/>
              </w:rPr>
            </w:pPr>
            <w:r>
              <w:rPr>
                <w:rFonts w:hint="eastAsia" w:ascii="Times New Roman" w:hAnsi="Times New Roman" w:cs="Times New Roman"/>
                <w:b/>
                <w:bCs w:val="0"/>
                <w:snapToGrid w:val="0"/>
                <w:color w:val="auto"/>
                <w:kern w:val="0"/>
                <w:sz w:val="21"/>
                <w:szCs w:val="21"/>
                <w:lang w:val="en-US" w:eastAsia="zh-CN"/>
              </w:rPr>
              <w:t>五</w:t>
            </w:r>
            <w:r>
              <w:rPr>
                <w:rFonts w:hint="default" w:ascii="Times New Roman" w:hAnsi="Times New Roman" w:cs="Times New Roman"/>
                <w:b/>
                <w:bCs w:val="0"/>
                <w:snapToGrid w:val="0"/>
                <w:color w:val="auto"/>
                <w:kern w:val="0"/>
                <w:sz w:val="21"/>
                <w:szCs w:val="21"/>
                <w:lang w:val="en-US" w:eastAsia="zh-CN"/>
              </w:rPr>
              <w:t>、公用工程</w:t>
            </w:r>
          </w:p>
          <w:p w14:paraId="2B7AC4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textAlignment w:val="auto"/>
              <w:outlineLvl w:val="9"/>
              <w:rPr>
                <w:rFonts w:hint="default"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lang w:val="en-US" w:eastAsia="zh-CN"/>
              </w:rPr>
              <w:t>1、</w:t>
            </w:r>
            <w:r>
              <w:rPr>
                <w:rFonts w:hint="default" w:ascii="Times New Roman" w:hAnsi="Times New Roman" w:cs="Times New Roman"/>
                <w:b/>
                <w:bCs/>
                <w:color w:val="auto"/>
                <w:sz w:val="21"/>
                <w:szCs w:val="21"/>
                <w:highlight w:val="none"/>
              </w:rPr>
              <w:t>给排水</w:t>
            </w:r>
          </w:p>
          <w:p w14:paraId="2F025D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outlineLvl w:val="9"/>
              <w:rPr>
                <w:rFonts w:hint="default"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lang w:eastAsia="zh-CN"/>
              </w:rPr>
              <w:t>（</w:t>
            </w:r>
            <w:r>
              <w:rPr>
                <w:rFonts w:hint="eastAsia"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eastAsia="zh-CN"/>
              </w:rPr>
              <w:t>）</w:t>
            </w:r>
            <w:r>
              <w:rPr>
                <w:rFonts w:hint="default" w:ascii="Times New Roman" w:hAnsi="Times New Roman" w:cs="Times New Roman"/>
                <w:b/>
                <w:bCs/>
                <w:color w:val="auto"/>
                <w:sz w:val="21"/>
                <w:szCs w:val="21"/>
                <w:highlight w:val="none"/>
              </w:rPr>
              <w:t>给水</w:t>
            </w:r>
          </w:p>
          <w:p w14:paraId="7EDFB0E0">
            <w:pPr>
              <w:keepNext w:val="0"/>
              <w:keepLines w:val="0"/>
              <w:pageBreakBefore w:val="0"/>
              <w:widowControl w:val="0"/>
              <w:suppressLineNumbers w:val="0"/>
              <w:kinsoku/>
              <w:wordWrap/>
              <w:overflowPunct/>
              <w:topLinePunct w:val="0"/>
              <w:bidi w:val="0"/>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spacing w:val="1"/>
                <w:sz w:val="21"/>
                <w:szCs w:val="21"/>
                <w:highlight w:val="none"/>
                <w:lang w:val="en-US" w:eastAsia="zh-CN"/>
              </w:rPr>
            </w:pPr>
            <w:r>
              <w:rPr>
                <w:rFonts w:ascii="Times New Roman" w:hAnsi="Times New Roman" w:cs="Times New Roman"/>
                <w:color w:val="auto"/>
                <w:sz w:val="21"/>
                <w:szCs w:val="21"/>
              </w:rPr>
              <w:t>本项目用水由</w:t>
            </w:r>
            <w:r>
              <w:rPr>
                <w:rFonts w:hint="eastAsia" w:ascii="Times New Roman" w:hAnsi="Times New Roman" w:cs="Times New Roman"/>
                <w:color w:val="auto"/>
                <w:sz w:val="21"/>
                <w:szCs w:val="21"/>
                <w:lang w:val="en-US" w:eastAsia="zh-CN"/>
              </w:rPr>
              <w:t>南街西村</w:t>
            </w:r>
            <w:r>
              <w:rPr>
                <w:rFonts w:ascii="Times New Roman" w:hAnsi="Times New Roman" w:cs="Times New Roman"/>
                <w:color w:val="auto"/>
                <w:sz w:val="21"/>
                <w:szCs w:val="21"/>
              </w:rPr>
              <w:t>供水管网提供，</w:t>
            </w:r>
            <w:r>
              <w:rPr>
                <w:rFonts w:hint="default" w:ascii="Times New Roman" w:hAnsi="Times New Roman" w:eastAsia="宋体" w:cs="Times New Roman"/>
                <w:color w:val="auto"/>
                <w:spacing w:val="1"/>
                <w:sz w:val="21"/>
                <w:szCs w:val="21"/>
                <w:highlight w:val="none"/>
                <w:lang w:eastAsia="zh-CN"/>
              </w:rPr>
              <w:t>本项目劳动定员</w:t>
            </w:r>
            <w:r>
              <w:rPr>
                <w:rFonts w:hint="eastAsia" w:ascii="Times New Roman" w:hAnsi="Times New Roman" w:cs="Times New Roman"/>
                <w:color w:val="auto"/>
                <w:spacing w:val="1"/>
                <w:sz w:val="21"/>
                <w:szCs w:val="21"/>
                <w:highlight w:val="none"/>
                <w:lang w:val="en-US" w:eastAsia="zh-CN"/>
              </w:rPr>
              <w:t>10</w:t>
            </w:r>
            <w:r>
              <w:rPr>
                <w:rFonts w:hint="default" w:ascii="Times New Roman" w:hAnsi="Times New Roman" w:eastAsia="宋体" w:cs="Times New Roman"/>
                <w:color w:val="auto"/>
                <w:spacing w:val="1"/>
                <w:sz w:val="21"/>
                <w:szCs w:val="21"/>
                <w:highlight w:val="none"/>
                <w:lang w:eastAsia="zh-CN"/>
              </w:rPr>
              <w:t>人，</w:t>
            </w:r>
            <w:r>
              <w:rPr>
                <w:rFonts w:hint="eastAsia" w:ascii="Times New Roman" w:hAnsi="Times New Roman" w:eastAsia="宋体" w:cs="Times New Roman"/>
                <w:color w:val="auto"/>
                <w:spacing w:val="1"/>
                <w:sz w:val="21"/>
                <w:szCs w:val="21"/>
                <w:highlight w:val="none"/>
                <w:lang w:eastAsia="zh-CN"/>
              </w:rPr>
              <w:t>厂区不设食堂、宿舍</w:t>
            </w:r>
            <w:r>
              <w:rPr>
                <w:rFonts w:hint="default" w:ascii="Times New Roman" w:hAnsi="Times New Roman" w:eastAsia="宋体" w:cs="Times New Roman"/>
                <w:color w:val="auto"/>
                <w:spacing w:val="1"/>
                <w:sz w:val="21"/>
                <w:szCs w:val="21"/>
                <w:highlight w:val="none"/>
                <w:lang w:val="en-US" w:eastAsia="zh-CN"/>
              </w:rPr>
              <w:t>，主要用水为职工生活用水</w:t>
            </w:r>
            <w:r>
              <w:rPr>
                <w:rFonts w:hint="eastAsia" w:ascii="Times New Roman" w:hAnsi="Times New Roman" w:cs="Times New Roman"/>
                <w:color w:val="auto"/>
                <w:spacing w:val="1"/>
                <w:sz w:val="21"/>
                <w:szCs w:val="21"/>
                <w:highlight w:val="none"/>
                <w:lang w:val="en-US" w:eastAsia="zh-CN"/>
              </w:rPr>
              <w:t>和循环冷却用水</w:t>
            </w:r>
            <w:r>
              <w:rPr>
                <w:rFonts w:hint="default" w:ascii="Times New Roman" w:hAnsi="Times New Roman" w:eastAsia="宋体" w:cs="Times New Roman"/>
                <w:color w:val="auto"/>
                <w:spacing w:val="1"/>
                <w:sz w:val="21"/>
                <w:szCs w:val="21"/>
                <w:highlight w:val="none"/>
                <w:lang w:val="en-US" w:eastAsia="zh-CN"/>
              </w:rPr>
              <w:t>。</w:t>
            </w:r>
            <w:r>
              <w:rPr>
                <w:rFonts w:hint="eastAsia" w:ascii="Times New Roman" w:hAnsi="Times New Roman" w:cs="Times New Roman"/>
                <w:color w:val="auto"/>
                <w:kern w:val="2"/>
                <w:sz w:val="21"/>
                <w:szCs w:val="24"/>
                <w:highlight w:val="none"/>
                <w:lang w:val="en-US" w:eastAsia="zh-CN" w:bidi="ar-SA"/>
              </w:rPr>
              <w:t>本项目无设备清洗废水，不同种类颜色的美缝剂采用不同的罐生产，设备无需清洗，罐内剩余材料由人工通过刮板收集，回收至搅拌罐中利用，无需清洗设备。</w:t>
            </w:r>
          </w:p>
          <w:p w14:paraId="3A8AC5D8">
            <w:pPr>
              <w:keepNext w:val="0"/>
              <w:keepLines w:val="0"/>
              <w:pageBreakBefore w:val="0"/>
              <w:widowControl w:val="0"/>
              <w:suppressLineNumbers w:val="0"/>
              <w:kinsoku/>
              <w:wordWrap/>
              <w:overflowPunct/>
              <w:topLinePunct w:val="0"/>
              <w:bidi w:val="0"/>
              <w:snapToGrid/>
              <w:spacing w:beforeAutospacing="0" w:afterAutospacing="0" w:line="400" w:lineRule="exact"/>
              <w:ind w:left="110" w:leftChars="50" w:firstLine="422" w:firstLineChars="200"/>
              <w:textAlignment w:val="auto"/>
              <w:rPr>
                <w:rFonts w:hint="eastAsia" w:ascii="Times New Roman" w:hAnsi="Times New Roman" w:cs="Times New Roman"/>
                <w:bCs/>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①</w:t>
            </w:r>
            <w:r>
              <w:rPr>
                <w:rFonts w:hint="default" w:ascii="Times New Roman" w:hAnsi="Times New Roman" w:cs="Times New Roman"/>
                <w:b/>
                <w:bCs w:val="0"/>
                <w:color w:val="auto"/>
                <w:sz w:val="21"/>
                <w:szCs w:val="21"/>
                <w:highlight w:val="none"/>
                <w:lang w:val="en-US" w:eastAsia="zh-CN"/>
              </w:rPr>
              <w:t>职工生活用水</w:t>
            </w:r>
            <w:r>
              <w:rPr>
                <w:rFonts w:hint="eastAsia" w:ascii="Times New Roman" w:hAnsi="Times New Roman" w:cs="Times New Roman"/>
                <w:b/>
                <w:bCs w:val="0"/>
                <w:color w:val="auto"/>
                <w:sz w:val="21"/>
                <w:szCs w:val="21"/>
                <w:highlight w:val="none"/>
                <w:lang w:val="en-US" w:eastAsia="zh-CN"/>
              </w:rPr>
              <w:t>：</w:t>
            </w:r>
            <w:r>
              <w:rPr>
                <w:rFonts w:hint="eastAsia" w:ascii="Times New Roman" w:hAnsi="Times New Roman" w:cs="Times New Roman"/>
                <w:bCs/>
                <w:color w:val="auto"/>
                <w:sz w:val="21"/>
                <w:szCs w:val="21"/>
                <w:highlight w:val="none"/>
                <w:lang w:val="en-US" w:eastAsia="zh-CN"/>
              </w:rPr>
              <w:t>厂内不设食堂、宿舍，用水主要为职工盥洗用水。</w:t>
            </w:r>
            <w:r>
              <w:rPr>
                <w:rFonts w:ascii="Times New Roman" w:hAnsi="Times New Roman" w:cs="Times New Roman"/>
                <w:color w:val="auto"/>
                <w:sz w:val="21"/>
                <w:szCs w:val="21"/>
              </w:rPr>
              <w:t>参照《生活与服务业用水定额</w:t>
            </w:r>
            <w:r>
              <w:rPr>
                <w:rFonts w:ascii="Times New Roman" w:hAnsi="Times New Roman" w:cs="Times New Roman"/>
                <w:color w:val="auto"/>
                <w:sz w:val="21"/>
                <w:szCs w:val="21"/>
                <w:lang w:val="en-US"/>
              </w:rPr>
              <w:t xml:space="preserve">  </w:t>
            </w:r>
            <w:r>
              <w:rPr>
                <w:rFonts w:ascii="Times New Roman" w:hAnsi="Times New Roman" w:cs="Times New Roman"/>
                <w:color w:val="auto"/>
                <w:sz w:val="21"/>
                <w:szCs w:val="21"/>
              </w:rPr>
              <w:t>第1部分：居民生活》（DB13</w:t>
            </w:r>
            <w:r>
              <w:rPr>
                <w:rFonts w:ascii="Times New Roman" w:hAnsi="Times New Roman" w:cs="Times New Roman"/>
                <w:color w:val="auto"/>
                <w:sz w:val="21"/>
                <w:szCs w:val="21"/>
                <w:lang w:val="en-US"/>
              </w:rPr>
              <w:t>/</w:t>
            </w:r>
            <w:r>
              <w:rPr>
                <w:rFonts w:ascii="Times New Roman" w:hAnsi="Times New Roman" w:cs="Times New Roman"/>
                <w:color w:val="auto"/>
                <w:sz w:val="21"/>
                <w:szCs w:val="21"/>
              </w:rPr>
              <w:t>T5450</w:t>
            </w:r>
            <w:r>
              <w:rPr>
                <w:rFonts w:ascii="Times New Roman" w:hAnsi="Times New Roman" w:cs="Times New Roman"/>
                <w:color w:val="auto"/>
                <w:sz w:val="21"/>
                <w:szCs w:val="21"/>
                <w:lang w:val="en-US"/>
              </w:rPr>
              <w:t>.</w:t>
            </w:r>
            <w:r>
              <w:rPr>
                <w:rFonts w:ascii="Times New Roman" w:hAnsi="Times New Roman" w:cs="Times New Roman"/>
                <w:color w:val="auto"/>
                <w:sz w:val="21"/>
                <w:szCs w:val="21"/>
              </w:rPr>
              <w:t>1-2021），确定人均</w:t>
            </w:r>
            <w:r>
              <w:rPr>
                <w:rFonts w:ascii="Times New Roman" w:hAnsi="Times New Roman" w:cs="Times New Roman"/>
                <w:color w:val="auto"/>
                <w:sz w:val="21"/>
                <w:szCs w:val="21"/>
                <w:lang w:val="en-US"/>
              </w:rPr>
              <w:t>居民生活用水定额</w:t>
            </w:r>
            <w:r>
              <w:rPr>
                <w:rFonts w:ascii="Times New Roman" w:hAnsi="Times New Roman" w:cs="Times New Roman"/>
                <w:color w:val="auto"/>
                <w:sz w:val="21"/>
                <w:szCs w:val="21"/>
              </w:rPr>
              <w:t>为</w:t>
            </w:r>
            <w:r>
              <w:rPr>
                <w:rFonts w:ascii="Times New Roman" w:hAnsi="Times New Roman" w:cs="Times New Roman"/>
                <w:color w:val="auto"/>
                <w:sz w:val="21"/>
                <w:szCs w:val="21"/>
                <w:lang w:val="en-US"/>
              </w:rPr>
              <w:t>18.5</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w:t>
            </w:r>
            <w:r>
              <w:rPr>
                <w:rFonts w:ascii="Times New Roman" w:hAnsi="Times New Roman" w:cs="Times New Roman"/>
                <w:color w:val="auto"/>
                <w:sz w:val="21"/>
                <w:szCs w:val="21"/>
                <w:lang w:val="en-US"/>
              </w:rPr>
              <w:t>a</w:t>
            </w:r>
            <w:r>
              <w:rPr>
                <w:rFonts w:ascii="Times New Roman" w:hAnsi="Times New Roman" w:cs="Times New Roman"/>
                <w:color w:val="auto"/>
                <w:sz w:val="21"/>
                <w:szCs w:val="21"/>
              </w:rPr>
              <w:t>，则职工生活用水量为</w:t>
            </w: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617</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/d（</w:t>
            </w:r>
            <w:r>
              <w:rPr>
                <w:rFonts w:hint="eastAsia" w:ascii="Times New Roman" w:hAnsi="Times New Roman" w:cs="Times New Roman"/>
                <w:color w:val="auto"/>
                <w:sz w:val="21"/>
                <w:szCs w:val="21"/>
                <w:lang w:val="en-US"/>
              </w:rPr>
              <w:t>185</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/a）</w:t>
            </w:r>
            <w:r>
              <w:rPr>
                <w:rFonts w:hint="eastAsia" w:ascii="Times New Roman" w:hAnsi="Times New Roman" w:cs="Times New Roman"/>
                <w:bCs/>
                <w:color w:val="auto"/>
                <w:sz w:val="21"/>
                <w:szCs w:val="21"/>
                <w:highlight w:val="none"/>
                <w:lang w:val="en-US" w:eastAsia="zh-CN"/>
              </w:rPr>
              <w:t>。</w:t>
            </w:r>
          </w:p>
          <w:p w14:paraId="1289BEA9">
            <w:pPr>
              <w:keepNext w:val="0"/>
              <w:keepLines w:val="0"/>
              <w:pageBreakBefore w:val="0"/>
              <w:widowControl w:val="0"/>
              <w:suppressLineNumbers w:val="0"/>
              <w:kinsoku/>
              <w:wordWrap/>
              <w:overflowPunct/>
              <w:topLinePunct w:val="0"/>
              <w:bidi w:val="0"/>
              <w:snapToGrid/>
              <w:spacing w:beforeAutospacing="0" w:afterAutospacing="0" w:line="400" w:lineRule="exact"/>
              <w:ind w:left="110" w:leftChars="50" w:firstLine="422" w:firstLineChars="200"/>
              <w:textAlignment w:val="auto"/>
              <w:rPr>
                <w:rFonts w:hint="eastAsia" w:ascii="Times New Roman" w:hAnsi="Times New Roman" w:cs="Times New Roman"/>
                <w:bCs/>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②冷却用水：</w:t>
            </w:r>
            <w:r>
              <w:rPr>
                <w:rFonts w:hint="eastAsia" w:ascii="Times New Roman" w:hAnsi="Times New Roman" w:cs="Times New Roman"/>
                <w:bCs/>
                <w:color w:val="auto"/>
                <w:sz w:val="21"/>
                <w:szCs w:val="21"/>
                <w:highlight w:val="none"/>
                <w:lang w:val="en-US" w:eastAsia="zh-CN"/>
              </w:rPr>
              <w:t>项目在厂房内设有 1 座冷水塔循环生产过程冷却水，冷却方式为间接冷却。根据建设单位提供资料，本项目冷却循环水系统循环水量为</w:t>
            </w:r>
            <w:r>
              <w:rPr>
                <w:rFonts w:hint="eastAsia" w:ascii="Times New Roman" w:hAnsi="Times New Roman" w:cs="Times New Roman"/>
                <w:b w:val="0"/>
                <w:bCs w:val="0"/>
                <w:color w:val="auto"/>
                <w:sz w:val="21"/>
                <w:szCs w:val="21"/>
                <w:lang w:val="en-US" w:eastAsia="zh-CN"/>
              </w:rPr>
              <w:t>10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d</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3000</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/a）</w:t>
            </w:r>
            <w:r>
              <w:rPr>
                <w:rFonts w:hint="eastAsia" w:ascii="Times New Roman" w:hAnsi="Times New Roman" w:cs="Times New Roman"/>
                <w:b w:val="0"/>
                <w:bCs w:val="0"/>
                <w:color w:val="auto"/>
                <w:sz w:val="21"/>
                <w:szCs w:val="21"/>
                <w:lang w:val="en-US" w:eastAsia="zh-CN"/>
              </w:rPr>
              <w:t>，其中</w:t>
            </w:r>
            <w:r>
              <w:rPr>
                <w:rFonts w:hint="default" w:ascii="Times New Roman" w:hAnsi="Times New Roman" w:cs="Times New Roman"/>
                <w:b w:val="0"/>
                <w:bCs w:val="0"/>
                <w:color w:val="auto"/>
                <w:sz w:val="21"/>
                <w:szCs w:val="21"/>
                <w:lang w:val="en-US" w:eastAsia="zh-CN"/>
              </w:rPr>
              <w:t>新鲜水量为</w:t>
            </w:r>
            <w:r>
              <w:rPr>
                <w:rFonts w:hint="eastAsia" w:ascii="Times New Roman" w:hAnsi="Times New Roman" w:cs="Times New Roman"/>
                <w:b w:val="0"/>
                <w:bCs w:val="0"/>
                <w:color w:val="auto"/>
                <w:sz w:val="21"/>
                <w:szCs w:val="21"/>
                <w:lang w:val="en-US" w:eastAsia="zh-CN"/>
              </w:rPr>
              <w:t>2</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/d（</w:t>
            </w:r>
            <w:r>
              <w:rPr>
                <w:rFonts w:hint="eastAsia" w:ascii="Times New Roman" w:hAnsi="Times New Roman" w:cs="Times New Roman"/>
                <w:b w:val="0"/>
                <w:bCs w:val="0"/>
                <w:color w:val="auto"/>
                <w:sz w:val="21"/>
                <w:szCs w:val="21"/>
                <w:lang w:val="en-US" w:eastAsia="zh-CN"/>
              </w:rPr>
              <w:t>60</w:t>
            </w:r>
            <w:r>
              <w:rPr>
                <w:rFonts w:hint="default" w:ascii="Times New Roman" w:hAnsi="Times New Roman" w:cs="Times New Roman"/>
                <w:b w:val="0"/>
                <w:bCs w:val="0"/>
                <w:color w:val="auto"/>
                <w:sz w:val="21"/>
                <w:szCs w:val="21"/>
                <w:lang w:val="en-US" w:eastAsia="zh-CN"/>
              </w:rPr>
              <w:t>0m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/a），</w:t>
            </w:r>
            <w:r>
              <w:rPr>
                <w:rFonts w:hint="eastAsia" w:ascii="Times New Roman" w:hAnsi="Times New Roman" w:cs="Times New Roman"/>
                <w:b w:val="0"/>
                <w:bCs w:val="0"/>
                <w:color w:val="auto"/>
                <w:sz w:val="21"/>
                <w:szCs w:val="21"/>
                <w:lang w:val="en-US" w:eastAsia="zh-CN"/>
              </w:rPr>
              <w:t>循环</w:t>
            </w:r>
            <w:r>
              <w:rPr>
                <w:rFonts w:hint="default" w:ascii="Times New Roman" w:hAnsi="Times New Roman" w:cs="Times New Roman"/>
                <w:b w:val="0"/>
                <w:bCs w:val="0"/>
                <w:color w:val="auto"/>
                <w:sz w:val="21"/>
                <w:szCs w:val="21"/>
                <w:lang w:val="en-US" w:eastAsia="zh-CN"/>
              </w:rPr>
              <w:t>水量为</w:t>
            </w:r>
            <w:r>
              <w:rPr>
                <w:rFonts w:hint="eastAsia" w:ascii="Times New Roman" w:hAnsi="Times New Roman" w:cs="Times New Roman"/>
                <w:b w:val="0"/>
                <w:bCs w:val="0"/>
                <w:color w:val="auto"/>
                <w:sz w:val="21"/>
                <w:szCs w:val="21"/>
                <w:lang w:val="en-US" w:eastAsia="zh-CN"/>
              </w:rPr>
              <w:t>8</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d</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2400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w:t>
            </w:r>
            <w:r>
              <w:rPr>
                <w:rFonts w:hint="eastAsia" w:ascii="Times New Roman" w:hAnsi="Times New Roman" w:cs="Times New Roman"/>
                <w:bCs/>
                <w:color w:val="auto"/>
                <w:sz w:val="21"/>
                <w:szCs w:val="21"/>
                <w:highlight w:val="none"/>
                <w:lang w:val="en-US" w:eastAsia="zh-CN"/>
              </w:rPr>
              <w:t>。冷却水循环使用，不对外排放。</w:t>
            </w:r>
          </w:p>
          <w:p w14:paraId="07300898">
            <w:pPr>
              <w:pStyle w:val="4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20" w:firstLineChars="200"/>
              <w:textAlignment w:val="auto"/>
              <w:rPr>
                <w:rFonts w:hint="eastAsia" w:ascii="Times New Roman" w:hAnsi="Times New Roman" w:cs="Times New Roman"/>
                <w:b w:val="0"/>
                <w:bCs w:val="0"/>
                <w:color w:val="auto"/>
                <w:sz w:val="21"/>
                <w:szCs w:val="21"/>
                <w:highlight w:val="none"/>
                <w:lang w:eastAsia="zh-CN"/>
              </w:rPr>
            </w:pPr>
            <w:r>
              <w:rPr>
                <w:rFonts w:hint="eastAsia" w:ascii="Times New Roman" w:hAnsi="Times New Roman" w:cs="Times New Roman"/>
                <w:b w:val="0"/>
                <w:bCs w:val="0"/>
                <w:color w:val="auto"/>
                <w:sz w:val="21"/>
                <w:szCs w:val="21"/>
                <w:highlight w:val="none"/>
                <w:lang w:eastAsia="zh-CN"/>
              </w:rPr>
              <w:t>综上所述，本项目用水量为</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617</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/d（</w:t>
            </w:r>
            <w:r>
              <w:rPr>
                <w:rFonts w:hint="eastAsia"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val="en-US"/>
              </w:rPr>
              <w:t>85</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/a）</w:t>
            </w:r>
            <w:r>
              <w:rPr>
                <w:rFonts w:hint="eastAsia" w:ascii="Times New Roman" w:hAnsi="Times New Roman" w:cs="Times New Roman"/>
                <w:b w:val="0"/>
                <w:bCs w:val="0"/>
                <w:color w:val="auto"/>
                <w:sz w:val="21"/>
                <w:szCs w:val="21"/>
                <w:highlight w:val="none"/>
                <w:lang w:eastAsia="zh-CN"/>
              </w:rPr>
              <w:t>。</w:t>
            </w:r>
          </w:p>
          <w:p w14:paraId="7D490CBE">
            <w:pPr>
              <w:pStyle w:val="4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22" w:firstLineChars="200"/>
              <w:textAlignment w:val="auto"/>
              <w:rPr>
                <w:rFonts w:hint="eastAsia" w:ascii="Times New Roman" w:hAnsi="Times New Roman"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w:t>
            </w:r>
            <w:r>
              <w:rPr>
                <w:rFonts w:hint="eastAsia" w:ascii="Times New Roman" w:hAnsi="Times New Roman"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eastAsia="zh-CN"/>
              </w:rPr>
              <w:t>）排水</w:t>
            </w:r>
          </w:p>
          <w:p w14:paraId="26F70CAA">
            <w:pPr>
              <w:pStyle w:val="4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eastAsia="zh-CN"/>
              </w:rPr>
              <w:t>生活污水：</w:t>
            </w:r>
            <w:r>
              <w:rPr>
                <w:rFonts w:hint="default" w:ascii="Times New Roman" w:hAnsi="Times New Roman" w:cs="Times New Roman"/>
                <w:color w:val="auto"/>
                <w:sz w:val="21"/>
                <w:szCs w:val="21"/>
                <w:highlight w:val="none"/>
                <w:lang w:val="en-US" w:eastAsia="zh-CN"/>
              </w:rPr>
              <w:t>生活污水产生量按用水量的80%计算，则生活污水产生量为</w:t>
            </w:r>
            <w:r>
              <w:rPr>
                <w:rFonts w:hint="eastAsia" w:ascii="Times New Roman" w:hAnsi="Times New Roman" w:cs="Times New Roman"/>
                <w:color w:val="auto"/>
                <w:sz w:val="21"/>
                <w:szCs w:val="21"/>
                <w:lang w:val="en-US"/>
              </w:rPr>
              <w:t>0.</w:t>
            </w:r>
            <w:r>
              <w:rPr>
                <w:rFonts w:hint="eastAsia" w:ascii="Times New Roman" w:hAnsi="Times New Roman" w:cs="Times New Roman"/>
                <w:color w:val="auto"/>
                <w:sz w:val="21"/>
                <w:szCs w:val="21"/>
                <w:lang w:val="en-US" w:eastAsia="zh-CN"/>
              </w:rPr>
              <w:t>493</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/d（</w:t>
            </w:r>
            <w:r>
              <w:rPr>
                <w:rFonts w:hint="eastAsia" w:ascii="Times New Roman" w:hAnsi="Times New Roman" w:cs="Times New Roman"/>
                <w:color w:val="auto"/>
                <w:sz w:val="21"/>
                <w:szCs w:val="21"/>
                <w:lang w:val="en-US"/>
              </w:rPr>
              <w:t>1</w:t>
            </w:r>
            <w:r>
              <w:rPr>
                <w:rFonts w:hint="eastAsia" w:ascii="Times New Roman" w:hAnsi="Times New Roman" w:cs="Times New Roman"/>
                <w:color w:val="auto"/>
                <w:sz w:val="21"/>
                <w:szCs w:val="21"/>
                <w:lang w:val="en-US" w:eastAsia="zh-CN"/>
              </w:rPr>
              <w:t>48</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/a）</w:t>
            </w:r>
            <w:r>
              <w:rPr>
                <w:rFonts w:hint="default" w:ascii="Times New Roman" w:hAnsi="Times New Roman" w:cs="Times New Roman"/>
                <w:color w:val="auto"/>
                <w:sz w:val="21"/>
                <w:szCs w:val="21"/>
                <w:highlight w:val="none"/>
                <w:lang w:val="en-US" w:eastAsia="zh-CN"/>
              </w:rPr>
              <w:t>，</w:t>
            </w:r>
            <w:r>
              <w:rPr>
                <w:rFonts w:hint="eastAsia"/>
                <w:color w:val="auto"/>
                <w:sz w:val="21"/>
                <w:szCs w:val="21"/>
              </w:rPr>
              <w:t>生活污水用于厂区</w:t>
            </w:r>
            <w:r>
              <w:rPr>
                <w:color w:val="auto"/>
                <w:sz w:val="21"/>
                <w:szCs w:val="21"/>
              </w:rPr>
              <w:t>泼洒抑尘</w:t>
            </w:r>
            <w:r>
              <w:rPr>
                <w:rFonts w:hint="eastAsia"/>
                <w:color w:val="auto"/>
                <w:sz w:val="21"/>
                <w:szCs w:val="21"/>
              </w:rPr>
              <w:t>，厂区内设防渗旱厕，定期清掏，不外排</w:t>
            </w:r>
            <w:r>
              <w:rPr>
                <w:rFonts w:hint="default" w:ascii="Times New Roman" w:hAnsi="Times New Roman" w:cs="Times New Roman"/>
                <w:color w:val="auto"/>
                <w:sz w:val="21"/>
                <w:szCs w:val="21"/>
                <w:highlight w:val="none"/>
                <w:lang w:val="en-US" w:eastAsia="zh-CN"/>
              </w:rPr>
              <w:t>。</w:t>
            </w:r>
          </w:p>
          <w:p w14:paraId="2AA103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auto"/>
                <w:w w:val="100"/>
                <w:sz w:val="21"/>
                <w:szCs w:val="21"/>
                <w:highlight w:val="none"/>
                <w:lang w:eastAsia="zh-CN"/>
              </w:rPr>
            </w:pPr>
            <w:r>
              <w:rPr>
                <w:rFonts w:hint="eastAsia" w:ascii="Times New Roman" w:hAnsi="Times New Roman" w:cs="Times New Roman"/>
                <w:color w:val="auto"/>
                <w:w w:val="100"/>
                <w:sz w:val="21"/>
                <w:szCs w:val="21"/>
                <w:highlight w:val="none"/>
                <w:lang w:eastAsia="zh-CN"/>
              </w:rPr>
              <w:t>全厂水平衡见下图。</w:t>
            </w:r>
          </w:p>
          <w:p w14:paraId="34532AA6">
            <w:pPr>
              <w:pStyle w:val="4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110" w:leftChars="50" w:right="110" w:rightChars="50" w:firstLine="422" w:firstLineChars="200"/>
              <w:jc w:val="left"/>
              <w:textAlignment w:val="auto"/>
              <w:rPr>
                <w:rFonts w:hint="default" w:ascii="Times New Roman" w:hAnsi="Times New Roman" w:cs="Times New Roman"/>
                <w:b/>
                <w:bCs/>
                <w:color w:val="auto"/>
                <w:w w:val="100"/>
                <w:sz w:val="21"/>
                <w:szCs w:val="21"/>
                <w:lang w:eastAsia="zh-CN"/>
              </w:rPr>
            </w:pPr>
            <w:r>
              <w:rPr>
                <w:rFonts w:hint="default" w:ascii="Times New Roman" w:hAnsi="Times New Roman" w:eastAsia="宋体" w:cs="Times New Roman"/>
                <w:b/>
                <w:bCs/>
                <w:color w:val="auto"/>
                <w:sz w:val="21"/>
                <w:szCs w:val="21"/>
                <w:highlight w:val="none"/>
                <w:lang w:val="en-US" w:eastAsia="zh-CN"/>
              </w:rPr>
              <mc:AlternateContent>
                <mc:Choice Requires="wpc">
                  <w:drawing>
                    <wp:anchor distT="0" distB="0" distL="114300" distR="114300" simplePos="0" relativeHeight="251666432" behindDoc="0" locked="0" layoutInCell="1" allowOverlap="1">
                      <wp:simplePos x="0" y="0"/>
                      <wp:positionH relativeFrom="column">
                        <wp:posOffset>226060</wp:posOffset>
                      </wp:positionH>
                      <wp:positionV relativeFrom="paragraph">
                        <wp:posOffset>90170</wp:posOffset>
                      </wp:positionV>
                      <wp:extent cx="5261610" cy="1895475"/>
                      <wp:effectExtent l="0" t="0" r="0" b="0"/>
                      <wp:wrapTopAndBottom/>
                      <wp:docPr id="6" name="画布 6"/>
                      <wp:cNvGraphicFramePr/>
                      <a:graphic xmlns:a="http://schemas.openxmlformats.org/drawingml/2006/main">
                        <a:graphicData uri="http://schemas.microsoft.com/office/word/2010/wordprocessingCanvas">
                          <wpc:wpc>
                            <wpc:bg>
                              <a:noFill/>
                            </wpc:bg>
                            <wpc:whole>
                              <a:ln>
                                <a:noFill/>
                              </a:ln>
                            </wpc:whole>
                            <wps:wsp>
                              <wps:cNvPr id="77" name="文本框 11"/>
                              <wps:cNvSpPr txBox="1"/>
                              <wps:spPr>
                                <a:xfrm>
                                  <a:off x="1127760" y="313055"/>
                                  <a:ext cx="1010920" cy="258445"/>
                                </a:xfrm>
                                <a:prstGeom prst="rect">
                                  <a:avLst/>
                                </a:prstGeom>
                                <a:solidFill>
                                  <a:srgbClr val="FFFFFF"/>
                                </a:solidFill>
                                <a:ln w="6350">
                                  <a:solidFill>
                                    <a:prstClr val="black"/>
                                  </a:solidFill>
                                </a:ln>
                                <a:effectLst/>
                              </wps:spPr>
                              <wps:txbx>
                                <w:txbxContent>
                                  <w:p w14:paraId="2C4DD687">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sz w:val="21"/>
                                        <w:szCs w:val="21"/>
                                        <w:lang w:val="en-US" w:eastAsia="zh-CN"/>
                                      </w:rPr>
                                    </w:pPr>
                                    <w:r>
                                      <w:rPr>
                                        <w:rFonts w:hint="eastAsia"/>
                                        <w:sz w:val="21"/>
                                        <w:szCs w:val="21"/>
                                        <w:lang w:val="en-US"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文本框 16"/>
                              <wps:cNvSpPr txBox="1"/>
                              <wps:spPr>
                                <a:xfrm>
                                  <a:off x="694055" y="207645"/>
                                  <a:ext cx="590550" cy="258445"/>
                                </a:xfrm>
                                <a:prstGeom prst="rect">
                                  <a:avLst/>
                                </a:prstGeom>
                                <a:noFill/>
                                <a:ln w="6350">
                                  <a:noFill/>
                                </a:ln>
                                <a:effectLst/>
                              </wps:spPr>
                              <wps:txbx>
                                <w:txbxContent>
                                  <w:p w14:paraId="2B5C9259">
                                    <w:pPr>
                                      <w:rPr>
                                        <w:rFonts w:hint="default" w:ascii="Times New Roman" w:hAnsi="Times New Roman" w:eastAsia="宋体" w:cs="Times New Roman"/>
                                        <w:sz w:val="21"/>
                                        <w:szCs w:val="21"/>
                                        <w:lang w:val="en-US" w:eastAsia="zh-CN"/>
                                      </w:rPr>
                                    </w:pPr>
                                    <w:r>
                                      <w:rPr>
                                        <w:rFonts w:hint="eastAsia" w:ascii="Times New Roman" w:hAnsi="Times New Roman" w:cs="Times New Roman"/>
                                        <w:lang w:val="en-US" w:eastAsia="zh-CN"/>
                                      </w:rPr>
                                      <w:t>0.617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直接箭头连接符 17"/>
                              <wps:cNvCnPr/>
                              <wps:spPr>
                                <a:xfrm flipV="1">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91" name="文本框 33"/>
                              <wps:cNvSpPr txBox="1"/>
                              <wps:spPr>
                                <a:xfrm>
                                  <a:off x="1264920" y="57785"/>
                                  <a:ext cx="538480" cy="261620"/>
                                </a:xfrm>
                                <a:prstGeom prst="rect">
                                  <a:avLst/>
                                </a:prstGeom>
                                <a:noFill/>
                                <a:ln w="6350">
                                  <a:noFill/>
                                </a:ln>
                                <a:effectLst/>
                              </wps:spPr>
                              <wps:txbx>
                                <w:txbxContent>
                                  <w:p w14:paraId="556D6FD3">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文本框 42"/>
                              <wps:cNvSpPr txBox="1"/>
                              <wps:spPr>
                                <a:xfrm>
                                  <a:off x="20320" y="603885"/>
                                  <a:ext cx="666115" cy="252095"/>
                                </a:xfrm>
                                <a:prstGeom prst="rect">
                                  <a:avLst/>
                                </a:prstGeom>
                                <a:noFill/>
                                <a:ln w="6350">
                                  <a:noFill/>
                                </a:ln>
                                <a:effectLst/>
                              </wps:spPr>
                              <wps:txbx>
                                <w:txbxContent>
                                  <w:p w14:paraId="7B278D71">
                                    <w:pPr>
                                      <w:rPr>
                                        <w:rFonts w:hint="eastAsia" w:eastAsia="宋体"/>
                                        <w:sz w:val="21"/>
                                        <w:szCs w:val="21"/>
                                        <w:lang w:eastAsia="zh-CN"/>
                                      </w:rPr>
                                    </w:pPr>
                                    <w:r>
                                      <w:rPr>
                                        <w:rFonts w:hint="eastAsia"/>
                                        <w:sz w:val="21"/>
                                        <w:szCs w:val="21"/>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127"/>
                              <wps:cNvSpPr txBox="1"/>
                              <wps:spPr>
                                <a:xfrm>
                                  <a:off x="658495" y="1578610"/>
                                  <a:ext cx="3693795" cy="278130"/>
                                </a:xfrm>
                                <a:prstGeom prst="rect">
                                  <a:avLst/>
                                </a:prstGeom>
                                <a:noFill/>
                                <a:ln w="6350">
                                  <a:noFill/>
                                </a:ln>
                                <a:effectLst/>
                              </wps:spPr>
                              <wps:txbx>
                                <w:txbxContent>
                                  <w:p w14:paraId="4B98E91B">
                                    <w:pPr>
                                      <w:jc w:val="center"/>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eastAsia="zh-CN"/>
                                      </w:rPr>
                                      <w:t>图</w:t>
                                    </w:r>
                                    <w:r>
                                      <w:rPr>
                                        <w:rFonts w:hint="default" w:ascii="Times New Roman" w:hAnsi="Times New Roman" w:cs="Times New Roman"/>
                                        <w:b/>
                                        <w:bCs/>
                                        <w:sz w:val="21"/>
                                        <w:szCs w:val="21"/>
                                        <w:lang w:val="en-US" w:eastAsia="zh-CN"/>
                                      </w:rPr>
                                      <w:t>2.1   项目水平衡图            单位：m³/d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文本框 117"/>
                              <wps:cNvSpPr txBox="1"/>
                              <wps:spPr>
                                <a:xfrm>
                                  <a:off x="2636520" y="200660"/>
                                  <a:ext cx="1492250" cy="434340"/>
                                </a:xfrm>
                                <a:prstGeom prst="rect">
                                  <a:avLst/>
                                </a:prstGeom>
                                <a:solidFill>
                                  <a:srgbClr val="FFFFFF"/>
                                </a:solidFill>
                                <a:ln w="6350">
                                  <a:noFill/>
                                </a:ln>
                                <a:effectLst/>
                              </wps:spPr>
                              <wps:txbx>
                                <w:txbxContent>
                                  <w:p w14:paraId="198F7303">
                                    <w:pPr>
                                      <w:jc w:val="left"/>
                                      <w:rPr>
                                        <w:rFonts w:hint="default" w:eastAsia="宋体"/>
                                        <w:color w:val="auto"/>
                                        <w:sz w:val="21"/>
                                        <w:szCs w:val="21"/>
                                        <w:lang w:val="en-US" w:eastAsia="zh-CN"/>
                                      </w:rPr>
                                    </w:pPr>
                                    <w:r>
                                      <w:rPr>
                                        <w:rFonts w:hint="eastAsia"/>
                                        <w:color w:val="auto"/>
                                        <w:sz w:val="21"/>
                                        <w:szCs w:val="21"/>
                                        <w:lang w:eastAsia="zh-CN"/>
                                      </w:rPr>
                                      <w:t>泼洒抑尘</w:t>
                                    </w:r>
                                    <w:r>
                                      <w:rPr>
                                        <w:rFonts w:hint="eastAsia"/>
                                        <w:color w:val="auto"/>
                                        <w:sz w:val="21"/>
                                        <w:szCs w:val="21"/>
                                      </w:rPr>
                                      <w:t>，厂区内设防渗旱厕，定期清掏</w:t>
                                    </w:r>
                                  </w:p>
                                  <w:p w14:paraId="1F93FFA1">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 name="直接箭头连接符 149"/>
                              <wps:cNvCnPr>
                                <a:stCxn id="1" idx="3"/>
                                <a:endCxn id="2" idx="1"/>
                              </wps:cNvCnPr>
                              <wps:spPr>
                                <a:xfrm>
                                  <a:off x="2162175" y="434975"/>
                                  <a:ext cx="450215" cy="4445"/>
                                </a:xfrm>
                                <a:prstGeom prst="straightConnector1">
                                  <a:avLst/>
                                </a:prstGeom>
                                <a:noFill/>
                                <a:ln w="9525" cap="flat" cmpd="sng" algn="ctr">
                                  <a:solidFill>
                                    <a:srgbClr val="000000"/>
                                  </a:solidFill>
                                  <a:prstDash val="dash"/>
                                  <a:tailEnd type="triangle"/>
                                </a:ln>
                                <a:effectLst/>
                              </wps:spPr>
                              <wps:bodyPr/>
                            </wps:wsp>
                            <wps:wsp>
                              <wps:cNvPr id="123" name="文本框 34"/>
                              <wps:cNvSpPr txBox="1"/>
                              <wps:spPr>
                                <a:xfrm>
                                  <a:off x="2135505" y="201295"/>
                                  <a:ext cx="511810" cy="271780"/>
                                </a:xfrm>
                                <a:prstGeom prst="rect">
                                  <a:avLst/>
                                </a:prstGeom>
                                <a:noFill/>
                                <a:ln w="6350">
                                  <a:noFill/>
                                </a:ln>
                                <a:effectLst/>
                              </wps:spPr>
                              <wps:txbx>
                                <w:txbxContent>
                                  <w:p w14:paraId="41E079E4">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0.493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肘形连接符 71"/>
                              <wps:cNvCnPr/>
                              <wps:spPr>
                                <a:xfrm flipV="1">
                                  <a:off x="565785" y="443865"/>
                                  <a:ext cx="556895" cy="300355"/>
                                </a:xfrm>
                                <a:prstGeom prst="bentConnector3">
                                  <a:avLst>
                                    <a:gd name="adj1" fmla="val 50057"/>
                                  </a:avLst>
                                </a:prstGeom>
                                <a:ln w="9525"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69" name="肘形连接符 62"/>
                              <wps:cNvCnPr/>
                              <wps:spPr>
                                <a:xfrm rot="5400000" flipV="1">
                                  <a:off x="838200" y="742950"/>
                                  <a:ext cx="299720" cy="293370"/>
                                </a:xfrm>
                                <a:prstGeom prst="bentConnector2">
                                  <a:avLst/>
                                </a:prstGeom>
                                <a:ln w="9525"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10" name="文本框 31"/>
                              <wps:cNvSpPr txBox="1"/>
                              <wps:spPr>
                                <a:xfrm>
                                  <a:off x="1155065" y="890270"/>
                                  <a:ext cx="1010920" cy="258445"/>
                                </a:xfrm>
                                <a:prstGeom prst="rect">
                                  <a:avLst/>
                                </a:prstGeom>
                                <a:solidFill>
                                  <a:srgbClr val="FFFFFF"/>
                                </a:solidFill>
                                <a:ln w="6350">
                                  <a:solidFill>
                                    <a:prstClr val="black"/>
                                  </a:solidFill>
                                </a:ln>
                                <a:effectLst/>
                              </wps:spPr>
                              <wps:txbx>
                                <w:txbxContent>
                                  <w:p w14:paraId="36F703EA">
                                    <w:pPr>
                                      <w:autoSpaceDE/>
                                      <w:autoSpaceDN/>
                                      <w:snapToGrid w:val="0"/>
                                      <w:ind w:left="-110" w:leftChars="-50" w:right="-110" w:rightChars="-50"/>
                                      <w:jc w:val="center"/>
                                      <w:rPr>
                                        <w:sz w:val="21"/>
                                        <w:szCs w:val="21"/>
                                        <w:lang w:val="en-US"/>
                                      </w:rPr>
                                    </w:pPr>
                                    <w:r>
                                      <w:rPr>
                                        <w:rFonts w:hint="eastAsia"/>
                                        <w:sz w:val="21"/>
                                        <w:szCs w:val="21"/>
                                        <w:lang w:val="en-US" w:eastAsia="zh-CN"/>
                                      </w:rPr>
                                      <w:t>生产冷却水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2" name="文本框 85"/>
                              <wps:cNvSpPr txBox="1"/>
                              <wps:spPr>
                                <a:xfrm>
                                  <a:off x="1543685" y="667385"/>
                                  <a:ext cx="473710" cy="261620"/>
                                </a:xfrm>
                                <a:prstGeom prst="rect">
                                  <a:avLst/>
                                </a:prstGeom>
                                <a:noFill/>
                                <a:ln w="6350">
                                  <a:noFill/>
                                </a:ln>
                                <a:effectLst/>
                              </wps:spPr>
                              <wps:txbx>
                                <w:txbxContent>
                                  <w:p w14:paraId="71F584EF">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 name="肘形连接符 62"/>
                              <wps:cNvCnPr>
                                <a:stCxn id="110" idx="3"/>
                                <a:endCxn id="110" idx="2"/>
                              </wps:cNvCnPr>
                              <wps:spPr>
                                <a:xfrm flipH="1">
                                  <a:off x="1660525" y="1019810"/>
                                  <a:ext cx="505460" cy="128905"/>
                                </a:xfrm>
                                <a:prstGeom prst="bentConnector4">
                                  <a:avLst>
                                    <a:gd name="adj1" fmla="val -47111"/>
                                    <a:gd name="adj2" fmla="val 284729"/>
                                  </a:avLst>
                                </a:prstGeom>
                                <a:ln w="9525"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 name="文本框 85"/>
                              <wps:cNvSpPr txBox="1"/>
                              <wps:spPr>
                                <a:xfrm>
                                  <a:off x="1771650" y="1188720"/>
                                  <a:ext cx="452755" cy="261620"/>
                                </a:xfrm>
                                <a:prstGeom prst="rect">
                                  <a:avLst/>
                                </a:prstGeom>
                                <a:noFill/>
                                <a:ln w="6350">
                                  <a:noFill/>
                                </a:ln>
                                <a:effectLst/>
                              </wps:spPr>
                              <wps:txbx>
                                <w:txbxContent>
                                  <w:p w14:paraId="56A3E1A7">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1" name="直接箭头连接符 83"/>
                              <wps:cNvCnPr/>
                              <wps:spPr>
                                <a:xfrm flipV="1">
                                  <a:off x="1746250" y="708660"/>
                                  <a:ext cx="279400" cy="186055"/>
                                </a:xfrm>
                                <a:prstGeom prst="straightConnector1">
                                  <a:avLst/>
                                </a:prstGeom>
                                <a:noFill/>
                                <a:ln w="9525" cap="flat" cmpd="sng" algn="ctr">
                                  <a:solidFill>
                                    <a:srgbClr val="000000"/>
                                  </a:solidFill>
                                  <a:prstDash val="dash"/>
                                  <a:tailEnd type="triangle"/>
                                </a:ln>
                                <a:effectLst/>
                              </wps:spPr>
                              <wps:bodyPr/>
                            </wps:wsp>
                            <wps:wsp>
                              <wps:cNvPr id="11" name="文本框 85"/>
                              <wps:cNvSpPr txBox="1"/>
                              <wps:spPr>
                                <a:xfrm>
                                  <a:off x="862330" y="1026795"/>
                                  <a:ext cx="452120" cy="261620"/>
                                </a:xfrm>
                                <a:prstGeom prst="rect">
                                  <a:avLst/>
                                </a:prstGeom>
                                <a:noFill/>
                                <a:ln w="6350">
                                  <a:noFill/>
                                </a:ln>
                                <a:effectLst/>
                              </wps:spPr>
                              <wps:txbx>
                                <w:txbxContent>
                                  <w:p w14:paraId="536F43CD">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anchor>
                  </w:drawing>
                </mc:Choice>
                <mc:Fallback>
                  <w:pict>
                    <v:group id="_x0000_s1026" o:spid="_x0000_s1026" o:spt="203" style="position:absolute;left:0pt;margin-left:17.8pt;margin-top:7.1pt;height:149.25pt;width:414.3pt;mso-wrap-distance-bottom:0pt;mso-wrap-distance-top:0pt;z-index:251666432;mso-width-relative:page;mso-height-relative:page;" coordsize="5261610,1895475" editas="canvas" o:gfxdata="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">
                      <o:lock v:ext="edit" aspectratio="f"/>
                      <v:shape id="_x0000_s1026" o:spid="_x0000_s1026" style="position:absolute;left:0;top:0;height:1895475;width:5261610;" filled="f" stroked="f" coordsize="21600,21600" o:gfxdata="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">
                        <v:fill on="f" focussize="0,0"/>
                        <v:stroke on="f"/>
                        <v:imagedata o:title=""/>
                        <o:lock v:ext="edit" aspectratio="f"/>
                      </v:shape>
                      <v:shape id="文本框 11" o:spid="_x0000_s1026" o:spt="202" type="#_x0000_t202" style="position:absolute;left:1127760;top:313055;height:258445;width:1010920;" fillcolor="#FFFFFF" filled="t" stroked="t" coordsize="21600,21600" o:gfxdata="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pJZ2NUAAAAJAQAADwAAAAAAAAABACAAAAAiAAAAZHJzL2Rvd25yZXYueG1s&#10;UEsBAhQAFAAAAAgAh07iQBJBQKttAgAA0gQAAA4AAAAAAAAAAQAgAAAAJAEAAGRycy9lMm9Eb2Mu&#10;eG1sUEsFBgAAAAAGAAYAWQEAAAMGAAAAAA==&#10;">
                        <v:fill on="t" focussize="0,0"/>
                        <v:stroke weight="0.5pt" color="#000000" joinstyle="round"/>
                        <v:imagedata o:title=""/>
                        <o:lock v:ext="edit" aspectratio="f"/>
                        <v:textbox>
                          <w:txbxContent>
                            <w:p w14:paraId="2C4DD687">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sz w:val="21"/>
                                  <w:szCs w:val="21"/>
                                  <w:lang w:val="en-US" w:eastAsia="zh-CN"/>
                                </w:rPr>
                              </w:pPr>
                              <w:r>
                                <w:rPr>
                                  <w:rFonts w:hint="eastAsia"/>
                                  <w:sz w:val="21"/>
                                  <w:szCs w:val="21"/>
                                  <w:lang w:val="en-US" w:eastAsia="zh-CN"/>
                                </w:rPr>
                                <w:t>生活用水</w:t>
                              </w:r>
                            </w:p>
                          </w:txbxContent>
                        </v:textbox>
                      </v:shape>
                      <v:shape id="文本框 16" o:spid="_x0000_s1026" o:spt="202" type="#_x0000_t202" style="position:absolute;left:694055;top:207645;height:258445;width:590550;" filled="f" stroked="f" coordsize="21600,21600" o:gfxdata="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pSDb52gAAAAkBAAAPAAAAAAAA&#10;AAEAIAAAACIAAABkcnMvZG93bnJldi54bWxQSwECFAAUAAAACACHTuJAvFY+vEkCAAB/BAAADgAA&#10;AAAAAAABACAAAAApAQAAZHJzL2Uyb0RvYy54bWxQSwUGAAAAAAYABgBZAQAA5AUAAAAA&#10;">
                        <v:fill on="f" focussize="0,0"/>
                        <v:stroke on="f" weight="0.5pt"/>
                        <v:imagedata o:title=""/>
                        <o:lock v:ext="edit" aspectratio="f"/>
                        <v:textbox>
                          <w:txbxContent>
                            <w:p w14:paraId="2B5C9259">
                              <w:pPr>
                                <w:rPr>
                                  <w:rFonts w:hint="default" w:ascii="Times New Roman" w:hAnsi="Times New Roman" w:eastAsia="宋体" w:cs="Times New Roman"/>
                                  <w:sz w:val="21"/>
                                  <w:szCs w:val="21"/>
                                  <w:lang w:val="en-US" w:eastAsia="zh-CN"/>
                                </w:rPr>
                              </w:pPr>
                              <w:r>
                                <w:rPr>
                                  <w:rFonts w:hint="eastAsia" w:ascii="Times New Roman" w:hAnsi="Times New Roman" w:cs="Times New Roman"/>
                                  <w:lang w:val="en-US" w:eastAsia="zh-CN"/>
                                </w:rPr>
                                <w:t>0.617</w:t>
                              </w:r>
                            </w:p>
                          </w:txbxContent>
                        </v:textbox>
                      </v:shape>
                      <v:shape id="直接箭头连接符 17" o:spid="_x0000_s1026" o:spt="32" type="#_x0000_t32" style="position:absolute;left:1633220;top:127000;flip:y;height:186055;width:279400;" filled="f" stroked="t" coordsize="21600,21600" o:gfxdata="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l21vUAAAACQEAAA8AAAAAAAAA&#10;AQAgAAAAIgAAAGRycy9kb3ducmV2LnhtbFBLAQIUABQAAAAIAIdO4kBd+Az9FQIAAPIDAAAOAAAA&#10;AAAAAAEAIAAAACMBAABkcnMvZTJvRG9jLnhtbFBLBQYAAAAABgAGAFkBAACqBQAAAAA=&#10;">
                        <v:fill on="f" focussize="0,0"/>
                        <v:stroke color="#000000" joinstyle="round" dashstyle="dash" endarrow="block"/>
                        <v:imagedata o:title=""/>
                        <o:lock v:ext="edit" aspectratio="f"/>
                      </v:shape>
                      <v:shape id="文本框 33" o:spid="_x0000_s1026" o:spt="202" type="#_x0000_t202" style="position:absolute;left:1264920;top:57785;height:261620;width:538480;" filled="f" stroked="f" coordsize="21600,21600" o:gfxdata="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Ug2+doAAAAJAQAADwAAAAAA&#10;AAABACAAAAAiAAAAZHJzL2Rvd25yZXYueG1sUEsBAhQAFAAAAAgAh07iQEYOJ/NKAgAAfwQAAA4A&#10;AAAAAAAAAQAgAAAAKQEAAGRycy9lMm9Eb2MueG1sUEsFBgAAAAAGAAYAWQEAAOUFAAAAAA==&#10;">
                        <v:fill on="f" focussize="0,0"/>
                        <v:stroke on="f" weight="0.5pt"/>
                        <v:imagedata o:title=""/>
                        <o:lock v:ext="edit" aspectratio="f"/>
                        <v:textbox>
                          <w:txbxContent>
                            <w:p w14:paraId="556D6FD3">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0.124</w:t>
                              </w:r>
                            </w:p>
                          </w:txbxContent>
                        </v:textbox>
                      </v:shape>
                      <v:shape id="文本框 42" o:spid="_x0000_s1026" o:spt="202" type="#_x0000_t202" style="position:absolute;left:20320;top:603885;height:252095;width:666115;" filled="f" stroked="f" coordsize="21600,21600" o:gfxdata="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Ug2+doAAAAJAQAADwAA&#10;AAAAAAABACAAAAAiAAAAZHJzL2Rvd25yZXYueG1sUEsBAhQAFAAAAAgAh07iQJyClS1NAgAAfgQA&#10;AA4AAAAAAAAAAQAgAAAAKQEAAGRycy9lMm9Eb2MueG1sUEsFBgAAAAAGAAYAWQEAAOgFAAAAAA==&#10;">
                        <v:fill on="f" focussize="0,0"/>
                        <v:stroke on="f" weight="0.5pt"/>
                        <v:imagedata o:title=""/>
                        <o:lock v:ext="edit" aspectratio="f"/>
                        <v:textbox>
                          <w:txbxContent>
                            <w:p w14:paraId="7B278D71">
                              <w:pPr>
                                <w:rPr>
                                  <w:rFonts w:hint="eastAsia" w:eastAsia="宋体"/>
                                  <w:sz w:val="21"/>
                                  <w:szCs w:val="21"/>
                                  <w:lang w:eastAsia="zh-CN"/>
                                </w:rPr>
                              </w:pPr>
                              <w:r>
                                <w:rPr>
                                  <w:rFonts w:hint="eastAsia"/>
                                  <w:sz w:val="21"/>
                                  <w:szCs w:val="21"/>
                                  <w:lang w:eastAsia="zh-CN"/>
                                </w:rPr>
                                <w:t>新鲜水</w:t>
                              </w:r>
                            </w:p>
                          </w:txbxContent>
                        </v:textbox>
                      </v:shape>
                      <v:shape id="文本框 127" o:spid="_x0000_s1026" o:spt="202" type="#_x0000_t202" style="position:absolute;left:658495;top:1578610;height:278130;width:3693795;" filled="f" stroked="f" coordsize="21600,21600" o:gfxdata="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pSDb52gAAAAkBAAAPAAAA&#10;AAAAAAEAIAAAACIAAABkcnMvZG93bnJldi54bWxQSwECFAAUAAAACACHTuJAl76+LkwCAACCBAAA&#10;DgAAAAAAAAABACAAAAApAQAAZHJzL2Uyb0RvYy54bWxQSwUGAAAAAAYABgBZAQAA5wUAAAAA&#10;">
                        <v:fill on="f" focussize="0,0"/>
                        <v:stroke on="f" weight="0.5pt"/>
                        <v:imagedata o:title=""/>
                        <o:lock v:ext="edit" aspectratio="f"/>
                        <v:textbox>
                          <w:txbxContent>
                            <w:p w14:paraId="4B98E91B">
                              <w:pPr>
                                <w:jc w:val="center"/>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eastAsia="zh-CN"/>
                                </w:rPr>
                                <w:t>图</w:t>
                              </w:r>
                              <w:r>
                                <w:rPr>
                                  <w:rFonts w:hint="default" w:ascii="Times New Roman" w:hAnsi="Times New Roman" w:cs="Times New Roman"/>
                                  <w:b/>
                                  <w:bCs/>
                                  <w:sz w:val="21"/>
                                  <w:szCs w:val="21"/>
                                  <w:lang w:val="en-US" w:eastAsia="zh-CN"/>
                                </w:rPr>
                                <w:t>2.1   项目水平衡图            单位：m³/d</w:t>
                              </w:r>
                            </w:p>
                          </w:txbxContent>
                        </v:textbox>
                      </v:shape>
                      <v:shape id="文本框 117" o:spid="_x0000_s1026" o:spt="202" type="#_x0000_t202" style="position:absolute;left:2636520;top:200660;height:434340;width:1492250;" fillcolor="#FFFFFF" filled="t" stroked="f" coordsize="21600,21600" o:gfxdata="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wG&#10;gxzUAAAACQEAAA8AAAAAAAAAAQAgAAAAIgAAAGRycy9kb3ducmV2LnhtbFBLAQIUABQAAAAIAIdO&#10;4kBISp18YAIAAKwEAAAOAAAAAAAAAAEAIAAAACMBAABkcnMvZTJvRG9jLnhtbFBLBQYAAAAABgAG&#10;AFkBAAD1BQAAAAA=&#10;">
                        <v:fill on="t" focussize="0,0"/>
                        <v:stroke on="f" weight="0.5pt"/>
                        <v:imagedata o:title=""/>
                        <o:lock v:ext="edit" aspectratio="f"/>
                        <v:textbox>
                          <w:txbxContent>
                            <w:p w14:paraId="198F7303">
                              <w:pPr>
                                <w:jc w:val="left"/>
                                <w:rPr>
                                  <w:rFonts w:hint="default" w:eastAsia="宋体"/>
                                  <w:color w:val="auto"/>
                                  <w:sz w:val="21"/>
                                  <w:szCs w:val="21"/>
                                  <w:lang w:val="en-US" w:eastAsia="zh-CN"/>
                                </w:rPr>
                              </w:pPr>
                              <w:r>
                                <w:rPr>
                                  <w:rFonts w:hint="eastAsia"/>
                                  <w:color w:val="auto"/>
                                  <w:sz w:val="21"/>
                                  <w:szCs w:val="21"/>
                                  <w:lang w:eastAsia="zh-CN"/>
                                </w:rPr>
                                <w:t>泼洒抑尘</w:t>
                              </w:r>
                              <w:r>
                                <w:rPr>
                                  <w:rFonts w:hint="eastAsia"/>
                                  <w:color w:val="auto"/>
                                  <w:sz w:val="21"/>
                                  <w:szCs w:val="21"/>
                                </w:rPr>
                                <w:t>，厂区内设防渗旱厕，定期清掏</w:t>
                              </w:r>
                            </w:p>
                            <w:p w14:paraId="1F93FFA1">
                              <w:pPr>
                                <w:rPr>
                                  <w:rFonts w:hint="eastAsia"/>
                                  <w:lang w:eastAsia="zh-CN"/>
                                </w:rPr>
                              </w:pPr>
                            </w:p>
                          </w:txbxContent>
                        </v:textbox>
                      </v:shape>
                      <v:shape id="直接箭头连接符 149" o:spid="_x0000_s1026" o:spt="32" type="#_x0000_t32" style="position:absolute;left:2162175;top:434975;height:4445;width:450215;" filled="f" stroked="t" coordsize="21600,21600" o:gfxdata="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RSNodUAAAAJAQAADwAAAAAAAAABACAAAAAiAAAAZHJzL2Rvd25yZXYueG1sUEsBAhQAFAAAAAgA&#10;h07iQMe3Fc0oAgAAKAQAAA4AAAAAAAAAAQAgAAAAJAEAAGRycy9lMm9Eb2MueG1sUEsFBgAAAAAG&#10;AAYAWQEAAL4FAAAAAA==&#10;">
                        <v:fill on="f" focussize="0,0"/>
                        <v:stroke color="#000000" joinstyle="round" dashstyle="dash" endarrow="block"/>
                        <v:imagedata o:title=""/>
                        <o:lock v:ext="edit" aspectratio="f"/>
                      </v:shape>
                      <v:shape id="文本框 34" o:spid="_x0000_s1026" o:spt="202" type="#_x0000_t202" style="position:absolute;left:2135505;top:201295;height:271780;width:511810;" filled="f" stroked="f" coordsize="21600,21600" o:gfxdata="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SDb52gAAAAkBAAAP&#10;AAAAAAAAAAEAIAAAACIAAABkcnMvZG93bnJldi54bWxQSwECFAAUAAAACACHTuJAz7mWl08CAACB&#10;BAAADgAAAAAAAAABACAAAAApAQAAZHJzL2Uyb0RvYy54bWxQSwUGAAAAAAYABgBZAQAA6gUAAAAA&#10;">
                        <v:fill on="f" focussize="0,0"/>
                        <v:stroke on="f" weight="0.5pt"/>
                        <v:imagedata o:title=""/>
                        <o:lock v:ext="edit" aspectratio="f"/>
                        <v:textbox>
                          <w:txbxContent>
                            <w:p w14:paraId="41E079E4">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0.493</w:t>
                              </w:r>
                            </w:p>
                          </w:txbxContent>
                        </v:textbox>
                      </v:shape>
                      <v:shape id="肘形连接符 71" o:spid="_x0000_s1026" o:spt="34" type="#_x0000_t34" style="position:absolute;left:565785;top:443865;flip:y;height:300355;width:556895;" filled="f" stroked="t" coordsize="21600,21600" o:gfxdata="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jkMinV&#10;AAAACQEAAA8AAAAAAAAAAQAgAAAAIgAAAGRycy9kb3ducmV2LnhtbFBLAQIUABQAAAAIAIdO4kCn&#10;zsfBIwIAAAcEAAAOAAAAAAAAAAEAIAAAACQBAABkcnMvZTJvRG9jLnhtbFBLBQYAAAAABgAGAFkB&#10;AAC5BQAAAAA=&#10;" adj="10812">
                        <v:fill on="f" focussize="0,0"/>
                        <v:stroke color="#000000 [3213]" joinstyle="round" endarrow="block"/>
                        <v:imagedata o:title=""/>
                        <o:lock v:ext="edit" aspectratio="f"/>
                      </v:shape>
                      <v:shape id="肘形连接符 62" o:spid="_x0000_s1026" o:spt="33" type="#_x0000_t33" style="position:absolute;left:838200;top:742950;flip:y;height:293370;width:299720;rotation:-5898240f;" filled="f" stroked="t" coordsize="21600,21600" o:gfxdata="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ZqygtgAAAAJAQAADwAA&#10;AAAAAAABACAAAAAiAAAAZHJzL2Rvd25yZXYueG1sUEsBAhQAFAAAAAgAh07iQATG9dYWAgAA6AMA&#10;AA4AAAAAAAAAAQAgAAAAJwEAAGRycy9lMm9Eb2MueG1sUEsFBgAAAAAGAAYAWQEAAK8FAAAAAA==&#10;">
                        <v:fill on="f" focussize="0,0"/>
                        <v:stroke color="#000000 [3213]" joinstyle="round" endarrow="block"/>
                        <v:imagedata o:title=""/>
                        <o:lock v:ext="edit" aspectratio="f"/>
                      </v:shape>
                      <v:shape id="文本框 31" o:spid="_x0000_s1026" o:spt="202" type="#_x0000_t202" style="position:absolute;left:1155065;top:890270;height:258445;width:1010920;" fillcolor="#FFFFFF" filled="t" stroked="t" coordsize="21600,21600" o:gfxdata="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uklnY1QAAAAkBAAAPAAAAAAAAAAEAIAAAACIAAABkcnMvZG93bnJldi54bWxQSwEC&#10;FAAUAAAACACHTuJA5jQcSWkCAADTBAAADgAAAAAAAAABACAAAAAkAQAAZHJzL2Uyb0RvYy54bWxQ&#10;SwUGAAAAAAYABgBZAQAA/wUAAAAA&#10;">
                        <v:fill on="t" focussize="0,0"/>
                        <v:stroke weight="0.5pt" color="#000000" joinstyle="round"/>
                        <v:imagedata o:title=""/>
                        <o:lock v:ext="edit" aspectratio="f"/>
                        <v:textbox>
                          <w:txbxContent>
                            <w:p w14:paraId="36F703EA">
                              <w:pPr>
                                <w:autoSpaceDE/>
                                <w:autoSpaceDN/>
                                <w:snapToGrid w:val="0"/>
                                <w:ind w:left="-110" w:leftChars="-50" w:right="-110" w:rightChars="-50"/>
                                <w:jc w:val="center"/>
                                <w:rPr>
                                  <w:sz w:val="21"/>
                                  <w:szCs w:val="21"/>
                                  <w:lang w:val="en-US"/>
                                </w:rPr>
                              </w:pPr>
                              <w:r>
                                <w:rPr>
                                  <w:rFonts w:hint="eastAsia"/>
                                  <w:sz w:val="21"/>
                                  <w:szCs w:val="21"/>
                                  <w:lang w:val="en-US" w:eastAsia="zh-CN"/>
                                </w:rPr>
                                <w:t>生产冷却水</w:t>
                              </w:r>
                            </w:p>
                          </w:txbxContent>
                        </v:textbox>
                      </v:shape>
                      <v:shape id="文本框 85" o:spid="_x0000_s1026" o:spt="202" type="#_x0000_t202" style="position:absolute;left:1543685;top:667385;height:261620;width:473710;" filled="f" stroked="f" coordsize="21600,21600" o:gfxdata="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Ug2+doAAAAJAQAADwAA&#10;AAAAAAABACAAAAAiAAAAZHJzL2Rvd25yZXYueG1sUEsBAhQAFAAAAAgAh07iQOm8a/hNAgAAgQQA&#10;AA4AAAAAAAAAAQAgAAAAKQEAAGRycy9lMm9Eb2MueG1sUEsFBgAAAAAGAAYAWQEAAOgFAAAAAA==&#10;">
                        <v:fill on="f" focussize="0,0"/>
                        <v:stroke on="f" weight="0.5pt"/>
                        <v:imagedata o:title=""/>
                        <o:lock v:ext="edit" aspectratio="f"/>
                        <v:textbox>
                          <w:txbxContent>
                            <w:p w14:paraId="71F584EF">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2</w:t>
                              </w:r>
                            </w:p>
                          </w:txbxContent>
                        </v:textbox>
                      </v:shape>
                      <v:shape id="肘形连接符 62" o:spid="_x0000_s1026" o:spt="35" type="#_x0000_t35" style="position:absolute;left:1660525;top:1019810;flip:x;height:128905;width:505460;" filled="f" stroked="t" coordsize="21600,21600" o:gfxdata="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cCpq9UAAAAJAQAADwAAAAAAAAABACAA&#10;AAAiAAAAZHJzL2Rvd25yZXYueG1sUEsBAhQAFAAAAAgAh07iQEgfwlpJAgAAdAQAAA4AAAAAAAAA&#10;AQAgAAAAJAEAAGRycy9lMm9Eb2MueG1sUEsFBgAAAAAGAAYAWQEAAN8FAAAAAA==&#10;" adj="-10176,61501">
                        <v:fill on="f" focussize="0,0"/>
                        <v:stroke color="#000000 [3213]" joinstyle="round" endarrow="block"/>
                        <v:imagedata o:title=""/>
                        <o:lock v:ext="edit" aspectratio="f"/>
                      </v:shape>
                      <v:shape id="文本框 85" o:spid="_x0000_s1026" o:spt="202" type="#_x0000_t202" style="position:absolute;left:1771650;top:1188720;height:261620;width:452755;" filled="f" stroked="f" coordsize="21600,21600" o:gfxdata="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pSDb52gAAAAkBAAAPAAAAAAAA&#10;AAEAIAAAACIAAABkcnMvZG93bnJldi54bWxQSwECFAAUAAAACACHTuJAizBsa0kCAACBBAAADgAA&#10;AAAAAAABACAAAAApAQAAZHJzL2Uyb0RvYy54bWxQSwUGAAAAAAYABgBZAQAA5AUAAAAA&#10;">
                        <v:fill on="f" focussize="0,0"/>
                        <v:stroke on="f" weight="0.5pt"/>
                        <v:imagedata o:title=""/>
                        <o:lock v:ext="edit" aspectratio="f"/>
                        <v:textbox>
                          <w:txbxContent>
                            <w:p w14:paraId="56A3E1A7">
                              <w:pP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8</w:t>
                              </w:r>
                            </w:p>
                          </w:txbxContent>
                        </v:textbox>
                      </v:shape>
                      <v:shape id="直接箭头连接符 83" o:spid="_x0000_s1026" o:spt="32" type="#_x0000_t32" style="position:absolute;left:1746250;top:708660;flip:y;height:186055;width:279400;" filled="f" stroked="t" coordsize="21600,21600" o:gfxdata="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Bl21vUAAAACQEAAA8AAAAA&#10;AAAAAQAgAAAAIgAAAGRycy9kb3ducmV2LnhtbFBLAQIUABQAAAAIAIdO4kBkTXrrGAIAAPMDAAAO&#10;AAAAAAAAAAEAIAAAACMBAABkcnMvZTJvRG9jLnhtbFBLBQYAAAAABgAGAFkBAACtBQAAAAA=&#10;">
                        <v:fill on="f" focussize="0,0"/>
                        <v:stroke color="#000000" joinstyle="round" dashstyle="dash" endarrow="block"/>
                        <v:imagedata o:title=""/>
                        <o:lock v:ext="edit" aspectratio="f"/>
                      </v:shape>
                      <v:shape id="文本框 85" o:spid="_x0000_s1026" o:spt="202" type="#_x0000_t202" style="position:absolute;left:862330;top:1026795;height:261620;width:452120;" filled="f" stroked="f" coordsize="21600,21600" o:gfxdata="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pSDb52gAAAAkBAAAPAAAA&#10;AAAAAAEAIAAAACIAAABkcnMvZG93bnJldi54bWxQSwECFAAUAAAACACHTuJACfspf0wCAACABAAA&#10;DgAAAAAAAAABACAAAAApAQAAZHJzL2Uyb0RvYy54bWxQSwUGAAAAAAYABgBZAQAA5wUAAAAA&#10;">
                        <v:fill on="f" focussize="0,0"/>
                        <v:stroke on="f" weight="0.5pt"/>
                        <v:imagedata o:title=""/>
                        <o:lock v:ext="edit" aspectratio="f"/>
                        <v:textbox>
                          <w:txbxContent>
                            <w:p w14:paraId="536F43CD">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v:textbox>
                      </v:shape>
                      <w10:wrap type="topAndBottom"/>
                    </v:group>
                  </w:pict>
                </mc:Fallback>
              </mc:AlternateConten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w w:val="100"/>
                <w:sz w:val="21"/>
                <w:szCs w:val="21"/>
                <w:lang w:eastAsia="zh-CN"/>
              </w:rPr>
              <w:t>供电</w:t>
            </w:r>
          </w:p>
          <w:p w14:paraId="0125A405">
            <w:pPr>
              <w:pStyle w:val="55"/>
              <w:keepNext w:val="0"/>
              <w:keepLines w:val="0"/>
              <w:pageBreakBefore w:val="0"/>
              <w:widowControl w:val="0"/>
              <w:kinsoku/>
              <w:wordWrap/>
              <w:overflowPunct/>
              <w:topLinePunct w:val="0"/>
              <w:autoSpaceDE w:val="0"/>
              <w:autoSpaceDN w:val="0"/>
              <w:bidi w:val="0"/>
              <w:adjustRightInd/>
              <w:snapToGrid/>
              <w:spacing w:before="0" w:line="400" w:lineRule="exact"/>
              <w:ind w:left="110" w:leftChars="50" w:right="0" w:rightChars="0" w:firstLine="420" w:firstLineChars="200"/>
              <w:jc w:val="left"/>
              <w:textAlignment w:val="auto"/>
              <w:rPr>
                <w:rFonts w:hint="default" w:ascii="Times New Roman" w:hAnsi="Times New Roman" w:cs="Times New Roman"/>
                <w:color w:val="auto"/>
                <w:w w:val="100"/>
                <w:sz w:val="21"/>
                <w:szCs w:val="21"/>
                <w:lang w:eastAsia="zh-CN"/>
              </w:rPr>
            </w:pPr>
            <w:r>
              <w:rPr>
                <w:rFonts w:hint="default" w:ascii="Times New Roman" w:hAnsi="Times New Roman" w:cs="Times New Roman"/>
                <w:color w:val="auto"/>
                <w:sz w:val="21"/>
                <w:szCs w:val="21"/>
                <w:lang w:eastAsia="zh-CN"/>
              </w:rPr>
              <w:t>供电由园区供电电网提供，依托厂区现有变压器，年用电量20万kWh</w:t>
            </w:r>
            <w:r>
              <w:rPr>
                <w:rFonts w:hint="default" w:ascii="Times New Roman" w:hAnsi="Times New Roman" w:cs="Times New Roman"/>
                <w:color w:val="auto"/>
                <w:w w:val="100"/>
                <w:sz w:val="21"/>
                <w:szCs w:val="21"/>
                <w:lang w:eastAsia="zh-CN"/>
              </w:rPr>
              <w:t>。</w:t>
            </w:r>
          </w:p>
          <w:p w14:paraId="1047C3D0">
            <w:pPr>
              <w:pStyle w:val="55"/>
              <w:keepNext w:val="0"/>
              <w:keepLines w:val="0"/>
              <w:pageBreakBefore w:val="0"/>
              <w:widowControl w:val="0"/>
              <w:kinsoku/>
              <w:wordWrap/>
              <w:overflowPunct/>
              <w:topLinePunct w:val="0"/>
              <w:autoSpaceDE w:val="0"/>
              <w:autoSpaceDN w:val="0"/>
              <w:bidi w:val="0"/>
              <w:adjustRightInd/>
              <w:snapToGrid/>
              <w:spacing w:before="0" w:line="400" w:lineRule="exact"/>
              <w:ind w:left="110" w:leftChars="50" w:right="0" w:rightChars="0" w:firstLine="422" w:firstLineChars="200"/>
              <w:jc w:val="left"/>
              <w:textAlignment w:val="auto"/>
              <w:rPr>
                <w:rFonts w:hint="default" w:ascii="Times New Roman" w:hAnsi="Times New Roman" w:cs="Times New Roman"/>
                <w:b/>
                <w:bCs/>
                <w:color w:val="auto"/>
                <w:w w:val="100"/>
                <w:sz w:val="21"/>
                <w:szCs w:val="21"/>
                <w:lang w:eastAsia="zh-CN"/>
              </w:rPr>
            </w:pPr>
            <w:r>
              <w:rPr>
                <w:rFonts w:hint="eastAsia" w:ascii="Times New Roman" w:hAnsi="Times New Roman" w:cs="Times New Roman"/>
                <w:b/>
                <w:bCs/>
                <w:color w:val="auto"/>
                <w:w w:val="100"/>
                <w:sz w:val="21"/>
                <w:szCs w:val="21"/>
                <w:lang w:val="en-US" w:eastAsia="zh-CN"/>
              </w:rPr>
              <w:t>3、</w:t>
            </w:r>
            <w:r>
              <w:rPr>
                <w:rFonts w:hint="default" w:ascii="Times New Roman" w:hAnsi="Times New Roman" w:cs="Times New Roman"/>
                <w:b/>
                <w:bCs/>
                <w:color w:val="auto"/>
                <w:w w:val="100"/>
                <w:sz w:val="21"/>
                <w:szCs w:val="21"/>
                <w:lang w:eastAsia="zh-CN"/>
              </w:rPr>
              <w:t>制冷、供热</w:t>
            </w:r>
          </w:p>
          <w:p w14:paraId="7D466299">
            <w:pPr>
              <w:pStyle w:val="55"/>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left="110" w:leftChars="50" w:right="0" w:rightChars="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sz w:val="21"/>
                <w:szCs w:val="21"/>
                <w:lang w:val="en-US" w:eastAsia="zh-CN"/>
              </w:rPr>
              <w:t>本项目办公</w:t>
            </w:r>
            <w:r>
              <w:rPr>
                <w:rFonts w:hint="eastAsia" w:ascii="Times New Roman" w:hAnsi="Times New Roman" w:cs="Times New Roman"/>
                <w:color w:val="auto"/>
                <w:sz w:val="21"/>
                <w:szCs w:val="21"/>
                <w:lang w:val="en-US" w:eastAsia="zh-CN"/>
              </w:rPr>
              <w:t>室</w:t>
            </w:r>
            <w:r>
              <w:rPr>
                <w:rFonts w:hint="default" w:ascii="Times New Roman" w:hAnsi="Times New Roman" w:cs="Times New Roman"/>
                <w:color w:val="auto"/>
                <w:sz w:val="21"/>
                <w:szCs w:val="21"/>
                <w:lang w:val="en-US" w:eastAsia="zh-CN"/>
              </w:rPr>
              <w:t>冬季采暖及夏季制冷由分体空调提供</w:t>
            </w:r>
            <w:r>
              <w:rPr>
                <w:rFonts w:hint="default" w:ascii="Times New Roman" w:hAnsi="Times New Roman" w:cs="Times New Roman"/>
                <w:color w:val="auto"/>
                <w:w w:val="100"/>
                <w:sz w:val="21"/>
                <w:szCs w:val="21"/>
                <w:lang w:val="en-US" w:eastAsia="zh-CN"/>
              </w:rPr>
              <w:t>。</w:t>
            </w:r>
          </w:p>
          <w:p w14:paraId="6FD4DF36">
            <w:pPr>
              <w:pStyle w:val="8"/>
              <w:keepNext w:val="0"/>
              <w:keepLines w:val="0"/>
              <w:pageBreakBefore w:val="0"/>
              <w:kinsoku/>
              <w:wordWrap/>
              <w:overflowPunct/>
              <w:topLinePunct w:val="0"/>
              <w:bidi w:val="0"/>
              <w:adjustRightInd/>
              <w:spacing w:before="0" w:line="400" w:lineRule="exact"/>
              <w:ind w:left="110" w:leftChars="50" w:right="0" w:rightChars="0" w:firstLine="422" w:firstLineChars="200"/>
              <w:jc w:val="left"/>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w w:val="100"/>
                <w:sz w:val="21"/>
                <w:szCs w:val="21"/>
                <w:lang w:val="en-US" w:eastAsia="zh-CN"/>
              </w:rPr>
              <w:t>六</w:t>
            </w:r>
            <w:r>
              <w:rPr>
                <w:rFonts w:hint="default" w:ascii="Times New Roman" w:hAnsi="Times New Roman" w:cs="Times New Roman"/>
                <w:b/>
                <w:bCs/>
                <w:color w:val="auto"/>
                <w:w w:val="100"/>
                <w:sz w:val="21"/>
                <w:szCs w:val="21"/>
                <w:lang w:val="en-US" w:eastAsia="zh-CN"/>
              </w:rPr>
              <w:t>、</w:t>
            </w:r>
            <w:r>
              <w:rPr>
                <w:rFonts w:hint="default" w:ascii="Times New Roman" w:hAnsi="Times New Roman" w:cs="Times New Roman"/>
                <w:b/>
                <w:bCs/>
                <w:color w:val="auto"/>
                <w:sz w:val="21"/>
                <w:szCs w:val="21"/>
                <w:highlight w:val="none"/>
                <w:lang w:val="en-US" w:eastAsia="zh-CN"/>
              </w:rPr>
              <w:t>厂区平面布局</w:t>
            </w:r>
          </w:p>
          <w:p w14:paraId="6B7DE444">
            <w:pPr>
              <w:keepNext w:val="0"/>
              <w:keepLines w:val="0"/>
              <w:pageBreakBefore w:val="0"/>
              <w:widowControl/>
              <w:kinsoku/>
              <w:wordWrap/>
              <w:overflowPunct/>
              <w:topLinePunct w:val="0"/>
              <w:autoSpaceDE/>
              <w:autoSpaceDN/>
              <w:bidi w:val="0"/>
              <w:adjustRightInd/>
              <w:snapToGrid/>
              <w:spacing w:before="0" w:line="400" w:lineRule="exact"/>
              <w:ind w:left="110" w:leftChars="50" w:right="0" w:rightChars="0" w:firstLine="420" w:firstLineChars="200"/>
              <w:jc w:val="left"/>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Cs/>
                <w:color w:val="auto"/>
                <w:sz w:val="21"/>
                <w:szCs w:val="21"/>
                <w:highlight w:val="none"/>
                <w:lang w:eastAsia="zh-CN"/>
              </w:rPr>
              <w:t>本项目租赁</w:t>
            </w:r>
            <w:r>
              <w:rPr>
                <w:rFonts w:hint="eastAsia" w:ascii="Times New Roman" w:hAnsi="Times New Roman" w:cs="Times New Roman"/>
                <w:bCs/>
                <w:color w:val="auto"/>
                <w:sz w:val="21"/>
                <w:szCs w:val="21"/>
                <w:highlight w:val="none"/>
                <w:lang w:val="en-US" w:eastAsia="zh-CN"/>
              </w:rPr>
              <w:t>现有闲置厂房，</w:t>
            </w:r>
            <w:r>
              <w:rPr>
                <w:rFonts w:hint="eastAsia" w:ascii="Times New Roman" w:hAnsi="Times New Roman" w:cs="Times New Roman"/>
                <w:b w:val="0"/>
                <w:bCs w:val="0"/>
                <w:color w:val="auto"/>
                <w:sz w:val="21"/>
                <w:szCs w:val="21"/>
                <w:lang w:val="en-US" w:eastAsia="zh-CN"/>
              </w:rPr>
              <w:t>分为紧邻的南部生产车间南侧、北部库房两部分，中间由墙隔开，有门连通</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南部生产车间南侧、北部库房北侧均设有</w:t>
            </w:r>
            <w:r>
              <w:rPr>
                <w:rFonts w:hint="default" w:ascii="Times New Roman" w:hAnsi="Times New Roman" w:cs="Times New Roman"/>
                <w:b w:val="0"/>
                <w:bCs/>
                <w:color w:val="auto"/>
                <w:sz w:val="21"/>
                <w:szCs w:val="21"/>
                <w:lang w:val="en-US" w:eastAsia="zh-CN"/>
              </w:rPr>
              <w:t>职工出入、原料和成品运输出入口</w:t>
            </w:r>
            <w:r>
              <w:rPr>
                <w:rFonts w:hint="eastAsia" w:ascii="Times New Roman" w:hAnsi="Times New Roman" w:cs="Times New Roman"/>
                <w:b w:val="0"/>
                <w:bCs/>
                <w:color w:val="auto"/>
                <w:sz w:val="21"/>
                <w:szCs w:val="21"/>
                <w:lang w:val="en-US" w:eastAsia="zh-CN"/>
              </w:rPr>
              <w:t>，生产区位于</w:t>
            </w:r>
            <w:r>
              <w:rPr>
                <w:rFonts w:hint="eastAsia" w:ascii="Times New Roman" w:hAnsi="Times New Roman" w:cs="Times New Roman"/>
                <w:b w:val="0"/>
                <w:bCs w:val="0"/>
                <w:color w:val="auto"/>
                <w:sz w:val="21"/>
                <w:szCs w:val="21"/>
                <w:lang w:val="en-US" w:eastAsia="zh-CN"/>
              </w:rPr>
              <w:t>南部生产车间内，投料分散区、搅拌区、灌装区从西至东依次排布</w:t>
            </w:r>
            <w:r>
              <w:rPr>
                <w:rFonts w:hint="eastAsia" w:ascii="Times New Roman" w:hAnsi="Times New Roman" w:cs="Times New Roman"/>
                <w:b w:val="0"/>
                <w:bCs/>
                <w:color w:val="auto"/>
                <w:sz w:val="21"/>
                <w:szCs w:val="21"/>
                <w:lang w:val="en-US" w:eastAsia="zh-CN"/>
              </w:rPr>
              <w:t>；</w:t>
            </w:r>
            <w:r>
              <w:rPr>
                <w:rFonts w:hint="eastAsia" w:ascii="Times New Roman" w:hAnsi="Times New Roman" w:cs="Times New Roman"/>
                <w:b w:val="0"/>
                <w:bCs w:val="0"/>
                <w:color w:val="auto"/>
                <w:sz w:val="21"/>
                <w:szCs w:val="21"/>
                <w:lang w:val="en-US" w:eastAsia="zh-CN"/>
              </w:rPr>
              <w:t>北部库房西侧</w:t>
            </w:r>
            <w:r>
              <w:rPr>
                <w:rFonts w:hint="eastAsia" w:ascii="Times New Roman" w:hAnsi="Times New Roman" w:cs="Times New Roman"/>
                <w:color w:val="auto"/>
                <w:sz w:val="21"/>
                <w:szCs w:val="21"/>
                <w:lang w:val="en-US" w:eastAsia="zh-CN"/>
              </w:rPr>
              <w:t>用于原辅料储存，</w:t>
            </w:r>
            <w:r>
              <w:rPr>
                <w:rFonts w:hint="eastAsia" w:ascii="Times New Roman" w:hAnsi="Times New Roman" w:cs="Times New Roman"/>
                <w:b w:val="0"/>
                <w:bCs w:val="0"/>
                <w:color w:val="auto"/>
                <w:sz w:val="21"/>
                <w:szCs w:val="21"/>
                <w:lang w:val="en-US" w:eastAsia="zh-CN"/>
              </w:rPr>
              <w:t>北部库房</w:t>
            </w:r>
            <w:r>
              <w:rPr>
                <w:rFonts w:hint="eastAsia" w:ascii="Times New Roman" w:hAnsi="Times New Roman" w:cs="Times New Roman"/>
                <w:color w:val="auto"/>
                <w:sz w:val="21"/>
                <w:szCs w:val="21"/>
                <w:lang w:val="en-US" w:eastAsia="zh-CN"/>
              </w:rPr>
              <w:t>东侧用于成品储存，冷却塔位于南部生产车间西北侧，危废间位于南</w:t>
            </w:r>
            <w:r>
              <w:rPr>
                <w:rFonts w:hint="eastAsia" w:ascii="Times New Roman" w:hAnsi="Times New Roman" w:cs="Times New Roman"/>
                <w:b w:val="0"/>
                <w:bCs w:val="0"/>
                <w:color w:val="auto"/>
                <w:sz w:val="21"/>
                <w:szCs w:val="21"/>
                <w:lang w:val="en-US" w:eastAsia="zh-CN"/>
              </w:rPr>
              <w:t>部生产车间</w:t>
            </w:r>
            <w:r>
              <w:rPr>
                <w:rFonts w:hint="eastAsia" w:ascii="Times New Roman" w:hAnsi="Times New Roman" w:cs="Times New Roman"/>
                <w:color w:val="auto"/>
                <w:sz w:val="21"/>
                <w:szCs w:val="21"/>
                <w:lang w:val="en-US" w:eastAsia="zh-CN"/>
              </w:rPr>
              <w:t>内西南角</w:t>
            </w: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w:t>
            </w:r>
          </w:p>
          <w:p w14:paraId="6F258D28">
            <w:pPr>
              <w:keepNext w:val="0"/>
              <w:keepLines w:val="0"/>
              <w:pageBreakBefore w:val="0"/>
              <w:widowControl/>
              <w:kinsoku/>
              <w:wordWrap/>
              <w:overflowPunct/>
              <w:topLinePunct w:val="0"/>
              <w:autoSpaceDE/>
              <w:autoSpaceDN/>
              <w:bidi w:val="0"/>
              <w:adjustRightInd/>
              <w:snapToGrid/>
              <w:spacing w:before="0" w:line="400" w:lineRule="exact"/>
              <w:ind w:left="110" w:leftChars="50" w:right="0" w:rightChars="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kern w:val="44"/>
                <w:sz w:val="21"/>
                <w:szCs w:val="21"/>
                <w:lang w:eastAsia="zh-CN"/>
              </w:rPr>
              <w:t>根据《工业企业总平面设计规范》（</w:t>
            </w:r>
            <w:r>
              <w:rPr>
                <w:rFonts w:hint="default" w:ascii="Times New Roman" w:hAnsi="Times New Roman" w:cs="Times New Roman"/>
                <w:color w:val="auto"/>
                <w:kern w:val="44"/>
                <w:sz w:val="21"/>
                <w:szCs w:val="21"/>
                <w:lang w:val="en-US" w:eastAsia="zh-CN"/>
              </w:rPr>
              <w:t>GB50187-2012</w:t>
            </w:r>
            <w:r>
              <w:rPr>
                <w:rFonts w:hint="default" w:ascii="Times New Roman" w:hAnsi="Times New Roman" w:cs="Times New Roman"/>
                <w:color w:val="auto"/>
                <w:kern w:val="44"/>
                <w:sz w:val="21"/>
                <w:szCs w:val="21"/>
                <w:lang w:eastAsia="zh-CN"/>
              </w:rPr>
              <w:t>）的相关规定，按照</w:t>
            </w:r>
            <w:r>
              <w:rPr>
                <w:rFonts w:hint="eastAsia" w:ascii="Times New Roman" w:hAnsi="Times New Roman" w:cs="Times New Roman"/>
                <w:color w:val="auto"/>
                <w:kern w:val="44"/>
                <w:sz w:val="21"/>
                <w:szCs w:val="21"/>
                <w:lang w:eastAsia="zh-CN"/>
              </w:rPr>
              <w:t>“</w:t>
            </w:r>
            <w:r>
              <w:rPr>
                <w:rFonts w:hint="default" w:ascii="Times New Roman" w:hAnsi="Times New Roman" w:cs="Times New Roman"/>
                <w:color w:val="auto"/>
                <w:kern w:val="44"/>
                <w:sz w:val="21"/>
                <w:szCs w:val="21"/>
                <w:lang w:eastAsia="zh-CN"/>
              </w:rPr>
              <w:t>合理分区，物流便捷，突出环保，和谐统一</w:t>
            </w:r>
            <w:r>
              <w:rPr>
                <w:rFonts w:hint="eastAsia" w:ascii="Times New Roman" w:hAnsi="Times New Roman" w:cs="Times New Roman"/>
                <w:color w:val="auto"/>
                <w:kern w:val="44"/>
                <w:sz w:val="21"/>
                <w:szCs w:val="21"/>
                <w:lang w:eastAsia="zh-CN"/>
              </w:rPr>
              <w:t>”</w:t>
            </w:r>
            <w:r>
              <w:rPr>
                <w:rFonts w:hint="default" w:ascii="Times New Roman" w:hAnsi="Times New Roman" w:cs="Times New Roman"/>
                <w:color w:val="auto"/>
                <w:kern w:val="44"/>
                <w:sz w:val="21"/>
                <w:szCs w:val="21"/>
                <w:lang w:eastAsia="zh-CN"/>
              </w:rPr>
              <w:t>的原则，结合场地的用地条件及生产工艺，综合考虑了生产、环保、绿化、劳动卫生要求，对厂区进行了统筹安排。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p>
        </w:tc>
      </w:tr>
      <w:tr w14:paraId="00124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96" w:hRule="atLeast"/>
          <w:jc w:val="center"/>
        </w:trPr>
        <w:tc>
          <w:tcPr>
            <w:tcW w:w="373" w:type="dxa"/>
            <w:tcBorders>
              <w:top w:val="single" w:color="000000" w:sz="4" w:space="0"/>
              <w:bottom w:val="single" w:color="000000" w:sz="4" w:space="0"/>
              <w:right w:val="single" w:color="000000" w:sz="4" w:space="0"/>
            </w:tcBorders>
            <w:vAlign w:val="center"/>
          </w:tcPr>
          <w:p w14:paraId="0886095C">
            <w:pPr>
              <w:pStyle w:val="55"/>
              <w:keepNext w:val="0"/>
              <w:keepLines w:val="0"/>
              <w:pageBreakBefore w:val="0"/>
              <w:widowControl w:val="0"/>
              <w:kinsoku/>
              <w:wordWrap/>
              <w:overflowPunct/>
              <w:topLinePunct w:val="0"/>
              <w:autoSpaceDE w:val="0"/>
              <w:autoSpaceDN w:val="0"/>
              <w:bidi w:val="0"/>
              <w:adjustRightInd/>
              <w:snapToGrid/>
              <w:spacing w:before="0" w:line="243"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工艺流程和产排污环节</w:t>
            </w:r>
          </w:p>
        </w:tc>
        <w:tc>
          <w:tcPr>
            <w:tcW w:w="8996" w:type="dxa"/>
            <w:tcBorders>
              <w:top w:val="single" w:color="000000" w:sz="4" w:space="0"/>
              <w:left w:val="single" w:color="000000" w:sz="4" w:space="0"/>
              <w:bottom w:val="single" w:color="000000" w:sz="4" w:space="0"/>
            </w:tcBorders>
            <w:vAlign w:val="top"/>
          </w:tcPr>
          <w:p w14:paraId="71BE8D77">
            <w:pPr>
              <w:keepNext w:val="0"/>
              <w:keepLines w:val="0"/>
              <w:pageBreakBefore w:val="0"/>
              <w:widowControl w:val="0"/>
              <w:kinsoku/>
              <w:wordWrap/>
              <w:overflowPunct/>
              <w:topLinePunct w:val="0"/>
              <w:autoSpaceDE/>
              <w:autoSpaceDN/>
              <w:bidi w:val="0"/>
              <w:adjustRightInd/>
              <w:snapToGrid/>
              <w:spacing w:line="400" w:lineRule="exact"/>
              <w:ind w:left="110" w:leftChars="50" w:right="0"/>
              <w:textAlignment w:val="auto"/>
              <w:outlineLvl w:val="1"/>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lang w:val="en-US" w:eastAsia="zh-CN"/>
              </w:rPr>
              <w:t>一、施工</w:t>
            </w:r>
            <w:r>
              <w:rPr>
                <w:rFonts w:hint="default" w:ascii="Times New Roman" w:hAnsi="Times New Roman" w:cs="Times New Roman"/>
                <w:b/>
                <w:bCs/>
                <w:color w:val="auto"/>
                <w:sz w:val="21"/>
                <w:szCs w:val="21"/>
              </w:rPr>
              <w:t>期工艺简述：</w:t>
            </w:r>
          </w:p>
          <w:p w14:paraId="54575B6E">
            <w:pPr>
              <w:keepNext w:val="0"/>
              <w:keepLines w:val="0"/>
              <w:suppressLineNumbers w:val="0"/>
              <w:autoSpaceDE/>
              <w:autoSpaceDN/>
              <w:spacing w:beforeAutospacing="0" w:afterAutospacing="0" w:line="400" w:lineRule="exact"/>
              <w:ind w:left="110" w:leftChars="50" w:firstLine="630" w:firstLineChars="300"/>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本项目租赁已建成厂房，</w:t>
            </w:r>
            <w:r>
              <w:rPr>
                <w:rFonts w:hint="default" w:ascii="Times New Roman" w:hAnsi="Times New Roman" w:eastAsia="宋体" w:cs="Times New Roman"/>
                <w:color w:val="auto"/>
                <w:sz w:val="21"/>
                <w:szCs w:val="21"/>
              </w:rPr>
              <w:t>施工期主要为</w:t>
            </w:r>
            <w:r>
              <w:rPr>
                <w:rFonts w:hint="eastAsia" w:ascii="Times New Roman" w:hAnsi="Times New Roman" w:cs="Times New Roman"/>
                <w:color w:val="auto"/>
                <w:sz w:val="21"/>
                <w:szCs w:val="21"/>
                <w:lang w:eastAsia="zh-CN"/>
              </w:rPr>
              <w:t>建设危废间、</w:t>
            </w:r>
            <w:r>
              <w:rPr>
                <w:rFonts w:hint="eastAsia" w:ascii="Times New Roman" w:hAnsi="Times New Roman" w:cs="Times New Roman"/>
                <w:color w:val="auto"/>
                <w:sz w:val="21"/>
                <w:szCs w:val="21"/>
                <w:lang w:val="en-US" w:eastAsia="zh-CN"/>
              </w:rPr>
              <w:t>对地面防渗进行改造</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设备的安装和调试</w:t>
            </w:r>
            <w:r>
              <w:rPr>
                <w:rFonts w:hint="eastAsia" w:ascii="Times New Roman" w:hAnsi="Times New Roman" w:cs="Times New Roman"/>
                <w:color w:val="auto"/>
                <w:sz w:val="21"/>
                <w:szCs w:val="21"/>
                <w:lang w:eastAsia="zh-CN"/>
              </w:rPr>
              <w:t>、建筑材料运输、堆放，</w:t>
            </w:r>
            <w:r>
              <w:rPr>
                <w:rFonts w:hint="default" w:ascii="Times New Roman" w:hAnsi="Times New Roman" w:eastAsia="宋体" w:cs="Times New Roman"/>
                <w:color w:val="auto"/>
                <w:sz w:val="21"/>
                <w:szCs w:val="21"/>
              </w:rPr>
              <w:t>随着设备安装完成，污染随之消失，不会对周围环境产生明显不利影响</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本项目施工期</w:t>
            </w:r>
            <w:r>
              <w:rPr>
                <w:rFonts w:hint="default" w:ascii="Times New Roman" w:hAnsi="Times New Roman" w:eastAsia="宋体" w:cs="Times New Roman"/>
                <w:color w:val="auto"/>
                <w:sz w:val="21"/>
                <w:szCs w:val="21"/>
                <w:lang w:val="en-US" w:eastAsia="zh-CN"/>
              </w:rPr>
              <w:t>的工艺</w:t>
            </w:r>
            <w:r>
              <w:rPr>
                <w:rFonts w:hint="eastAsia" w:ascii="Times New Roman" w:hAnsi="Times New Roman" w:eastAsia="宋体" w:cs="Times New Roman"/>
                <w:color w:val="auto"/>
                <w:sz w:val="21"/>
                <w:szCs w:val="21"/>
                <w:lang w:val="en-US" w:eastAsia="zh-CN"/>
              </w:rPr>
              <w:t>如下图</w:t>
            </w:r>
            <w:r>
              <w:rPr>
                <w:rFonts w:hint="default" w:ascii="Times New Roman" w:hAnsi="Times New Roman" w:cs="Times New Roman"/>
                <w:color w:val="auto"/>
                <w:sz w:val="21"/>
                <w:szCs w:val="21"/>
              </w:rPr>
              <w:t>。</w:t>
            </w:r>
          </w:p>
          <w:p w14:paraId="48A6BB62">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jc w:val="center"/>
              <w:textAlignment w:val="auto"/>
              <w:rPr>
                <w:rFonts w:hint="default" w:ascii="Times New Roman" w:hAnsi="Times New Roman" w:cs="Times New Roman"/>
                <w:b/>
                <w:bCs/>
                <w:color w:val="auto"/>
                <w:sz w:val="21"/>
                <w:szCs w:val="21"/>
                <w:lang w:eastAsia="zh-CN"/>
              </w:rPr>
            </w:pPr>
            <w:r>
              <w:rPr>
                <w:color w:val="auto"/>
                <w:sz w:val="21"/>
              </w:rPr>
              <mc:AlternateContent>
                <mc:Choice Requires="wpg">
                  <w:drawing>
                    <wp:anchor distT="0" distB="0" distL="114300" distR="114300" simplePos="0" relativeHeight="251671552" behindDoc="0" locked="0" layoutInCell="1" allowOverlap="1">
                      <wp:simplePos x="0" y="0"/>
                      <wp:positionH relativeFrom="column">
                        <wp:posOffset>386715</wp:posOffset>
                      </wp:positionH>
                      <wp:positionV relativeFrom="paragraph">
                        <wp:posOffset>128270</wp:posOffset>
                      </wp:positionV>
                      <wp:extent cx="4886960" cy="2043430"/>
                      <wp:effectExtent l="4445" t="4445" r="0" b="9525"/>
                      <wp:wrapTopAndBottom/>
                      <wp:docPr id="22" name="组合 22"/>
                      <wp:cNvGraphicFramePr/>
                      <a:graphic xmlns:a="http://schemas.openxmlformats.org/drawingml/2006/main">
                        <a:graphicData uri="http://schemas.microsoft.com/office/word/2010/wordprocessingGroup">
                          <wpg:wgp>
                            <wpg:cNvGrpSpPr/>
                            <wpg:grpSpPr>
                              <a:xfrm>
                                <a:off x="0" y="0"/>
                                <a:ext cx="4886960" cy="2043430"/>
                                <a:chOff x="1943" y="422140"/>
                                <a:chExt cx="7696" cy="3218"/>
                              </a:xfrm>
                            </wpg:grpSpPr>
                            <wpg:grpSp>
                              <wpg:cNvPr id="21" name="组合 19"/>
                              <wpg:cNvGrpSpPr/>
                              <wpg:grpSpPr>
                                <a:xfrm rot="0">
                                  <a:off x="1943" y="422140"/>
                                  <a:ext cx="7696" cy="3218"/>
                                  <a:chOff x="0" y="0"/>
                                  <a:chExt cx="7696" cy="3218"/>
                                </a:xfrm>
                                <a:effectLst/>
                              </wpg:grpSpPr>
                              <wps:wsp>
                                <wps:cNvPr id="145" name="Line 1152"/>
                                <wps:cNvCnPr>
                                  <a:cxnSpLocks noChangeShapeType="1"/>
                                  <a:stCxn id="185" idx="0"/>
                                  <a:endCxn id="155" idx="5"/>
                                </wps:cNvCnPr>
                                <wps:spPr bwMode="auto">
                                  <a:xfrm flipH="1" flipV="1">
                                    <a:off x="1536" y="427"/>
                                    <a:ext cx="3717" cy="1116"/>
                                  </a:xfrm>
                                  <a:prstGeom prst="line">
                                    <a:avLst/>
                                  </a:prstGeom>
                                  <a:noFill/>
                                  <a:ln w="9525">
                                    <a:solidFill>
                                      <a:srgbClr val="000000"/>
                                    </a:solidFill>
                                    <a:round/>
                                    <a:tailEnd type="triangle" w="med" len="med"/>
                                  </a:ln>
                                  <a:effectLst/>
                                </wps:spPr>
                                <wps:bodyPr/>
                              </wps:wsp>
                              <wps:wsp>
                                <wps:cNvPr id="147" name="Line 1030"/>
                                <wps:cNvCnPr>
                                  <a:cxnSpLocks noChangeShapeType="1"/>
                                </wps:cNvCnPr>
                                <wps:spPr bwMode="auto">
                                  <a:xfrm flipV="1">
                                    <a:off x="1235" y="402"/>
                                    <a:ext cx="1472" cy="1171"/>
                                  </a:xfrm>
                                  <a:prstGeom prst="line">
                                    <a:avLst/>
                                  </a:prstGeom>
                                  <a:noFill/>
                                  <a:ln w="9525">
                                    <a:solidFill>
                                      <a:srgbClr val="000000"/>
                                    </a:solidFill>
                                    <a:round/>
                                    <a:tailEnd type="stealth" w="med" len="lg"/>
                                  </a:ln>
                                  <a:effectLst/>
                                </wps:spPr>
                                <wps:bodyPr/>
                              </wps:wsp>
                              <wps:wsp>
                                <wps:cNvPr id="148" name="Line 1022"/>
                                <wps:cNvCnPr>
                                  <a:cxnSpLocks noChangeShapeType="1"/>
                                </wps:cNvCnPr>
                                <wps:spPr bwMode="auto">
                                  <a:xfrm flipH="1">
                                    <a:off x="4320" y="244"/>
                                    <a:ext cx="900" cy="1"/>
                                  </a:xfrm>
                                  <a:prstGeom prst="line">
                                    <a:avLst/>
                                  </a:prstGeom>
                                  <a:noFill/>
                                  <a:ln w="9525">
                                    <a:solidFill>
                                      <a:srgbClr val="000000"/>
                                    </a:solidFill>
                                    <a:round/>
                                    <a:tailEnd type="stealth" w="med" len="lg"/>
                                  </a:ln>
                                  <a:effectLst/>
                                </wps:spPr>
                                <wps:bodyPr/>
                              </wps:wsp>
                              <wps:wsp>
                                <wps:cNvPr id="149" name="Rectangle 1010"/>
                                <wps:cNvSpPr>
                                  <a:spLocks noChangeArrowheads="1"/>
                                </wps:cNvSpPr>
                                <wps:spPr bwMode="auto">
                                  <a:xfrm>
                                    <a:off x="5221" y="0"/>
                                    <a:ext cx="1980" cy="468"/>
                                  </a:xfrm>
                                  <a:prstGeom prst="rect">
                                    <a:avLst/>
                                  </a:prstGeom>
                                  <a:noFill/>
                                  <a:ln w="9525">
                                    <a:solidFill>
                                      <a:srgbClr val="000000"/>
                                    </a:solidFill>
                                    <a:miter lim="800000"/>
                                  </a:ln>
                                  <a:effectLst/>
                                </wps:spPr>
                                <wps:bodyPr/>
                              </wps:wsp>
                              <wps:wsp>
                                <wps:cNvPr id="150" name="Text Box 1009"/>
                                <wps:cNvSpPr txBox="1">
                                  <a:spLocks noChangeArrowheads="1"/>
                                </wps:cNvSpPr>
                                <wps:spPr bwMode="auto">
                                  <a:xfrm>
                                    <a:off x="3015" y="28"/>
                                    <a:ext cx="900" cy="468"/>
                                  </a:xfrm>
                                  <a:prstGeom prst="rect">
                                    <a:avLst/>
                                  </a:prstGeom>
                                  <a:solidFill>
                                    <a:srgbClr val="FFFFFF">
                                      <a:alpha val="0"/>
                                    </a:srgbClr>
                                  </a:solidFill>
                                  <a:ln>
                                    <a:noFill/>
                                  </a:ln>
                                  <a:effectLst/>
                                </wps:spPr>
                                <wps:txbx>
                                  <w:txbxContent>
                                    <w:p w14:paraId="4C8D087D">
                                      <w:pPr>
                                        <w:pStyle w:val="29"/>
                                        <w:spacing w:line="240" w:lineRule="auto"/>
                                      </w:pPr>
                                      <w:r>
                                        <w:rPr>
                                          <w:rFonts w:ascii="宋体" w:hAnsi="宋体" w:eastAsia="宋体"/>
                                          <w:kern w:val="2"/>
                                          <w:sz w:val="21"/>
                                          <w:szCs w:val="21"/>
                                        </w:rPr>
                                        <w:t>扬尘</w:t>
                                      </w:r>
                                      <w:r>
                                        <w:rPr>
                                          <w:rFonts w:ascii="宋体" w:hAnsi="宋体" w:eastAsia="宋体"/>
                                          <w:kern w:val="2"/>
                                          <w:sz w:val="22"/>
                                          <w:szCs w:val="22"/>
                                        </w:rPr>
                                        <w:t xml:space="preserve"> </w:t>
                                      </w:r>
                                    </w:p>
                                    <w:p w14:paraId="1FBAE0DA">
                                      <w:pPr>
                                        <w:pStyle w:val="29"/>
                                      </w:pPr>
                                      <w:r>
                                        <w:rPr>
                                          <w:rFonts w:ascii="宋体" w:hAnsi="宋体" w:eastAsia="宋体"/>
                                          <w:kern w:val="2"/>
                                          <w:sz w:val="22"/>
                                          <w:szCs w:val="22"/>
                                        </w:rPr>
                                        <w:t> </w:t>
                                      </w:r>
                                    </w:p>
                                    <w:p w14:paraId="41D9DBB6">
                                      <w:pPr>
                                        <w:pStyle w:val="29"/>
                                      </w:pPr>
                                      <w:r>
                                        <w:rPr>
                                          <w:rFonts w:ascii="宋体" w:hAnsi="宋体" w:eastAsia="宋体"/>
                                          <w:kern w:val="2"/>
                                          <w:sz w:val="22"/>
                                          <w:szCs w:val="22"/>
                                        </w:rPr>
                                        <w:t> </w:t>
                                      </w:r>
                                    </w:p>
                                    <w:p w14:paraId="12FFAD15">
                                      <w:pPr>
                                        <w:pStyle w:val="29"/>
                                      </w:pPr>
                                      <w:r>
                                        <w:rPr>
                                          <w:rFonts w:ascii="宋体" w:hAnsi="宋体" w:eastAsia="宋体"/>
                                          <w:kern w:val="2"/>
                                          <w:sz w:val="22"/>
                                          <w:szCs w:val="22"/>
                                        </w:rPr>
                                        <w:t> </w:t>
                                      </w:r>
                                    </w:p>
                                  </w:txbxContent>
                                </wps:txbx>
                                <wps:bodyPr rot="0" vert="horz" wrap="square" lIns="91439" tIns="45719" rIns="91439" bIns="45719" anchor="t" anchorCtr="0" upright="1">
                                  <a:noAutofit/>
                                </wps:bodyPr>
                              </wps:wsp>
                              <wps:wsp>
                                <wps:cNvPr id="153" name="Oval 1008"/>
                                <wps:cNvSpPr>
                                  <a:spLocks noChangeArrowheads="1"/>
                                </wps:cNvSpPr>
                                <wps:spPr bwMode="auto">
                                  <a:xfrm>
                                    <a:off x="2520" y="28"/>
                                    <a:ext cx="1800" cy="468"/>
                                  </a:xfrm>
                                  <a:prstGeom prst="ellipse">
                                    <a:avLst/>
                                  </a:prstGeom>
                                  <a:noFill/>
                                  <a:ln w="9525">
                                    <a:solidFill>
                                      <a:srgbClr val="000000"/>
                                    </a:solidFill>
                                    <a:round/>
                                  </a:ln>
                                  <a:effectLst/>
                                </wps:spPr>
                                <wps:bodyPr/>
                              </wps:wsp>
                              <wps:wsp>
                                <wps:cNvPr id="154" name="Text Box 1007"/>
                                <wps:cNvSpPr txBox="1">
                                  <a:spLocks noChangeArrowheads="1"/>
                                </wps:cNvSpPr>
                                <wps:spPr bwMode="auto">
                                  <a:xfrm>
                                    <a:off x="540" y="28"/>
                                    <a:ext cx="900" cy="468"/>
                                  </a:xfrm>
                                  <a:prstGeom prst="rect">
                                    <a:avLst/>
                                  </a:prstGeom>
                                  <a:solidFill>
                                    <a:srgbClr val="FFFFFF">
                                      <a:alpha val="0"/>
                                    </a:srgbClr>
                                  </a:solidFill>
                                  <a:ln>
                                    <a:noFill/>
                                  </a:ln>
                                  <a:effectLst/>
                                </wps:spPr>
                                <wps:txbx>
                                  <w:txbxContent>
                                    <w:p w14:paraId="3628C394">
                                      <w:pPr>
                                        <w:pStyle w:val="29"/>
                                        <w:spacing w:line="240" w:lineRule="auto"/>
                                      </w:pPr>
                                      <w:r>
                                        <w:rPr>
                                          <w:rFonts w:ascii="宋体" w:hAnsi="宋体" w:eastAsia="宋体"/>
                                          <w:kern w:val="2"/>
                                          <w:sz w:val="21"/>
                                          <w:szCs w:val="21"/>
                                        </w:rPr>
                                        <w:t>噪 声</w:t>
                                      </w:r>
                                    </w:p>
                                  </w:txbxContent>
                                </wps:txbx>
                                <wps:bodyPr rot="0" vert="horz" wrap="square" lIns="91439" tIns="45719" rIns="91439" bIns="45719" anchor="t" anchorCtr="0" upright="1">
                                  <a:noAutofit/>
                                </wps:bodyPr>
                              </wps:wsp>
                              <wps:wsp>
                                <wps:cNvPr id="155" name="Oval 1006"/>
                                <wps:cNvSpPr>
                                  <a:spLocks noChangeArrowheads="1"/>
                                </wps:cNvSpPr>
                                <wps:spPr bwMode="auto">
                                  <a:xfrm>
                                    <a:off x="0" y="28"/>
                                    <a:ext cx="1800" cy="468"/>
                                  </a:xfrm>
                                  <a:prstGeom prst="ellipse">
                                    <a:avLst/>
                                  </a:prstGeom>
                                  <a:noFill/>
                                  <a:ln w="9525">
                                    <a:solidFill>
                                      <a:srgbClr val="000000"/>
                                    </a:solidFill>
                                    <a:round/>
                                  </a:ln>
                                  <a:effectLst/>
                                </wps:spPr>
                                <wps:bodyPr/>
                              </wps:wsp>
                              <wps:wsp>
                                <wps:cNvPr id="156" name="Text Box 1004"/>
                                <wps:cNvSpPr txBox="1">
                                  <a:spLocks noChangeArrowheads="1"/>
                                </wps:cNvSpPr>
                                <wps:spPr bwMode="auto">
                                  <a:xfrm>
                                    <a:off x="4996" y="30"/>
                                    <a:ext cx="2700" cy="468"/>
                                  </a:xfrm>
                                  <a:prstGeom prst="rect">
                                    <a:avLst/>
                                  </a:prstGeom>
                                  <a:solidFill>
                                    <a:srgbClr val="FFFFFF">
                                      <a:alpha val="0"/>
                                    </a:srgbClr>
                                  </a:solidFill>
                                  <a:ln>
                                    <a:noFill/>
                                  </a:ln>
                                  <a:effectLst/>
                                </wps:spPr>
                                <wps:txbx>
                                  <w:txbxContent>
                                    <w:p w14:paraId="330F9119">
                                      <w:pPr>
                                        <w:pStyle w:val="29"/>
                                        <w:spacing w:line="240" w:lineRule="auto"/>
                                        <w:ind w:firstLine="315"/>
                                      </w:pPr>
                                      <w:r>
                                        <w:rPr>
                                          <w:rFonts w:ascii="宋体" w:hAnsi="宋体" w:eastAsia="宋体"/>
                                          <w:kern w:val="2"/>
                                          <w:sz w:val="21"/>
                                          <w:szCs w:val="21"/>
                                        </w:rPr>
                                        <w:t>物料堆放、运输</w:t>
                                      </w:r>
                                    </w:p>
                                  </w:txbxContent>
                                </wps:txbx>
                                <wps:bodyPr rot="0" vert="horz" wrap="square" lIns="91439" tIns="45719" rIns="91439" bIns="45719" anchor="t" anchorCtr="0" upright="1">
                                  <a:noAutofit/>
                                </wps:bodyPr>
                              </wps:wsp>
                              <wps:wsp>
                                <wps:cNvPr id="158" name="Line 1029"/>
                                <wps:cNvCnPr>
                                  <a:cxnSpLocks noChangeShapeType="1"/>
                                </wps:cNvCnPr>
                                <wps:spPr bwMode="auto">
                                  <a:xfrm flipH="1" flipV="1">
                                    <a:off x="900" y="495"/>
                                    <a:ext cx="350" cy="1048"/>
                                  </a:xfrm>
                                  <a:prstGeom prst="line">
                                    <a:avLst/>
                                  </a:prstGeom>
                                  <a:noFill/>
                                  <a:ln w="9525">
                                    <a:solidFill>
                                      <a:srgbClr val="000000"/>
                                    </a:solidFill>
                                    <a:round/>
                                    <a:tailEnd type="stealth" w="med" len="lg"/>
                                  </a:ln>
                                  <a:effectLst/>
                                </wps:spPr>
                                <wps:bodyPr/>
                              </wps:wsp>
                              <wps:wsp>
                                <wps:cNvPr id="8" name="Line 1034"/>
                                <wps:cNvCnPr>
                                  <a:cxnSpLocks noChangeShapeType="1"/>
                                </wps:cNvCnPr>
                                <wps:spPr bwMode="auto">
                                  <a:xfrm>
                                    <a:off x="1115" y="2038"/>
                                    <a:ext cx="1164" cy="665"/>
                                  </a:xfrm>
                                  <a:prstGeom prst="line">
                                    <a:avLst/>
                                  </a:prstGeom>
                                  <a:noFill/>
                                  <a:ln w="9525">
                                    <a:solidFill>
                                      <a:srgbClr val="000000"/>
                                    </a:solidFill>
                                    <a:round/>
                                    <a:tailEnd type="stealth" w="med" len="lg"/>
                                  </a:ln>
                                  <a:effectLst/>
                                </wps:spPr>
                                <wps:bodyPr/>
                              </wps:wsp>
                              <wps:wsp>
                                <wps:cNvPr id="176" name="Text Box 1012"/>
                                <wps:cNvSpPr txBox="1">
                                  <a:spLocks noChangeArrowheads="1"/>
                                </wps:cNvSpPr>
                                <wps:spPr bwMode="auto">
                                  <a:xfrm>
                                    <a:off x="418" y="1575"/>
                                    <a:ext cx="3268" cy="559"/>
                                  </a:xfrm>
                                  <a:prstGeom prst="rect">
                                    <a:avLst/>
                                  </a:prstGeom>
                                  <a:noFill/>
                                  <a:ln>
                                    <a:noFill/>
                                  </a:ln>
                                  <a:effectLst/>
                                </wps:spPr>
                                <wps:txbx>
                                  <w:txbxContent>
                                    <w:p w14:paraId="52F734CF">
                                      <w:pPr>
                                        <w:pStyle w:val="29"/>
                                        <w:rPr>
                                          <w:rFonts w:hint="default" w:eastAsia="宋体"/>
                                          <w:sz w:val="22"/>
                                          <w:szCs w:val="22"/>
                                          <w:lang w:val="en-US" w:eastAsia="zh-CN"/>
                                        </w:rPr>
                                      </w:pPr>
                                      <w:r>
                                        <w:rPr>
                                          <w:rFonts w:hint="eastAsia"/>
                                          <w:kern w:val="2"/>
                                          <w:sz w:val="21"/>
                                          <w:szCs w:val="21"/>
                                          <w:lang w:val="en-US" w:eastAsia="zh-CN"/>
                                        </w:rPr>
                                        <w:t>危废间</w:t>
                                      </w:r>
                                      <w:r>
                                        <w:rPr>
                                          <w:rFonts w:ascii="宋体" w:hAnsi="宋体" w:eastAsia="宋体"/>
                                          <w:kern w:val="2"/>
                                          <w:sz w:val="21"/>
                                          <w:szCs w:val="21"/>
                                        </w:rPr>
                                        <w:t>建设</w:t>
                                      </w:r>
                                      <w:r>
                                        <w:rPr>
                                          <w:rFonts w:hint="eastAsia" w:ascii="宋体" w:hAnsi="宋体" w:eastAsia="宋体"/>
                                          <w:kern w:val="2"/>
                                          <w:sz w:val="21"/>
                                          <w:szCs w:val="21"/>
                                          <w:lang w:eastAsia="zh-CN"/>
                                        </w:rPr>
                                        <w:t>、</w:t>
                                      </w:r>
                                      <w:r>
                                        <w:rPr>
                                          <w:rFonts w:hint="eastAsia" w:ascii="宋体" w:hAnsi="宋体" w:eastAsia="宋体"/>
                                          <w:kern w:val="2"/>
                                          <w:sz w:val="21"/>
                                          <w:szCs w:val="21"/>
                                          <w:lang w:val="en-US" w:eastAsia="zh-CN"/>
                                        </w:rPr>
                                        <w:t>地面防渗</w:t>
                                      </w:r>
                                    </w:p>
                                  </w:txbxContent>
                                </wps:txbx>
                                <wps:bodyPr rot="0" vert="horz" wrap="square" lIns="91439" tIns="45719" rIns="91439" bIns="45719" anchor="t" anchorCtr="0" upright="1">
                                  <a:noAutofit/>
                                </wps:bodyPr>
                              </wps:wsp>
                              <wps:wsp>
                                <wps:cNvPr id="180" name="Rectangle 1013"/>
                                <wps:cNvSpPr>
                                  <a:spLocks noChangeArrowheads="1"/>
                                </wps:cNvSpPr>
                                <wps:spPr bwMode="auto">
                                  <a:xfrm>
                                    <a:off x="34" y="1573"/>
                                    <a:ext cx="3884" cy="468"/>
                                  </a:xfrm>
                                  <a:prstGeom prst="rect">
                                    <a:avLst/>
                                  </a:prstGeom>
                                  <a:noFill/>
                                  <a:ln w="9525">
                                    <a:solidFill>
                                      <a:srgbClr val="000000"/>
                                    </a:solidFill>
                                    <a:miter lim="800000"/>
                                  </a:ln>
                                  <a:effectLst/>
                                </wps:spPr>
                                <wps:bodyPr/>
                              </wps:wsp>
                              <wps:wsp>
                                <wps:cNvPr id="183" name="Text Box 1016"/>
                                <wps:cNvSpPr txBox="1">
                                  <a:spLocks noChangeArrowheads="1"/>
                                </wps:cNvSpPr>
                                <wps:spPr bwMode="auto">
                                  <a:xfrm>
                                    <a:off x="4743" y="1588"/>
                                    <a:ext cx="1260" cy="468"/>
                                  </a:xfrm>
                                  <a:prstGeom prst="rect">
                                    <a:avLst/>
                                  </a:prstGeom>
                                  <a:noFill/>
                                  <a:ln>
                                    <a:noFill/>
                                  </a:ln>
                                  <a:effectLst/>
                                </wps:spPr>
                                <wps:txbx>
                                  <w:txbxContent>
                                    <w:p w14:paraId="38A5B187">
                                      <w:pPr>
                                        <w:pStyle w:val="29"/>
                                        <w:spacing w:line="240" w:lineRule="auto"/>
                                      </w:pPr>
                                      <w:r>
                                        <w:rPr>
                                          <w:rFonts w:ascii="宋体" w:hAnsi="宋体" w:eastAsia="宋体"/>
                                          <w:color w:val="000000"/>
                                          <w:kern w:val="2"/>
                                          <w:sz w:val="21"/>
                                          <w:szCs w:val="21"/>
                                        </w:rPr>
                                        <w:t>设备安装</w:t>
                                      </w:r>
                                    </w:p>
                                    <w:p w14:paraId="40661DFE">
                                      <w:pPr>
                                        <w:pStyle w:val="29"/>
                                        <w:spacing w:line="240" w:lineRule="auto"/>
                                        <w:ind w:firstLine="560"/>
                                      </w:pPr>
                                      <w:r>
                                        <w:rPr>
                                          <w:rFonts w:ascii="宋体" w:hAnsi="宋体" w:eastAsia="宋体"/>
                                          <w:kern w:val="2"/>
                                          <w:sz w:val="28"/>
                                          <w:szCs w:val="28"/>
                                        </w:rPr>
                                        <w:t> </w:t>
                                      </w:r>
                                    </w:p>
                                  </w:txbxContent>
                                </wps:txbx>
                                <wps:bodyPr rot="0" vert="horz" wrap="square" lIns="91439" tIns="45719" rIns="91439" bIns="45719" anchor="t" anchorCtr="0" upright="1">
                                  <a:noAutofit/>
                                </wps:bodyPr>
                              </wps:wsp>
                              <wps:wsp>
                                <wps:cNvPr id="185" name="Rectangle 1019"/>
                                <wps:cNvSpPr>
                                  <a:spLocks noChangeArrowheads="1"/>
                                </wps:cNvSpPr>
                                <wps:spPr bwMode="auto">
                                  <a:xfrm>
                                    <a:off x="4623" y="1543"/>
                                    <a:ext cx="1260" cy="468"/>
                                  </a:xfrm>
                                  <a:prstGeom prst="rect">
                                    <a:avLst/>
                                  </a:prstGeom>
                                  <a:noFill/>
                                  <a:ln w="9525">
                                    <a:solidFill>
                                      <a:srgbClr val="000000"/>
                                    </a:solidFill>
                                    <a:miter lim="800000"/>
                                  </a:ln>
                                  <a:effectLst/>
                                </wps:spPr>
                                <wps:bodyPr/>
                              </wps:wsp>
                              <wps:wsp>
                                <wps:cNvPr id="190" name="Line 1038"/>
                                <wps:cNvCnPr>
                                  <a:cxnSpLocks noChangeShapeType="1"/>
                                  <a:stCxn id="180" idx="3"/>
                                </wps:cNvCnPr>
                                <wps:spPr bwMode="auto">
                                  <a:xfrm flipV="1">
                                    <a:off x="3918" y="1798"/>
                                    <a:ext cx="743" cy="9"/>
                                  </a:xfrm>
                                  <a:prstGeom prst="line">
                                    <a:avLst/>
                                  </a:prstGeom>
                                  <a:noFill/>
                                  <a:ln w="12700" cap="rnd">
                                    <a:solidFill>
                                      <a:srgbClr val="000000"/>
                                    </a:solidFill>
                                    <a:prstDash val="sysDot"/>
                                    <a:round/>
                                    <a:tailEnd type="triangle" w="med" len="med"/>
                                  </a:ln>
                                  <a:effectLst/>
                                </wps:spPr>
                                <wps:bodyPr/>
                              </wps:wsp>
                              <wps:wsp>
                                <wps:cNvPr id="193" name="Text Box 1033"/>
                                <wps:cNvSpPr txBox="1">
                                  <a:spLocks noChangeArrowheads="1"/>
                                </wps:cNvSpPr>
                                <wps:spPr bwMode="auto">
                                  <a:xfrm>
                                    <a:off x="672" y="2746"/>
                                    <a:ext cx="6248" cy="468"/>
                                  </a:xfrm>
                                  <a:prstGeom prst="rect">
                                    <a:avLst/>
                                  </a:prstGeom>
                                  <a:solidFill>
                                    <a:srgbClr val="FFFFFF">
                                      <a:alpha val="0"/>
                                    </a:srgbClr>
                                  </a:solidFill>
                                  <a:ln>
                                    <a:noFill/>
                                  </a:ln>
                                  <a:effectLst/>
                                </wps:spPr>
                                <wps:txbx>
                                  <w:txbxContent>
                                    <w:p w14:paraId="04F341B0">
                                      <w:pPr>
                                        <w:pStyle w:val="29"/>
                                        <w:spacing w:line="240" w:lineRule="auto"/>
                                        <w:ind w:firstLine="315"/>
                                      </w:pPr>
                                      <w:r>
                                        <w:rPr>
                                          <w:rFonts w:ascii="宋体" w:hAnsi="宋体" w:eastAsia="宋体"/>
                                          <w:kern w:val="2"/>
                                          <w:sz w:val="21"/>
                                          <w:szCs w:val="21"/>
                                        </w:rPr>
                                        <w:t>建筑垃圾、施工废水、生活垃圾、生活污水、冲洗废水</w:t>
                                      </w:r>
                                    </w:p>
                                  </w:txbxContent>
                                </wps:txbx>
                                <wps:bodyPr rot="0" vert="horz" wrap="square" lIns="91439" tIns="45719" rIns="91439" bIns="45719" anchor="t" anchorCtr="0" upright="1">
                                  <a:noAutofit/>
                                </wps:bodyPr>
                              </wps:wsp>
                              <wps:wsp>
                                <wps:cNvPr id="197" name="Rectangle 1032"/>
                                <wps:cNvSpPr>
                                  <a:spLocks noChangeArrowheads="1"/>
                                </wps:cNvSpPr>
                                <wps:spPr bwMode="auto">
                                  <a:xfrm>
                                    <a:off x="969" y="2750"/>
                                    <a:ext cx="5374" cy="468"/>
                                  </a:xfrm>
                                  <a:prstGeom prst="rect">
                                    <a:avLst/>
                                  </a:prstGeom>
                                  <a:solidFill>
                                    <a:srgbClr val="FFFFFF">
                                      <a:alpha val="0"/>
                                    </a:srgbClr>
                                  </a:solidFill>
                                  <a:ln w="9525">
                                    <a:solidFill>
                                      <a:srgbClr val="000000"/>
                                    </a:solidFill>
                                    <a:miter lim="800000"/>
                                  </a:ln>
                                  <a:effectLst/>
                                </wps:spPr>
                                <wps:bodyPr/>
                              </wps:wsp>
                            </wpg:grpSp>
                            <wps:wsp>
                              <wps:cNvPr id="16" name="Line 1034"/>
                              <wps:cNvCnPr>
                                <a:cxnSpLocks noChangeShapeType="1"/>
                              </wps:cNvCnPr>
                              <wps:spPr bwMode="auto">
                                <a:xfrm flipH="1">
                                  <a:off x="6589" y="424180"/>
                                  <a:ext cx="577" cy="739"/>
                                </a:xfrm>
                                <a:prstGeom prst="line">
                                  <a:avLst/>
                                </a:prstGeom>
                                <a:noFill/>
                                <a:ln w="9525">
                                  <a:solidFill>
                                    <a:srgbClr val="000000"/>
                                  </a:solidFill>
                                  <a:round/>
                                  <a:tailEnd type="stealth" w="med" len="lg"/>
                                </a:ln>
                                <a:effectLst/>
                              </wps:spPr>
                              <wps:bodyPr/>
                            </wps:wsp>
                          </wpg:wgp>
                        </a:graphicData>
                      </a:graphic>
                    </wp:anchor>
                  </w:drawing>
                </mc:Choice>
                <mc:Fallback>
                  <w:pict>
                    <v:group id="_x0000_s1026" o:spid="_x0000_s1026" o:spt="203" style="position:absolute;left:0pt;margin-left:30.45pt;margin-top:10.1pt;height:160.9pt;width:384.8pt;mso-wrap-distance-bottom:0pt;mso-wrap-distance-top:0pt;z-index:251671552;mso-width-relative:page;mso-height-relative:page;" coordorigin="1943,422140" coordsize="7696,3218" o:gfxdata="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">
                      <o:lock v:ext="edit" aspectratio="f"/>
                      <v:group id="组合 19" o:spid="_x0000_s1026" o:spt="203" style="position:absolute;left:1943;top:422140;height:3218;width:7696;" coordsize="7696,3218"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line id="Line 1152" o:spid="_x0000_s1026" o:spt="20" style="position:absolute;left:1536;top:427;flip:x y;height:1116;width:3717;" filled="f" stroked="t" coordsize="21600,21600" o:gfxdata="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hPVw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1030" o:spid="_x0000_s1026" o:spt="20" style="position:absolute;left:1235;top:402;flip:y;height:1171;width:1472;" filled="f" stroked="t" coordsize="21600,21600" o:gfxdata="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MVgwvQAA&#10;ANwAAAAPAAAAAAAAAAEAIAAAACIAAABkcnMvZG93bnJldi54bWxQSwECFAAUAAAACACHTuJAMy8F&#10;njsAAAA5AAAAEAAAAAAAAAABACAAAAAMAQAAZHJzL3NoYXBleG1sLnhtbFBLBQYAAAAABgAGAFsB&#10;AAC2AwAAAAA=&#10;">
                          <v:fill on="f" focussize="0,0"/>
                          <v:stroke color="#000000" joinstyle="round" endarrow="classic" endarrowlength="long"/>
                          <v:imagedata o:title=""/>
                          <o:lock v:ext="edit" aspectratio="f"/>
                        </v:line>
                        <v:line id="Line 1022" o:spid="_x0000_s1026" o:spt="20" style="position:absolute;left:4320;top:244;flip:x;height:1;width:900;" filled="f" stroked="t" coordsize="21600,21600" o:gfxdata="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rsxC&#10;wAAAANwAAAAPAAAAAAAAAAEAIAAAACIAAABkcnMvZG93bnJldi54bWxQSwECFAAUAAAACACHTuJA&#10;My8FnjsAAAA5AAAAEAAAAAAAAAABACAAAAAPAQAAZHJzL3NoYXBleG1sLnhtbFBLBQYAAAAABgAG&#10;AFsBAAC5AwAAAAA=&#10;">
                          <v:fill on="f" focussize="0,0"/>
                          <v:stroke color="#000000" joinstyle="round" endarrow="classic" endarrowlength="long"/>
                          <v:imagedata o:title=""/>
                          <o:lock v:ext="edit" aspectratio="f"/>
                        </v:line>
                        <v:rect id="Rectangle 1010" o:spid="_x0000_s1026" o:spt="1" style="position:absolute;left:5221;top:0;height:468;width:1980;" filled="f" stroked="t" coordsize="21600,21600" o:gfxdata="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y0+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rect>
                        <v:shape id="Text Box 1009" o:spid="_x0000_s1026" o:spt="202" type="#_x0000_t202" style="position:absolute;left:3015;top:28;height:468;width:900;" fillcolor="#FFFFFF" filled="t" stroked="f" coordsize="21600,21600" o:gfxdata="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qBO74A&#10;AADcAAAADwAAAAAAAAABACAAAAAiAAAAZHJzL2Rvd25yZXYueG1sUEsBAhQAFAAAAAgAh07iQDMv&#10;BZ47AAAAOQAAABAAAAAAAAAAAQAgAAAADQEAAGRycy9zaGFwZXhtbC54bWxQSwUGAAAAAAYABgBb&#10;AQAAtwMAAAAA&#10;">
                          <v:fill on="t" opacity="0f" focussize="0,0"/>
                          <v:stroke on="f"/>
                          <v:imagedata o:title=""/>
                          <o:lock v:ext="edit" aspectratio="f"/>
                          <v:textbox inset="7.19992125984252pt,3.59992125984252pt,7.19992125984252pt,3.59992125984252pt">
                            <w:txbxContent>
                              <w:p w14:paraId="4C8D087D">
                                <w:pPr>
                                  <w:pStyle w:val="29"/>
                                  <w:spacing w:line="240" w:lineRule="auto"/>
                                </w:pPr>
                                <w:r>
                                  <w:rPr>
                                    <w:rFonts w:ascii="宋体" w:hAnsi="宋体" w:eastAsia="宋体"/>
                                    <w:kern w:val="2"/>
                                    <w:sz w:val="21"/>
                                    <w:szCs w:val="21"/>
                                  </w:rPr>
                                  <w:t>扬尘</w:t>
                                </w:r>
                                <w:r>
                                  <w:rPr>
                                    <w:rFonts w:ascii="宋体" w:hAnsi="宋体" w:eastAsia="宋体"/>
                                    <w:kern w:val="2"/>
                                    <w:sz w:val="22"/>
                                    <w:szCs w:val="22"/>
                                  </w:rPr>
                                  <w:t xml:space="preserve"> </w:t>
                                </w:r>
                              </w:p>
                              <w:p w14:paraId="1FBAE0DA">
                                <w:pPr>
                                  <w:pStyle w:val="29"/>
                                </w:pPr>
                                <w:r>
                                  <w:rPr>
                                    <w:rFonts w:ascii="宋体" w:hAnsi="宋体" w:eastAsia="宋体"/>
                                    <w:kern w:val="2"/>
                                    <w:sz w:val="22"/>
                                    <w:szCs w:val="22"/>
                                  </w:rPr>
                                  <w:t> </w:t>
                                </w:r>
                              </w:p>
                              <w:p w14:paraId="41D9DBB6">
                                <w:pPr>
                                  <w:pStyle w:val="29"/>
                                </w:pPr>
                                <w:r>
                                  <w:rPr>
                                    <w:rFonts w:ascii="宋体" w:hAnsi="宋体" w:eastAsia="宋体"/>
                                    <w:kern w:val="2"/>
                                    <w:sz w:val="22"/>
                                    <w:szCs w:val="22"/>
                                  </w:rPr>
                                  <w:t> </w:t>
                                </w:r>
                              </w:p>
                              <w:p w14:paraId="12FFAD15">
                                <w:pPr>
                                  <w:pStyle w:val="29"/>
                                </w:pPr>
                                <w:r>
                                  <w:rPr>
                                    <w:rFonts w:ascii="宋体" w:hAnsi="宋体" w:eastAsia="宋体"/>
                                    <w:kern w:val="2"/>
                                    <w:sz w:val="22"/>
                                    <w:szCs w:val="22"/>
                                  </w:rPr>
                                  <w:t> </w:t>
                                </w:r>
                              </w:p>
                            </w:txbxContent>
                          </v:textbox>
                        </v:shape>
                        <v:shape id="Oval 1008" o:spid="_x0000_s1026" o:spt="3" type="#_x0000_t3" style="position:absolute;left:2520;top:28;height:468;width:1800;" filled="f" stroked="t" coordsize="21600,21600" o:gfxdata="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K+c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Text Box 1007" o:spid="_x0000_s1026" o:spt="202" type="#_x0000_t202" style="position:absolute;left:540;top:28;height:468;width:900;" fillcolor="#FFFFFF" filled="t" stroked="f" coordsize="21600,21600" o:gfxdata="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IYc4vQAA&#10;ANwAAAAPAAAAAAAAAAEAIAAAACIAAABkcnMvZG93bnJldi54bWxQSwECFAAUAAAACACHTuJAMy8F&#10;njsAAAA5AAAAEAAAAAAAAAABACAAAAAMAQAAZHJzL3NoYXBleG1sLnhtbFBLBQYAAAAABgAGAFsB&#10;AAC2AwAAAAA=&#10;">
                          <v:fill on="t" opacity="0f" focussize="0,0"/>
                          <v:stroke on="f"/>
                          <v:imagedata o:title=""/>
                          <o:lock v:ext="edit" aspectratio="f"/>
                          <v:textbox inset="7.19992125984252pt,3.59992125984252pt,7.19992125984252pt,3.59992125984252pt">
                            <w:txbxContent>
                              <w:p w14:paraId="3628C394">
                                <w:pPr>
                                  <w:pStyle w:val="29"/>
                                  <w:spacing w:line="240" w:lineRule="auto"/>
                                </w:pPr>
                                <w:r>
                                  <w:rPr>
                                    <w:rFonts w:ascii="宋体" w:hAnsi="宋体" w:eastAsia="宋体"/>
                                    <w:kern w:val="2"/>
                                    <w:sz w:val="21"/>
                                    <w:szCs w:val="21"/>
                                  </w:rPr>
                                  <w:t>噪 声</w:t>
                                </w:r>
                              </w:p>
                            </w:txbxContent>
                          </v:textbox>
                        </v:shape>
                        <v:shape id="Oval 1006" o:spid="_x0000_s1026" o:spt="3" type="#_x0000_t3" style="position:absolute;left:0;top:28;height:468;width:1800;" filled="f" stroked="t" coordsize="21600,21600" o:gfxdata="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vxC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Text Box 1004" o:spid="_x0000_s1026" o:spt="202" type="#_x0000_t202" style="position:absolute;left:4996;top:30;height:468;width:2700;" fillcolor="#FFFFFF" filled="t" stroked="f" coordsize="21600,21600" o:gfxdata="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vNS8AAAA&#10;3AAAAA8AAAAAAAAAAQAgAAAAIgAAAGRycy9kb3ducmV2LnhtbFBLAQIUABQAAAAIAIdO4kAzLwWe&#10;OwAAADkAAAAQAAAAAAAAAAEAIAAAAAsBAABkcnMvc2hhcGV4bWwueG1sUEsFBgAAAAAGAAYAWwEA&#10;ALUDAAAAAA==&#10;">
                          <v:fill on="t" opacity="0f" focussize="0,0"/>
                          <v:stroke on="f"/>
                          <v:imagedata o:title=""/>
                          <o:lock v:ext="edit" aspectratio="f"/>
                          <v:textbox inset="7.19992125984252pt,3.59992125984252pt,7.19992125984252pt,3.59992125984252pt">
                            <w:txbxContent>
                              <w:p w14:paraId="330F9119">
                                <w:pPr>
                                  <w:pStyle w:val="29"/>
                                  <w:spacing w:line="240" w:lineRule="auto"/>
                                  <w:ind w:firstLine="315"/>
                                </w:pPr>
                                <w:r>
                                  <w:rPr>
                                    <w:rFonts w:ascii="宋体" w:hAnsi="宋体" w:eastAsia="宋体"/>
                                    <w:kern w:val="2"/>
                                    <w:sz w:val="21"/>
                                    <w:szCs w:val="21"/>
                                  </w:rPr>
                                  <w:t>物料堆放、运输</w:t>
                                </w:r>
                              </w:p>
                            </w:txbxContent>
                          </v:textbox>
                        </v:shape>
                        <v:line id="Line 1029" o:spid="_x0000_s1026" o:spt="20" style="position:absolute;left:900;top:495;flip:x y;height:1048;width:350;" filled="f" stroked="t" coordsize="21600,21600" o:gfxdata="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xdL4A&#10;AADcAAAADwAAAAAAAAABACAAAAAiAAAAZHJzL2Rvd25yZXYueG1sUEsBAhQAFAAAAAgAh07iQDMv&#10;BZ47AAAAOQAAABAAAAAAAAAAAQAgAAAADQEAAGRycy9zaGFwZXhtbC54bWxQSwUGAAAAAAYABgBb&#10;AQAAtwMAAAAA&#10;">
                          <v:fill on="f" focussize="0,0"/>
                          <v:stroke color="#000000" joinstyle="round" endarrow="classic" endarrowlength="long"/>
                          <v:imagedata o:title=""/>
                          <o:lock v:ext="edit" aspectratio="f"/>
                        </v:line>
                        <v:line id="Line 1034" o:spid="_x0000_s1026" o:spt="20" style="position:absolute;left:1115;top:2038;height:665;width:1164;" filled="f" stroked="t" coordsize="21600,21600" o:gfxdata="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Gz3HugAAANoA&#10;AAAPAAAAAAAAAAEAIAAAACIAAABkcnMvZG93bnJldi54bWxQSwECFAAUAAAACACHTuJAMy8FnjsA&#10;AAA5AAAAEAAAAAAAAAABACAAAAAJAQAAZHJzL3NoYXBleG1sLnhtbFBLBQYAAAAABgAGAFsBAACz&#10;AwAAAAA=&#10;">
                          <v:fill on="f" focussize="0,0"/>
                          <v:stroke color="#000000" joinstyle="round" endarrow="classic" endarrowlength="long"/>
                          <v:imagedata o:title=""/>
                          <o:lock v:ext="edit" aspectratio="f"/>
                        </v:line>
                        <v:shape id="Text Box 1012" o:spid="_x0000_s1026" o:spt="202" type="#_x0000_t202" style="position:absolute;left:418;top:1575;height:559;width:3268;" filled="f" stroked="f" coordsize="21600,21600" o:gfxdata="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8r1rsAAADc&#10;AAAADwAAAAAAAAABACAAAAAiAAAAZHJzL2Rvd25yZXYueG1sUEsBAhQAFAAAAAgAh07iQDMvBZ47&#10;AAAAOQAAABAAAAAAAAAAAQAgAAAACgEAAGRycy9zaGFwZXhtbC54bWxQSwUGAAAAAAYABgBbAQAA&#10;tAMAAAAA&#10;">
                          <v:fill on="f" focussize="0,0"/>
                          <v:stroke on="f"/>
                          <v:imagedata o:title=""/>
                          <o:lock v:ext="edit" aspectratio="f"/>
                          <v:textbox inset="7.19992125984252pt,3.59992125984252pt,7.19992125984252pt,3.59992125984252pt">
                            <w:txbxContent>
                              <w:p w14:paraId="52F734CF">
                                <w:pPr>
                                  <w:pStyle w:val="29"/>
                                  <w:rPr>
                                    <w:rFonts w:hint="default" w:eastAsia="宋体"/>
                                    <w:sz w:val="22"/>
                                    <w:szCs w:val="22"/>
                                    <w:lang w:val="en-US" w:eastAsia="zh-CN"/>
                                  </w:rPr>
                                </w:pPr>
                                <w:r>
                                  <w:rPr>
                                    <w:rFonts w:hint="eastAsia"/>
                                    <w:kern w:val="2"/>
                                    <w:sz w:val="21"/>
                                    <w:szCs w:val="21"/>
                                    <w:lang w:val="en-US" w:eastAsia="zh-CN"/>
                                  </w:rPr>
                                  <w:t>危废间</w:t>
                                </w:r>
                                <w:r>
                                  <w:rPr>
                                    <w:rFonts w:ascii="宋体" w:hAnsi="宋体" w:eastAsia="宋体"/>
                                    <w:kern w:val="2"/>
                                    <w:sz w:val="21"/>
                                    <w:szCs w:val="21"/>
                                  </w:rPr>
                                  <w:t>建设</w:t>
                                </w:r>
                                <w:r>
                                  <w:rPr>
                                    <w:rFonts w:hint="eastAsia" w:ascii="宋体" w:hAnsi="宋体" w:eastAsia="宋体"/>
                                    <w:kern w:val="2"/>
                                    <w:sz w:val="21"/>
                                    <w:szCs w:val="21"/>
                                    <w:lang w:eastAsia="zh-CN"/>
                                  </w:rPr>
                                  <w:t>、</w:t>
                                </w:r>
                                <w:r>
                                  <w:rPr>
                                    <w:rFonts w:hint="eastAsia" w:ascii="宋体" w:hAnsi="宋体" w:eastAsia="宋体"/>
                                    <w:kern w:val="2"/>
                                    <w:sz w:val="21"/>
                                    <w:szCs w:val="21"/>
                                    <w:lang w:val="en-US" w:eastAsia="zh-CN"/>
                                  </w:rPr>
                                  <w:t>地面防渗</w:t>
                                </w:r>
                              </w:p>
                            </w:txbxContent>
                          </v:textbox>
                        </v:shape>
                        <v:rect id="Rectangle 1013" o:spid="_x0000_s1026" o:spt="1" style="position:absolute;left:34;top:1573;height:468;width:3884;" filled="f" stroked="t" coordsize="21600,21600" o:gfxdata="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fNhI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shape id="Text Box 1016" o:spid="_x0000_s1026" o:spt="202" type="#_x0000_t202" style="position:absolute;left:4743;top:1588;height:468;width:1260;" filled="f" stroked="f" coordsize="21600,21600" o:gfxdata="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734absAAADc&#10;AAAADwAAAAAAAAABACAAAAAiAAAAZHJzL2Rvd25yZXYueG1sUEsBAhQAFAAAAAgAh07iQDMvBZ47&#10;AAAAOQAAABAAAAAAAAAAAQAgAAAACgEAAGRycy9zaGFwZXhtbC54bWxQSwUGAAAAAAYABgBbAQAA&#10;tAMAAAAA&#10;">
                          <v:fill on="f" focussize="0,0"/>
                          <v:stroke on="f"/>
                          <v:imagedata o:title=""/>
                          <o:lock v:ext="edit" aspectratio="f"/>
                          <v:textbox inset="7.19992125984252pt,3.59992125984252pt,7.19992125984252pt,3.59992125984252pt">
                            <w:txbxContent>
                              <w:p w14:paraId="38A5B187">
                                <w:pPr>
                                  <w:pStyle w:val="29"/>
                                  <w:spacing w:line="240" w:lineRule="auto"/>
                                </w:pPr>
                                <w:r>
                                  <w:rPr>
                                    <w:rFonts w:ascii="宋体" w:hAnsi="宋体" w:eastAsia="宋体"/>
                                    <w:color w:val="000000"/>
                                    <w:kern w:val="2"/>
                                    <w:sz w:val="21"/>
                                    <w:szCs w:val="21"/>
                                  </w:rPr>
                                  <w:t>设备安装</w:t>
                                </w:r>
                              </w:p>
                              <w:p w14:paraId="40661DFE">
                                <w:pPr>
                                  <w:pStyle w:val="29"/>
                                  <w:spacing w:line="240" w:lineRule="auto"/>
                                  <w:ind w:firstLine="560"/>
                                </w:pPr>
                                <w:r>
                                  <w:rPr>
                                    <w:rFonts w:ascii="宋体" w:hAnsi="宋体" w:eastAsia="宋体"/>
                                    <w:kern w:val="2"/>
                                    <w:sz w:val="28"/>
                                    <w:szCs w:val="28"/>
                                  </w:rPr>
                                  <w:t> </w:t>
                                </w:r>
                              </w:p>
                            </w:txbxContent>
                          </v:textbox>
                        </v:shape>
                        <v:rect id="Rectangle 1019" o:spid="_x0000_s1026" o:spt="1" style="position:absolute;left:4623;top:1543;height:468;width:1260;" filled="f" stroked="t" coordsize="21600,21600" o:gfxdata="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t70LsAAADc&#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rect>
                        <v:line id="Line 1038" o:spid="_x0000_s1026" o:spt="20" style="position:absolute;left:3918;top:1798;flip:y;height:9;width:743;" filled="f" stroked="t" coordsize="21600,21600" o:gfxdata="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XWP&#10;8MEAAADcAAAADwAAAAAAAAABACAAAAAiAAAAZHJzL2Rvd25yZXYueG1sUEsBAhQAFAAAAAgAh07i&#10;QDMvBZ47AAAAOQAAABAAAAAAAAAAAQAgAAAAEAEAAGRycy9zaGFwZXhtbC54bWxQSwUGAAAAAAYA&#10;BgBbAQAAugMAAAAA&#10;">
                          <v:fill on="f" focussize="0,0"/>
                          <v:stroke weight="1pt" color="#000000" joinstyle="round" dashstyle="1 1" endcap="round" endarrow="block"/>
                          <v:imagedata o:title=""/>
                          <o:lock v:ext="edit" aspectratio="f"/>
                        </v:line>
                        <v:shape id="Text Box 1033" o:spid="_x0000_s1026" o:spt="202" type="#_x0000_t202" style="position:absolute;left:672;top:2746;height:468;width:6248;" fillcolor="#FFFFFF" filled="t" stroked="f" coordsize="21600,21600" o:gfxdata="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caXWvQAA&#10;ANwAAAAPAAAAAAAAAAEAIAAAACIAAABkcnMvZG93bnJldi54bWxQSwECFAAUAAAACACHTuJAMy8F&#10;njsAAAA5AAAAEAAAAAAAAAABACAAAAAMAQAAZHJzL3NoYXBleG1sLnhtbFBLBQYAAAAABgAGAFsB&#10;AAC2AwAAAAA=&#10;">
                          <v:fill on="t" opacity="0f" focussize="0,0"/>
                          <v:stroke on="f"/>
                          <v:imagedata o:title=""/>
                          <o:lock v:ext="edit" aspectratio="f"/>
                          <v:textbox inset="7.19992125984252pt,3.59992125984252pt,7.19992125984252pt,3.59992125984252pt">
                            <w:txbxContent>
                              <w:p w14:paraId="04F341B0">
                                <w:pPr>
                                  <w:pStyle w:val="29"/>
                                  <w:spacing w:line="240" w:lineRule="auto"/>
                                  <w:ind w:firstLine="315"/>
                                </w:pPr>
                                <w:r>
                                  <w:rPr>
                                    <w:rFonts w:ascii="宋体" w:hAnsi="宋体" w:eastAsia="宋体"/>
                                    <w:kern w:val="2"/>
                                    <w:sz w:val="21"/>
                                    <w:szCs w:val="21"/>
                                  </w:rPr>
                                  <w:t>建筑垃圾、施工废水、生活垃圾、生活污水、冲洗废水</w:t>
                                </w:r>
                              </w:p>
                            </w:txbxContent>
                          </v:textbox>
                        </v:shape>
                        <v:rect id="Rectangle 1032" o:spid="_x0000_s1026" o:spt="1" style="position:absolute;left:969;top:2750;height:468;width:5374;" fillcolor="#FFFFFF" filled="t" stroked="t" coordsize="21600,21600" o:gfxdata="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TekcvQAA&#10;ANwAAAAPAAAAAAAAAAEAIAAAACIAAABkcnMvZG93bnJldi54bWxQSwECFAAUAAAACACHTuJAMy8F&#10;njsAAAA5AAAAEAAAAAAAAAABACAAAAAMAQAAZHJzL3NoYXBleG1sLnhtbFBLBQYAAAAABgAGAFsB&#10;AAC2AwAAAAA=&#10;">
                          <v:fill on="t" opacity="0f" focussize="0,0"/>
                          <v:stroke color="#000000" miterlimit="8" joinstyle="miter"/>
                          <v:imagedata o:title=""/>
                          <o:lock v:ext="edit" aspectratio="f"/>
                        </v:rect>
                      </v:group>
                      <v:line id="Line 1034" o:spid="_x0000_s1026" o:spt="20" style="position:absolute;left:6589;top:424180;flip:x;height:739;width:577;" filled="f" stroked="t" coordsize="21600,21600" o:gfxdata="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uKIbvQAA&#10;ANsAAAAPAAAAAAAAAAEAIAAAACIAAABkcnMvZG93bnJldi54bWxQSwECFAAUAAAACACHTuJAMy8F&#10;njsAAAA5AAAAEAAAAAAAAAABACAAAAAMAQAAZHJzL3NoYXBleG1sLnhtbFBLBQYAAAAABgAGAFsB&#10;AAC2AwAAAAA=&#10;">
                        <v:fill on="f" focussize="0,0"/>
                        <v:stroke color="#000000" joinstyle="round" endarrow="classic" endarrowlength="long"/>
                        <v:imagedata o:title=""/>
                        <o:lock v:ext="edit" aspectratio="f"/>
                      </v:line>
                      <w10:wrap type="topAndBottom"/>
                    </v:group>
                  </w:pict>
                </mc:Fallback>
              </mc:AlternateContent>
            </w:r>
            <w:r>
              <w:rPr>
                <w:rFonts w:hint="default" w:ascii="Times New Roman" w:hAnsi="Times New Roman" w:cs="Times New Roman"/>
                <w:b/>
                <w:bCs/>
                <w:color w:val="auto"/>
                <w:sz w:val="21"/>
                <w:szCs w:val="21"/>
                <w:lang w:eastAsia="zh-CN"/>
              </w:rPr>
              <w:t>图2.</w:t>
            </w:r>
            <w:r>
              <w:rPr>
                <w:rFonts w:hint="eastAsia" w:ascii="Times New Roman" w:hAnsi="Times New Roman" w:cs="Times New Roman"/>
                <w:b/>
                <w:bCs/>
                <w:color w:val="auto"/>
                <w:sz w:val="21"/>
                <w:szCs w:val="21"/>
                <w:lang w:val="en-US" w:eastAsia="zh-CN"/>
              </w:rPr>
              <w:t xml:space="preserve">2   </w:t>
            </w:r>
            <w:r>
              <w:rPr>
                <w:rFonts w:hint="eastAsia" w:ascii="Times New Roman"/>
                <w:b/>
                <w:color w:val="auto"/>
                <w:sz w:val="21"/>
                <w:szCs w:val="21"/>
              </w:rPr>
              <w:t>项目施工作业流程及排污节点图</w:t>
            </w:r>
          </w:p>
          <w:p w14:paraId="0A1EAEE7">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3456B62C">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700A7DAB">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7FA9F752">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1221D6D8">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388AA553">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45A7DC04">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6D1E9F78">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3900BD72">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5E54DDC0">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4A84F349">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0E813A89">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7645A2C3">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0B328E1E">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0BF92E65">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20D4D13D">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28FB51D4">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firstLine="422" w:firstLineChars="200"/>
              <w:textAlignment w:val="auto"/>
              <w:rPr>
                <w:rFonts w:hint="default" w:ascii="Times New Roman" w:hAnsi="Times New Roman" w:cs="Times New Roman"/>
                <w:b/>
                <w:bCs/>
                <w:color w:val="auto"/>
                <w:sz w:val="21"/>
                <w:szCs w:val="21"/>
                <w:lang w:val="en-US" w:eastAsia="zh-CN"/>
              </w:rPr>
            </w:pPr>
          </w:p>
          <w:p w14:paraId="7505586F">
            <w:pPr>
              <w:keepNext w:val="0"/>
              <w:keepLines w:val="0"/>
              <w:pageBreakBefore w:val="0"/>
              <w:widowControl w:val="0"/>
              <w:kinsoku/>
              <w:wordWrap/>
              <w:overflowPunct/>
              <w:topLinePunct w:val="0"/>
              <w:autoSpaceDE/>
              <w:autoSpaceDN/>
              <w:bidi w:val="0"/>
              <w:adjustRightInd/>
              <w:snapToGrid/>
              <w:spacing w:before="0" w:beforeLines="50" w:line="360" w:lineRule="auto"/>
              <w:ind w:left="110" w:leftChars="5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二、</w:t>
            </w:r>
            <w:r>
              <w:rPr>
                <w:rFonts w:hint="default" w:ascii="Times New Roman" w:hAnsi="Times New Roman" w:cs="Times New Roman"/>
                <w:b/>
                <w:bCs/>
                <w:color w:val="auto"/>
                <w:sz w:val="21"/>
                <w:szCs w:val="21"/>
              </w:rPr>
              <w:t>营运期工艺简述：</w:t>
            </w:r>
          </w:p>
          <w:p w14:paraId="27A7D7E2">
            <w:pPr>
              <w:pStyle w:val="55"/>
              <w:keepNext w:val="0"/>
              <w:keepLines w:val="0"/>
              <w:pageBreakBefore w:val="0"/>
              <w:widowControl w:val="0"/>
              <w:kinsoku/>
              <w:wordWrap/>
              <w:overflowPunct/>
              <w:topLinePunct w:val="0"/>
              <w:bidi w:val="0"/>
              <w:adjustRightInd/>
              <w:snapToGrid/>
              <w:spacing w:before="0" w:line="400" w:lineRule="exact"/>
              <w:ind w:firstLine="220" w:firstLineChars="100"/>
              <w:jc w:val="left"/>
              <w:textAlignment w:val="auto"/>
              <w:rPr>
                <w:rFonts w:hint="default" w:ascii="Times New Roman" w:hAnsi="Times New Roman" w:cs="Times New Roman"/>
                <w:b w:val="0"/>
                <w:bCs w:val="0"/>
                <w:color w:val="auto"/>
                <w:sz w:val="21"/>
                <w:szCs w:val="21"/>
                <w:lang w:val="en-US" w:eastAsia="zh-CN"/>
              </w:rPr>
            </w:pPr>
            <w:r>
              <w:rPr>
                <w:color w:val="auto"/>
              </w:rPr>
              <mc:AlternateContent>
                <mc:Choice Requires="wpg">
                  <w:drawing>
                    <wp:anchor distT="0" distB="0" distL="114300" distR="114300" simplePos="0" relativeHeight="251669504" behindDoc="0" locked="0" layoutInCell="1" allowOverlap="1">
                      <wp:simplePos x="0" y="0"/>
                      <wp:positionH relativeFrom="column">
                        <wp:posOffset>0</wp:posOffset>
                      </wp:positionH>
                      <wp:positionV relativeFrom="paragraph">
                        <wp:posOffset>133350</wp:posOffset>
                      </wp:positionV>
                      <wp:extent cx="5486400" cy="5283200"/>
                      <wp:effectExtent l="0" t="0" r="0" b="0"/>
                      <wp:wrapTopAndBottom/>
                      <wp:docPr id="133" name="画布 133"/>
                      <wp:cNvGraphicFramePr/>
                      <a:graphic xmlns:a="http://schemas.openxmlformats.org/drawingml/2006/main">
                        <a:graphicData uri="http://schemas.microsoft.com/office/word/2010/wordprocessingGroup">
                          <wpg:wgp>
                            <wpg:cNvGrpSpPr/>
                            <wpg:grpSpPr>
                              <a:xfrm>
                                <a:off x="0" y="0"/>
                                <a:ext cx="5486400" cy="5283200"/>
                                <a:chOff x="0" y="0"/>
                                <a:chExt cx="5486400" cy="5283200"/>
                              </a:xfrm>
                            </wpg:grpSpPr>
                            <wps:wsp>
                              <wps:cNvPr id="4" name="画布 133"/>
                              <wps:cNvSpPr/>
                              <wps:spPr>
                                <a:xfrm>
                                  <a:off x="0" y="0"/>
                                  <a:ext cx="5486400" cy="5283200"/>
                                </a:xfrm>
                              </wps:spPr>
                              <wps:bodyPr/>
                            </wps:wsp>
                            <wps:wsp>
                              <wps:cNvPr id="134" name="文本框 134"/>
                              <wps:cNvSpPr txBox="1"/>
                              <wps:spPr>
                                <a:xfrm>
                                  <a:off x="730885" y="0"/>
                                  <a:ext cx="1676400" cy="476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D9268">
                                    <w:pPr>
                                      <w:pStyle w:val="29"/>
                                      <w:spacing w:before="0" w:after="0" w:line="240" w:lineRule="auto"/>
                                      <w:ind w:left="0" w:right="0"/>
                                      <w:jc w:val="center"/>
                                    </w:pPr>
                                    <w:r>
                                      <w:rPr>
                                        <w:rFonts w:ascii="Times New Roman" w:hAnsi="宋体" w:eastAsia="宋体"/>
                                        <w:kern w:val="2"/>
                                        <w:sz w:val="21"/>
                                        <w:szCs w:val="21"/>
                                      </w:rPr>
                                      <w:t>环氧树脂、二氧化硅、填充粉、色粉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5" name="文本框 135"/>
                              <wps:cNvSpPr txBox="1"/>
                              <wps:spPr>
                                <a:xfrm>
                                  <a:off x="1174750" y="762635"/>
                                  <a:ext cx="788670" cy="28956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7294772">
                                    <w:pPr>
                                      <w:pStyle w:val="29"/>
                                      <w:spacing w:before="0" w:after="0" w:line="240" w:lineRule="auto"/>
                                      <w:ind w:left="0" w:right="0"/>
                                      <w:jc w:val="center"/>
                                    </w:pPr>
                                    <w:r>
                                      <w:rPr>
                                        <w:rFonts w:ascii="Times New Roman" w:hAnsi="宋体" w:eastAsia="宋体"/>
                                        <w:color w:val="000000"/>
                                        <w:kern w:val="2"/>
                                        <w:sz w:val="21"/>
                                        <w:szCs w:val="21"/>
                                      </w:rPr>
                                      <w:t>投料分散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6" name="文本框 136"/>
                              <wps:cNvSpPr txBox="1"/>
                              <wps:spPr>
                                <a:xfrm>
                                  <a:off x="1174750" y="1337945"/>
                                  <a:ext cx="788670" cy="28956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077F9E0">
                                    <w:pPr>
                                      <w:pStyle w:val="29"/>
                                      <w:spacing w:before="0" w:after="0" w:line="240" w:lineRule="auto"/>
                                      <w:ind w:left="0" w:right="0"/>
                                      <w:jc w:val="center"/>
                                    </w:pPr>
                                    <w:r>
                                      <w:rPr>
                                        <w:rFonts w:ascii="Times New Roman" w:hAnsi="宋体" w:eastAsia="宋体"/>
                                        <w:color w:val="000000"/>
                                        <w:kern w:val="2"/>
                                        <w:sz w:val="21"/>
                                        <w:szCs w:val="21"/>
                                      </w:rPr>
                                      <w:t>搅拌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文本框 137"/>
                              <wps:cNvSpPr txBox="1"/>
                              <wps:spPr>
                                <a:xfrm>
                                  <a:off x="1174750" y="2488565"/>
                                  <a:ext cx="788670" cy="28956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0FC3D4D4">
                                    <w:pPr>
                                      <w:pStyle w:val="29"/>
                                      <w:spacing w:before="0" w:after="0" w:line="240" w:lineRule="auto"/>
                                      <w:ind w:left="0" w:right="0"/>
                                      <w:jc w:val="center"/>
                                    </w:pPr>
                                    <w:r>
                                      <w:rPr>
                                        <w:rFonts w:ascii="Times New Roman" w:hAnsi="宋体" w:eastAsia="宋体"/>
                                        <w:color w:val="000000"/>
                                        <w:kern w:val="2"/>
                                        <w:sz w:val="21"/>
                                        <w:szCs w:val="21"/>
                                      </w:rPr>
                                      <w:t>压料灌装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8" name="文本框 138"/>
                              <wps:cNvSpPr txBox="1"/>
                              <wps:spPr>
                                <a:xfrm>
                                  <a:off x="1961515" y="3667760"/>
                                  <a:ext cx="1179830" cy="28956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CBBBA2A">
                                    <w:pPr>
                                      <w:pStyle w:val="29"/>
                                      <w:spacing w:before="0" w:after="0" w:line="240" w:lineRule="auto"/>
                                      <w:ind w:left="0" w:right="0"/>
                                      <w:jc w:val="center"/>
                                      <w:rPr>
                                        <w:sz w:val="22"/>
                                        <w:szCs w:val="22"/>
                                      </w:rPr>
                                    </w:pPr>
                                    <w:r>
                                      <w:rPr>
                                        <w:rFonts w:ascii="宋体" w:hAnsi="宋体" w:eastAsia="宋体"/>
                                        <w:kern w:val="2"/>
                                        <w:sz w:val="21"/>
                                        <w:szCs w:val="21"/>
                                      </w:rPr>
                                      <w:t>喷码、转印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9" name="文本框 139"/>
                              <wps:cNvSpPr txBox="1"/>
                              <wps:spPr>
                                <a:xfrm>
                                  <a:off x="1078865" y="3004185"/>
                                  <a:ext cx="959485" cy="289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A74F62B">
                                    <w:pPr>
                                      <w:pStyle w:val="29"/>
                                      <w:spacing w:before="0" w:after="0" w:line="240" w:lineRule="auto"/>
                                      <w:ind w:left="0" w:right="0"/>
                                      <w:jc w:val="center"/>
                                    </w:pPr>
                                    <w:r>
                                      <w:rPr>
                                        <w:rFonts w:ascii="Times New Roman" w:hAnsi="宋体" w:eastAsia="宋体"/>
                                        <w:color w:val="000000"/>
                                        <w:kern w:val="2"/>
                                        <w:sz w:val="21"/>
                                        <w:szCs w:val="21"/>
                                      </w:rPr>
                                      <w:t>A组分产品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4" name="文本框 164"/>
                              <wps:cNvSpPr txBox="1"/>
                              <wps:spPr>
                                <a:xfrm>
                                  <a:off x="1174750" y="1913255"/>
                                  <a:ext cx="788670" cy="28956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645B986">
                                    <w:pPr>
                                      <w:pStyle w:val="29"/>
                                      <w:spacing w:before="0" w:after="0" w:line="240" w:lineRule="auto"/>
                                      <w:ind w:left="0" w:right="0"/>
                                      <w:jc w:val="center"/>
                                    </w:pPr>
                                    <w:r>
                                      <w:rPr>
                                        <w:rFonts w:ascii="Times New Roman" w:hAnsi="宋体" w:eastAsia="宋体"/>
                                        <w:color w:val="000000"/>
                                        <w:kern w:val="2"/>
                                        <w:sz w:val="21"/>
                                        <w:szCs w:val="21"/>
                                      </w:rPr>
                                      <w:t>分装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5" name="文本框 165"/>
                              <wps:cNvSpPr txBox="1"/>
                              <wps:spPr>
                                <a:xfrm>
                                  <a:off x="2852420" y="0"/>
                                  <a:ext cx="1638935" cy="476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97553">
                                    <w:pPr>
                                      <w:pStyle w:val="29"/>
                                      <w:spacing w:before="0" w:after="0" w:line="240" w:lineRule="auto"/>
                                      <w:ind w:left="0" w:right="0"/>
                                      <w:jc w:val="center"/>
                                    </w:pPr>
                                    <w:r>
                                      <w:rPr>
                                        <w:rFonts w:ascii="Times New Roman" w:hAnsi="宋体" w:eastAsia="宋体"/>
                                        <w:kern w:val="2"/>
                                        <w:sz w:val="21"/>
                                        <w:szCs w:val="21"/>
                                      </w:rPr>
                                      <w:t>固化剂、二氧化硅、填充粉、色粉</w:t>
                                    </w:r>
                                  </w:p>
                                  <w:p w14:paraId="23B54076">
                                    <w:pPr>
                                      <w:pStyle w:val="29"/>
                                      <w:spacing w:before="0" w:after="0" w:line="240" w:lineRule="auto"/>
                                      <w:ind w:left="0" w:right="0"/>
                                      <w:jc w:val="left"/>
                                    </w:pPr>
                                    <w:r>
                                      <w:rPr>
                                        <w:rFonts w:ascii="宋体" w:hAnsi="宋体" w:eastAsia="宋体"/>
                                        <w:kern w:val="2"/>
                                        <w:sz w:val="22"/>
                                        <w:szCs w:val="22"/>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8" name="文本框 168"/>
                              <wps:cNvSpPr txBox="1"/>
                              <wps:spPr>
                                <a:xfrm>
                                  <a:off x="3272790" y="753745"/>
                                  <a:ext cx="788670" cy="28956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15BEF96">
                                    <w:pPr>
                                      <w:pStyle w:val="29"/>
                                      <w:spacing w:before="0" w:after="0" w:line="240" w:lineRule="auto"/>
                                      <w:ind w:left="0" w:right="0"/>
                                      <w:jc w:val="center"/>
                                    </w:pPr>
                                    <w:r>
                                      <w:rPr>
                                        <w:rFonts w:ascii="Times New Roman" w:hAnsi="宋体" w:eastAsia="宋体"/>
                                        <w:color w:val="000000"/>
                                        <w:kern w:val="2"/>
                                        <w:sz w:val="21"/>
                                        <w:szCs w:val="21"/>
                                      </w:rPr>
                                      <w:t>投料分散</w:t>
                                    </w:r>
                                  </w:p>
                                  <w:p w14:paraId="264B9526">
                                    <w:pPr>
                                      <w:pStyle w:val="29"/>
                                      <w:spacing w:before="0" w:after="0" w:line="240" w:lineRule="auto"/>
                                      <w:ind w:left="0" w:right="0"/>
                                      <w:jc w:val="left"/>
                                    </w:pPr>
                                    <w:r>
                                      <w:rPr>
                                        <w:rFonts w:ascii="宋体" w:hAnsi="宋体" w:eastAsia="宋体"/>
                                        <w:kern w:val="2"/>
                                        <w:sz w:val="22"/>
                                        <w:szCs w:val="22"/>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9" name="文本框 169"/>
                              <wps:cNvSpPr txBox="1"/>
                              <wps:spPr>
                                <a:xfrm>
                                  <a:off x="3272790" y="1329055"/>
                                  <a:ext cx="788670" cy="28956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FCB8F4C">
                                    <w:pPr>
                                      <w:pStyle w:val="29"/>
                                      <w:spacing w:before="0" w:after="0" w:line="240" w:lineRule="auto"/>
                                      <w:ind w:left="0" w:right="0"/>
                                      <w:jc w:val="center"/>
                                    </w:pPr>
                                    <w:r>
                                      <w:rPr>
                                        <w:rFonts w:ascii="Times New Roman" w:hAnsi="宋体" w:eastAsia="宋体"/>
                                        <w:color w:val="000000"/>
                                        <w:kern w:val="2"/>
                                        <w:sz w:val="21"/>
                                        <w:szCs w:val="21"/>
                                      </w:rPr>
                                      <w:t>搅拌</w:t>
                                    </w:r>
                                  </w:p>
                                  <w:p w14:paraId="63AFD934">
                                    <w:pPr>
                                      <w:pStyle w:val="29"/>
                                      <w:spacing w:before="0" w:after="0" w:line="240" w:lineRule="auto"/>
                                      <w:ind w:left="0" w:right="0"/>
                                      <w:jc w:val="left"/>
                                    </w:pPr>
                                    <w:r>
                                      <w:rPr>
                                        <w:rFonts w:ascii="宋体" w:hAnsi="宋体" w:eastAsia="宋体"/>
                                        <w:kern w:val="2"/>
                                        <w:sz w:val="22"/>
                                        <w:szCs w:val="22"/>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9" name="文本框 179"/>
                              <wps:cNvSpPr txBox="1"/>
                              <wps:spPr>
                                <a:xfrm>
                                  <a:off x="3272790" y="2479675"/>
                                  <a:ext cx="788670" cy="28956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0CC7D107">
                                    <w:pPr>
                                      <w:pStyle w:val="29"/>
                                      <w:spacing w:before="0" w:after="0" w:line="240" w:lineRule="auto"/>
                                      <w:ind w:left="0" w:right="0"/>
                                      <w:jc w:val="center"/>
                                    </w:pPr>
                                    <w:r>
                                      <w:rPr>
                                        <w:rFonts w:ascii="Times New Roman" w:hAnsi="宋体" w:eastAsia="宋体"/>
                                        <w:color w:val="000000"/>
                                        <w:kern w:val="2"/>
                                        <w:sz w:val="21"/>
                                        <w:szCs w:val="21"/>
                                      </w:rPr>
                                      <w:t>压料灌装</w:t>
                                    </w:r>
                                  </w:p>
                                  <w:p w14:paraId="008FAAD4">
                                    <w:pPr>
                                      <w:pStyle w:val="29"/>
                                      <w:spacing w:before="0" w:after="0" w:line="240" w:lineRule="auto"/>
                                      <w:ind w:left="0" w:right="0"/>
                                      <w:jc w:val="left"/>
                                    </w:pPr>
                                    <w:r>
                                      <w:rPr>
                                        <w:rFonts w:ascii="宋体" w:hAnsi="宋体" w:eastAsia="宋体"/>
                                        <w:kern w:val="2"/>
                                        <w:sz w:val="22"/>
                                        <w:szCs w:val="22"/>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1" name="文本框 181"/>
                              <wps:cNvSpPr txBox="1"/>
                              <wps:spPr>
                                <a:xfrm>
                                  <a:off x="3229610" y="3047365"/>
                                  <a:ext cx="959485" cy="289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E651FC">
                                    <w:pPr>
                                      <w:pStyle w:val="29"/>
                                      <w:spacing w:before="0" w:after="0" w:line="240" w:lineRule="auto"/>
                                      <w:ind w:left="0" w:right="0"/>
                                      <w:jc w:val="center"/>
                                    </w:pPr>
                                    <w:r>
                                      <w:rPr>
                                        <w:rFonts w:ascii="Times New Roman" w:hAnsi="宋体" w:eastAsia="宋体"/>
                                        <w:color w:val="000000"/>
                                        <w:kern w:val="2"/>
                                        <w:sz w:val="21"/>
                                        <w:szCs w:val="21"/>
                                      </w:rPr>
                                      <w:t>B组分产品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4" name="文本框 184"/>
                              <wps:cNvSpPr txBox="1"/>
                              <wps:spPr>
                                <a:xfrm>
                                  <a:off x="3272790" y="1904365"/>
                                  <a:ext cx="788670" cy="28956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FC6F068">
                                    <w:pPr>
                                      <w:pStyle w:val="29"/>
                                      <w:spacing w:before="0" w:after="0" w:line="240" w:lineRule="auto"/>
                                      <w:ind w:left="0" w:right="0"/>
                                      <w:jc w:val="center"/>
                                    </w:pPr>
                                    <w:r>
                                      <w:rPr>
                                        <w:rFonts w:ascii="Times New Roman" w:hAnsi="宋体" w:eastAsia="宋体"/>
                                        <w:color w:val="000000"/>
                                        <w:kern w:val="2"/>
                                        <w:sz w:val="21"/>
                                        <w:szCs w:val="21"/>
                                      </w:rPr>
                                      <w:t>分装</w:t>
                                    </w:r>
                                  </w:p>
                                  <w:p w14:paraId="13476B73">
                                    <w:pPr>
                                      <w:pStyle w:val="29"/>
                                      <w:spacing w:before="0" w:after="0" w:line="240" w:lineRule="auto"/>
                                      <w:ind w:left="0" w:right="0"/>
                                      <w:jc w:val="left"/>
                                    </w:pPr>
                                    <w:r>
                                      <w:rPr>
                                        <w:rFonts w:ascii="宋体" w:hAnsi="宋体" w:eastAsia="宋体"/>
                                        <w:kern w:val="2"/>
                                        <w:sz w:val="22"/>
                                        <w:szCs w:val="22"/>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直接箭头连接符 130"/>
                              <wps:cNvCnPr>
                                <a:stCxn id="135" idx="0"/>
                                <a:endCxn id="134" idx="2"/>
                              </wps:cNvCnPr>
                              <wps:spPr>
                                <a:xfrm flipV="1">
                                  <a:off x="1569085" y="476885"/>
                                  <a:ext cx="0" cy="285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9" name="直接箭头连接符 189"/>
                              <wps:cNvCnPr>
                                <a:stCxn id="136" idx="0"/>
                                <a:endCxn id="135" idx="2"/>
                              </wps:cNvCnPr>
                              <wps:spPr>
                                <a:xfrm flipV="1">
                                  <a:off x="1569085" y="1052195"/>
                                  <a:ext cx="0" cy="285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5" name="直接箭头连接符 195"/>
                              <wps:cNvCnPr>
                                <a:stCxn id="164" idx="0"/>
                                <a:endCxn id="136" idx="2"/>
                              </wps:cNvCnPr>
                              <wps:spPr>
                                <a:xfrm flipV="1">
                                  <a:off x="1569085" y="1627505"/>
                                  <a:ext cx="0" cy="285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6" name="直接箭头连接符 196"/>
                              <wps:cNvCnPr>
                                <a:stCxn id="137" idx="0"/>
                                <a:endCxn id="164" idx="2"/>
                              </wps:cNvCnPr>
                              <wps:spPr>
                                <a:xfrm flipV="1">
                                  <a:off x="1569085" y="2202815"/>
                                  <a:ext cx="0" cy="285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8" name="直接箭头连接符 198"/>
                              <wps:cNvCnPr>
                                <a:endCxn id="137" idx="2"/>
                              </wps:cNvCnPr>
                              <wps:spPr>
                                <a:xfrm flipV="1">
                                  <a:off x="1561465" y="2778125"/>
                                  <a:ext cx="7620" cy="21336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9" name="直接箭头连接符 199"/>
                              <wps:cNvCnPr/>
                              <wps:spPr>
                                <a:xfrm flipH="1" flipV="1">
                                  <a:off x="1795145" y="3289935"/>
                                  <a:ext cx="517525" cy="33591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0" name="直接箭头连接符 200"/>
                              <wps:cNvCnPr>
                                <a:stCxn id="168" idx="0"/>
                                <a:endCxn id="165" idx="2"/>
                              </wps:cNvCnPr>
                              <wps:spPr>
                                <a:xfrm flipV="1">
                                  <a:off x="3667125" y="476885"/>
                                  <a:ext cx="5080" cy="27686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1" name="直接箭头连接符 201"/>
                              <wps:cNvCnPr>
                                <a:stCxn id="169" idx="0"/>
                                <a:endCxn id="168" idx="2"/>
                              </wps:cNvCnPr>
                              <wps:spPr>
                                <a:xfrm flipV="1">
                                  <a:off x="3667125" y="1043305"/>
                                  <a:ext cx="0" cy="285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2" name="直接箭头连接符 202"/>
                              <wps:cNvCnPr>
                                <a:stCxn id="184" idx="0"/>
                                <a:endCxn id="169" idx="2"/>
                              </wps:cNvCnPr>
                              <wps:spPr>
                                <a:xfrm flipV="1">
                                  <a:off x="3667125" y="1618615"/>
                                  <a:ext cx="0" cy="285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3" name="直接箭头连接符 203"/>
                              <wps:cNvCnPr>
                                <a:stCxn id="179" idx="0"/>
                                <a:endCxn id="184" idx="2"/>
                              </wps:cNvCnPr>
                              <wps:spPr>
                                <a:xfrm flipV="1">
                                  <a:off x="3667125" y="2193925"/>
                                  <a:ext cx="0" cy="2857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6" name="文本框 206"/>
                              <wps:cNvSpPr txBox="1"/>
                              <wps:spPr>
                                <a:xfrm>
                                  <a:off x="0" y="779780"/>
                                  <a:ext cx="880110"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F53FB">
                                    <w:pPr>
                                      <w:pStyle w:val="29"/>
                                      <w:spacing w:before="0" w:after="0" w:line="240" w:lineRule="auto"/>
                                      <w:ind w:left="0" w:right="0"/>
                                      <w:jc w:val="right"/>
                                    </w:pPr>
                                    <w:r>
                                      <w:rPr>
                                        <w:rFonts w:ascii="Times New Roman" w:hAnsi="宋体" w:eastAsia="宋体"/>
                                        <w:kern w:val="2"/>
                                        <w:sz w:val="21"/>
                                        <w:szCs w:val="21"/>
                                      </w:rPr>
                                      <w:t>G1、S1、N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7" name="直接箭头连接符 207"/>
                              <wps:cNvCnPr>
                                <a:stCxn id="206" idx="3"/>
                                <a:endCxn id="135" idx="1"/>
                              </wps:cNvCnPr>
                              <wps:spPr>
                                <a:xfrm>
                                  <a:off x="880110" y="901065"/>
                                  <a:ext cx="294640" cy="6350"/>
                                </a:xfrm>
                                <a:prstGeom prst="straightConnector1">
                                  <a:avLst/>
                                </a:prstGeom>
                                <a:ln>
                                  <a:solidFill>
                                    <a:schemeClr val="tx1"/>
                                  </a:solidFill>
                                  <a:prstDash val="dash"/>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8" name="文本框 208"/>
                              <wps:cNvSpPr txBox="1"/>
                              <wps:spPr>
                                <a:xfrm>
                                  <a:off x="17780" y="1360805"/>
                                  <a:ext cx="880110"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3F1B4">
                                    <w:pPr>
                                      <w:pStyle w:val="29"/>
                                      <w:spacing w:before="0" w:after="0" w:line="240" w:lineRule="auto"/>
                                      <w:ind w:left="0" w:right="0"/>
                                      <w:jc w:val="right"/>
                                    </w:pPr>
                                    <w:r>
                                      <w:rPr>
                                        <w:rFonts w:ascii="Times New Roman" w:hAnsi="宋体" w:eastAsia="宋体"/>
                                        <w:kern w:val="2"/>
                                        <w:sz w:val="21"/>
                                        <w:szCs w:val="21"/>
                                      </w:rPr>
                                      <w:t>G2、N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9" name="直接箭头连接符 209"/>
                              <wps:cNvCnPr>
                                <a:stCxn id="208" idx="3"/>
                              </wps:cNvCnPr>
                              <wps:spPr>
                                <a:xfrm>
                                  <a:off x="897890" y="1482090"/>
                                  <a:ext cx="294640" cy="6350"/>
                                </a:xfrm>
                                <a:prstGeom prst="straightConnector1">
                                  <a:avLst/>
                                </a:prstGeom>
                                <a:ln>
                                  <a:solidFill>
                                    <a:schemeClr val="tx1"/>
                                  </a:solidFill>
                                  <a:prstDash val="dash"/>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0" name="文本框 210"/>
                              <wps:cNvSpPr txBox="1"/>
                              <wps:spPr>
                                <a:xfrm>
                                  <a:off x="27305" y="1941830"/>
                                  <a:ext cx="880110"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10F65">
                                    <w:pPr>
                                      <w:pStyle w:val="29"/>
                                      <w:spacing w:before="0" w:after="0" w:line="240" w:lineRule="auto"/>
                                      <w:ind w:left="0" w:right="0"/>
                                      <w:jc w:val="right"/>
                                    </w:pPr>
                                    <w:r>
                                      <w:rPr>
                                        <w:rFonts w:ascii="Times New Roman" w:hAnsi="宋体" w:eastAsia="宋体"/>
                                        <w:kern w:val="2"/>
                                        <w:sz w:val="21"/>
                                        <w:szCs w:val="21"/>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1" name="直接箭头连接符 211"/>
                              <wps:cNvCnPr>
                                <a:stCxn id="210" idx="3"/>
                              </wps:cNvCnPr>
                              <wps:spPr>
                                <a:xfrm>
                                  <a:off x="907415" y="2063115"/>
                                  <a:ext cx="294640" cy="6350"/>
                                </a:xfrm>
                                <a:prstGeom prst="straightConnector1">
                                  <a:avLst/>
                                </a:prstGeom>
                                <a:ln>
                                  <a:solidFill>
                                    <a:schemeClr val="tx1"/>
                                  </a:solidFill>
                                  <a:prstDash val="dash"/>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2" name="文本框 212"/>
                              <wps:cNvSpPr txBox="1"/>
                              <wps:spPr>
                                <a:xfrm>
                                  <a:off x="27305" y="2522855"/>
                                  <a:ext cx="880110"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522EE">
                                    <w:pPr>
                                      <w:pStyle w:val="29"/>
                                      <w:spacing w:before="0" w:after="0" w:line="240" w:lineRule="auto"/>
                                      <w:ind w:left="0" w:right="0" w:firstLine="0"/>
                                      <w:jc w:val="left"/>
                                      <w:rPr>
                                        <w:rFonts w:hint="default" w:eastAsia="宋体"/>
                                        <w:lang w:val="en-US" w:eastAsia="zh-CN"/>
                                      </w:rPr>
                                    </w:pPr>
                                    <w:r>
                                      <w:rPr>
                                        <w:rFonts w:ascii="Times New Roman" w:hAnsi="宋体" w:eastAsia="宋体"/>
                                        <w:kern w:val="2"/>
                                        <w:sz w:val="21"/>
                                        <w:szCs w:val="21"/>
                                      </w:rPr>
                                      <w:t>S2、N</w:t>
                                    </w:r>
                                    <w:r>
                                      <w:rPr>
                                        <w:rFonts w:hint="eastAsia" w:ascii="Times New Roman"/>
                                        <w:kern w:val="2"/>
                                        <w:sz w:val="21"/>
                                        <w:szCs w:val="21"/>
                                        <w:lang w:eastAsia="zh-CN"/>
                                      </w:rPr>
                                      <w:t>、</w:t>
                                    </w:r>
                                    <w:r>
                                      <w:rPr>
                                        <w:rFonts w:hint="eastAsia" w:ascii="Times New Roman"/>
                                        <w:kern w:val="2"/>
                                        <w:sz w:val="21"/>
                                        <w:szCs w:val="21"/>
                                        <w:lang w:val="en-US" w:eastAsia="zh-CN"/>
                                      </w:rPr>
                                      <w:t>G3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3" name="直接箭头连接符 213"/>
                              <wps:cNvCnPr>
                                <a:stCxn id="212" idx="3"/>
                              </wps:cNvCnPr>
                              <wps:spPr>
                                <a:xfrm>
                                  <a:off x="907415" y="2644140"/>
                                  <a:ext cx="294640" cy="6350"/>
                                </a:xfrm>
                                <a:prstGeom prst="straightConnector1">
                                  <a:avLst/>
                                </a:prstGeom>
                                <a:ln>
                                  <a:solidFill>
                                    <a:schemeClr val="tx1"/>
                                  </a:solidFill>
                                  <a:prstDash val="dash"/>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4" name="文本框 214"/>
                              <wps:cNvSpPr txBox="1"/>
                              <wps:spPr>
                                <a:xfrm>
                                  <a:off x="1059180" y="4220210"/>
                                  <a:ext cx="880110"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4D00F">
                                    <w:pPr>
                                      <w:pStyle w:val="29"/>
                                      <w:spacing w:before="0" w:after="0" w:line="240" w:lineRule="auto"/>
                                      <w:ind w:left="0" w:right="0"/>
                                      <w:jc w:val="right"/>
                                    </w:pPr>
                                    <w:r>
                                      <w:rPr>
                                        <w:rFonts w:ascii="Times New Roman" w:hAnsi="宋体" w:eastAsia="宋体"/>
                                        <w:kern w:val="2"/>
                                        <w:sz w:val="21"/>
                                        <w:szCs w:val="21"/>
                                      </w:rPr>
                                      <w:t>S3、N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5" name="直接箭头连接符 215"/>
                              <wps:cNvCnPr/>
                              <wps:spPr>
                                <a:xfrm>
                                  <a:off x="1990725" y="4359910"/>
                                  <a:ext cx="294640" cy="6350"/>
                                </a:xfrm>
                                <a:prstGeom prst="straightConnector1">
                                  <a:avLst/>
                                </a:prstGeom>
                                <a:ln>
                                  <a:solidFill>
                                    <a:schemeClr val="tx1"/>
                                  </a:solidFill>
                                  <a:prstDash val="dash"/>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6" name="文本框 216"/>
                              <wps:cNvSpPr txBox="1"/>
                              <wps:spPr>
                                <a:xfrm>
                                  <a:off x="4446270" y="770255"/>
                                  <a:ext cx="880110"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32C84">
                                    <w:pPr>
                                      <w:pStyle w:val="29"/>
                                      <w:spacing w:before="0" w:after="0" w:line="240" w:lineRule="auto"/>
                                      <w:ind w:left="0" w:right="0"/>
                                      <w:jc w:val="left"/>
                                    </w:pPr>
                                    <w:r>
                                      <w:rPr>
                                        <w:rFonts w:ascii="Times New Roman" w:hAnsi="宋体" w:eastAsia="宋体"/>
                                        <w:kern w:val="2"/>
                                        <w:sz w:val="21"/>
                                        <w:szCs w:val="21"/>
                                      </w:rPr>
                                      <w:t>G1、S1、N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7" name="文本框 217"/>
                              <wps:cNvSpPr txBox="1"/>
                              <wps:spPr>
                                <a:xfrm>
                                  <a:off x="4464050" y="1351280"/>
                                  <a:ext cx="880110"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0073B">
                                    <w:pPr>
                                      <w:pStyle w:val="29"/>
                                      <w:spacing w:before="0" w:after="0" w:line="240" w:lineRule="auto"/>
                                      <w:ind w:left="0" w:right="0"/>
                                      <w:jc w:val="left"/>
                                    </w:pPr>
                                    <w:r>
                                      <w:rPr>
                                        <w:rFonts w:ascii="Times New Roman" w:hAnsi="宋体" w:eastAsia="宋体"/>
                                        <w:kern w:val="2"/>
                                        <w:sz w:val="21"/>
                                        <w:szCs w:val="21"/>
                                      </w:rPr>
                                      <w:t>G2、N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8" name="文本框 218"/>
                              <wps:cNvSpPr txBox="1"/>
                              <wps:spPr>
                                <a:xfrm>
                                  <a:off x="4472940" y="1932305"/>
                                  <a:ext cx="880110"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2977F">
                                    <w:pPr>
                                      <w:pStyle w:val="29"/>
                                      <w:spacing w:before="0" w:after="0" w:line="240" w:lineRule="auto"/>
                                      <w:ind w:left="0" w:right="0"/>
                                      <w:jc w:val="left"/>
                                    </w:pPr>
                                    <w:r>
                                      <w:rPr>
                                        <w:rFonts w:ascii="Times New Roman" w:hAnsi="宋体" w:eastAsia="宋体"/>
                                        <w:kern w:val="2"/>
                                        <w:sz w:val="21"/>
                                        <w:szCs w:val="21"/>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9" name="文本框 219"/>
                              <wps:cNvSpPr txBox="1"/>
                              <wps:spPr>
                                <a:xfrm>
                                  <a:off x="4472940" y="2503805"/>
                                  <a:ext cx="880110"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F7784">
                                    <w:pPr>
                                      <w:pStyle w:val="29"/>
                                      <w:spacing w:before="0" w:after="0" w:line="240" w:lineRule="auto"/>
                                      <w:ind w:left="0" w:right="0"/>
                                      <w:jc w:val="both"/>
                                      <w:rPr>
                                        <w:rFonts w:hint="default" w:eastAsia="宋体"/>
                                        <w:lang w:val="en-US" w:eastAsia="zh-CN"/>
                                      </w:rPr>
                                    </w:pPr>
                                    <w:r>
                                      <w:rPr>
                                        <w:rFonts w:ascii="Times New Roman" w:hAnsi="宋体" w:eastAsia="宋体"/>
                                        <w:kern w:val="2"/>
                                        <w:sz w:val="21"/>
                                        <w:szCs w:val="21"/>
                                      </w:rPr>
                                      <w:t>S2、N</w:t>
                                    </w:r>
                                    <w:r>
                                      <w:rPr>
                                        <w:rFonts w:hint="eastAsia" w:ascii="Times New Roman"/>
                                        <w:kern w:val="2"/>
                                        <w:sz w:val="21"/>
                                        <w:szCs w:val="21"/>
                                        <w:lang w:eastAsia="zh-CN"/>
                                      </w:rPr>
                                      <w:t>、</w:t>
                                    </w:r>
                                    <w:r>
                                      <w:rPr>
                                        <w:rFonts w:hint="eastAsia" w:ascii="Times New Roman"/>
                                        <w:kern w:val="2"/>
                                        <w:sz w:val="21"/>
                                        <w:szCs w:val="21"/>
                                        <w:lang w:val="en-US" w:eastAsia="zh-CN"/>
                                      </w:rPr>
                                      <w:t>G3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1" name="直接箭头连接符 221"/>
                              <wps:cNvCnPr>
                                <a:stCxn id="216" idx="1"/>
                                <a:endCxn id="168" idx="3"/>
                              </wps:cNvCnPr>
                              <wps:spPr>
                                <a:xfrm flipH="1">
                                  <a:off x="4061460" y="891540"/>
                                  <a:ext cx="384810" cy="6985"/>
                                </a:xfrm>
                                <a:prstGeom prst="straightConnector1">
                                  <a:avLst/>
                                </a:prstGeom>
                                <a:ln>
                                  <a:solidFill>
                                    <a:schemeClr val="tx1"/>
                                  </a:solidFill>
                                  <a:prstDash val="dash"/>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22" name="直接箭头连接符 222"/>
                              <wps:cNvCnPr>
                                <a:stCxn id="217" idx="1"/>
                                <a:endCxn id="169" idx="3"/>
                              </wps:cNvCnPr>
                              <wps:spPr>
                                <a:xfrm flipH="1">
                                  <a:off x="4061460" y="1472565"/>
                                  <a:ext cx="402590" cy="1270"/>
                                </a:xfrm>
                                <a:prstGeom prst="straightConnector1">
                                  <a:avLst/>
                                </a:prstGeom>
                                <a:ln>
                                  <a:solidFill>
                                    <a:schemeClr val="tx1"/>
                                  </a:solidFill>
                                  <a:prstDash val="dash"/>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23" name="直接箭头连接符 223"/>
                              <wps:cNvCnPr>
                                <a:stCxn id="218" idx="1"/>
                                <a:endCxn id="184" idx="3"/>
                              </wps:cNvCnPr>
                              <wps:spPr>
                                <a:xfrm flipH="1" flipV="1">
                                  <a:off x="4061460" y="2049145"/>
                                  <a:ext cx="411480" cy="4445"/>
                                </a:xfrm>
                                <a:prstGeom prst="straightConnector1">
                                  <a:avLst/>
                                </a:prstGeom>
                                <a:ln>
                                  <a:solidFill>
                                    <a:schemeClr val="tx1"/>
                                  </a:solidFill>
                                  <a:prstDash val="dash"/>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24" name="直接箭头连接符 224"/>
                              <wps:cNvCnPr>
                                <a:stCxn id="219" idx="1"/>
                                <a:endCxn id="179" idx="3"/>
                              </wps:cNvCnPr>
                              <wps:spPr>
                                <a:xfrm flipH="1" flipV="1">
                                  <a:off x="4061460" y="2624455"/>
                                  <a:ext cx="411480" cy="635"/>
                                </a:xfrm>
                                <a:prstGeom prst="straightConnector1">
                                  <a:avLst/>
                                </a:prstGeom>
                                <a:ln>
                                  <a:solidFill>
                                    <a:schemeClr val="tx1"/>
                                  </a:solidFill>
                                  <a:prstDash val="dash"/>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 name="文本框 1"/>
                              <wps:cNvSpPr txBox="1"/>
                              <wps:spPr>
                                <a:xfrm>
                                  <a:off x="2139950" y="4803775"/>
                                  <a:ext cx="959485" cy="289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5A8E8F">
                                    <w:pPr>
                                      <w:pStyle w:val="29"/>
                                      <w:spacing w:before="0" w:after="0" w:line="240" w:lineRule="auto"/>
                                      <w:ind w:left="0" w:right="0"/>
                                      <w:jc w:val="center"/>
                                    </w:pPr>
                                    <w:r>
                                      <w:rPr>
                                        <w:rFonts w:ascii="Times New Roman" w:hAnsi="宋体" w:eastAsia="宋体"/>
                                        <w:color w:val="000000"/>
                                        <w:kern w:val="2"/>
                                        <w:sz w:val="21"/>
                                        <w:szCs w:val="21"/>
                                      </w:rPr>
                                      <w:t>成品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2306955" y="4223385"/>
                                  <a:ext cx="665480" cy="26860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749038B4">
                                    <w:pPr>
                                      <w:pStyle w:val="29"/>
                                      <w:spacing w:before="0" w:after="0" w:line="240" w:lineRule="auto"/>
                                      <w:ind w:left="0" w:right="0"/>
                                      <w:jc w:val="center"/>
                                      <w:rPr>
                                        <w:sz w:val="22"/>
                                        <w:szCs w:val="22"/>
                                      </w:rPr>
                                    </w:pPr>
                                    <w:r>
                                      <w:rPr>
                                        <w:rFonts w:ascii="宋体" w:hAnsi="宋体" w:eastAsia="宋体"/>
                                        <w:kern w:val="2"/>
                                        <w:sz w:val="21"/>
                                        <w:szCs w:val="21"/>
                                      </w:rPr>
                                      <w:t>包装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直接箭头连接符 4"/>
                              <wps:cNvCnPr/>
                              <wps:spPr>
                                <a:xfrm flipV="1">
                                  <a:off x="2947670" y="3350895"/>
                                  <a:ext cx="455295" cy="29591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wps:spPr>
                                <a:xfrm flipV="1">
                                  <a:off x="2651125" y="3957955"/>
                                  <a:ext cx="5080" cy="25019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wps:spPr>
                                <a:xfrm flipH="1" flipV="1">
                                  <a:off x="2656205" y="4497705"/>
                                  <a:ext cx="5715" cy="29273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flipH="1" flipV="1">
                                  <a:off x="3139440" y="3804920"/>
                                  <a:ext cx="284480" cy="635"/>
                                </a:xfrm>
                                <a:prstGeom prst="straightConnector1">
                                  <a:avLst/>
                                </a:prstGeom>
                                <a:ln>
                                  <a:solidFill>
                                    <a:schemeClr val="tx1"/>
                                  </a:solidFill>
                                  <a:prstDash val="dash"/>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3365500" y="3683000"/>
                                  <a:ext cx="880110"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D05AF">
                                    <w:pPr>
                                      <w:pStyle w:val="29"/>
                                      <w:spacing w:before="0" w:after="0" w:line="240" w:lineRule="auto"/>
                                      <w:ind w:left="0" w:right="0"/>
                                      <w:jc w:val="left"/>
                                    </w:pPr>
                                    <w:r>
                                      <w:rPr>
                                        <w:rFonts w:ascii="Times New Roman" w:hAnsi="宋体" w:eastAsia="宋体"/>
                                        <w:kern w:val="2"/>
                                        <w:sz w:val="21"/>
                                        <w:szCs w:val="21"/>
                                      </w:rPr>
                                      <w:t>G</w:t>
                                    </w:r>
                                    <w:r>
                                      <w:rPr>
                                        <w:rFonts w:hint="eastAsia" w:ascii="Times New Roman"/>
                                        <w:kern w:val="2"/>
                                        <w:sz w:val="21"/>
                                        <w:szCs w:val="21"/>
                                        <w:lang w:val="en-US" w:eastAsia="zh-CN"/>
                                      </w:rPr>
                                      <w:t>4</w:t>
                                    </w:r>
                                    <w:r>
                                      <w:rPr>
                                        <w:rFonts w:ascii="Times New Roman" w:hAnsi="宋体" w:eastAsia="宋体"/>
                                        <w:kern w:val="2"/>
                                        <w:sz w:val="21"/>
                                        <w:szCs w:val="21"/>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画布 133" o:spid="_x0000_s1026" o:spt="203" style="position:absolute;left:0pt;margin-left:0pt;margin-top:10.5pt;height:416pt;width:432pt;mso-wrap-distance-bottom:0pt;mso-wrap-distance-top:0pt;z-index:251669504;mso-width-relative:page;mso-height-relative:page;" coordsize="5486400,5283200" o:gfxdata="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">
                      <o:lock v:ext="edit" aspectratio="f"/>
                      <v:shape id="画布 133" o:spid="_x0000_s1026" style="position:absolute;left:0;top:0;height:5283200;width:548640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f"/>
                      </v:shape>
                      <v:shape id="_x0000_s1026" o:spid="_x0000_s1026" o:spt="202" type="#_x0000_t202" style="position:absolute;left:730885;top:0;height:476885;width:1676400;" filled="f" stroked="f" coordsize="21600,21600" o:gfxdata="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dwTC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3E8D9268">
                              <w:pPr>
                                <w:pStyle w:val="29"/>
                                <w:spacing w:before="0" w:after="0" w:line="240" w:lineRule="auto"/>
                                <w:ind w:left="0" w:right="0"/>
                                <w:jc w:val="center"/>
                              </w:pPr>
                              <w:r>
                                <w:rPr>
                                  <w:rFonts w:ascii="Times New Roman" w:hAnsi="宋体" w:eastAsia="宋体"/>
                                  <w:kern w:val="2"/>
                                  <w:sz w:val="21"/>
                                  <w:szCs w:val="21"/>
                                </w:rPr>
                                <w:t>环氧树脂、二氧化硅、填充粉、色粉</w:t>
                              </w:r>
                            </w:p>
                          </w:txbxContent>
                        </v:textbox>
                      </v:shape>
                      <v:shape id="_x0000_s1026" o:spid="_x0000_s1026" o:spt="202" type="#_x0000_t202" style="position:absolute;left:1174750;top:762635;height:289560;width:788670;" fillcolor="#FFFFFF [3201]" filled="t" stroked="t" coordsize="21600,21600" o:gfxdata="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r9/E7UAAADcAAAADwAA&#10;AAAAAAABACAAAAAiAAAAZHJzL2Rvd25yZXYueG1sUEsBAhQAFAAAAAgAh07iQDMvBZ47AAAAOQAA&#10;ABAAAAAAAAAAAQAgAAAABAEAAGRycy9zaGFwZXhtbC54bWxQSwUGAAAAAAYABgBbAQAArgMAAAAA&#10;">
                        <v:fill on="t" focussize="0,0"/>
                        <v:stroke weight="0.5pt" color="#000000 [3213]" joinstyle="round"/>
                        <v:imagedata o:title=""/>
                        <o:lock v:ext="edit" aspectratio="f"/>
                        <v:textbox>
                          <w:txbxContent>
                            <w:p w14:paraId="57294772">
                              <w:pPr>
                                <w:pStyle w:val="29"/>
                                <w:spacing w:before="0" w:after="0" w:line="240" w:lineRule="auto"/>
                                <w:ind w:left="0" w:right="0"/>
                                <w:jc w:val="center"/>
                              </w:pPr>
                              <w:r>
                                <w:rPr>
                                  <w:rFonts w:ascii="Times New Roman" w:hAnsi="宋体" w:eastAsia="宋体"/>
                                  <w:color w:val="000000"/>
                                  <w:kern w:val="2"/>
                                  <w:sz w:val="21"/>
                                  <w:szCs w:val="21"/>
                                </w:rPr>
                                <w:t>投料分散</w:t>
                              </w:r>
                            </w:p>
                          </w:txbxContent>
                        </v:textbox>
                      </v:shape>
                      <v:shape id="_x0000_s1026" o:spid="_x0000_s1026" o:spt="202" type="#_x0000_t202" style="position:absolute;left:1174750;top:1337945;height:289560;width:788670;" fillcolor="#FFFFFF [3201]" filled="t" stroked="t" coordsize="21600,21600" o:gfxdata="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m3hZLUAAADcAAAADwAA&#10;AAAAAAABACAAAAAiAAAAZHJzL2Rvd25yZXYueG1sUEsBAhQAFAAAAAgAh07iQDMvBZ47AAAAOQAA&#10;ABAAAAAAAAAAAQAgAAAABAEAAGRycy9zaGFwZXhtbC54bWxQSwUGAAAAAAYABgBbAQAArgMAAAAA&#10;">
                        <v:fill on="t" focussize="0,0"/>
                        <v:stroke weight="0.5pt" color="#000000 [3213]" joinstyle="round"/>
                        <v:imagedata o:title=""/>
                        <o:lock v:ext="edit" aspectratio="f"/>
                        <v:textbox>
                          <w:txbxContent>
                            <w:p w14:paraId="5077F9E0">
                              <w:pPr>
                                <w:pStyle w:val="29"/>
                                <w:spacing w:before="0" w:after="0" w:line="240" w:lineRule="auto"/>
                                <w:ind w:left="0" w:right="0"/>
                                <w:jc w:val="center"/>
                              </w:pPr>
                              <w:r>
                                <w:rPr>
                                  <w:rFonts w:ascii="Times New Roman" w:hAnsi="宋体" w:eastAsia="宋体"/>
                                  <w:color w:val="000000"/>
                                  <w:kern w:val="2"/>
                                  <w:sz w:val="21"/>
                                  <w:szCs w:val="21"/>
                                </w:rPr>
                                <w:t>搅拌</w:t>
                              </w:r>
                            </w:p>
                          </w:txbxContent>
                        </v:textbox>
                      </v:shape>
                      <v:shape id="_x0000_s1026" o:spid="_x0000_s1026" o:spt="202" type="#_x0000_t202" style="position:absolute;left:1174750;top:2488565;height:289560;width:788670;" fillcolor="#FFFFFF [3201]" filled="t" stroked="t" coordsize="21600,21600" o:gfxdata="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SFE/7UAAADcAAAADwAA&#10;AAAAAAABACAAAAAiAAAAZHJzL2Rvd25yZXYueG1sUEsBAhQAFAAAAAgAh07iQDMvBZ47AAAAOQAA&#10;ABAAAAAAAAAAAQAgAAAABAEAAGRycy9zaGFwZXhtbC54bWxQSwUGAAAAAAYABgBbAQAArgMAAAAA&#10;">
                        <v:fill on="t" focussize="0,0"/>
                        <v:stroke weight="0.5pt" color="#000000 [3213]" joinstyle="round"/>
                        <v:imagedata o:title=""/>
                        <o:lock v:ext="edit" aspectratio="f"/>
                        <v:textbox>
                          <w:txbxContent>
                            <w:p w14:paraId="0FC3D4D4">
                              <w:pPr>
                                <w:pStyle w:val="29"/>
                                <w:spacing w:before="0" w:after="0" w:line="240" w:lineRule="auto"/>
                                <w:ind w:left="0" w:right="0"/>
                                <w:jc w:val="center"/>
                              </w:pPr>
                              <w:r>
                                <w:rPr>
                                  <w:rFonts w:ascii="Times New Roman" w:hAnsi="宋体" w:eastAsia="宋体"/>
                                  <w:color w:val="000000"/>
                                  <w:kern w:val="2"/>
                                  <w:sz w:val="21"/>
                                  <w:szCs w:val="21"/>
                                </w:rPr>
                                <w:t>压料灌装</w:t>
                              </w:r>
                            </w:p>
                          </w:txbxContent>
                        </v:textbox>
                      </v:shape>
                      <v:shape id="_x0000_s1026" o:spid="_x0000_s1026" o:spt="202" type="#_x0000_t202" style="position:absolute;left:1961515;top:3667760;height:289560;width:1179830;" fillcolor="#FFFFFF [3201]" filled="t" stroked="t" coordsize="21600,21600" o:gfxdata="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vtCN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textbox>
                          <w:txbxContent>
                            <w:p w14:paraId="1CBBBA2A">
                              <w:pPr>
                                <w:pStyle w:val="29"/>
                                <w:spacing w:before="0" w:after="0" w:line="240" w:lineRule="auto"/>
                                <w:ind w:left="0" w:right="0"/>
                                <w:jc w:val="center"/>
                                <w:rPr>
                                  <w:sz w:val="22"/>
                                  <w:szCs w:val="22"/>
                                </w:rPr>
                              </w:pPr>
                              <w:r>
                                <w:rPr>
                                  <w:rFonts w:ascii="宋体" w:hAnsi="宋体" w:eastAsia="宋体"/>
                                  <w:kern w:val="2"/>
                                  <w:sz w:val="21"/>
                                  <w:szCs w:val="21"/>
                                </w:rPr>
                                <w:t>喷码、转印</w:t>
                              </w:r>
                            </w:p>
                          </w:txbxContent>
                        </v:textbox>
                      </v:shape>
                      <v:shape id="_x0000_s1026" o:spid="_x0000_s1026" o:spt="202" type="#_x0000_t202" style="position:absolute;left:1078865;top:3004185;height:289560;width:959485;" fillcolor="#FFFFFF [3201]" filled="t" stroked="f" coordsize="21600,21600" o:gfxdata="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jMOWW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14:paraId="3A74F62B">
                              <w:pPr>
                                <w:pStyle w:val="29"/>
                                <w:spacing w:before="0" w:after="0" w:line="240" w:lineRule="auto"/>
                                <w:ind w:left="0" w:right="0"/>
                                <w:jc w:val="center"/>
                              </w:pPr>
                              <w:r>
                                <w:rPr>
                                  <w:rFonts w:ascii="Times New Roman" w:hAnsi="宋体" w:eastAsia="宋体"/>
                                  <w:color w:val="000000"/>
                                  <w:kern w:val="2"/>
                                  <w:sz w:val="21"/>
                                  <w:szCs w:val="21"/>
                                </w:rPr>
                                <w:t>A组分产品</w:t>
                              </w:r>
                            </w:p>
                          </w:txbxContent>
                        </v:textbox>
                      </v:shape>
                      <v:shape id="_x0000_s1026" o:spid="_x0000_s1026" o:spt="202" type="#_x0000_t202" style="position:absolute;left:1174750;top:1913255;height:289560;width:788670;" fillcolor="#FFFFFF [3201]" filled="t" stroked="t" coordsize="21600,21600" o:gfxdata="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JA9ZW2AAAA3AAAAA8A&#10;AAAAAAAAAQAgAAAAIgAAAGRycy9kb3ducmV2LnhtbFBLAQIUABQAAAAIAIdO4kAzLwWeOwAAADkA&#10;AAAQAAAAAAAAAAEAIAAAAAUBAABkcnMvc2hhcGV4bWwueG1sUEsFBgAAAAAGAAYAWwEAAK8DAAAA&#10;AA==&#10;">
                        <v:fill on="t" focussize="0,0"/>
                        <v:stroke weight="0.5pt" color="#000000 [3213]" joinstyle="round"/>
                        <v:imagedata o:title=""/>
                        <o:lock v:ext="edit" aspectratio="f"/>
                        <v:textbox>
                          <w:txbxContent>
                            <w:p w14:paraId="4645B986">
                              <w:pPr>
                                <w:pStyle w:val="29"/>
                                <w:spacing w:before="0" w:after="0" w:line="240" w:lineRule="auto"/>
                                <w:ind w:left="0" w:right="0"/>
                                <w:jc w:val="center"/>
                              </w:pPr>
                              <w:r>
                                <w:rPr>
                                  <w:rFonts w:ascii="Times New Roman" w:hAnsi="宋体" w:eastAsia="宋体"/>
                                  <w:color w:val="000000"/>
                                  <w:kern w:val="2"/>
                                  <w:sz w:val="21"/>
                                  <w:szCs w:val="21"/>
                                </w:rPr>
                                <w:t>分装</w:t>
                              </w:r>
                            </w:p>
                          </w:txbxContent>
                        </v:textbox>
                      </v:shape>
                      <v:shape id="_x0000_s1026" o:spid="_x0000_s1026" o:spt="202" type="#_x0000_t202" style="position:absolute;left:2852420;top:0;height:476885;width:1638935;" filled="f" stroked="f" coordsize="21600,21600" o:gfxdata="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JLt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1AA97553">
                              <w:pPr>
                                <w:pStyle w:val="29"/>
                                <w:spacing w:before="0" w:after="0" w:line="240" w:lineRule="auto"/>
                                <w:ind w:left="0" w:right="0"/>
                                <w:jc w:val="center"/>
                              </w:pPr>
                              <w:r>
                                <w:rPr>
                                  <w:rFonts w:ascii="Times New Roman" w:hAnsi="宋体" w:eastAsia="宋体"/>
                                  <w:kern w:val="2"/>
                                  <w:sz w:val="21"/>
                                  <w:szCs w:val="21"/>
                                </w:rPr>
                                <w:t>固化剂、二氧化硅、填充粉、色粉</w:t>
                              </w:r>
                            </w:p>
                            <w:p w14:paraId="23B54076">
                              <w:pPr>
                                <w:pStyle w:val="29"/>
                                <w:spacing w:before="0" w:after="0" w:line="240" w:lineRule="auto"/>
                                <w:ind w:left="0" w:right="0"/>
                                <w:jc w:val="left"/>
                              </w:pPr>
                              <w:r>
                                <w:rPr>
                                  <w:rFonts w:ascii="宋体" w:hAnsi="宋体" w:eastAsia="宋体"/>
                                  <w:kern w:val="2"/>
                                  <w:sz w:val="22"/>
                                  <w:szCs w:val="22"/>
                                </w:rPr>
                                <w:t> </w:t>
                              </w:r>
                            </w:p>
                          </w:txbxContent>
                        </v:textbox>
                      </v:shape>
                      <v:shape id="_x0000_s1026" o:spid="_x0000_s1026" o:spt="202" type="#_x0000_t202" style="position:absolute;left:3272790;top:753745;height:289560;width:788670;" fillcolor="#FFFFFF [3201]" filled="t" stroked="t" coordsize="21600,21600" o:gfxdata="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N/5C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515BEF96">
                              <w:pPr>
                                <w:pStyle w:val="29"/>
                                <w:spacing w:before="0" w:after="0" w:line="240" w:lineRule="auto"/>
                                <w:ind w:left="0" w:right="0"/>
                                <w:jc w:val="center"/>
                              </w:pPr>
                              <w:r>
                                <w:rPr>
                                  <w:rFonts w:ascii="Times New Roman" w:hAnsi="宋体" w:eastAsia="宋体"/>
                                  <w:color w:val="000000"/>
                                  <w:kern w:val="2"/>
                                  <w:sz w:val="21"/>
                                  <w:szCs w:val="21"/>
                                </w:rPr>
                                <w:t>投料分散</w:t>
                              </w:r>
                            </w:p>
                            <w:p w14:paraId="264B9526">
                              <w:pPr>
                                <w:pStyle w:val="29"/>
                                <w:spacing w:before="0" w:after="0" w:line="240" w:lineRule="auto"/>
                                <w:ind w:left="0" w:right="0"/>
                                <w:jc w:val="left"/>
                              </w:pPr>
                              <w:r>
                                <w:rPr>
                                  <w:rFonts w:ascii="宋体" w:hAnsi="宋体" w:eastAsia="宋体"/>
                                  <w:kern w:val="2"/>
                                  <w:sz w:val="22"/>
                                  <w:szCs w:val="22"/>
                                </w:rPr>
                                <w:t> </w:t>
                              </w:r>
                            </w:p>
                          </w:txbxContent>
                        </v:textbox>
                      </v:shape>
                      <v:shape id="_x0000_s1026" o:spid="_x0000_s1026" o:spt="202" type="#_x0000_t202" style="position:absolute;left:3272790;top:1329055;height:289560;width:788670;" fillcolor="#FFFFFF [3201]" filled="t" stroked="t" coordsize="21600,21600" o:gfxdata="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EFaC7UAAADcAAAADwAA&#10;AAAAAAABACAAAAAiAAAAZHJzL2Rvd25yZXYueG1sUEsBAhQAFAAAAAgAh07iQDMvBZ47AAAAOQAA&#10;ABAAAAAAAAAAAQAgAAAABAEAAGRycy9zaGFwZXhtbC54bWxQSwUGAAAAAAYABgBbAQAArgMAAAAA&#10;">
                        <v:fill on="t" focussize="0,0"/>
                        <v:stroke weight="0.5pt" color="#000000 [3213]" joinstyle="round"/>
                        <v:imagedata o:title=""/>
                        <o:lock v:ext="edit" aspectratio="f"/>
                        <v:textbox>
                          <w:txbxContent>
                            <w:p w14:paraId="2FCB8F4C">
                              <w:pPr>
                                <w:pStyle w:val="29"/>
                                <w:spacing w:before="0" w:after="0" w:line="240" w:lineRule="auto"/>
                                <w:ind w:left="0" w:right="0"/>
                                <w:jc w:val="center"/>
                              </w:pPr>
                              <w:r>
                                <w:rPr>
                                  <w:rFonts w:ascii="Times New Roman" w:hAnsi="宋体" w:eastAsia="宋体"/>
                                  <w:color w:val="000000"/>
                                  <w:kern w:val="2"/>
                                  <w:sz w:val="21"/>
                                  <w:szCs w:val="21"/>
                                </w:rPr>
                                <w:t>搅拌</w:t>
                              </w:r>
                            </w:p>
                            <w:p w14:paraId="63AFD934">
                              <w:pPr>
                                <w:pStyle w:val="29"/>
                                <w:spacing w:before="0" w:after="0" w:line="240" w:lineRule="auto"/>
                                <w:ind w:left="0" w:right="0"/>
                                <w:jc w:val="left"/>
                              </w:pPr>
                              <w:r>
                                <w:rPr>
                                  <w:rFonts w:ascii="宋体" w:hAnsi="宋体" w:eastAsia="宋体"/>
                                  <w:kern w:val="2"/>
                                  <w:sz w:val="22"/>
                                  <w:szCs w:val="22"/>
                                </w:rPr>
                                <w:t> </w:t>
                              </w:r>
                            </w:p>
                          </w:txbxContent>
                        </v:textbox>
                      </v:shape>
                      <v:shape id="_x0000_s1026" o:spid="_x0000_s1026" o:spt="202" type="#_x0000_t202" style="position:absolute;left:3272790;top:2479675;height:289560;width:788670;" fillcolor="#FFFFFF [3201]" filled="t" stroked="t" coordsize="21600,21600" o:gfxdata="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mYzNa2AAAA3AAAAA8A&#10;AAAAAAAAAQAgAAAAIgAAAGRycy9kb3ducmV2LnhtbFBLAQIUABQAAAAIAIdO4kAzLwWeOwAAADkA&#10;AAAQAAAAAAAAAAEAIAAAAAUBAABkcnMvc2hhcGV4bWwueG1sUEsFBgAAAAAGAAYAWwEAAK8DAAAA&#10;AA==&#10;">
                        <v:fill on="t" focussize="0,0"/>
                        <v:stroke weight="0.5pt" color="#000000 [3213]" joinstyle="round"/>
                        <v:imagedata o:title=""/>
                        <o:lock v:ext="edit" aspectratio="f"/>
                        <v:textbox>
                          <w:txbxContent>
                            <w:p w14:paraId="0CC7D107">
                              <w:pPr>
                                <w:pStyle w:val="29"/>
                                <w:spacing w:before="0" w:after="0" w:line="240" w:lineRule="auto"/>
                                <w:ind w:left="0" w:right="0"/>
                                <w:jc w:val="center"/>
                              </w:pPr>
                              <w:r>
                                <w:rPr>
                                  <w:rFonts w:ascii="Times New Roman" w:hAnsi="宋体" w:eastAsia="宋体"/>
                                  <w:color w:val="000000"/>
                                  <w:kern w:val="2"/>
                                  <w:sz w:val="21"/>
                                  <w:szCs w:val="21"/>
                                </w:rPr>
                                <w:t>压料灌装</w:t>
                              </w:r>
                            </w:p>
                            <w:p w14:paraId="008FAAD4">
                              <w:pPr>
                                <w:pStyle w:val="29"/>
                                <w:spacing w:before="0" w:after="0" w:line="240" w:lineRule="auto"/>
                                <w:ind w:left="0" w:right="0"/>
                                <w:jc w:val="left"/>
                              </w:pPr>
                              <w:r>
                                <w:rPr>
                                  <w:rFonts w:ascii="宋体" w:hAnsi="宋体" w:eastAsia="宋体"/>
                                  <w:kern w:val="2"/>
                                  <w:sz w:val="22"/>
                                  <w:szCs w:val="22"/>
                                </w:rPr>
                                <w:t> </w:t>
                              </w:r>
                            </w:p>
                          </w:txbxContent>
                        </v:textbox>
                      </v:shape>
                      <v:shape id="_x0000_s1026" o:spid="_x0000_s1026" o:spt="202" type="#_x0000_t202" style="position:absolute;left:3229610;top:3047365;height:289560;width:959485;" fillcolor="#FFFFFF [3201]" filled="t" stroked="f" coordsize="21600,21600" o:gfxdata="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QX8hL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14:paraId="1BE651FC">
                              <w:pPr>
                                <w:pStyle w:val="29"/>
                                <w:spacing w:before="0" w:after="0" w:line="240" w:lineRule="auto"/>
                                <w:ind w:left="0" w:right="0"/>
                                <w:jc w:val="center"/>
                              </w:pPr>
                              <w:r>
                                <w:rPr>
                                  <w:rFonts w:ascii="Times New Roman" w:hAnsi="宋体" w:eastAsia="宋体"/>
                                  <w:color w:val="000000"/>
                                  <w:kern w:val="2"/>
                                  <w:sz w:val="21"/>
                                  <w:szCs w:val="21"/>
                                </w:rPr>
                                <w:t>B组分产品</w:t>
                              </w:r>
                            </w:p>
                          </w:txbxContent>
                        </v:textbox>
                      </v:shape>
                      <v:shape id="_x0000_s1026" o:spid="_x0000_s1026" o:spt="202" type="#_x0000_t202" style="position:absolute;left:3272790;top:1904365;height:289560;width:788670;" fillcolor="#FFFFFF [3201]" filled="t" stroked="t" coordsize="21600,21600" o:gfxdata="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JME2+2AAAA3AAAAA8A&#10;AAAAAAAAAQAgAAAAIgAAAGRycy9kb3ducmV2LnhtbFBLAQIUABQAAAAIAIdO4kAzLwWeOwAAADkA&#10;AAAQAAAAAAAAAAEAIAAAAAUBAABkcnMvc2hhcGV4bWwueG1sUEsFBgAAAAAGAAYAWwEAAK8DAAAA&#10;AA==&#10;">
                        <v:fill on="t" focussize="0,0"/>
                        <v:stroke weight="0.5pt" color="#000000 [3213]" joinstyle="round"/>
                        <v:imagedata o:title=""/>
                        <o:lock v:ext="edit" aspectratio="f"/>
                        <v:textbox>
                          <w:txbxContent>
                            <w:p w14:paraId="4FC6F068">
                              <w:pPr>
                                <w:pStyle w:val="29"/>
                                <w:spacing w:before="0" w:after="0" w:line="240" w:lineRule="auto"/>
                                <w:ind w:left="0" w:right="0"/>
                                <w:jc w:val="center"/>
                              </w:pPr>
                              <w:r>
                                <w:rPr>
                                  <w:rFonts w:ascii="Times New Roman" w:hAnsi="宋体" w:eastAsia="宋体"/>
                                  <w:color w:val="000000"/>
                                  <w:kern w:val="2"/>
                                  <w:sz w:val="21"/>
                                  <w:szCs w:val="21"/>
                                </w:rPr>
                                <w:t>分装</w:t>
                              </w:r>
                            </w:p>
                            <w:p w14:paraId="13476B73">
                              <w:pPr>
                                <w:pStyle w:val="29"/>
                                <w:spacing w:before="0" w:after="0" w:line="240" w:lineRule="auto"/>
                                <w:ind w:left="0" w:right="0"/>
                                <w:jc w:val="left"/>
                              </w:pPr>
                              <w:r>
                                <w:rPr>
                                  <w:rFonts w:ascii="宋体" w:hAnsi="宋体" w:eastAsia="宋体"/>
                                  <w:kern w:val="2"/>
                                  <w:sz w:val="22"/>
                                  <w:szCs w:val="22"/>
                                </w:rPr>
                                <w:t> </w:t>
                              </w:r>
                            </w:p>
                          </w:txbxContent>
                        </v:textbox>
                      </v:shape>
                      <v:shape id="_x0000_s1026" o:spid="_x0000_s1026" o:spt="32" type="#_x0000_t32" style="position:absolute;left:1569085;top:476885;flip:y;height:285750;width:0;" filled="f" stroked="t" coordsize="21600,21600" o:gfxdata="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mpYG/&#10;AAAA3AAAAA8AAAAAAAAAAQAgAAAAIgAAAGRycy9kb3ducmV2LnhtbFBLAQIUABQAAAAIAIdO4kAz&#10;LwWeOwAAADkAAAAQAAAAAAAAAAEAIAAAAA4BAABkcnMvc2hhcGV4bWwueG1sUEsFBgAAAAAGAAYA&#10;WwEAALgDAAAAAA==&#10;">
                        <v:fill on="f" focussize="0,0"/>
                        <v:stroke color="#000000 [3213]" joinstyle="round" startarrow="block"/>
                        <v:imagedata o:title=""/>
                        <o:lock v:ext="edit" aspectratio="f"/>
                      </v:shape>
                      <v:shape id="_x0000_s1026" o:spid="_x0000_s1026" o:spt="32" type="#_x0000_t32" style="position:absolute;left:1569085;top:1052195;flip:y;height:285750;width:0;" filled="f" stroked="t" coordsize="21600,21600" o:gfxdata="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jxfu8AAAA&#10;3AAAAA8AAAAAAAAAAQAgAAAAIgAAAGRycy9kb3ducmV2LnhtbFBLAQIUABQAAAAIAIdO4kAzLwWe&#10;OwAAADkAAAAQAAAAAAAAAAEAIAAAAAsBAABkcnMvc2hhcGV4bWwueG1sUEsFBgAAAAAGAAYAWwEA&#10;ALUDAAAAAA==&#10;">
                        <v:fill on="f" focussize="0,0"/>
                        <v:stroke color="#000000 [3213]" joinstyle="round" startarrow="block"/>
                        <v:imagedata o:title=""/>
                        <o:lock v:ext="edit" aspectratio="f"/>
                      </v:shape>
                      <v:shape id="_x0000_s1026" o:spid="_x0000_s1026" o:spt="32" type="#_x0000_t32" style="position:absolute;left:1569085;top:1627505;flip:y;height:285750;width:0;" filled="f" stroked="t" coordsize="21600,21600" o:gfxdata="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91kjvQAA&#10;ANwAAAAPAAAAAAAAAAEAIAAAACIAAABkcnMvZG93bnJldi54bWxQSwECFAAUAAAACACHTuJAMy8F&#10;njsAAAA5AAAAEAAAAAAAAAABACAAAAAMAQAAZHJzL3NoYXBleG1sLnhtbFBLBQYAAAAABgAGAFsB&#10;AAC2AwAAAAA=&#10;">
                        <v:fill on="f" focussize="0,0"/>
                        <v:stroke color="#000000 [3213]" joinstyle="round" startarrow="block"/>
                        <v:imagedata o:title=""/>
                        <o:lock v:ext="edit" aspectratio="f"/>
                      </v:shape>
                      <v:shape id="_x0000_s1026" o:spid="_x0000_s1026" o:spt="32" type="#_x0000_t32" style="position:absolute;left:1569085;top:2202815;flip:y;height:285750;width:0;" filled="f" stroked="t" coordsize="21600,21600" o:gfxdata="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JcdUvQAA&#10;ANwAAAAPAAAAAAAAAAEAIAAAACIAAABkcnMvZG93bnJldi54bWxQSwECFAAUAAAACACHTuJAMy8F&#10;njsAAAA5AAAAEAAAAAAAAAABACAAAAAMAQAAZHJzL3NoYXBleG1sLnhtbFBLBQYAAAAABgAGAFsB&#10;AAC2AwAAAAA=&#10;">
                        <v:fill on="f" focussize="0,0"/>
                        <v:stroke color="#000000 [3213]" joinstyle="round" startarrow="block"/>
                        <v:imagedata o:title=""/>
                        <o:lock v:ext="edit" aspectratio="f"/>
                      </v:shape>
                      <v:shape id="_x0000_s1026" o:spid="_x0000_s1026" o:spt="32" type="#_x0000_t32" style="position:absolute;left:1561465;top:2778125;flip:y;height:213360;width:7620;" filled="f" stroked="t" coordsize="21600,21600" o:gfxdata="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29r2/&#10;AAAA3AAAAA8AAAAAAAAAAQAgAAAAIgAAAGRycy9kb3ducmV2LnhtbFBLAQIUABQAAAAIAIdO4kAz&#10;LwWeOwAAADkAAAAQAAAAAAAAAAEAIAAAAA4BAABkcnMvc2hhcGV4bWwueG1sUEsFBgAAAAAGAAYA&#10;WwEAALgDAAAAAA==&#10;">
                        <v:fill on="f" focussize="0,0"/>
                        <v:stroke color="#000000 [3213]" joinstyle="round" startarrow="block"/>
                        <v:imagedata o:title=""/>
                        <o:lock v:ext="edit" aspectratio="f"/>
                      </v:shape>
                      <v:shape id="_x0000_s1026" o:spid="_x0000_s1026" o:spt="32" type="#_x0000_t32" style="position:absolute;left:1795145;top:3289935;flip:x y;height:335915;width:517525;" filled="f" stroked="t" coordsize="21600,21600" o:gfxdata="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xk0L4A&#10;AADcAAAADwAAAAAAAAABACAAAAAiAAAAZHJzL2Rvd25yZXYueG1sUEsBAhQAFAAAAAgAh07iQDMv&#10;BZ47AAAAOQAAABAAAAAAAAAAAQAgAAAADQEAAGRycy9zaGFwZXhtbC54bWxQSwUGAAAAAAYABgBb&#10;AQAAtwMAAAAA&#10;">
                        <v:fill on="f" focussize="0,0"/>
                        <v:stroke color="#000000 [3213]" joinstyle="round" startarrow="block"/>
                        <v:imagedata o:title=""/>
                        <o:lock v:ext="edit" aspectratio="f"/>
                      </v:shape>
                      <v:shape id="_x0000_s1026" o:spid="_x0000_s1026" o:spt="32" type="#_x0000_t32" style="position:absolute;left:3667125;top:476885;flip:y;height:276860;width:5080;" filled="f" stroked="t" coordsize="21600,21600" o:gfxdata="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DkC8AAAA&#10;3AAAAA8AAAAAAAAAAQAgAAAAIgAAAGRycy9kb3ducmV2LnhtbFBLAQIUABQAAAAIAIdO4kAzLwWe&#10;OwAAADkAAAAQAAAAAAAAAAEAIAAAAAsBAABkcnMvc2hhcGV4bWwueG1sUEsFBgAAAAAGAAYAWwEA&#10;ALUDAAAAAA==&#10;">
                        <v:fill on="f" focussize="0,0"/>
                        <v:stroke color="#000000 [3213]" joinstyle="round" startarrow="block"/>
                        <v:imagedata o:title=""/>
                        <o:lock v:ext="edit" aspectratio="f"/>
                      </v:shape>
                      <v:shape id="_x0000_s1026" o:spid="_x0000_s1026" o:spt="32" type="#_x0000_t32" style="position:absolute;left:3667125;top:1043305;flip:y;height:285750;width:0;" filled="f" stroked="t" coordsize="21600,21600" o:gfxdata="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Or274A&#10;AADcAAAADwAAAAAAAAABACAAAAAiAAAAZHJzL2Rvd25yZXYueG1sUEsBAhQAFAAAAAgAh07iQDMv&#10;BZ47AAAAOQAAABAAAAAAAAAAAQAgAAAADQEAAGRycy9zaGFwZXhtbC54bWxQSwUGAAAAAAYABgBb&#10;AQAAtwMAAAAA&#10;">
                        <v:fill on="f" focussize="0,0"/>
                        <v:stroke color="#000000 [3213]" joinstyle="round" startarrow="block"/>
                        <v:imagedata o:title=""/>
                        <o:lock v:ext="edit" aspectratio="f"/>
                      </v:shape>
                      <v:shape id="_x0000_s1026" o:spid="_x0000_s1026" o:spt="32" type="#_x0000_t32" style="position:absolute;left:3667125;top:1618615;flip:y;height:285750;width:0;" filled="f" stroked="t" coordsize="21600,21600" o:gfxdata="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xNay/&#10;AAAA3AAAAA8AAAAAAAAAAQAgAAAAIgAAAGRycy9kb3ducmV2LnhtbFBLAQIUABQAAAAIAIdO4kAz&#10;LwWeOwAAADkAAAAQAAAAAAAAAAEAIAAAAA4BAABkcnMvc2hhcGV4bWwueG1sUEsFBgAAAAAGAAYA&#10;WwEAALgDAAAAAA==&#10;">
                        <v:fill on="f" focussize="0,0"/>
                        <v:stroke color="#000000 [3213]" joinstyle="round" startarrow="block"/>
                        <v:imagedata o:title=""/>
                        <o:lock v:ext="edit" aspectratio="f"/>
                      </v:shape>
                      <v:shape id="_x0000_s1026" o:spid="_x0000_s1026" o:spt="32" type="#_x0000_t32" style="position:absolute;left:3667125;top:2193925;flip:y;height:285750;width:0;" filled="f" stroked="t" coordsize="21600,21600" o:gfxdata="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9kDe/&#10;AAAA3AAAAA8AAAAAAAAAAQAgAAAAIgAAAGRycy9kb3ducmV2LnhtbFBLAQIUABQAAAAIAIdO4kAz&#10;LwWeOwAAADkAAAAQAAAAAAAAAAEAIAAAAA4BAABkcnMvc2hhcGV4bWwueG1sUEsFBgAAAAAGAAYA&#10;WwEAALgDAAAAAA==&#10;">
                        <v:fill on="f" focussize="0,0"/>
                        <v:stroke color="#000000 [3213]" joinstyle="round" startarrow="block"/>
                        <v:imagedata o:title=""/>
                        <o:lock v:ext="edit" aspectratio="f"/>
                      </v:shape>
                      <v:shape id="_x0000_s1026" o:spid="_x0000_s1026" o:spt="202" type="#_x0000_t202" style="position:absolute;left:0;top:779780;height:242570;width:880110;" filled="f" stroked="f" coordsize="21600,21600" o:gfxdata="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KUR2/&#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386F53FB">
                              <w:pPr>
                                <w:pStyle w:val="29"/>
                                <w:spacing w:before="0" w:after="0" w:line="240" w:lineRule="auto"/>
                                <w:ind w:left="0" w:right="0"/>
                                <w:jc w:val="right"/>
                              </w:pPr>
                              <w:r>
                                <w:rPr>
                                  <w:rFonts w:ascii="Times New Roman" w:hAnsi="宋体" w:eastAsia="宋体"/>
                                  <w:kern w:val="2"/>
                                  <w:sz w:val="21"/>
                                  <w:szCs w:val="21"/>
                                </w:rPr>
                                <w:t>G1、S1、N</w:t>
                              </w:r>
                            </w:p>
                          </w:txbxContent>
                        </v:textbox>
                      </v:shape>
                      <v:shape id="_x0000_s1026" o:spid="_x0000_s1026" o:spt="32" type="#_x0000_t32" style="position:absolute;left:880110;top:901065;height:6350;width:294640;" filled="f" stroked="t" coordsize="21600,21600" o:gfxdata="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P3OW/&#10;AAAA3AAAAA8AAAAAAAAAAQAgAAAAIgAAAGRycy9kb3ducmV2LnhtbFBLAQIUABQAAAAIAIdO4kAz&#10;LwWeOwAAADkAAAAQAAAAAAAAAAEAIAAAAA4BAABkcnMvc2hhcGV4bWwueG1sUEsFBgAAAAAGAAYA&#10;WwEAALgDAAAAAA==&#10;">
                        <v:fill on="f" focussize="0,0"/>
                        <v:stroke color="#000000 [3213]" joinstyle="round" dashstyle="dash" startarrow="classic"/>
                        <v:imagedata o:title=""/>
                        <o:lock v:ext="edit" aspectratio="f"/>
                      </v:shape>
                      <v:shape id="_x0000_s1026" o:spid="_x0000_s1026" o:spt="202" type="#_x0000_t202" style="position:absolute;left:17780;top:1360805;height:242570;width:880110;" filled="f" stroked="f" coordsize="21600,21600" o:gfxdata="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mWD0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22F3F1B4">
                              <w:pPr>
                                <w:pStyle w:val="29"/>
                                <w:spacing w:before="0" w:after="0" w:line="240" w:lineRule="auto"/>
                                <w:ind w:left="0" w:right="0"/>
                                <w:jc w:val="right"/>
                              </w:pPr>
                              <w:r>
                                <w:rPr>
                                  <w:rFonts w:ascii="Times New Roman" w:hAnsi="宋体" w:eastAsia="宋体"/>
                                  <w:kern w:val="2"/>
                                  <w:sz w:val="21"/>
                                  <w:szCs w:val="21"/>
                                </w:rPr>
                                <w:t>G2、N</w:t>
                              </w:r>
                            </w:p>
                          </w:txbxContent>
                        </v:textbox>
                      </v:shape>
                      <v:shape id="_x0000_s1026" o:spid="_x0000_s1026" o:spt="32" type="#_x0000_t32" style="position:absolute;left:897890;top:1482090;height:6350;width:294640;" filled="f" stroked="t" coordsize="21600,21600" o:gfxdata="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c7Qy/&#10;AAAA3AAAAA8AAAAAAAAAAQAgAAAAIgAAAGRycy9kb3ducmV2LnhtbFBLAQIUABQAAAAIAIdO4kAz&#10;LwWeOwAAADkAAAAQAAAAAAAAAAEAIAAAAA4BAABkcnMvc2hhcGV4bWwueG1sUEsFBgAAAAAGAAYA&#10;WwEAALgDAAAAAA==&#10;">
                        <v:fill on="f" focussize="0,0"/>
                        <v:stroke color="#000000 [3213]" joinstyle="round" dashstyle="dash" startarrow="classic"/>
                        <v:imagedata o:title=""/>
                        <o:lock v:ext="edit" aspectratio="f"/>
                      </v:shape>
                      <v:shape id="_x0000_s1026" o:spid="_x0000_s1026" o:spt="202" type="#_x0000_t202" style="position:absolute;left:27305;top:1941830;height:242570;width:880110;" filled="f" stroked="f" coordsize="21600,21600" o:gfxdata="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2+i+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3E410F65">
                              <w:pPr>
                                <w:pStyle w:val="29"/>
                                <w:spacing w:before="0" w:after="0" w:line="240" w:lineRule="auto"/>
                                <w:ind w:left="0" w:right="0"/>
                                <w:jc w:val="right"/>
                              </w:pPr>
                              <w:r>
                                <w:rPr>
                                  <w:rFonts w:ascii="Times New Roman" w:hAnsi="宋体" w:eastAsia="宋体"/>
                                  <w:kern w:val="2"/>
                                  <w:sz w:val="21"/>
                                  <w:szCs w:val="21"/>
                                </w:rPr>
                                <w:t>N</w:t>
                              </w:r>
                            </w:p>
                          </w:txbxContent>
                        </v:textbox>
                      </v:shape>
                      <v:shape id="_x0000_s1026" o:spid="_x0000_s1026" o:spt="32" type="#_x0000_t32" style="position:absolute;left:907415;top:2063115;height:6350;width:294640;" filled="f" stroked="t" coordsize="21600,21600" o:gfxdata="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N3174A&#10;AADcAAAADwAAAAAAAAABACAAAAAiAAAAZHJzL2Rvd25yZXYueG1sUEsBAhQAFAAAAAgAh07iQDMv&#10;BZ47AAAAOQAAABAAAAAAAAAAAQAgAAAADQEAAGRycy9zaGFwZXhtbC54bWxQSwUGAAAAAAYABgBb&#10;AQAAtwMAAAAA&#10;">
                        <v:fill on="f" focussize="0,0"/>
                        <v:stroke color="#000000 [3213]" joinstyle="round" dashstyle="dash" startarrow="classic"/>
                        <v:imagedata o:title=""/>
                        <o:lock v:ext="edit" aspectratio="f"/>
                      </v:shape>
                      <v:shape id="_x0000_s1026" o:spid="_x0000_s1026" o:spt="202" type="#_x0000_t202" style="position:absolute;left:27305;top:2522855;height:242570;width:880110;" filled="f" stroked="f" coordsize="21600,21600" o:gfxdata="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owcO/&#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59C522EE">
                              <w:pPr>
                                <w:pStyle w:val="29"/>
                                <w:spacing w:before="0" w:after="0" w:line="240" w:lineRule="auto"/>
                                <w:ind w:left="0" w:right="0" w:firstLine="0"/>
                                <w:jc w:val="left"/>
                                <w:rPr>
                                  <w:rFonts w:hint="default" w:eastAsia="宋体"/>
                                  <w:lang w:val="en-US" w:eastAsia="zh-CN"/>
                                </w:rPr>
                              </w:pPr>
                              <w:r>
                                <w:rPr>
                                  <w:rFonts w:ascii="Times New Roman" w:hAnsi="宋体" w:eastAsia="宋体"/>
                                  <w:kern w:val="2"/>
                                  <w:sz w:val="21"/>
                                  <w:szCs w:val="21"/>
                                </w:rPr>
                                <w:t>S2、N</w:t>
                              </w:r>
                              <w:r>
                                <w:rPr>
                                  <w:rFonts w:hint="eastAsia" w:ascii="Times New Roman"/>
                                  <w:kern w:val="2"/>
                                  <w:sz w:val="21"/>
                                  <w:szCs w:val="21"/>
                                  <w:lang w:eastAsia="zh-CN"/>
                                </w:rPr>
                                <w:t>、</w:t>
                              </w:r>
                              <w:r>
                                <w:rPr>
                                  <w:rFonts w:hint="eastAsia" w:ascii="Times New Roman"/>
                                  <w:kern w:val="2"/>
                                  <w:sz w:val="21"/>
                                  <w:szCs w:val="21"/>
                                  <w:lang w:val="en-US" w:eastAsia="zh-CN"/>
                                </w:rPr>
                                <w:t>G3</w:t>
                              </w:r>
                            </w:p>
                          </w:txbxContent>
                        </v:textbox>
                      </v:shape>
                      <v:shape id="_x0000_s1026" o:spid="_x0000_s1026" o:spt="32" type="#_x0000_t32" style="position:absolute;left:907415;top:2644140;height:6350;width:294640;" filled="f" stroked="t" coordsize="21600,21600" o:gfxdata="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tTDu/&#10;AAAA3AAAAA8AAAAAAAAAAQAgAAAAIgAAAGRycy9kb3ducmV2LnhtbFBLAQIUABQAAAAIAIdO4kAz&#10;LwWeOwAAADkAAAAQAAAAAAAAAAEAIAAAAA4BAABkcnMvc2hhcGV4bWwueG1sUEsFBgAAAAAGAAYA&#10;WwEAALgDAAAAAA==&#10;">
                        <v:fill on="f" focussize="0,0"/>
                        <v:stroke color="#000000 [3213]" joinstyle="round" dashstyle="dash" startarrow="classic"/>
                        <v:imagedata o:title=""/>
                        <o:lock v:ext="edit" aspectratio="f"/>
                      </v:shape>
                      <v:shape id="_x0000_s1026" o:spid="_x0000_s1026" o:spt="202" type="#_x0000_t202" style="position:absolute;left:1059180;top:4220210;height:242570;width:880110;" filled="f" stroked="f" coordsize="21600,21600" o:gfxdata="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Dfws&#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14:paraId="4244D00F">
                              <w:pPr>
                                <w:pStyle w:val="29"/>
                                <w:spacing w:before="0" w:after="0" w:line="240" w:lineRule="auto"/>
                                <w:ind w:left="0" w:right="0"/>
                                <w:jc w:val="right"/>
                              </w:pPr>
                              <w:r>
                                <w:rPr>
                                  <w:rFonts w:ascii="Times New Roman" w:hAnsi="宋体" w:eastAsia="宋体"/>
                                  <w:kern w:val="2"/>
                                  <w:sz w:val="21"/>
                                  <w:szCs w:val="21"/>
                                </w:rPr>
                                <w:t>S3、N</w:t>
                              </w:r>
                            </w:p>
                          </w:txbxContent>
                        </v:textbox>
                      </v:shape>
                      <v:shape id="_x0000_s1026" o:spid="_x0000_s1026" o:spt="32" type="#_x0000_t32" style="position:absolute;left:1990725;top:4359910;height:6350;width:294640;" filled="f" stroked="t" coordsize="21600,21600" o:gfxdata="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hx1L4A&#10;AADcAAAADwAAAAAAAAABACAAAAAiAAAAZHJzL2Rvd25yZXYueG1sUEsBAhQAFAAAAAgAh07iQDMv&#10;BZ47AAAAOQAAABAAAAAAAAAAAQAgAAAADQEAAGRycy9zaGFwZXhtbC54bWxQSwUGAAAAAAYABgBb&#10;AQAAtwMAAAAA&#10;">
                        <v:fill on="f" focussize="0,0"/>
                        <v:stroke color="#000000 [3213]" joinstyle="round" dashstyle="dash" startarrow="classic"/>
                        <v:imagedata o:title=""/>
                        <o:lock v:ext="edit" aspectratio="f"/>
                      </v:shape>
                      <v:shape id="_x0000_s1026" o:spid="_x0000_s1026" o:spt="202" type="#_x0000_t202" style="position:absolute;left:4446270;top:770255;height:242570;width:880110;" filled="f" stroked="f" coordsize="21600,21600" o:gfxdata="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PHw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4932C84">
                              <w:pPr>
                                <w:pStyle w:val="29"/>
                                <w:spacing w:before="0" w:after="0" w:line="240" w:lineRule="auto"/>
                                <w:ind w:left="0" w:right="0"/>
                                <w:jc w:val="left"/>
                              </w:pPr>
                              <w:r>
                                <w:rPr>
                                  <w:rFonts w:ascii="Times New Roman" w:hAnsi="宋体" w:eastAsia="宋体"/>
                                  <w:kern w:val="2"/>
                                  <w:sz w:val="21"/>
                                  <w:szCs w:val="21"/>
                                </w:rPr>
                                <w:t>G1、S1、N</w:t>
                              </w:r>
                            </w:p>
                          </w:txbxContent>
                        </v:textbox>
                      </v:shape>
                      <v:shape id="_x0000_s1026" o:spid="_x0000_s1026" o:spt="202" type="#_x0000_t202" style="position:absolute;left:4464050;top:1351280;height:242570;width:880110;" filled="f" stroked="f" coordsize="21600,21600" o:gfxdata="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2Jb&#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14:paraId="2A10073B">
                              <w:pPr>
                                <w:pStyle w:val="29"/>
                                <w:spacing w:before="0" w:after="0" w:line="240" w:lineRule="auto"/>
                                <w:ind w:left="0" w:right="0"/>
                                <w:jc w:val="left"/>
                              </w:pPr>
                              <w:r>
                                <w:rPr>
                                  <w:rFonts w:ascii="Times New Roman" w:hAnsi="宋体" w:eastAsia="宋体"/>
                                  <w:kern w:val="2"/>
                                  <w:sz w:val="21"/>
                                  <w:szCs w:val="21"/>
                                </w:rPr>
                                <w:t>G2、N</w:t>
                              </w:r>
                            </w:p>
                          </w:txbxContent>
                        </v:textbox>
                      </v:shape>
                      <v:shape id="_x0000_s1026" o:spid="_x0000_s1026" o:spt="202" type="#_x0000_t202" style="position:absolute;left:4472940;top:1932305;height:242570;width:880110;" filled="f" stroked="f" coordsize="21600,21600" o:gfxdata="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A9im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4BA2977F">
                              <w:pPr>
                                <w:pStyle w:val="29"/>
                                <w:spacing w:before="0" w:after="0" w:line="240" w:lineRule="auto"/>
                                <w:ind w:left="0" w:right="0"/>
                                <w:jc w:val="left"/>
                              </w:pPr>
                              <w:r>
                                <w:rPr>
                                  <w:rFonts w:ascii="Times New Roman" w:hAnsi="宋体" w:eastAsia="宋体"/>
                                  <w:kern w:val="2"/>
                                  <w:sz w:val="21"/>
                                  <w:szCs w:val="21"/>
                                </w:rPr>
                                <w:t>N</w:t>
                              </w:r>
                            </w:p>
                          </w:txbxContent>
                        </v:textbox>
                      </v:shape>
                      <v:shape id="_x0000_s1026" o:spid="_x0000_s1026" o:spt="202" type="#_x0000_t202" style="position:absolute;left:4472940;top:2503805;height:242570;width:880110;" filled="f" stroked="f" coordsize="21600,21600" o:gfxdata="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MU7K/&#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19DF7784">
                              <w:pPr>
                                <w:pStyle w:val="29"/>
                                <w:spacing w:before="0" w:after="0" w:line="240" w:lineRule="auto"/>
                                <w:ind w:left="0" w:right="0"/>
                                <w:jc w:val="both"/>
                                <w:rPr>
                                  <w:rFonts w:hint="default" w:eastAsia="宋体"/>
                                  <w:lang w:val="en-US" w:eastAsia="zh-CN"/>
                                </w:rPr>
                              </w:pPr>
                              <w:r>
                                <w:rPr>
                                  <w:rFonts w:ascii="Times New Roman" w:hAnsi="宋体" w:eastAsia="宋体"/>
                                  <w:kern w:val="2"/>
                                  <w:sz w:val="21"/>
                                  <w:szCs w:val="21"/>
                                </w:rPr>
                                <w:t>S2、N</w:t>
                              </w:r>
                              <w:r>
                                <w:rPr>
                                  <w:rFonts w:hint="eastAsia" w:ascii="Times New Roman"/>
                                  <w:kern w:val="2"/>
                                  <w:sz w:val="21"/>
                                  <w:szCs w:val="21"/>
                                  <w:lang w:eastAsia="zh-CN"/>
                                </w:rPr>
                                <w:t>、</w:t>
                              </w:r>
                              <w:r>
                                <w:rPr>
                                  <w:rFonts w:hint="eastAsia" w:ascii="Times New Roman"/>
                                  <w:kern w:val="2"/>
                                  <w:sz w:val="21"/>
                                  <w:szCs w:val="21"/>
                                  <w:lang w:val="en-US" w:eastAsia="zh-CN"/>
                                </w:rPr>
                                <w:t>G3</w:t>
                              </w:r>
                            </w:p>
                          </w:txbxContent>
                        </v:textbox>
                      </v:shape>
                      <v:shape id="_x0000_s1026" o:spid="_x0000_s1026" o:spt="32" type="#_x0000_t32" style="position:absolute;left:4061460;top:891540;flip:x;height:6985;width:384810;" filled="f" stroked="t" coordsize="21600,21600" o:gfxdata="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GrJb4A&#10;AADcAAAADwAAAAAAAAABACAAAAAiAAAAZHJzL2Rvd25yZXYueG1sUEsBAhQAFAAAAAgAh07iQDMv&#10;BZ47AAAAOQAAABAAAAAAAAAAAQAgAAAADQEAAGRycy9zaGFwZXhtbC54bWxQSwUGAAAAAAYABgBb&#10;AQAAtwMAAAAA&#10;">
                        <v:fill on="f" focussize="0,0"/>
                        <v:stroke color="#000000 [3213]" joinstyle="round" dashstyle="dash" startarrow="classic"/>
                        <v:imagedata o:title=""/>
                        <o:lock v:ext="edit" aspectratio="f"/>
                      </v:shape>
                      <v:shape id="_x0000_s1026" o:spid="_x0000_s1026" o:spt="32" type="#_x0000_t32" style="position:absolute;left:4061460;top:1472565;flip:x;height:1270;width:402590;" filled="f" stroked="t" coordsize="21600,21600" o:gfxdata="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M1Ur4A&#10;AADcAAAADwAAAAAAAAABACAAAAAiAAAAZHJzL2Rvd25yZXYueG1sUEsBAhQAFAAAAAgAh07iQDMv&#10;BZ47AAAAOQAAABAAAAAAAAAAAQAgAAAADQEAAGRycy9zaGFwZXhtbC54bWxQSwUGAAAAAAYABgBb&#10;AQAAtwMAAAAA&#10;">
                        <v:fill on="f" focussize="0,0"/>
                        <v:stroke color="#000000 [3213]" joinstyle="round" dashstyle="dash" startarrow="classic"/>
                        <v:imagedata o:title=""/>
                        <o:lock v:ext="edit" aspectratio="f"/>
                      </v:shape>
                      <v:shape id="_x0000_s1026" o:spid="_x0000_s1026" o:spt="32" type="#_x0000_t32" style="position:absolute;left:4061460;top:2049145;flip:x y;height:4445;width:411480;" filled="f" stroked="t" coordsize="21600,21600" o:gfxdata="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qhNG/&#10;AAAA3AAAAA8AAAAAAAAAAQAgAAAAIgAAAGRycy9kb3ducmV2LnhtbFBLAQIUABQAAAAIAIdO4kAz&#10;LwWeOwAAADkAAAAQAAAAAAAAAAEAIAAAAA4BAABkcnMvc2hhcGV4bWwueG1sUEsFBgAAAAAGAAYA&#10;WwEAALgDAAAAAA==&#10;">
                        <v:fill on="f" focussize="0,0"/>
                        <v:stroke color="#000000 [3213]" joinstyle="round" dashstyle="dash" startarrow="classic"/>
                        <v:imagedata o:title=""/>
                        <o:lock v:ext="edit" aspectratio="f"/>
                      </v:shape>
                      <v:shape id="_x0000_s1026" o:spid="_x0000_s1026" o:spt="32" type="#_x0000_t32" style="position:absolute;left:4061460;top:2624455;flip:x y;height:635;width:411480;" filled="f" stroked="t" coordsize="21600,21600" o:gfxdata="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DHKW/&#10;AAAA3AAAAA8AAAAAAAAAAQAgAAAAIgAAAGRycy9kb3ducmV2LnhtbFBLAQIUABQAAAAIAIdO4kAz&#10;LwWeOwAAADkAAAAQAAAAAAAAAAEAIAAAAA4BAABkcnMvc2hhcGV4bWwueG1sUEsFBgAAAAAGAAYA&#10;WwEAALgDAAAAAA==&#10;">
                        <v:fill on="f" focussize="0,0"/>
                        <v:stroke color="#000000 [3213]" joinstyle="round" dashstyle="dash" startarrow="classic"/>
                        <v:imagedata o:title=""/>
                        <o:lock v:ext="edit" aspectratio="f"/>
                      </v:shape>
                      <v:shape id="_x0000_s1026" o:spid="_x0000_s1026" o:spt="202" type="#_x0000_t202" style="position:absolute;left:2139950;top:4803775;height:289560;width:959485;" fillcolor="#FFFFFF [3201]" filled="t" stroked="f" coordsize="21600,21600" o:gfxdata="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k08f+zAAAA2g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14:paraId="215A8E8F">
                              <w:pPr>
                                <w:pStyle w:val="29"/>
                                <w:spacing w:before="0" w:after="0" w:line="240" w:lineRule="auto"/>
                                <w:ind w:left="0" w:right="0"/>
                                <w:jc w:val="center"/>
                              </w:pPr>
                              <w:r>
                                <w:rPr>
                                  <w:rFonts w:ascii="Times New Roman" w:hAnsi="宋体" w:eastAsia="宋体"/>
                                  <w:color w:val="000000"/>
                                  <w:kern w:val="2"/>
                                  <w:sz w:val="21"/>
                                  <w:szCs w:val="21"/>
                                </w:rPr>
                                <w:t>成品</w:t>
                              </w:r>
                            </w:p>
                          </w:txbxContent>
                        </v:textbox>
                      </v:shape>
                      <v:shape id="_x0000_s1026" o:spid="_x0000_s1026" o:spt="202" type="#_x0000_t202" style="position:absolute;left:2306955;top:4223385;height:268605;width:665480;"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13]" joinstyle="round"/>
                        <v:imagedata o:title=""/>
                        <o:lock v:ext="edit" aspectratio="f"/>
                        <v:textbox>
                          <w:txbxContent>
                            <w:p w14:paraId="749038B4">
                              <w:pPr>
                                <w:pStyle w:val="29"/>
                                <w:spacing w:before="0" w:after="0" w:line="240" w:lineRule="auto"/>
                                <w:ind w:left="0" w:right="0"/>
                                <w:jc w:val="center"/>
                                <w:rPr>
                                  <w:sz w:val="22"/>
                                  <w:szCs w:val="22"/>
                                </w:rPr>
                              </w:pPr>
                              <w:r>
                                <w:rPr>
                                  <w:rFonts w:ascii="宋体" w:hAnsi="宋体" w:eastAsia="宋体"/>
                                  <w:kern w:val="2"/>
                                  <w:sz w:val="21"/>
                                  <w:szCs w:val="21"/>
                                </w:rPr>
                                <w:t>包装</w:t>
                              </w:r>
                            </w:p>
                          </w:txbxContent>
                        </v:textbox>
                      </v:shape>
                      <v:shape id="直接箭头连接符 4" o:spid="_x0000_s1026" o:spt="32" type="#_x0000_t32" style="position:absolute;left:2947670;top:3350895;flip:y;height:295910;width:455295;" filled="f" stroked="t" coordsize="21600,21600" o:gfxdata="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zzK8AAAA&#10;2gAAAA8AAAAAAAAAAQAgAAAAIgAAAGRycy9kb3ducmV2LnhtbFBLAQIUABQAAAAIAIdO4kAzLwWe&#10;OwAAADkAAAAQAAAAAAAAAAEAIAAAAAsBAABkcnMvc2hhcGV4bWwueG1sUEsFBgAAAAAGAAYAWwEA&#10;ALUDAAAAAA==&#10;">
                        <v:fill on="f" focussize="0,0"/>
                        <v:stroke color="#000000 [3213]" joinstyle="round" startarrow="block"/>
                        <v:imagedata o:title=""/>
                        <o:lock v:ext="edit" aspectratio="f"/>
                      </v:shape>
                      <v:shape id="_x0000_s1026" o:spid="_x0000_s1026" o:spt="32" type="#_x0000_t32" style="position:absolute;left:2651125;top:3957955;flip:y;height:250190;width:5080;" filled="f" stroked="t" coordsize="21600,21600" o:gfxdata="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uTmzugAAANsA&#10;AAAPAAAAAAAAAAEAIAAAACIAAABkcnMvZG93bnJldi54bWxQSwECFAAUAAAACACHTuJAMy8FnjsA&#10;AAA5AAAAEAAAAAAAAAABACAAAAAJAQAAZHJzL3NoYXBleG1sLnhtbFBLBQYAAAAABgAGAFsBAACz&#10;AwAAAAA=&#10;">
                        <v:fill on="f" focussize="0,0"/>
                        <v:stroke color="#000000 [3213]" joinstyle="round" startarrow="block"/>
                        <v:imagedata o:title=""/>
                        <o:lock v:ext="edit" aspectratio="f"/>
                      </v:shape>
                      <v:shape id="_x0000_s1026" o:spid="_x0000_s1026" o:spt="32" type="#_x0000_t32" style="position:absolute;left:2656205;top:4497705;flip:x y;height:292735;width:5715;" filled="f" stroked="t" coordsize="21600,21600" o:gfxdata="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kfKa8AAAA&#10;2wAAAA8AAAAAAAAAAQAgAAAAIgAAAGRycy9kb3ducmV2LnhtbFBLAQIUABQAAAAIAIdO4kAzLwWe&#10;OwAAADkAAAAQAAAAAAAAAAEAIAAAAAsBAABkcnMvc2hhcGV4bWwueG1sUEsFBgAAAAAGAAYAWwEA&#10;ALUDAAAAAA==&#10;">
                        <v:fill on="f" focussize="0,0"/>
                        <v:stroke color="#000000 [3213]" joinstyle="round" startarrow="block"/>
                        <v:imagedata o:title=""/>
                        <o:lock v:ext="edit" aspectratio="f"/>
                      </v:shape>
                      <v:shape id="_x0000_s1026" o:spid="_x0000_s1026" o:spt="32" type="#_x0000_t32" style="position:absolute;left:3139440;top:3804920;flip:x y;height:635;width:284480;" filled="f" stroked="t" coordsize="21600,21600" o:gfxdata="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0LtMe8AAAA&#10;2wAAAA8AAAAAAAAAAQAgAAAAIgAAAGRycy9kb3ducmV2LnhtbFBLAQIUABQAAAAIAIdO4kAzLwWe&#10;OwAAADkAAAAQAAAAAAAAAAEAIAAAAAsBAABkcnMvc2hhcGV4bWwueG1sUEsFBgAAAAAGAAYAWwEA&#10;ALUDAAAAAA==&#10;">
                        <v:fill on="f" focussize="0,0"/>
                        <v:stroke color="#000000 [3213]" joinstyle="round" dashstyle="dash" startarrow="classic"/>
                        <v:imagedata o:title=""/>
                        <o:lock v:ext="edit" aspectratio="f"/>
                      </v:shape>
                      <v:shape id="_x0000_s1026" o:spid="_x0000_s1026" o:spt="202" type="#_x0000_t202" style="position:absolute;left:3365500;top:3683000;height:242570;width:880110;"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0BED05AF">
                              <w:pPr>
                                <w:pStyle w:val="29"/>
                                <w:spacing w:before="0" w:after="0" w:line="240" w:lineRule="auto"/>
                                <w:ind w:left="0" w:right="0"/>
                                <w:jc w:val="left"/>
                              </w:pPr>
                              <w:r>
                                <w:rPr>
                                  <w:rFonts w:ascii="Times New Roman" w:hAnsi="宋体" w:eastAsia="宋体"/>
                                  <w:kern w:val="2"/>
                                  <w:sz w:val="21"/>
                                  <w:szCs w:val="21"/>
                                </w:rPr>
                                <w:t>G</w:t>
                              </w:r>
                              <w:r>
                                <w:rPr>
                                  <w:rFonts w:hint="eastAsia" w:ascii="Times New Roman"/>
                                  <w:kern w:val="2"/>
                                  <w:sz w:val="21"/>
                                  <w:szCs w:val="21"/>
                                  <w:lang w:val="en-US" w:eastAsia="zh-CN"/>
                                </w:rPr>
                                <w:t>4</w:t>
                              </w:r>
                              <w:r>
                                <w:rPr>
                                  <w:rFonts w:ascii="Times New Roman" w:hAnsi="宋体" w:eastAsia="宋体"/>
                                  <w:kern w:val="2"/>
                                  <w:sz w:val="21"/>
                                  <w:szCs w:val="21"/>
                                </w:rPr>
                                <w:t>、N</w:t>
                              </w:r>
                            </w:p>
                          </w:txbxContent>
                        </v:textbox>
                      </v:shape>
                      <w10:wrap type="topAndBottom"/>
                    </v:group>
                  </w:pict>
                </mc:Fallback>
              </mc:AlternateContent>
            </w:r>
            <w:r>
              <w:rPr>
                <w:rFonts w:hint="eastAsia" w:ascii="Times New Roman" w:hAnsi="Times New Roman" w:cs="Times New Roman"/>
                <w:b w:val="0"/>
                <w:bCs w:val="0"/>
                <w:color w:val="auto"/>
                <w:sz w:val="21"/>
                <w:szCs w:val="21"/>
                <w:lang w:val="en-US" w:eastAsia="zh-CN"/>
              </w:rPr>
              <w:t>注：G-废气；S-固废；N-噪声</w:t>
            </w:r>
          </w:p>
          <w:p w14:paraId="239A9114">
            <w:pPr>
              <w:pStyle w:val="55"/>
              <w:keepNext w:val="0"/>
              <w:keepLines w:val="0"/>
              <w:pageBreakBefore w:val="0"/>
              <w:widowControl w:val="0"/>
              <w:kinsoku/>
              <w:wordWrap/>
              <w:overflowPunct/>
              <w:topLinePunct w:val="0"/>
              <w:bidi w:val="0"/>
              <w:adjustRightInd/>
              <w:snapToGrid/>
              <w:spacing w:before="0" w:line="400" w:lineRule="exact"/>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图2.</w:t>
            </w:r>
            <w:r>
              <w:rPr>
                <w:rFonts w:hint="eastAsia" w:ascii="Times New Roman" w:hAnsi="Times New Roman" w:cs="Times New Roman"/>
                <w:b/>
                <w:bCs/>
                <w:color w:val="auto"/>
                <w:sz w:val="21"/>
                <w:szCs w:val="21"/>
                <w:lang w:val="en-US" w:eastAsia="zh-CN"/>
              </w:rPr>
              <w:t>3   美缝剂生产</w:t>
            </w:r>
            <w:r>
              <w:rPr>
                <w:rFonts w:hint="default" w:ascii="Times New Roman" w:hAnsi="Times New Roman" w:cs="Times New Roman"/>
                <w:b/>
                <w:bCs/>
                <w:color w:val="auto"/>
                <w:sz w:val="21"/>
                <w:szCs w:val="21"/>
                <w:lang w:val="en-US" w:eastAsia="zh-CN"/>
              </w:rPr>
              <w:t>线</w:t>
            </w:r>
            <w:r>
              <w:rPr>
                <w:rFonts w:hint="default" w:ascii="Times New Roman" w:hAnsi="Times New Roman" w:cs="Times New Roman"/>
                <w:b/>
                <w:bCs/>
                <w:color w:val="auto"/>
                <w:sz w:val="21"/>
                <w:szCs w:val="21"/>
                <w:lang w:eastAsia="zh-CN"/>
              </w:rPr>
              <w:t>生产工艺流程图</w:t>
            </w:r>
          </w:p>
          <w:p w14:paraId="1A2D0A26">
            <w:pPr>
              <w:pStyle w:val="55"/>
              <w:keepNext w:val="0"/>
              <w:keepLines w:val="0"/>
              <w:pageBreakBefore w:val="0"/>
              <w:widowControl w:val="0"/>
              <w:kinsoku/>
              <w:wordWrap/>
              <w:overflowPunct/>
              <w:topLinePunct w:val="0"/>
              <w:bidi w:val="0"/>
              <w:adjustRightInd/>
              <w:snapToGrid/>
              <w:spacing w:before="0" w:line="400" w:lineRule="exact"/>
              <w:ind w:firstLine="211" w:firstLineChars="100"/>
              <w:jc w:val="left"/>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工艺简述：</w:t>
            </w:r>
          </w:p>
          <w:p w14:paraId="2E5262B8">
            <w:pPr>
              <w:keepNext w:val="0"/>
              <w:keepLines w:val="0"/>
              <w:pageBreakBefore w:val="0"/>
              <w:widowControl w:val="0"/>
              <w:kinsoku/>
              <w:wordWrap/>
              <w:overflowPunct/>
              <w:topLinePunct w:val="0"/>
              <w:autoSpaceDE/>
              <w:autoSpaceDN/>
              <w:bidi w:val="0"/>
              <w:adjustRightInd/>
              <w:snapToGrid/>
              <w:spacing w:line="400" w:lineRule="exact"/>
              <w:ind w:left="110" w:leftChars="50" w:right="0" w:rightChars="0" w:firstLine="420" w:firstLineChars="200"/>
              <w:textAlignment w:val="auto"/>
              <w:outlineLvl w:val="9"/>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zh-CN" w:eastAsia="zh-CN"/>
              </w:rPr>
              <w:t>生产的产品主要为</w:t>
            </w:r>
            <w:r>
              <w:rPr>
                <w:rFonts w:hint="eastAsia" w:ascii="Times New Roman" w:hAnsi="Times New Roman" w:cs="Times New Roman"/>
                <w:b w:val="0"/>
                <w:bCs w:val="0"/>
                <w:color w:val="auto"/>
                <w:sz w:val="21"/>
                <w:szCs w:val="21"/>
                <w:lang w:val="en-US" w:eastAsia="zh-CN"/>
              </w:rPr>
              <w:t>美缝剂</w:t>
            </w:r>
            <w:r>
              <w:rPr>
                <w:rFonts w:hint="eastAsia" w:ascii="Times New Roman" w:hAnsi="Times New Roman" w:cs="Times New Roman"/>
                <w:b w:val="0"/>
                <w:bCs w:val="0"/>
                <w:color w:val="auto"/>
                <w:sz w:val="21"/>
                <w:szCs w:val="21"/>
                <w:lang w:val="zh-CN" w:eastAsia="zh-CN"/>
              </w:rPr>
              <w:t>，</w:t>
            </w:r>
            <w:r>
              <w:rPr>
                <w:rFonts w:hint="eastAsia" w:ascii="Times New Roman" w:hAnsi="Times New Roman" w:cs="Times New Roman"/>
                <w:b w:val="0"/>
                <w:bCs w:val="0"/>
                <w:color w:val="auto"/>
                <w:sz w:val="21"/>
                <w:szCs w:val="21"/>
                <w:lang w:val="en-US" w:eastAsia="zh-CN"/>
              </w:rPr>
              <w:t>美缝剂</w:t>
            </w:r>
            <w:r>
              <w:rPr>
                <w:rFonts w:hint="eastAsia" w:ascii="Times New Roman" w:hAnsi="Times New Roman" w:cs="Times New Roman"/>
                <w:b w:val="0"/>
                <w:bCs w:val="0"/>
                <w:color w:val="auto"/>
                <w:sz w:val="21"/>
                <w:szCs w:val="21"/>
                <w:lang w:val="zh-CN" w:eastAsia="zh-CN"/>
              </w:rPr>
              <w:t>为A组份和B组份，A组份原辅材料为环氧树脂、二氧化硅、填充粉、色粉等，B组份原辅材料</w:t>
            </w:r>
            <w:r>
              <w:rPr>
                <w:rFonts w:hint="eastAsia" w:ascii="Times New Roman" w:hAnsi="Times New Roman" w:cs="Times New Roman"/>
                <w:b w:val="0"/>
                <w:bCs w:val="0"/>
                <w:color w:val="auto"/>
                <w:sz w:val="21"/>
                <w:szCs w:val="21"/>
                <w:lang w:val="en-US" w:eastAsia="zh-CN"/>
              </w:rPr>
              <w:t>为固化剂、二氧化硅、填充粉、色粉</w:t>
            </w:r>
            <w:r>
              <w:rPr>
                <w:rFonts w:hint="eastAsia" w:ascii="Times New Roman" w:hAnsi="Times New Roman" w:cs="Times New Roman"/>
                <w:b w:val="0"/>
                <w:bCs w:val="0"/>
                <w:color w:val="auto"/>
                <w:sz w:val="21"/>
                <w:szCs w:val="21"/>
                <w:lang w:val="zh-CN" w:eastAsia="zh-CN"/>
              </w:rPr>
              <w:t>等。A组份与B组份分别进行生产，使用时两者按照质量比</w:t>
            </w:r>
            <w:r>
              <w:rPr>
                <w:rFonts w:hint="eastAsia" w:ascii="Times New Roman" w:hAnsi="Times New Roman" w:cs="Times New Roman"/>
                <w:b w:val="0"/>
                <w:bCs w:val="0"/>
                <w:color w:val="auto"/>
                <w:sz w:val="21"/>
                <w:szCs w:val="21"/>
                <w:lang w:val="en-US" w:eastAsia="zh-CN"/>
              </w:rPr>
              <w:t>1</w:t>
            </w:r>
            <w:r>
              <w:rPr>
                <w:rFonts w:hint="eastAsia" w:ascii="Times New Roman" w:hAnsi="Times New Roman" w:cs="Times New Roman"/>
                <w:b w:val="0"/>
                <w:bCs w:val="0"/>
                <w:color w:val="auto"/>
                <w:sz w:val="21"/>
                <w:szCs w:val="21"/>
                <w:lang w:val="zh-CN" w:eastAsia="zh-CN"/>
              </w:rPr>
              <w:t>：1的比例混合使用。</w:t>
            </w:r>
            <w:r>
              <w:rPr>
                <w:rFonts w:hint="default" w:ascii="Times New Roman" w:hAnsi="Times New Roman" w:cs="Times New Roman"/>
                <w:b w:val="0"/>
                <w:bCs w:val="0"/>
                <w:color w:val="auto"/>
                <w:sz w:val="21"/>
                <w:szCs w:val="21"/>
                <w:lang w:eastAsia="zh-CN"/>
              </w:rPr>
              <w:t>整个生产过程中不涉及化学反应，只是简单的物理混合过程</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项目设备不进行清洗，生产过程中没有生产废水产生。</w:t>
            </w:r>
          </w:p>
          <w:p w14:paraId="19AC3ECA">
            <w:pPr>
              <w:keepNext w:val="0"/>
              <w:keepLines w:val="0"/>
              <w:pageBreakBefore w:val="0"/>
              <w:widowControl w:val="0"/>
              <w:kinsoku/>
              <w:wordWrap/>
              <w:overflowPunct/>
              <w:topLinePunct w:val="0"/>
              <w:autoSpaceDE/>
              <w:autoSpaceDN/>
              <w:bidi w:val="0"/>
              <w:adjustRightInd/>
              <w:snapToGrid/>
              <w:spacing w:line="400" w:lineRule="exact"/>
              <w:ind w:left="110" w:leftChars="50" w:right="0" w:rightChars="0" w:firstLine="422" w:firstLineChars="200"/>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bCs/>
                <w:color w:val="auto"/>
                <w:sz w:val="21"/>
                <w:szCs w:val="21"/>
                <w:lang w:eastAsia="zh-CN"/>
              </w:rPr>
              <w:t>①</w:t>
            </w:r>
            <w:r>
              <w:rPr>
                <w:rFonts w:hint="eastAsia" w:ascii="Times New Roman" w:hAnsi="Times New Roman" w:cs="Times New Roman"/>
                <w:b/>
                <w:bCs/>
                <w:color w:val="auto"/>
                <w:sz w:val="21"/>
                <w:szCs w:val="21"/>
                <w:lang w:val="en-US" w:eastAsia="zh-CN"/>
              </w:rPr>
              <w:t>投料分散</w:t>
            </w:r>
            <w:r>
              <w:rPr>
                <w:rFonts w:hint="default" w:ascii="Times New Roman" w:hAnsi="Times New Roman" w:cs="Times New Roman"/>
                <w:b/>
                <w:bCs/>
                <w:color w:val="auto"/>
                <w:sz w:val="21"/>
                <w:szCs w:val="21"/>
                <w:lang w:eastAsia="zh-CN"/>
              </w:rPr>
              <w:t>：</w:t>
            </w:r>
            <w:r>
              <w:rPr>
                <w:rFonts w:hint="default" w:ascii="Times New Roman" w:hAnsi="Times New Roman" w:cs="Times New Roman"/>
                <w:b w:val="0"/>
                <w:bCs w:val="0"/>
                <w:color w:val="auto"/>
                <w:sz w:val="21"/>
                <w:szCs w:val="21"/>
                <w:lang w:eastAsia="zh-CN"/>
              </w:rPr>
              <w:t>项目</w:t>
            </w:r>
            <w:r>
              <w:rPr>
                <w:rFonts w:hint="eastAsia"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 xml:space="preserve"> 组分</w:t>
            </w:r>
            <w:r>
              <w:rPr>
                <w:rFonts w:hint="default" w:ascii="Times New Roman" w:hAnsi="Times New Roman" w:cs="Times New Roman"/>
                <w:b w:val="0"/>
                <w:bCs w:val="0"/>
                <w:color w:val="auto"/>
                <w:sz w:val="21"/>
                <w:szCs w:val="21"/>
                <w:lang w:val="zh-CN" w:eastAsia="zh-CN"/>
              </w:rPr>
              <w:t>原辅材料</w:t>
            </w:r>
            <w:r>
              <w:rPr>
                <w:rFonts w:hint="default" w:ascii="Times New Roman" w:hAnsi="Times New Roman" w:cs="Times New Roman"/>
                <w:b w:val="0"/>
                <w:bCs w:val="0"/>
                <w:color w:val="auto"/>
                <w:sz w:val="21"/>
                <w:szCs w:val="21"/>
                <w:lang w:val="en-US" w:eastAsia="zh-CN"/>
              </w:rPr>
              <w:t>为</w:t>
            </w:r>
            <w:r>
              <w:rPr>
                <w:rFonts w:hint="default" w:ascii="Times New Roman" w:hAnsi="Times New Roman" w:cs="Times New Roman"/>
                <w:b w:val="0"/>
                <w:bCs w:val="0"/>
                <w:color w:val="auto"/>
                <w:sz w:val="21"/>
                <w:szCs w:val="21"/>
                <w:lang w:val="zh-CN" w:eastAsia="zh-CN"/>
              </w:rPr>
              <w:t>环氧树脂、二氧化硅、填充粉、色粉</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B 组分</w:t>
            </w:r>
            <w:r>
              <w:rPr>
                <w:rFonts w:hint="default" w:ascii="Times New Roman" w:hAnsi="Times New Roman" w:cs="Times New Roman"/>
                <w:b w:val="0"/>
                <w:bCs w:val="0"/>
                <w:color w:val="auto"/>
                <w:sz w:val="21"/>
                <w:szCs w:val="21"/>
                <w:lang w:val="zh-CN" w:eastAsia="zh-CN"/>
              </w:rPr>
              <w:t>原辅材料</w:t>
            </w:r>
            <w:r>
              <w:rPr>
                <w:rFonts w:hint="default" w:ascii="Times New Roman" w:hAnsi="Times New Roman" w:cs="Times New Roman"/>
                <w:b w:val="0"/>
                <w:bCs w:val="0"/>
                <w:color w:val="auto"/>
                <w:sz w:val="21"/>
                <w:szCs w:val="21"/>
                <w:lang w:val="en-US" w:eastAsia="zh-CN"/>
              </w:rPr>
              <w:t>为固化剂、二氧化硅、填充粉、色粉</w:t>
            </w:r>
            <w:r>
              <w:rPr>
                <w:rFonts w:hint="default" w:ascii="Times New Roman" w:hAnsi="Times New Roman" w:cs="Times New Roman"/>
                <w:b w:val="0"/>
                <w:bCs w:val="0"/>
                <w:color w:val="auto"/>
                <w:sz w:val="21"/>
                <w:szCs w:val="21"/>
                <w:lang w:eastAsia="zh-CN"/>
              </w:rPr>
              <w:t>按比例在开始生产时</w:t>
            </w:r>
            <w:r>
              <w:rPr>
                <w:rFonts w:hint="eastAsia" w:ascii="Times New Roman" w:hAnsi="Times New Roman" w:cs="Times New Roman"/>
                <w:b w:val="0"/>
                <w:bCs w:val="0"/>
                <w:color w:val="auto"/>
                <w:sz w:val="21"/>
                <w:szCs w:val="21"/>
                <w:lang w:val="en-US" w:eastAsia="zh-CN"/>
              </w:rPr>
              <w:t>加入到不同的分散机</w:t>
            </w:r>
            <w:r>
              <w:rPr>
                <w:rFonts w:hint="default" w:ascii="Times New Roman" w:hAnsi="Times New Roman" w:cs="Times New Roman"/>
                <w:b w:val="0"/>
                <w:bCs w:val="0"/>
                <w:color w:val="auto"/>
                <w:sz w:val="21"/>
                <w:szCs w:val="21"/>
                <w:lang w:eastAsia="zh-CN"/>
              </w:rPr>
              <w:t>内，该工段投料过程中产生粉尘</w:t>
            </w:r>
            <w:r>
              <w:rPr>
                <w:rFonts w:hint="eastAsia" w:ascii="Times New Roman" w:hAnsi="Times New Roman" w:cs="Times New Roman"/>
                <w:b w:val="0"/>
                <w:bCs w:val="0"/>
                <w:color w:val="auto"/>
                <w:sz w:val="21"/>
                <w:szCs w:val="21"/>
                <w:lang w:eastAsia="zh-CN"/>
              </w:rPr>
              <w:t>以及</w:t>
            </w:r>
            <w:r>
              <w:rPr>
                <w:rFonts w:hint="eastAsia" w:ascii="Times New Roman" w:hAnsi="Times New Roman" w:cs="Times New Roman"/>
                <w:b w:val="0"/>
                <w:bCs w:val="0"/>
                <w:color w:val="auto"/>
                <w:sz w:val="21"/>
                <w:szCs w:val="21"/>
                <w:lang w:val="en-US" w:eastAsia="zh-CN"/>
              </w:rPr>
              <w:t>少量游离非甲烷总烃挥发</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环氧树脂和固化剂会在高温下产生其他挥发性物质，本工序在常温下进行，仅挥发少量非甲烷总烃。</w:t>
            </w:r>
          </w:p>
          <w:p w14:paraId="4221034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lang w:val="en-US" w:eastAsia="zh-CN"/>
              </w:rPr>
              <w:t>该工序产生的污染物主要为：</w:t>
            </w:r>
            <w:r>
              <w:rPr>
                <w:rFonts w:hint="eastAsia" w:ascii="Times New Roman" w:hAnsi="Times New Roman" w:cs="Times New Roman"/>
                <w:b/>
                <w:bCs/>
                <w:color w:val="auto"/>
                <w:spacing w:val="0"/>
                <w:sz w:val="21"/>
                <w:szCs w:val="21"/>
                <w:lang w:val="en-US" w:eastAsia="zh-CN"/>
              </w:rPr>
              <w:t>投料废气（G1）、</w:t>
            </w:r>
            <w:r>
              <w:rPr>
                <w:rFonts w:hint="default" w:ascii="Times New Roman" w:hAnsi="Times New Roman" w:cs="Times New Roman"/>
                <w:b/>
                <w:bCs/>
                <w:color w:val="auto"/>
                <w:spacing w:val="0"/>
                <w:sz w:val="21"/>
                <w:szCs w:val="21"/>
                <w:lang w:val="en-US" w:eastAsia="zh-CN"/>
              </w:rPr>
              <w:t>设备噪声（N）、</w:t>
            </w:r>
            <w:r>
              <w:rPr>
                <w:rFonts w:hint="eastAsia" w:ascii="Times New Roman" w:hAnsi="Times New Roman" w:cs="Times New Roman"/>
                <w:b/>
                <w:bCs/>
                <w:color w:val="auto"/>
                <w:spacing w:val="0"/>
                <w:sz w:val="21"/>
                <w:szCs w:val="21"/>
                <w:lang w:val="en-US" w:eastAsia="zh-CN"/>
              </w:rPr>
              <w:t>废包装材料（S1）</w:t>
            </w:r>
            <w:r>
              <w:rPr>
                <w:rFonts w:hint="default" w:ascii="Times New Roman" w:hAnsi="Times New Roman" w:cs="Times New Roman"/>
                <w:b/>
                <w:bCs/>
                <w:color w:val="auto"/>
                <w:spacing w:val="0"/>
                <w:sz w:val="21"/>
                <w:szCs w:val="21"/>
                <w:lang w:val="en-US" w:eastAsia="zh-CN"/>
              </w:rPr>
              <w:t>。</w:t>
            </w:r>
          </w:p>
          <w:p w14:paraId="0C66CE13">
            <w:pPr>
              <w:keepNext w:val="0"/>
              <w:keepLines w:val="0"/>
              <w:pageBreakBefore w:val="0"/>
              <w:widowControl w:val="0"/>
              <w:kinsoku/>
              <w:wordWrap/>
              <w:overflowPunct/>
              <w:topLinePunct w:val="0"/>
              <w:autoSpaceDE/>
              <w:autoSpaceDN/>
              <w:bidi w:val="0"/>
              <w:adjustRightInd/>
              <w:snapToGrid/>
              <w:spacing w:line="400" w:lineRule="exact"/>
              <w:ind w:left="110" w:leftChars="50" w:right="0" w:rightChars="0" w:firstLine="422" w:firstLineChars="200"/>
              <w:textAlignment w:val="auto"/>
              <w:outlineLvl w:val="9"/>
              <w:rPr>
                <w:rFonts w:hint="default" w:ascii="Times New Roman" w:hAnsi="Times New Roman" w:cs="Times New Roman"/>
                <w:b w:val="0"/>
                <w:bCs w:val="0"/>
                <w:color w:val="auto"/>
                <w:sz w:val="21"/>
                <w:szCs w:val="21"/>
                <w:lang w:eastAsia="zh-CN"/>
              </w:rPr>
            </w:pPr>
            <w:r>
              <w:rPr>
                <w:rFonts w:hint="default" w:ascii="Times New Roman" w:hAnsi="Times New Roman" w:cs="Times New Roman"/>
                <w:b/>
                <w:bCs/>
                <w:color w:val="auto"/>
                <w:sz w:val="21"/>
                <w:szCs w:val="21"/>
                <w:lang w:eastAsia="zh-CN"/>
              </w:rPr>
              <w:t>②</w:t>
            </w:r>
            <w:r>
              <w:rPr>
                <w:rFonts w:hint="eastAsia" w:ascii="Times New Roman" w:hAnsi="Times New Roman" w:cs="Times New Roman"/>
                <w:b/>
                <w:bCs/>
                <w:color w:val="auto"/>
                <w:sz w:val="21"/>
                <w:szCs w:val="21"/>
                <w:lang w:val="en-US" w:eastAsia="zh-CN"/>
              </w:rPr>
              <w:t>搅拌</w:t>
            </w:r>
            <w:r>
              <w:rPr>
                <w:rFonts w:hint="default" w:ascii="Times New Roman" w:hAnsi="Times New Roman" w:cs="Times New Roman"/>
                <w:b/>
                <w:bCs/>
                <w:color w:val="auto"/>
                <w:sz w:val="21"/>
                <w:szCs w:val="21"/>
                <w:lang w:eastAsia="zh-CN"/>
              </w:rPr>
              <w:t>：</w:t>
            </w:r>
            <w:r>
              <w:rPr>
                <w:rFonts w:hint="default" w:ascii="Times New Roman" w:hAnsi="Times New Roman" w:cs="Times New Roman"/>
                <w:b w:val="0"/>
                <w:bCs w:val="0"/>
                <w:color w:val="auto"/>
                <w:sz w:val="21"/>
                <w:szCs w:val="21"/>
                <w:lang w:eastAsia="zh-CN"/>
              </w:rPr>
              <w:t>配料完毕后，</w:t>
            </w:r>
            <w:r>
              <w:rPr>
                <w:rFonts w:hint="eastAsia" w:ascii="Times New Roman" w:hAnsi="Times New Roman" w:cs="Times New Roman"/>
                <w:b w:val="0"/>
                <w:bCs w:val="0"/>
                <w:color w:val="auto"/>
                <w:sz w:val="21"/>
                <w:szCs w:val="21"/>
                <w:lang w:eastAsia="zh-CN"/>
              </w:rPr>
              <w:t>倒入</w:t>
            </w:r>
            <w:r>
              <w:rPr>
                <w:rFonts w:hint="eastAsia" w:ascii="Times New Roman" w:hAnsi="Times New Roman" w:cs="Times New Roman"/>
                <w:color w:val="auto"/>
                <w:sz w:val="21"/>
                <w:szCs w:val="21"/>
                <w:highlight w:val="none"/>
                <w:lang w:val="en-US" w:eastAsia="zh-CN"/>
              </w:rPr>
              <w:t>防尘搅拌罐内搅拌，</w:t>
            </w:r>
            <w:r>
              <w:rPr>
                <w:rFonts w:hint="default" w:ascii="Times New Roman" w:hAnsi="Times New Roman" w:cs="Times New Roman"/>
                <w:b w:val="0"/>
                <w:bCs w:val="0"/>
                <w:color w:val="auto"/>
                <w:sz w:val="21"/>
                <w:szCs w:val="21"/>
                <w:lang w:eastAsia="zh-CN"/>
              </w:rPr>
              <w:t>使原辅材料充分混合，</w:t>
            </w:r>
            <w:r>
              <w:rPr>
                <w:rFonts w:hint="eastAsia" w:ascii="Times New Roman" w:hAnsi="Times New Roman" w:cs="Times New Roman"/>
                <w:color w:val="auto"/>
                <w:sz w:val="21"/>
                <w:szCs w:val="21"/>
                <w:highlight w:val="none"/>
                <w:lang w:val="en-US" w:eastAsia="zh-CN"/>
              </w:rPr>
              <w:t>搅拌温度控制在35-45</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（通过循环冷却水间接冷却控制温度）</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环氧树脂和固化剂会在高温下产生其他挥发性物质，在此温度下在常温下进行，仅挥发少量非甲烷总烃。</w:t>
            </w:r>
            <w:r>
              <w:rPr>
                <w:rFonts w:hint="default" w:ascii="Times New Roman" w:hAnsi="Times New Roman" w:cs="Times New Roman"/>
                <w:b w:val="0"/>
                <w:bCs w:val="0"/>
                <w:color w:val="auto"/>
                <w:sz w:val="21"/>
                <w:szCs w:val="21"/>
                <w:lang w:eastAsia="zh-CN"/>
              </w:rPr>
              <w:t>以及因为物料落差、翻拌所引起的粉尘，</w:t>
            </w:r>
            <w:r>
              <w:rPr>
                <w:rFonts w:hint="eastAsia" w:ascii="Times New Roman" w:hAnsi="Times New Roman" w:cs="Times New Roman"/>
                <w:b w:val="0"/>
                <w:bCs w:val="0"/>
                <w:color w:val="auto"/>
                <w:sz w:val="21"/>
                <w:szCs w:val="21"/>
                <w:lang w:val="en-US" w:eastAsia="zh-CN"/>
              </w:rPr>
              <w:t>搅拌机密闭</w:t>
            </w:r>
            <w:r>
              <w:rPr>
                <w:rFonts w:hint="default" w:ascii="Times New Roman" w:hAnsi="Times New Roman" w:cs="Times New Roman"/>
                <w:b w:val="0"/>
                <w:bCs w:val="0"/>
                <w:color w:val="auto"/>
                <w:sz w:val="21"/>
                <w:szCs w:val="21"/>
                <w:lang w:eastAsia="zh-CN"/>
              </w:rPr>
              <w:t>封闭，废气主要在在装卸料时逸散。</w:t>
            </w:r>
          </w:p>
          <w:p w14:paraId="53173A55">
            <w:pPr>
              <w:keepNext w:val="0"/>
              <w:keepLines w:val="0"/>
              <w:pageBreakBefore w:val="0"/>
              <w:widowControl w:val="0"/>
              <w:kinsoku/>
              <w:wordWrap/>
              <w:overflowPunct/>
              <w:topLinePunct w:val="0"/>
              <w:autoSpaceDE/>
              <w:autoSpaceDN/>
              <w:bidi w:val="0"/>
              <w:adjustRightInd/>
              <w:snapToGrid/>
              <w:spacing w:line="400" w:lineRule="exact"/>
              <w:ind w:left="110" w:leftChars="50" w:right="0" w:rightChars="0" w:firstLine="422" w:firstLineChars="200"/>
              <w:textAlignment w:val="auto"/>
              <w:outlineLvl w:val="9"/>
              <w:rPr>
                <w:rFonts w:hint="default" w:ascii="Times New Roman" w:hAnsi="Times New Roman" w:cs="Times New Roman"/>
                <w:b w:val="0"/>
                <w:bCs w:val="0"/>
                <w:color w:val="auto"/>
                <w:sz w:val="21"/>
                <w:szCs w:val="21"/>
                <w:lang w:eastAsia="zh-CN"/>
              </w:rPr>
            </w:pPr>
            <w:r>
              <w:rPr>
                <w:rFonts w:hint="default" w:ascii="Times New Roman" w:hAnsi="Times New Roman" w:cs="Times New Roman"/>
                <w:b/>
                <w:bCs/>
                <w:color w:val="auto"/>
                <w:spacing w:val="0"/>
                <w:sz w:val="21"/>
                <w:szCs w:val="21"/>
                <w:lang w:val="en-US" w:eastAsia="zh-CN"/>
              </w:rPr>
              <w:t>该工序产生的污染物主要为：</w:t>
            </w:r>
            <w:r>
              <w:rPr>
                <w:rFonts w:hint="eastAsia" w:ascii="Times New Roman" w:hAnsi="Times New Roman" w:cs="Times New Roman"/>
                <w:b/>
                <w:bCs/>
                <w:color w:val="auto"/>
                <w:spacing w:val="0"/>
                <w:sz w:val="21"/>
                <w:szCs w:val="21"/>
                <w:lang w:val="en-US" w:eastAsia="zh-CN"/>
              </w:rPr>
              <w:t>搅拌废气（G2）、</w:t>
            </w:r>
            <w:r>
              <w:rPr>
                <w:rFonts w:hint="default" w:ascii="Times New Roman" w:hAnsi="Times New Roman" w:cs="Times New Roman"/>
                <w:b/>
                <w:bCs/>
                <w:color w:val="auto"/>
                <w:spacing w:val="0"/>
                <w:sz w:val="21"/>
                <w:szCs w:val="21"/>
                <w:lang w:val="en-US" w:eastAsia="zh-CN"/>
              </w:rPr>
              <w:t>设备噪声（N）。</w:t>
            </w:r>
          </w:p>
          <w:p w14:paraId="50E3E0C2">
            <w:pPr>
              <w:keepNext w:val="0"/>
              <w:keepLines w:val="0"/>
              <w:pageBreakBefore w:val="0"/>
              <w:widowControl w:val="0"/>
              <w:kinsoku/>
              <w:wordWrap/>
              <w:overflowPunct/>
              <w:topLinePunct w:val="0"/>
              <w:autoSpaceDE/>
              <w:autoSpaceDN/>
              <w:bidi w:val="0"/>
              <w:adjustRightInd/>
              <w:snapToGrid/>
              <w:spacing w:line="400" w:lineRule="exact"/>
              <w:ind w:left="110" w:leftChars="50" w:right="0" w:rightChars="0" w:firstLine="422" w:firstLineChars="200"/>
              <w:textAlignment w:val="auto"/>
              <w:outlineLvl w:val="9"/>
              <w:rPr>
                <w:rFonts w:hint="default" w:ascii="Times New Roman" w:hAnsi="Times New Roman" w:cs="Times New Roman"/>
                <w:b w:val="0"/>
                <w:bCs w:val="0"/>
                <w:color w:val="auto"/>
                <w:sz w:val="21"/>
                <w:szCs w:val="21"/>
                <w:lang w:eastAsia="zh-CN"/>
              </w:rPr>
            </w:pPr>
            <w:r>
              <w:rPr>
                <w:rFonts w:hint="default" w:ascii="Times New Roman" w:hAnsi="Times New Roman" w:cs="Times New Roman"/>
                <w:b/>
                <w:bCs/>
                <w:color w:val="auto"/>
                <w:sz w:val="21"/>
                <w:szCs w:val="21"/>
                <w:lang w:eastAsia="zh-CN"/>
              </w:rPr>
              <w:t>③</w:t>
            </w:r>
            <w:r>
              <w:rPr>
                <w:rFonts w:hint="default" w:ascii="Times New Roman" w:hAnsi="Times New Roman" w:cs="Times New Roman"/>
                <w:b/>
                <w:bCs/>
                <w:color w:val="auto"/>
                <w:sz w:val="21"/>
                <w:szCs w:val="21"/>
                <w:lang w:val="en-US" w:eastAsia="zh-CN"/>
              </w:rPr>
              <w:t>分装</w:t>
            </w:r>
            <w:r>
              <w:rPr>
                <w:rFonts w:hint="default" w:ascii="Times New Roman" w:hAnsi="Times New Roman" w:cs="Times New Roman"/>
                <w:b/>
                <w:bCs/>
                <w:color w:val="auto"/>
                <w:sz w:val="21"/>
                <w:szCs w:val="21"/>
                <w:lang w:eastAsia="zh-CN"/>
              </w:rPr>
              <w:t>：</w:t>
            </w:r>
            <w:r>
              <w:rPr>
                <w:rFonts w:hint="default" w:ascii="Times New Roman" w:hAnsi="Times New Roman" w:cs="Times New Roman"/>
                <w:b w:val="0"/>
                <w:bCs w:val="0"/>
                <w:color w:val="auto"/>
                <w:sz w:val="21"/>
                <w:szCs w:val="21"/>
                <w:lang w:eastAsia="zh-CN"/>
              </w:rPr>
              <w:t>将</w:t>
            </w:r>
            <w:r>
              <w:rPr>
                <w:rFonts w:hint="eastAsia" w:ascii="Times New Roman" w:hAnsi="Times New Roman" w:cs="Times New Roman"/>
                <w:b w:val="0"/>
                <w:bCs w:val="0"/>
                <w:color w:val="auto"/>
                <w:sz w:val="21"/>
                <w:szCs w:val="21"/>
                <w:lang w:val="en-US" w:eastAsia="zh-CN"/>
              </w:rPr>
              <w:t>搅拌好的物料通过挤出机压到灌装机内，以便进行下一步压料灌装</w:t>
            </w:r>
            <w:r>
              <w:rPr>
                <w:rFonts w:hint="default" w:ascii="Times New Roman" w:hAnsi="Times New Roman" w:cs="Times New Roman"/>
                <w:b w:val="0"/>
                <w:bCs w:val="0"/>
                <w:color w:val="auto"/>
                <w:sz w:val="21"/>
                <w:szCs w:val="21"/>
                <w:lang w:eastAsia="zh-CN"/>
              </w:rPr>
              <w:t>。</w:t>
            </w:r>
          </w:p>
          <w:p w14:paraId="6580C9F6">
            <w:pPr>
              <w:keepNext w:val="0"/>
              <w:keepLines w:val="0"/>
              <w:pageBreakBefore w:val="0"/>
              <w:widowControl w:val="0"/>
              <w:kinsoku/>
              <w:wordWrap/>
              <w:overflowPunct/>
              <w:topLinePunct w:val="0"/>
              <w:autoSpaceDE/>
              <w:autoSpaceDN/>
              <w:bidi w:val="0"/>
              <w:adjustRightInd/>
              <w:snapToGrid/>
              <w:spacing w:line="400" w:lineRule="exact"/>
              <w:ind w:left="110" w:leftChars="50" w:right="0" w:rightChars="0" w:firstLine="422" w:firstLineChars="200"/>
              <w:textAlignment w:val="auto"/>
              <w:outlineLvl w:val="9"/>
              <w:rPr>
                <w:rFonts w:hint="default" w:ascii="Times New Roman" w:hAnsi="Times New Roman" w:cs="Times New Roman"/>
                <w:b w:val="0"/>
                <w:bCs w:val="0"/>
                <w:color w:val="auto"/>
                <w:sz w:val="21"/>
                <w:szCs w:val="21"/>
                <w:lang w:eastAsia="zh-CN"/>
              </w:rPr>
            </w:pPr>
            <w:r>
              <w:rPr>
                <w:rFonts w:hint="default" w:ascii="Times New Roman" w:hAnsi="Times New Roman" w:cs="Times New Roman"/>
                <w:b/>
                <w:bCs/>
                <w:color w:val="auto"/>
                <w:spacing w:val="0"/>
                <w:sz w:val="21"/>
                <w:szCs w:val="21"/>
                <w:lang w:val="en-US" w:eastAsia="zh-CN"/>
              </w:rPr>
              <w:t>该工序产生的污染物主要为：设备噪声（N）。</w:t>
            </w:r>
          </w:p>
          <w:p w14:paraId="02A00852">
            <w:pPr>
              <w:keepNext w:val="0"/>
              <w:keepLines w:val="0"/>
              <w:pageBreakBefore w:val="0"/>
              <w:widowControl w:val="0"/>
              <w:kinsoku/>
              <w:wordWrap/>
              <w:overflowPunct/>
              <w:topLinePunct w:val="0"/>
              <w:autoSpaceDE/>
              <w:autoSpaceDN/>
              <w:bidi w:val="0"/>
              <w:adjustRightInd/>
              <w:snapToGrid/>
              <w:spacing w:line="400" w:lineRule="exact"/>
              <w:ind w:left="110" w:leftChars="50" w:right="0" w:rightChars="0" w:firstLine="422" w:firstLineChars="200"/>
              <w:textAlignment w:val="auto"/>
              <w:outlineLvl w:val="9"/>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bCs/>
                <w:color w:val="auto"/>
                <w:sz w:val="21"/>
                <w:szCs w:val="21"/>
                <w:lang w:eastAsia="zh-CN"/>
              </w:rPr>
              <w:t>④</w:t>
            </w:r>
            <w:r>
              <w:rPr>
                <w:rFonts w:hint="eastAsia" w:ascii="Times New Roman" w:hAnsi="Times New Roman" w:cs="Times New Roman"/>
                <w:b/>
                <w:bCs/>
                <w:color w:val="auto"/>
                <w:sz w:val="21"/>
                <w:szCs w:val="21"/>
                <w:lang w:val="en-US" w:eastAsia="zh-CN"/>
              </w:rPr>
              <w:t>压料灌装</w:t>
            </w:r>
            <w:r>
              <w:rPr>
                <w:rFonts w:hint="default" w:ascii="Times New Roman" w:hAnsi="Times New Roman" w:cs="Times New Roman"/>
                <w:b/>
                <w:bCs/>
                <w:color w:val="auto"/>
                <w:sz w:val="21"/>
                <w:szCs w:val="21"/>
                <w:lang w:eastAsia="zh-CN"/>
              </w:rPr>
              <w:t>：</w:t>
            </w:r>
            <w:r>
              <w:rPr>
                <w:rFonts w:hint="default" w:ascii="Times New Roman" w:hAnsi="Times New Roman" w:cs="Times New Roman"/>
                <w:b w:val="0"/>
                <w:bCs w:val="0"/>
                <w:color w:val="auto"/>
                <w:sz w:val="21"/>
                <w:szCs w:val="21"/>
                <w:lang w:eastAsia="zh-CN"/>
              </w:rPr>
              <w:t>将物料通过灌装机压入到包装</w:t>
            </w:r>
            <w:r>
              <w:rPr>
                <w:rFonts w:hint="eastAsia" w:ascii="Times New Roman" w:hAnsi="Times New Roman" w:cs="Times New Roman"/>
                <w:b w:val="0"/>
                <w:bCs w:val="0"/>
                <w:color w:val="auto"/>
                <w:sz w:val="21"/>
                <w:szCs w:val="21"/>
                <w:lang w:val="en-US" w:eastAsia="zh-CN"/>
              </w:rPr>
              <w:t>管</w:t>
            </w:r>
            <w:r>
              <w:rPr>
                <w:rFonts w:hint="default" w:ascii="Times New Roman" w:hAnsi="Times New Roman" w:cs="Times New Roman"/>
                <w:b w:val="0"/>
                <w:bCs w:val="0"/>
                <w:color w:val="auto"/>
                <w:sz w:val="21"/>
                <w:szCs w:val="21"/>
                <w:lang w:eastAsia="zh-CN"/>
              </w:rPr>
              <w:t>(组合装</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A、B管各0.2kg/</w:t>
            </w:r>
            <w:r>
              <w:rPr>
                <w:rFonts w:hint="eastAsia" w:ascii="Times New Roman" w:hAnsi="Times New Roman" w:cs="Times New Roman"/>
                <w:b w:val="0"/>
                <w:bCs w:val="0"/>
                <w:color w:val="auto"/>
                <w:sz w:val="21"/>
                <w:szCs w:val="21"/>
                <w:lang w:val="en-US" w:eastAsia="zh-CN"/>
              </w:rPr>
              <w:t>管</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或是3kg铁桶</w:t>
            </w:r>
            <w:r>
              <w:rPr>
                <w:rFonts w:hint="default" w:ascii="Times New Roman" w:hAnsi="Times New Roman" w:cs="Times New Roman"/>
                <w:b w:val="0"/>
                <w:bCs w:val="0"/>
                <w:color w:val="auto"/>
                <w:sz w:val="21"/>
                <w:szCs w:val="21"/>
                <w:lang w:eastAsia="zh-CN"/>
              </w:rPr>
              <w:t>中。</w:t>
            </w:r>
            <w:r>
              <w:rPr>
                <w:rFonts w:hint="eastAsia" w:ascii="Times New Roman" w:hAnsi="Times New Roman" w:cs="Times New Roman"/>
                <w:b w:val="0"/>
                <w:bCs w:val="0"/>
                <w:color w:val="auto"/>
                <w:sz w:val="21"/>
                <w:szCs w:val="21"/>
                <w:lang w:val="en-US" w:eastAsia="zh-CN"/>
              </w:rPr>
              <w:t>灌装卸料过程产生少量非甲烷总烃。</w:t>
            </w:r>
          </w:p>
          <w:p w14:paraId="1C80A0C5">
            <w:pPr>
              <w:keepNext w:val="0"/>
              <w:keepLines w:val="0"/>
              <w:pageBreakBefore w:val="0"/>
              <w:widowControl w:val="0"/>
              <w:kinsoku/>
              <w:wordWrap/>
              <w:overflowPunct/>
              <w:topLinePunct w:val="0"/>
              <w:autoSpaceDE/>
              <w:autoSpaceDN/>
              <w:bidi w:val="0"/>
              <w:adjustRightInd/>
              <w:snapToGrid/>
              <w:spacing w:line="400" w:lineRule="exact"/>
              <w:ind w:left="110" w:leftChars="50" w:right="0" w:rightChars="0" w:firstLine="422" w:firstLineChars="200"/>
              <w:textAlignment w:val="auto"/>
              <w:outlineLvl w:val="9"/>
              <w:rPr>
                <w:rFonts w:hint="default" w:ascii="Times New Roman" w:hAnsi="Times New Roman" w:cs="Times New Roman"/>
                <w:b w:val="0"/>
                <w:bCs w:val="0"/>
                <w:color w:val="auto"/>
                <w:sz w:val="21"/>
                <w:szCs w:val="21"/>
                <w:lang w:eastAsia="zh-CN"/>
              </w:rPr>
            </w:pPr>
            <w:r>
              <w:rPr>
                <w:rFonts w:hint="default" w:ascii="Times New Roman" w:hAnsi="Times New Roman" w:cs="Times New Roman"/>
                <w:b/>
                <w:bCs/>
                <w:color w:val="auto"/>
                <w:spacing w:val="0"/>
                <w:sz w:val="21"/>
                <w:szCs w:val="21"/>
                <w:lang w:val="en-US" w:eastAsia="zh-CN"/>
              </w:rPr>
              <w:t>该工序产生的污染物主要为：设备噪声（N）</w:t>
            </w:r>
            <w:r>
              <w:rPr>
                <w:rFonts w:hint="eastAsia" w:ascii="Times New Roman" w:hAnsi="Times New Roman" w:cs="Times New Roman"/>
                <w:b/>
                <w:bCs/>
                <w:color w:val="auto"/>
                <w:spacing w:val="0"/>
                <w:sz w:val="21"/>
                <w:szCs w:val="21"/>
                <w:lang w:val="en-US" w:eastAsia="zh-CN"/>
              </w:rPr>
              <w:t>、废液压油（S2）、出料废气（G3）</w:t>
            </w:r>
            <w:r>
              <w:rPr>
                <w:rFonts w:hint="default" w:ascii="Times New Roman" w:hAnsi="Times New Roman" w:cs="Times New Roman"/>
                <w:b/>
                <w:bCs/>
                <w:color w:val="auto"/>
                <w:spacing w:val="0"/>
                <w:sz w:val="21"/>
                <w:szCs w:val="21"/>
                <w:lang w:val="en-US" w:eastAsia="zh-CN"/>
              </w:rPr>
              <w:t>。</w:t>
            </w:r>
          </w:p>
          <w:p w14:paraId="72764676">
            <w:pPr>
              <w:keepNext w:val="0"/>
              <w:keepLines w:val="0"/>
              <w:pageBreakBefore w:val="0"/>
              <w:widowControl w:val="0"/>
              <w:kinsoku/>
              <w:wordWrap/>
              <w:overflowPunct/>
              <w:topLinePunct w:val="0"/>
              <w:autoSpaceDE/>
              <w:autoSpaceDN/>
              <w:bidi w:val="0"/>
              <w:adjustRightInd/>
              <w:snapToGrid/>
              <w:spacing w:line="400" w:lineRule="exact"/>
              <w:ind w:left="110" w:leftChars="50" w:right="0" w:rightChars="0" w:firstLine="422" w:firstLineChars="200"/>
              <w:textAlignment w:val="auto"/>
              <w:outlineLvl w:val="9"/>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bCs/>
                <w:color w:val="auto"/>
                <w:sz w:val="21"/>
                <w:szCs w:val="21"/>
                <w:lang w:eastAsia="zh-CN"/>
              </w:rPr>
              <w:t>⑤</w:t>
            </w:r>
            <w:r>
              <w:rPr>
                <w:rFonts w:hint="eastAsia" w:ascii="Times New Roman" w:hAnsi="Times New Roman" w:cs="Times New Roman"/>
                <w:b/>
                <w:bCs/>
                <w:color w:val="auto"/>
                <w:sz w:val="21"/>
                <w:szCs w:val="21"/>
                <w:lang w:val="en-US" w:eastAsia="zh-CN"/>
              </w:rPr>
              <w:t>喷码、转印：</w:t>
            </w:r>
            <w:r>
              <w:rPr>
                <w:rFonts w:hint="eastAsia" w:ascii="Times New Roman" w:hAnsi="Times New Roman" w:cs="Times New Roman"/>
                <w:b w:val="0"/>
                <w:bCs w:val="0"/>
                <w:color w:val="auto"/>
                <w:sz w:val="21"/>
                <w:szCs w:val="21"/>
                <w:lang w:val="en-US" w:eastAsia="zh-CN"/>
              </w:rPr>
              <w:t>使用喷码机、转印机在包装上喷码、转印相关图案，在常温下（25-30</w:t>
            </w:r>
            <w:r>
              <w:rPr>
                <w:rFonts w:hint="eastAsia" w:ascii="宋体" w:hAnsi="宋体" w:eastAsia="宋体" w:cs="宋体"/>
                <w:color w:val="auto"/>
                <w:sz w:val="21"/>
                <w:szCs w:val="21"/>
                <w:highlight w:val="none"/>
                <w:lang w:val="en-US" w:eastAsia="zh-CN"/>
              </w:rPr>
              <w:t>℃</w:t>
            </w:r>
            <w:r>
              <w:rPr>
                <w:rFonts w:hint="eastAsia" w:ascii="Times New Roman" w:hAnsi="Times New Roman" w:cs="Times New Roman"/>
                <w:b w:val="0"/>
                <w:bCs w:val="0"/>
                <w:color w:val="auto"/>
                <w:sz w:val="21"/>
                <w:szCs w:val="21"/>
                <w:lang w:val="en-US" w:eastAsia="zh-CN"/>
              </w:rPr>
              <w:t>）转印时产生少量非甲烷总烃计。</w:t>
            </w:r>
          </w:p>
          <w:p w14:paraId="07F06F45">
            <w:pPr>
              <w:pStyle w:val="8"/>
              <w:rPr>
                <w:rFonts w:hint="default"/>
                <w:color w:val="auto"/>
                <w:lang w:val="en-US" w:eastAsia="zh-CN"/>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eastAsia" w:ascii="Times New Roman" w:hAnsi="Times New Roman" w:cs="Times New Roman"/>
                <w:b/>
                <w:bCs/>
                <w:color w:val="auto"/>
                <w:kern w:val="0"/>
                <w:sz w:val="21"/>
                <w:szCs w:val="21"/>
                <w:lang w:val="en-US" w:eastAsia="zh-CN" w:bidi="ar-SA"/>
              </w:rPr>
              <w:t>转印废气（G3）、</w:t>
            </w:r>
            <w:r>
              <w:rPr>
                <w:rFonts w:hint="default" w:ascii="Times New Roman" w:hAnsi="Times New Roman" w:eastAsia="宋体" w:cs="Times New Roman"/>
                <w:b/>
                <w:bCs/>
                <w:color w:val="auto"/>
                <w:kern w:val="0"/>
                <w:sz w:val="21"/>
                <w:szCs w:val="21"/>
                <w:lang w:val="en-US" w:eastAsia="zh-CN" w:bidi="ar-SA"/>
              </w:rPr>
              <w:t>设备噪声（N）。</w:t>
            </w:r>
          </w:p>
          <w:p w14:paraId="0141969C">
            <w:pPr>
              <w:keepNext w:val="0"/>
              <w:keepLines w:val="0"/>
              <w:pageBreakBefore w:val="0"/>
              <w:widowControl w:val="0"/>
              <w:kinsoku/>
              <w:wordWrap/>
              <w:overflowPunct/>
              <w:topLinePunct w:val="0"/>
              <w:autoSpaceDE/>
              <w:autoSpaceDN/>
              <w:bidi w:val="0"/>
              <w:adjustRightInd/>
              <w:snapToGrid/>
              <w:spacing w:line="400" w:lineRule="exact"/>
              <w:ind w:left="110" w:leftChars="50" w:right="0" w:rightChars="0" w:firstLine="422" w:firstLineChars="200"/>
              <w:textAlignment w:val="auto"/>
              <w:outlineLvl w:val="9"/>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bCs/>
                <w:color w:val="auto"/>
                <w:sz w:val="21"/>
                <w:szCs w:val="21"/>
                <w:lang w:val="en-US" w:eastAsia="zh-CN"/>
              </w:rPr>
              <w:t>⑥</w:t>
            </w:r>
            <w:r>
              <w:rPr>
                <w:rFonts w:hint="default" w:ascii="Times New Roman" w:hAnsi="Times New Roman" w:cs="Times New Roman"/>
                <w:b/>
                <w:bCs/>
                <w:color w:val="auto"/>
                <w:sz w:val="21"/>
                <w:szCs w:val="21"/>
                <w:lang w:eastAsia="zh-CN"/>
              </w:rPr>
              <w:t>包装：</w:t>
            </w:r>
            <w:r>
              <w:rPr>
                <w:rFonts w:hint="eastAsia" w:ascii="Times New Roman" w:hAnsi="Times New Roman" w:cs="Times New Roman"/>
                <w:b w:val="0"/>
                <w:bCs w:val="0"/>
                <w:color w:val="auto"/>
                <w:sz w:val="21"/>
                <w:szCs w:val="21"/>
                <w:lang w:val="en-US" w:eastAsia="zh-CN"/>
              </w:rPr>
              <w:t>包膜</w:t>
            </w:r>
            <w:r>
              <w:rPr>
                <w:rFonts w:hint="default" w:ascii="Times New Roman" w:hAnsi="Times New Roman" w:cs="Times New Roman"/>
                <w:b w:val="0"/>
                <w:bCs w:val="0"/>
                <w:color w:val="auto"/>
                <w:sz w:val="21"/>
                <w:szCs w:val="21"/>
                <w:lang w:eastAsia="zh-CN"/>
              </w:rPr>
              <w:t>包装入库。即成为最终的美缝剂成品</w:t>
            </w:r>
            <w:r>
              <w:rPr>
                <w:rFonts w:hint="eastAsia" w:ascii="Times New Roman" w:hAnsi="Times New Roman" w:cs="Times New Roman"/>
                <w:b w:val="0"/>
                <w:bCs w:val="0"/>
                <w:color w:val="auto"/>
                <w:sz w:val="21"/>
                <w:szCs w:val="21"/>
                <w:lang w:eastAsia="zh-CN"/>
              </w:rPr>
              <w:t>。</w:t>
            </w:r>
          </w:p>
          <w:p w14:paraId="6E5B9AEB">
            <w:pPr>
              <w:keepNext w:val="0"/>
              <w:keepLines w:val="0"/>
              <w:pageBreakBefore w:val="0"/>
              <w:widowControl w:val="0"/>
              <w:kinsoku/>
              <w:wordWrap/>
              <w:overflowPunct/>
              <w:topLinePunct w:val="0"/>
              <w:autoSpaceDE/>
              <w:autoSpaceDN/>
              <w:bidi w:val="0"/>
              <w:adjustRightInd/>
              <w:snapToGrid/>
              <w:spacing w:line="400" w:lineRule="exact"/>
              <w:ind w:left="110" w:leftChars="50" w:right="0" w:rightChars="0" w:firstLine="422" w:firstLineChars="200"/>
              <w:textAlignment w:val="auto"/>
              <w:outlineLvl w:val="9"/>
              <w:rPr>
                <w:rFonts w:hint="default" w:ascii="Times New Roman" w:hAnsi="Times New Roman" w:cs="Times New Roman"/>
                <w:b w:val="0"/>
                <w:bCs w:val="0"/>
                <w:color w:val="auto"/>
                <w:sz w:val="21"/>
                <w:szCs w:val="21"/>
                <w:lang w:eastAsia="zh-CN"/>
              </w:rPr>
            </w:pPr>
            <w:r>
              <w:rPr>
                <w:rFonts w:hint="default" w:ascii="Times New Roman" w:hAnsi="Times New Roman" w:cs="Times New Roman"/>
                <w:b/>
                <w:bCs/>
                <w:color w:val="auto"/>
                <w:spacing w:val="0"/>
                <w:sz w:val="21"/>
                <w:szCs w:val="21"/>
                <w:lang w:val="en-US" w:eastAsia="zh-CN"/>
              </w:rPr>
              <w:t>该工序产生的污染物主要为：设备噪声（N）</w:t>
            </w:r>
            <w:r>
              <w:rPr>
                <w:rFonts w:hint="eastAsia" w:ascii="Times New Roman" w:hAnsi="Times New Roman" w:cs="Times New Roman"/>
                <w:b/>
                <w:bCs/>
                <w:color w:val="auto"/>
                <w:spacing w:val="0"/>
                <w:sz w:val="21"/>
                <w:szCs w:val="21"/>
                <w:lang w:val="en-US" w:eastAsia="zh-CN"/>
              </w:rPr>
              <w:t>、废包装材料（S3）</w:t>
            </w:r>
            <w:r>
              <w:rPr>
                <w:rFonts w:hint="default" w:ascii="Times New Roman" w:hAnsi="Times New Roman" w:cs="Times New Roman"/>
                <w:b/>
                <w:bCs/>
                <w:color w:val="auto"/>
                <w:spacing w:val="0"/>
                <w:sz w:val="21"/>
                <w:szCs w:val="21"/>
                <w:lang w:val="en-US" w:eastAsia="zh-CN"/>
              </w:rPr>
              <w:t>。</w:t>
            </w:r>
          </w:p>
          <w:p w14:paraId="4D0F4C92">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ind w:left="110" w:leftChars="50" w:right="0" w:rightChars="0" w:firstLine="211" w:firstLineChars="100"/>
              <w:jc w:val="both"/>
              <w:textAlignment w:val="auto"/>
              <w:rPr>
                <w:rFonts w:hint="default" w:ascii="Times New Roman" w:hAnsi="Times New Roman" w:eastAsia="宋体" w:cs="Times New Roman"/>
                <w:b/>
                <w:bCs/>
                <w:color w:val="auto"/>
                <w:sz w:val="21"/>
                <w:szCs w:val="21"/>
                <w:lang w:val="en-US" w:eastAsia="zh-CN" w:bidi="zh-CN"/>
              </w:rPr>
            </w:pPr>
            <w:r>
              <w:rPr>
                <w:rFonts w:hint="eastAsia" w:ascii="Times New Roman" w:hAnsi="Times New Roman" w:cs="Times New Roman"/>
                <w:b/>
                <w:bCs/>
                <w:color w:val="auto"/>
                <w:sz w:val="21"/>
                <w:szCs w:val="21"/>
                <w:lang w:val="en-US" w:eastAsia="zh-CN" w:bidi="zh-CN"/>
              </w:rPr>
              <w:t>三、</w:t>
            </w:r>
            <w:r>
              <w:rPr>
                <w:rFonts w:hint="default" w:ascii="Times New Roman" w:hAnsi="Times New Roman" w:eastAsia="宋体" w:cs="Times New Roman"/>
                <w:b/>
                <w:bCs/>
                <w:color w:val="auto"/>
                <w:sz w:val="21"/>
                <w:szCs w:val="21"/>
                <w:lang w:val="en-US" w:eastAsia="zh-CN" w:bidi="zh-CN"/>
              </w:rPr>
              <w:t>主要污染工序</w:t>
            </w:r>
          </w:p>
          <w:p w14:paraId="2F87B6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w:t>
            </w:r>
            <w:r>
              <w:rPr>
                <w:rFonts w:hint="eastAsia" w:ascii="Times New Roman" w:hAnsi="Times New Roman" w:cs="Times New Roman"/>
                <w:b w:val="0"/>
                <w:bCs w:val="0"/>
                <w:color w:val="auto"/>
                <w:kern w:val="2"/>
                <w:sz w:val="21"/>
                <w:szCs w:val="21"/>
                <w:highlight w:val="none"/>
                <w:lang w:val="en-US" w:eastAsia="zh-CN" w:bidi="en-US"/>
              </w:rPr>
              <w:t>投料废气（G1）、搅拌废气（G2）、热转印废气（G3）</w:t>
            </w:r>
            <w:r>
              <w:rPr>
                <w:rFonts w:hint="default" w:ascii="Times New Roman" w:hAnsi="Times New Roman" w:cs="Times New Roman"/>
                <w:b w:val="0"/>
                <w:bCs w:val="0"/>
                <w:color w:val="auto"/>
                <w:sz w:val="21"/>
                <w:szCs w:val="21"/>
              </w:rPr>
              <w:t>等。</w:t>
            </w:r>
          </w:p>
          <w:p w14:paraId="799883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rPr>
              <w:t>主要为职工生活产生的生活</w:t>
            </w:r>
            <w:r>
              <w:rPr>
                <w:rFonts w:hint="eastAsia" w:ascii="Times New Roman" w:hAnsi="Times New Roman" w:cs="Times New Roman"/>
                <w:b w:val="0"/>
                <w:bCs w:val="0"/>
                <w:color w:val="auto"/>
                <w:sz w:val="21"/>
                <w:szCs w:val="21"/>
                <w:lang w:eastAsia="zh-CN"/>
              </w:rPr>
              <w:t>污水（</w:t>
            </w:r>
            <w:r>
              <w:rPr>
                <w:rFonts w:hint="eastAsia" w:ascii="Times New Roman" w:hAnsi="Times New Roman" w:cs="Times New Roman"/>
                <w:b w:val="0"/>
                <w:bCs w:val="0"/>
                <w:color w:val="auto"/>
                <w:sz w:val="21"/>
                <w:szCs w:val="21"/>
                <w:lang w:val="en-US" w:eastAsia="zh-CN"/>
              </w:rPr>
              <w:t>W1</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w:t>
            </w:r>
          </w:p>
          <w:p w14:paraId="4185A85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主要是生产设备及配套设备运行时产生的噪音。</w:t>
            </w:r>
          </w:p>
          <w:p w14:paraId="1AD93C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主要为废包装材料（S1</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S3</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废液压油（S2）</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w:t>
            </w:r>
            <w:r>
              <w:rPr>
                <w:rFonts w:hint="eastAsia" w:ascii="Times New Roman" w:hAnsi="Times New Roman" w:cs="Times New Roman"/>
                <w:b w:val="0"/>
                <w:bCs w:val="0"/>
                <w:color w:val="auto"/>
                <w:sz w:val="21"/>
                <w:szCs w:val="21"/>
                <w:lang w:eastAsia="zh-CN"/>
              </w:rPr>
              <w:t>机</w:t>
            </w:r>
            <w:r>
              <w:rPr>
                <w:rFonts w:hint="default" w:ascii="Times New Roman" w:hAnsi="Times New Roman" w:cs="Times New Roman"/>
                <w:b w:val="0"/>
                <w:bCs w:val="0"/>
                <w:color w:val="auto"/>
                <w:sz w:val="21"/>
                <w:szCs w:val="21"/>
              </w:rPr>
              <w:t>油（S</w:t>
            </w:r>
            <w:r>
              <w:rPr>
                <w:rFonts w:hint="eastAsia" w:ascii="Times New Roman" w:hAnsi="Times New Roman" w:cs="Times New Roman"/>
                <w:b w:val="0"/>
                <w:bCs w:val="0"/>
                <w:color w:val="auto"/>
                <w:sz w:val="21"/>
                <w:szCs w:val="21"/>
                <w:lang w:val="en-US" w:eastAsia="zh-CN"/>
              </w:rPr>
              <w:t>4</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、除尘灰（</w:t>
            </w:r>
            <w:r>
              <w:rPr>
                <w:rFonts w:hint="eastAsia" w:ascii="Times New Roman" w:hAnsi="Times New Roman" w:cs="Times New Roman"/>
                <w:b w:val="0"/>
                <w:bCs w:val="0"/>
                <w:color w:val="auto"/>
                <w:sz w:val="21"/>
                <w:szCs w:val="21"/>
                <w:lang w:val="en-US" w:eastAsia="zh-CN"/>
              </w:rPr>
              <w:t>S5</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生产剩余材料（S6）、</w:t>
            </w:r>
            <w:r>
              <w:rPr>
                <w:rFonts w:hint="eastAsia" w:ascii="Times New Roman" w:hAnsi="Times New Roman" w:cs="Times New Roman"/>
                <w:b w:val="0"/>
                <w:bCs w:val="0"/>
                <w:color w:val="auto"/>
                <w:sz w:val="21"/>
                <w:szCs w:val="21"/>
                <w:lang w:eastAsia="zh-CN"/>
              </w:rPr>
              <w:t>废</w:t>
            </w:r>
            <w:r>
              <w:rPr>
                <w:rFonts w:hint="eastAsia" w:ascii="Times New Roman" w:hAnsi="Times New Roman" w:cs="Times New Roman"/>
                <w:b w:val="0"/>
                <w:bCs w:val="0"/>
                <w:color w:val="auto"/>
                <w:sz w:val="21"/>
                <w:szCs w:val="21"/>
                <w:lang w:val="en-US" w:eastAsia="zh-CN"/>
              </w:rPr>
              <w:t>包装桶</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S7</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废活性炭</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S8</w:t>
            </w:r>
            <w:r>
              <w:rPr>
                <w:rFonts w:hint="eastAsia" w:ascii="Times New Roman" w:hAnsi="Times New Roman" w:cs="Times New Roman"/>
                <w:b w:val="0"/>
                <w:bCs w:val="0"/>
                <w:color w:val="auto"/>
                <w:sz w:val="21"/>
                <w:szCs w:val="21"/>
                <w:lang w:eastAsia="zh-CN"/>
              </w:rPr>
              <w:t>）、生活垃圾（</w:t>
            </w:r>
            <w:r>
              <w:rPr>
                <w:rFonts w:hint="eastAsia" w:ascii="Times New Roman" w:hAnsi="Times New Roman" w:cs="Times New Roman"/>
                <w:b w:val="0"/>
                <w:bCs w:val="0"/>
                <w:color w:val="auto"/>
                <w:sz w:val="21"/>
                <w:szCs w:val="21"/>
                <w:lang w:val="en-US" w:eastAsia="zh-CN"/>
              </w:rPr>
              <w:t>S9</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等。</w:t>
            </w:r>
          </w:p>
          <w:p w14:paraId="56CCAC0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本项目运营期污染源及污染物产生情况见下表。</w:t>
            </w:r>
          </w:p>
          <w:p w14:paraId="3ECDFD3F">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40" w:lineRule="exact"/>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w:t>
            </w:r>
            <w:r>
              <w:rPr>
                <w:rFonts w:hint="eastAsia" w:ascii="Times New Roman" w:hAnsi="Times New Roman" w:cs="Times New Roman"/>
                <w:b/>
                <w:bCs/>
                <w:color w:val="auto"/>
                <w:sz w:val="21"/>
                <w:szCs w:val="21"/>
                <w:lang w:val="en-US" w:eastAsia="zh-CN"/>
              </w:rPr>
              <w:t>2.6</w:t>
            </w:r>
            <w:r>
              <w:rPr>
                <w:rFonts w:hint="default" w:ascii="Times New Roman" w:hAnsi="Times New Roman" w:cs="Times New Roman"/>
                <w:b/>
                <w:bCs/>
                <w:color w:val="auto"/>
                <w:sz w:val="21"/>
                <w:szCs w:val="21"/>
                <w:lang w:val="en-US" w:eastAsia="zh-CN"/>
              </w:rPr>
              <w:t xml:space="preserve">  本项目污染源及污染物产生情况</w:t>
            </w:r>
          </w:p>
          <w:tbl>
            <w:tblPr>
              <w:tblStyle w:val="35"/>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965"/>
              <w:gridCol w:w="1609"/>
              <w:gridCol w:w="1530"/>
              <w:gridCol w:w="2397"/>
              <w:gridCol w:w="911"/>
            </w:tblGrid>
            <w:tr w14:paraId="0108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4" w:type="dxa"/>
                  <w:noWrap w:val="0"/>
                  <w:vAlign w:val="center"/>
                </w:tcPr>
                <w:p w14:paraId="513C3D99">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类别</w:t>
                  </w:r>
                </w:p>
              </w:tc>
              <w:tc>
                <w:tcPr>
                  <w:tcW w:w="1965" w:type="dxa"/>
                  <w:noWrap w:val="0"/>
                  <w:vAlign w:val="center"/>
                </w:tcPr>
                <w:p w14:paraId="7BA32B97">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污染源</w:t>
                  </w:r>
                </w:p>
              </w:tc>
              <w:tc>
                <w:tcPr>
                  <w:tcW w:w="1609" w:type="dxa"/>
                  <w:noWrap w:val="0"/>
                  <w:vAlign w:val="center"/>
                </w:tcPr>
                <w:p w14:paraId="7A08BA05">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序号</w:t>
                  </w:r>
                </w:p>
              </w:tc>
              <w:tc>
                <w:tcPr>
                  <w:tcW w:w="1530" w:type="dxa"/>
                  <w:noWrap w:val="0"/>
                  <w:vAlign w:val="center"/>
                </w:tcPr>
                <w:p w14:paraId="058C9DD6">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主要污染物</w:t>
                  </w:r>
                </w:p>
              </w:tc>
              <w:tc>
                <w:tcPr>
                  <w:tcW w:w="2397" w:type="dxa"/>
                  <w:noWrap w:val="0"/>
                  <w:vAlign w:val="center"/>
                </w:tcPr>
                <w:p w14:paraId="00CCC384">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治理方法</w:t>
                  </w:r>
                </w:p>
              </w:tc>
              <w:tc>
                <w:tcPr>
                  <w:tcW w:w="911" w:type="dxa"/>
                  <w:noWrap w:val="0"/>
                  <w:vAlign w:val="center"/>
                </w:tcPr>
                <w:p w14:paraId="5F9150B4">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排放特征</w:t>
                  </w:r>
                </w:p>
              </w:tc>
            </w:tr>
            <w:tr w14:paraId="39A5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4" w:type="dxa"/>
                  <w:vMerge w:val="restart"/>
                  <w:noWrap w:val="0"/>
                  <w:vAlign w:val="center"/>
                </w:tcPr>
                <w:p w14:paraId="23A18FAA">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废气</w:t>
                  </w:r>
                </w:p>
              </w:tc>
              <w:tc>
                <w:tcPr>
                  <w:tcW w:w="1965" w:type="dxa"/>
                  <w:noWrap w:val="0"/>
                  <w:vAlign w:val="center"/>
                </w:tcPr>
                <w:p w14:paraId="45833D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kern w:val="2"/>
                      <w:sz w:val="21"/>
                      <w:szCs w:val="21"/>
                      <w:highlight w:val="none"/>
                      <w:lang w:val="en-US" w:eastAsia="zh-CN" w:bidi="en-US"/>
                    </w:rPr>
                    <w:t>投料废气</w:t>
                  </w:r>
                </w:p>
              </w:tc>
              <w:tc>
                <w:tcPr>
                  <w:tcW w:w="1609" w:type="dxa"/>
                  <w:noWrap w:val="0"/>
                  <w:vAlign w:val="center"/>
                </w:tcPr>
                <w:p w14:paraId="539797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kern w:val="2"/>
                      <w:sz w:val="21"/>
                      <w:szCs w:val="21"/>
                      <w:highlight w:val="none"/>
                      <w:lang w:val="en-US" w:eastAsia="zh-CN" w:bidi="en-US"/>
                    </w:rPr>
                    <w:t>G1</w:t>
                  </w:r>
                </w:p>
              </w:tc>
              <w:tc>
                <w:tcPr>
                  <w:tcW w:w="1530" w:type="dxa"/>
                  <w:noWrap w:val="0"/>
                  <w:vAlign w:val="center"/>
                </w:tcPr>
                <w:p w14:paraId="558997A1">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eastAsia"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非甲烷总烃、</w:t>
                  </w:r>
                  <w:r>
                    <w:rPr>
                      <w:rFonts w:hint="default" w:ascii="Times New Roman" w:hAnsi="Times New Roman" w:cs="Times New Roman"/>
                      <w:b w:val="0"/>
                      <w:bCs w:val="0"/>
                      <w:color w:val="auto"/>
                      <w:sz w:val="21"/>
                      <w:szCs w:val="21"/>
                      <w:vertAlign w:val="baseline"/>
                      <w:lang w:val="en-US" w:eastAsia="zh-CN"/>
                    </w:rPr>
                    <w:t>颗粒物</w:t>
                  </w:r>
                </w:p>
              </w:tc>
              <w:tc>
                <w:tcPr>
                  <w:tcW w:w="2397" w:type="dxa"/>
                  <w:vMerge w:val="restart"/>
                  <w:noWrap w:val="0"/>
                  <w:vAlign w:val="center"/>
                </w:tcPr>
                <w:p w14:paraId="7247F65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1"/>
                      <w:szCs w:val="21"/>
                      <w:u w:val="none"/>
                      <w:lang w:val="en-US" w:eastAsia="zh-CN" w:bidi="ar"/>
                    </w:rPr>
                    <w:t>集气罩</w:t>
                  </w:r>
                  <w:r>
                    <w:rPr>
                      <w:rFonts w:hint="default" w:ascii="Times New Roman" w:hAnsi="Times New Roman" w:cs="Times New Roman"/>
                      <w:color w:val="auto"/>
                      <w:spacing w:val="0"/>
                      <w:kern w:val="21"/>
                      <w:sz w:val="21"/>
                      <w:szCs w:val="21"/>
                      <w:highlight w:val="none"/>
                      <w:lang w:val="en-US" w:eastAsia="zh-CN"/>
                    </w:rPr>
                    <w:t>+布袋除尘器</w:t>
                  </w:r>
                  <w:r>
                    <w:rPr>
                      <w:rFonts w:hint="default" w:ascii="Times New Roman" w:hAnsi="Times New Roman" w:cs="Times New Roman"/>
                      <w:b w:val="0"/>
                      <w:bCs w:val="0"/>
                      <w:color w:val="auto"/>
                      <w:sz w:val="21"/>
                      <w:szCs w:val="21"/>
                      <w:lang w:val="en-US" w:eastAsia="zh-CN"/>
                    </w:rPr>
                    <w:t>+两级活性炭箱</w:t>
                  </w:r>
                  <w:r>
                    <w:rPr>
                      <w:rFonts w:hint="default" w:ascii="Times New Roman" w:hAnsi="Times New Roman" w:cs="Times New Roman"/>
                      <w:color w:val="auto"/>
                      <w:spacing w:val="0"/>
                      <w:kern w:val="21"/>
                      <w:sz w:val="21"/>
                      <w:szCs w:val="21"/>
                      <w:highlight w:val="none"/>
                      <w:lang w:val="en-US" w:eastAsia="zh-CN"/>
                    </w:rPr>
                    <w:t>+15m高排</w:t>
                  </w:r>
                  <w:r>
                    <w:rPr>
                      <w:rFonts w:hint="eastAsia"/>
                      <w:color w:val="auto"/>
                      <w:spacing w:val="0"/>
                      <w:kern w:val="21"/>
                      <w:sz w:val="21"/>
                      <w:szCs w:val="21"/>
                      <w:highlight w:val="none"/>
                      <w:lang w:val="en-US" w:eastAsia="zh-CN"/>
                    </w:rPr>
                    <w:t>气筒</w:t>
                  </w:r>
                </w:p>
              </w:tc>
              <w:tc>
                <w:tcPr>
                  <w:tcW w:w="911" w:type="dxa"/>
                  <w:vMerge w:val="restart"/>
                  <w:noWrap w:val="0"/>
                  <w:vAlign w:val="center"/>
                </w:tcPr>
                <w:p w14:paraId="05FC79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连续</w:t>
                  </w:r>
                </w:p>
              </w:tc>
            </w:tr>
            <w:tr w14:paraId="0F43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dxa"/>
                  <w:vMerge w:val="continue"/>
                  <w:noWrap w:val="0"/>
                  <w:vAlign w:val="center"/>
                </w:tcPr>
                <w:p w14:paraId="3D0C87E6">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965" w:type="dxa"/>
                  <w:noWrap w:val="0"/>
                  <w:vAlign w:val="center"/>
                </w:tcPr>
                <w:p w14:paraId="70E4CA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2"/>
                      <w:sz w:val="21"/>
                      <w:szCs w:val="21"/>
                      <w:highlight w:val="none"/>
                      <w:lang w:val="en-US" w:eastAsia="zh-CN" w:bidi="en-US"/>
                    </w:rPr>
                  </w:pPr>
                  <w:r>
                    <w:rPr>
                      <w:rFonts w:hint="eastAsia" w:ascii="Times New Roman" w:hAnsi="Times New Roman" w:cs="Times New Roman"/>
                      <w:b w:val="0"/>
                      <w:bCs w:val="0"/>
                      <w:color w:val="auto"/>
                      <w:kern w:val="2"/>
                      <w:sz w:val="21"/>
                      <w:szCs w:val="21"/>
                      <w:highlight w:val="none"/>
                      <w:lang w:val="en-US" w:eastAsia="zh-CN" w:bidi="en-US"/>
                    </w:rPr>
                    <w:t>搅拌废气</w:t>
                  </w:r>
                </w:p>
              </w:tc>
              <w:tc>
                <w:tcPr>
                  <w:tcW w:w="1609" w:type="dxa"/>
                  <w:noWrap w:val="0"/>
                  <w:vAlign w:val="center"/>
                </w:tcPr>
                <w:p w14:paraId="00663F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2"/>
                      <w:sz w:val="21"/>
                      <w:szCs w:val="21"/>
                      <w:highlight w:val="none"/>
                      <w:lang w:val="en-US" w:eastAsia="zh-CN" w:bidi="en-US"/>
                    </w:rPr>
                  </w:pPr>
                  <w:r>
                    <w:rPr>
                      <w:rFonts w:hint="eastAsia" w:ascii="Times New Roman" w:hAnsi="Times New Roman" w:cs="Times New Roman"/>
                      <w:b w:val="0"/>
                      <w:bCs w:val="0"/>
                      <w:color w:val="auto"/>
                      <w:kern w:val="2"/>
                      <w:sz w:val="21"/>
                      <w:szCs w:val="21"/>
                      <w:highlight w:val="none"/>
                      <w:lang w:val="en-US" w:eastAsia="zh-CN" w:bidi="en-US"/>
                    </w:rPr>
                    <w:t>G2</w:t>
                  </w:r>
                </w:p>
              </w:tc>
              <w:tc>
                <w:tcPr>
                  <w:tcW w:w="1530" w:type="dxa"/>
                  <w:noWrap w:val="0"/>
                  <w:vAlign w:val="center"/>
                </w:tcPr>
                <w:p w14:paraId="7BEFCE00">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非甲烷总烃、</w:t>
                  </w:r>
                  <w:r>
                    <w:rPr>
                      <w:rFonts w:hint="default" w:ascii="Times New Roman" w:hAnsi="Times New Roman" w:cs="Times New Roman"/>
                      <w:b w:val="0"/>
                      <w:bCs w:val="0"/>
                      <w:color w:val="auto"/>
                      <w:sz w:val="21"/>
                      <w:szCs w:val="21"/>
                      <w:vertAlign w:val="baseline"/>
                      <w:lang w:val="en-US" w:eastAsia="zh-CN"/>
                    </w:rPr>
                    <w:t>颗粒物</w:t>
                  </w:r>
                </w:p>
              </w:tc>
              <w:tc>
                <w:tcPr>
                  <w:tcW w:w="2397" w:type="dxa"/>
                  <w:vMerge w:val="continue"/>
                  <w:noWrap w:val="0"/>
                  <w:vAlign w:val="center"/>
                </w:tcPr>
                <w:p w14:paraId="2795FA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eastAsia" w:ascii="Times New Roman" w:hAnsi="Times New Roman" w:eastAsia="宋体" w:cs="Times New Roman"/>
                      <w:color w:val="auto"/>
                      <w:spacing w:val="0"/>
                      <w:kern w:val="21"/>
                      <w:sz w:val="21"/>
                      <w:szCs w:val="21"/>
                      <w:highlight w:val="none"/>
                      <w:lang w:val="en-US" w:eastAsia="zh-CN" w:bidi="ar-SA"/>
                    </w:rPr>
                  </w:pPr>
                </w:p>
              </w:tc>
              <w:tc>
                <w:tcPr>
                  <w:tcW w:w="911" w:type="dxa"/>
                  <w:vMerge w:val="continue"/>
                  <w:noWrap w:val="0"/>
                  <w:vAlign w:val="center"/>
                </w:tcPr>
                <w:p w14:paraId="4614E9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vertAlign w:val="baseline"/>
                      <w:lang w:val="en-US" w:eastAsia="zh-CN"/>
                    </w:rPr>
                  </w:pPr>
                </w:p>
              </w:tc>
            </w:tr>
            <w:tr w14:paraId="1EAF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dxa"/>
                  <w:vMerge w:val="continue"/>
                  <w:noWrap w:val="0"/>
                  <w:vAlign w:val="center"/>
                </w:tcPr>
                <w:p w14:paraId="275DCD18">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965" w:type="dxa"/>
                  <w:shd w:val="clear" w:color="auto" w:fill="auto"/>
                  <w:noWrap w:val="0"/>
                  <w:vAlign w:val="center"/>
                </w:tcPr>
                <w:p w14:paraId="129031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bidi="zh-CN"/>
                    </w:rPr>
                    <w:t>出料废气</w:t>
                  </w:r>
                </w:p>
              </w:tc>
              <w:tc>
                <w:tcPr>
                  <w:tcW w:w="1609" w:type="dxa"/>
                  <w:shd w:val="clear" w:color="auto" w:fill="auto"/>
                  <w:noWrap w:val="0"/>
                  <w:vAlign w:val="center"/>
                </w:tcPr>
                <w:p w14:paraId="5E3A7D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kern w:val="2"/>
                      <w:sz w:val="21"/>
                      <w:szCs w:val="21"/>
                      <w:highlight w:val="none"/>
                      <w:lang w:val="en-US" w:eastAsia="zh-CN" w:bidi="en-US"/>
                    </w:rPr>
                    <w:t>G3</w:t>
                  </w:r>
                </w:p>
              </w:tc>
              <w:tc>
                <w:tcPr>
                  <w:tcW w:w="1530" w:type="dxa"/>
                  <w:shd w:val="clear" w:color="auto" w:fill="auto"/>
                  <w:noWrap w:val="0"/>
                  <w:vAlign w:val="center"/>
                </w:tcPr>
                <w:p w14:paraId="519EF4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非甲烷总烃</w:t>
                  </w:r>
                </w:p>
              </w:tc>
              <w:tc>
                <w:tcPr>
                  <w:tcW w:w="2397" w:type="dxa"/>
                  <w:vMerge w:val="restart"/>
                  <w:noWrap w:val="0"/>
                  <w:vAlign w:val="center"/>
                </w:tcPr>
                <w:p w14:paraId="209577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eastAsia" w:ascii="Times New Roman" w:hAnsi="Times New Roman" w:cs="Times New Roman"/>
                      <w:color w:val="auto"/>
                      <w:spacing w:val="0"/>
                      <w:kern w:val="21"/>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车间密闭</w:t>
                  </w:r>
                  <w:r>
                    <w:rPr>
                      <w:rFonts w:hint="default" w:ascii="Times New Roman" w:hAnsi="Times New Roman" w:cs="Times New Roman"/>
                      <w:i w:val="0"/>
                      <w:iCs w:val="0"/>
                      <w:color w:val="auto"/>
                      <w:kern w:val="0"/>
                      <w:sz w:val="21"/>
                      <w:szCs w:val="21"/>
                      <w:u w:val="none"/>
                      <w:lang w:val="en-US" w:eastAsia="zh-CN" w:bidi="ar"/>
                    </w:rPr>
                    <w:t>、泼洒抑尘</w:t>
                  </w:r>
                </w:p>
              </w:tc>
              <w:tc>
                <w:tcPr>
                  <w:tcW w:w="911" w:type="dxa"/>
                  <w:vMerge w:val="continue"/>
                  <w:noWrap w:val="0"/>
                  <w:vAlign w:val="center"/>
                </w:tcPr>
                <w:p w14:paraId="4BB555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vertAlign w:val="baseline"/>
                      <w:lang w:val="en-US" w:eastAsia="zh-CN"/>
                    </w:rPr>
                  </w:pPr>
                </w:p>
              </w:tc>
            </w:tr>
            <w:tr w14:paraId="1513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dxa"/>
                  <w:vMerge w:val="continue"/>
                  <w:noWrap w:val="0"/>
                  <w:vAlign w:val="center"/>
                </w:tcPr>
                <w:p w14:paraId="254A5497">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965" w:type="dxa"/>
                  <w:shd w:val="clear" w:color="auto" w:fill="auto"/>
                  <w:noWrap w:val="0"/>
                  <w:vAlign w:val="center"/>
                </w:tcPr>
                <w:p w14:paraId="4A349A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en-US"/>
                    </w:rPr>
                  </w:pPr>
                  <w:r>
                    <w:rPr>
                      <w:rFonts w:hint="eastAsia" w:ascii="Times New Roman" w:hAnsi="Times New Roman" w:cs="Times New Roman"/>
                      <w:b w:val="0"/>
                      <w:bCs w:val="0"/>
                      <w:color w:val="auto"/>
                      <w:kern w:val="2"/>
                      <w:sz w:val="21"/>
                      <w:szCs w:val="21"/>
                      <w:highlight w:val="none"/>
                      <w:lang w:val="en-US" w:eastAsia="zh-CN" w:bidi="en-US"/>
                    </w:rPr>
                    <w:t>转印废气</w:t>
                  </w:r>
                </w:p>
              </w:tc>
              <w:tc>
                <w:tcPr>
                  <w:tcW w:w="1609" w:type="dxa"/>
                  <w:shd w:val="clear" w:color="auto" w:fill="auto"/>
                  <w:noWrap w:val="0"/>
                  <w:vAlign w:val="center"/>
                </w:tcPr>
                <w:p w14:paraId="20FD4D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en-US"/>
                    </w:rPr>
                  </w:pPr>
                  <w:r>
                    <w:rPr>
                      <w:rFonts w:hint="eastAsia" w:ascii="Times New Roman" w:hAnsi="Times New Roman" w:cs="Times New Roman"/>
                      <w:b w:val="0"/>
                      <w:bCs w:val="0"/>
                      <w:color w:val="auto"/>
                      <w:kern w:val="2"/>
                      <w:sz w:val="21"/>
                      <w:szCs w:val="21"/>
                      <w:highlight w:val="none"/>
                      <w:lang w:val="en-US" w:eastAsia="zh-CN" w:bidi="en-US"/>
                    </w:rPr>
                    <w:t>G4</w:t>
                  </w:r>
                </w:p>
              </w:tc>
              <w:tc>
                <w:tcPr>
                  <w:tcW w:w="1530" w:type="dxa"/>
                  <w:shd w:val="clear" w:color="auto" w:fill="auto"/>
                  <w:noWrap w:val="0"/>
                  <w:vAlign w:val="center"/>
                </w:tcPr>
                <w:p w14:paraId="15B229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非甲烷总烃</w:t>
                  </w:r>
                </w:p>
              </w:tc>
              <w:tc>
                <w:tcPr>
                  <w:tcW w:w="2397" w:type="dxa"/>
                  <w:vMerge w:val="continue"/>
                  <w:noWrap w:val="0"/>
                  <w:vAlign w:val="center"/>
                </w:tcPr>
                <w:p w14:paraId="0C454BE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i w:val="0"/>
                      <w:iCs w:val="0"/>
                      <w:color w:val="auto"/>
                      <w:kern w:val="0"/>
                      <w:sz w:val="21"/>
                      <w:szCs w:val="21"/>
                      <w:u w:val="none"/>
                      <w:lang w:val="en-US" w:eastAsia="zh-CN" w:bidi="ar"/>
                    </w:rPr>
                  </w:pPr>
                </w:p>
              </w:tc>
              <w:tc>
                <w:tcPr>
                  <w:tcW w:w="911" w:type="dxa"/>
                  <w:vMerge w:val="continue"/>
                  <w:noWrap w:val="0"/>
                  <w:vAlign w:val="center"/>
                </w:tcPr>
                <w:p w14:paraId="40B64F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sz w:val="21"/>
                      <w:szCs w:val="21"/>
                      <w:vertAlign w:val="baseline"/>
                      <w:lang w:val="en-US" w:eastAsia="zh-CN"/>
                    </w:rPr>
                  </w:pPr>
                </w:p>
              </w:tc>
            </w:tr>
            <w:tr w14:paraId="23F1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4" w:type="dxa"/>
                  <w:noWrap w:val="0"/>
                  <w:vAlign w:val="center"/>
                </w:tcPr>
                <w:p w14:paraId="70605C03">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废水</w:t>
                  </w:r>
                </w:p>
              </w:tc>
              <w:tc>
                <w:tcPr>
                  <w:tcW w:w="1965" w:type="dxa"/>
                  <w:noWrap w:val="0"/>
                  <w:vAlign w:val="center"/>
                </w:tcPr>
                <w:p w14:paraId="679079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vertAlign w:val="baseline"/>
                      <w:lang w:val="en-US" w:eastAsia="zh-CN" w:bidi="zh-CN"/>
                    </w:rPr>
                    <w:t>生活污水</w:t>
                  </w:r>
                </w:p>
              </w:tc>
              <w:tc>
                <w:tcPr>
                  <w:tcW w:w="1609" w:type="dxa"/>
                  <w:noWrap w:val="0"/>
                  <w:vAlign w:val="center"/>
                </w:tcPr>
                <w:p w14:paraId="5ED340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W</w:t>
                  </w:r>
                </w:p>
              </w:tc>
              <w:tc>
                <w:tcPr>
                  <w:tcW w:w="1530" w:type="dxa"/>
                  <w:noWrap w:val="0"/>
                  <w:vAlign w:val="center"/>
                </w:tcPr>
                <w:p w14:paraId="5945B9FB">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COD、BOD</w:t>
                  </w:r>
                  <w:r>
                    <w:rPr>
                      <w:rFonts w:hint="eastAsia" w:ascii="Times New Roman" w:hAnsi="Times New Roman" w:cs="Times New Roman"/>
                      <w:b w:val="0"/>
                      <w:bCs w:val="0"/>
                      <w:color w:val="auto"/>
                      <w:sz w:val="21"/>
                      <w:szCs w:val="21"/>
                      <w:vertAlign w:val="subscript"/>
                      <w:lang w:val="en-US" w:eastAsia="zh-CN"/>
                    </w:rPr>
                    <w:t>5</w:t>
                  </w:r>
                  <w:r>
                    <w:rPr>
                      <w:rFonts w:hint="eastAsia" w:ascii="Times New Roman" w:hAnsi="Times New Roman" w:cs="Times New Roman"/>
                      <w:b w:val="0"/>
                      <w:bCs w:val="0"/>
                      <w:color w:val="auto"/>
                      <w:sz w:val="21"/>
                      <w:szCs w:val="21"/>
                      <w:vertAlign w:val="baseline"/>
                      <w:lang w:val="en-US" w:eastAsia="zh-CN"/>
                    </w:rPr>
                    <w:t>、SS、氨氮</w:t>
                  </w:r>
                </w:p>
              </w:tc>
              <w:tc>
                <w:tcPr>
                  <w:tcW w:w="2397" w:type="dxa"/>
                  <w:noWrap w:val="0"/>
                  <w:vAlign w:val="center"/>
                </w:tcPr>
                <w:p w14:paraId="69A25DE9">
                  <w:pPr>
                    <w:keepNext w:val="0"/>
                    <w:keepLines w:val="0"/>
                    <w:pageBreakBefore w:val="0"/>
                    <w:widowControl w:val="0"/>
                    <w:suppressLineNumbers w:val="0"/>
                    <w:kinsoku/>
                    <w:wordWrap/>
                    <w:overflowPunct/>
                    <w:topLinePunct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生活污水泼洒抑尘，厂区内设防渗旱厕，定期清掏</w:t>
                  </w:r>
                </w:p>
              </w:tc>
              <w:tc>
                <w:tcPr>
                  <w:tcW w:w="911" w:type="dxa"/>
                  <w:noWrap w:val="0"/>
                  <w:vAlign w:val="center"/>
                </w:tcPr>
                <w:p w14:paraId="08EB8102">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不外排</w:t>
                  </w:r>
                </w:p>
              </w:tc>
            </w:tr>
            <w:tr w14:paraId="6B56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4" w:type="dxa"/>
                  <w:noWrap w:val="0"/>
                  <w:vAlign w:val="center"/>
                </w:tcPr>
                <w:p w14:paraId="158B55F1">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噪声</w:t>
                  </w:r>
                </w:p>
              </w:tc>
              <w:tc>
                <w:tcPr>
                  <w:tcW w:w="1965" w:type="dxa"/>
                  <w:noWrap w:val="0"/>
                  <w:vAlign w:val="center"/>
                </w:tcPr>
                <w:p w14:paraId="15FED4AA">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设备运行</w:t>
                  </w:r>
                </w:p>
              </w:tc>
              <w:tc>
                <w:tcPr>
                  <w:tcW w:w="1609" w:type="dxa"/>
                  <w:noWrap w:val="0"/>
                  <w:vAlign w:val="center"/>
                </w:tcPr>
                <w:p w14:paraId="6F8F204A">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N</w:t>
                  </w:r>
                </w:p>
              </w:tc>
              <w:tc>
                <w:tcPr>
                  <w:tcW w:w="1530" w:type="dxa"/>
                  <w:noWrap w:val="0"/>
                  <w:vAlign w:val="center"/>
                </w:tcPr>
                <w:p w14:paraId="0F5A184E">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Leq</w:t>
                  </w:r>
                  <w:r>
                    <w:rPr>
                      <w:rFonts w:hint="default" w:ascii="Times New Roman" w:hAnsi="Times New Roman" w:cs="Times New Roman"/>
                      <w:b w:val="0"/>
                      <w:bCs w:val="0"/>
                      <w:color w:val="auto"/>
                      <w:sz w:val="21"/>
                      <w:szCs w:val="21"/>
                      <w:vertAlign w:val="subscript"/>
                      <w:lang w:val="en-US" w:eastAsia="zh-CN"/>
                    </w:rPr>
                    <w:t>(A)</w:t>
                  </w:r>
                </w:p>
              </w:tc>
              <w:tc>
                <w:tcPr>
                  <w:tcW w:w="2397" w:type="dxa"/>
                  <w:noWrap w:val="0"/>
                  <w:vAlign w:val="center"/>
                </w:tcPr>
                <w:p w14:paraId="562FA05D">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选用低噪声设备、</w:t>
                  </w:r>
                  <w:r>
                    <w:rPr>
                      <w:rFonts w:hint="default" w:ascii="Times New Roman" w:hAnsi="Times New Roman" w:eastAsia="宋体" w:cs="Times New Roman"/>
                      <w:color w:val="auto"/>
                      <w:sz w:val="21"/>
                      <w:szCs w:val="21"/>
                    </w:rPr>
                    <w:t>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911" w:type="dxa"/>
                  <w:noWrap w:val="0"/>
                  <w:vAlign w:val="center"/>
                </w:tcPr>
                <w:p w14:paraId="3C2331A3">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连续</w:t>
                  </w:r>
                </w:p>
              </w:tc>
            </w:tr>
            <w:tr w14:paraId="5839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24" w:type="dxa"/>
                  <w:vMerge w:val="restart"/>
                  <w:noWrap w:val="0"/>
                  <w:vAlign w:val="center"/>
                </w:tcPr>
                <w:p w14:paraId="3622B133">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固废</w:t>
                  </w:r>
                </w:p>
              </w:tc>
              <w:tc>
                <w:tcPr>
                  <w:tcW w:w="1965" w:type="dxa"/>
                  <w:noWrap w:val="0"/>
                  <w:vAlign w:val="center"/>
                </w:tcPr>
                <w:p w14:paraId="05BF8721">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原料包装</w:t>
                  </w:r>
                </w:p>
              </w:tc>
              <w:tc>
                <w:tcPr>
                  <w:tcW w:w="1609" w:type="dxa"/>
                  <w:noWrap w:val="0"/>
                  <w:vAlign w:val="center"/>
                </w:tcPr>
                <w:p w14:paraId="396594CF">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lang w:val="en-US" w:eastAsia="zh-CN"/>
                    </w:rPr>
                    <w:t>S1</w:t>
                  </w:r>
                </w:p>
              </w:tc>
              <w:tc>
                <w:tcPr>
                  <w:tcW w:w="1530" w:type="dxa"/>
                  <w:noWrap w:val="0"/>
                  <w:vAlign w:val="center"/>
                </w:tcPr>
                <w:p w14:paraId="739BCD0E">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rPr>
                    <w:t>废包装材料</w:t>
                  </w:r>
                </w:p>
              </w:tc>
              <w:tc>
                <w:tcPr>
                  <w:tcW w:w="2397" w:type="dxa"/>
                  <w:vMerge w:val="restart"/>
                  <w:noWrap w:val="0"/>
                  <w:vAlign w:val="center"/>
                </w:tcPr>
                <w:p w14:paraId="2448FA85">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color w:val="auto"/>
                      <w:sz w:val="21"/>
                      <w:szCs w:val="21"/>
                      <w:lang w:val="en-US" w:eastAsia="zh-CN"/>
                    </w:rPr>
                    <w:t>集中收集</w:t>
                  </w:r>
                  <w:r>
                    <w:rPr>
                      <w:rFonts w:hint="eastAsia" w:ascii="Times New Roman" w:hAnsi="Times New Roman" w:cs="Times New Roman"/>
                      <w:b w:val="0"/>
                      <w:bCs w:val="0"/>
                      <w:color w:val="auto"/>
                      <w:sz w:val="21"/>
                      <w:szCs w:val="21"/>
                      <w:lang w:val="en-US" w:eastAsia="zh-CN"/>
                    </w:rPr>
                    <w:t>后外售</w:t>
                  </w:r>
                </w:p>
              </w:tc>
              <w:tc>
                <w:tcPr>
                  <w:tcW w:w="911" w:type="dxa"/>
                  <w:vMerge w:val="restart"/>
                  <w:noWrap w:val="0"/>
                  <w:vAlign w:val="center"/>
                </w:tcPr>
                <w:p w14:paraId="42970821">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不外排</w:t>
                  </w:r>
                </w:p>
              </w:tc>
            </w:tr>
            <w:tr w14:paraId="4562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4" w:type="dxa"/>
                  <w:vMerge w:val="continue"/>
                  <w:noWrap w:val="0"/>
                  <w:vAlign w:val="center"/>
                </w:tcPr>
                <w:p w14:paraId="31B035BD">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965" w:type="dxa"/>
                  <w:noWrap w:val="0"/>
                  <w:vAlign w:val="center"/>
                </w:tcPr>
                <w:p w14:paraId="5FD83458">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eastAsia"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eastAsia="zh-CN"/>
                    </w:rPr>
                    <w:t>成品包装</w:t>
                  </w:r>
                </w:p>
              </w:tc>
              <w:tc>
                <w:tcPr>
                  <w:tcW w:w="1609" w:type="dxa"/>
                  <w:noWrap w:val="0"/>
                  <w:vAlign w:val="center"/>
                </w:tcPr>
                <w:p w14:paraId="2AE386F0">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S3</w:t>
                  </w:r>
                </w:p>
              </w:tc>
              <w:tc>
                <w:tcPr>
                  <w:tcW w:w="1530" w:type="dxa"/>
                  <w:noWrap w:val="0"/>
                  <w:vAlign w:val="center"/>
                </w:tcPr>
                <w:p w14:paraId="36D8F5E8">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rPr>
                    <w:t>废包装材料</w:t>
                  </w:r>
                </w:p>
              </w:tc>
              <w:tc>
                <w:tcPr>
                  <w:tcW w:w="2397" w:type="dxa"/>
                  <w:vMerge w:val="continue"/>
                  <w:noWrap w:val="0"/>
                  <w:vAlign w:val="center"/>
                </w:tcPr>
                <w:p w14:paraId="6A4178D9">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color w:val="auto"/>
                      <w:sz w:val="21"/>
                      <w:szCs w:val="21"/>
                      <w:lang w:val="en-US" w:eastAsia="zh-CN"/>
                    </w:rPr>
                  </w:pPr>
                </w:p>
              </w:tc>
              <w:tc>
                <w:tcPr>
                  <w:tcW w:w="911" w:type="dxa"/>
                  <w:vMerge w:val="continue"/>
                  <w:noWrap w:val="0"/>
                  <w:vAlign w:val="center"/>
                </w:tcPr>
                <w:p w14:paraId="3C01A5DC">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r>
            <w:tr w14:paraId="082F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4" w:type="dxa"/>
                  <w:vMerge w:val="continue"/>
                  <w:noWrap w:val="0"/>
                  <w:vAlign w:val="center"/>
                </w:tcPr>
                <w:p w14:paraId="69994B38">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965" w:type="dxa"/>
                  <w:noWrap w:val="0"/>
                  <w:vAlign w:val="center"/>
                </w:tcPr>
                <w:p w14:paraId="6B156BA4">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废气处理设备</w:t>
                  </w:r>
                </w:p>
              </w:tc>
              <w:tc>
                <w:tcPr>
                  <w:tcW w:w="1609" w:type="dxa"/>
                  <w:noWrap w:val="0"/>
                  <w:vAlign w:val="center"/>
                </w:tcPr>
                <w:p w14:paraId="12F339FF">
                  <w:pPr>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rPr>
                    <w:t>S</w:t>
                  </w:r>
                  <w:r>
                    <w:rPr>
                      <w:rFonts w:hint="eastAsia" w:ascii="Times New Roman" w:hAnsi="Times New Roman" w:cs="Times New Roman"/>
                      <w:b w:val="0"/>
                      <w:bCs w:val="0"/>
                      <w:color w:val="auto"/>
                      <w:sz w:val="21"/>
                      <w:szCs w:val="21"/>
                      <w:lang w:val="en-US" w:eastAsia="zh-CN"/>
                    </w:rPr>
                    <w:t>5</w:t>
                  </w:r>
                </w:p>
              </w:tc>
              <w:tc>
                <w:tcPr>
                  <w:tcW w:w="1530" w:type="dxa"/>
                  <w:noWrap w:val="0"/>
                  <w:vAlign w:val="center"/>
                </w:tcPr>
                <w:p w14:paraId="02F0E35E">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除尘灰</w:t>
                  </w:r>
                </w:p>
              </w:tc>
              <w:tc>
                <w:tcPr>
                  <w:tcW w:w="2397" w:type="dxa"/>
                  <w:vMerge w:val="restart"/>
                  <w:noWrap w:val="0"/>
                  <w:vAlign w:val="center"/>
                </w:tcPr>
                <w:p w14:paraId="26D9F4DB">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集中收集后回用</w:t>
                  </w:r>
                </w:p>
              </w:tc>
              <w:tc>
                <w:tcPr>
                  <w:tcW w:w="911" w:type="dxa"/>
                  <w:vMerge w:val="continue"/>
                  <w:noWrap w:val="0"/>
                  <w:vAlign w:val="center"/>
                </w:tcPr>
                <w:p w14:paraId="19813A5F">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r>
            <w:tr w14:paraId="2F01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4" w:type="dxa"/>
                  <w:vMerge w:val="continue"/>
                  <w:noWrap w:val="0"/>
                  <w:vAlign w:val="center"/>
                </w:tcPr>
                <w:p w14:paraId="3070A5D3">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c>
                <w:tcPr>
                  <w:tcW w:w="1965" w:type="dxa"/>
                  <w:noWrap w:val="0"/>
                  <w:vAlign w:val="center"/>
                </w:tcPr>
                <w:p w14:paraId="246CD1C8">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美缝剂生产</w:t>
                  </w:r>
                </w:p>
              </w:tc>
              <w:tc>
                <w:tcPr>
                  <w:tcW w:w="1609" w:type="dxa"/>
                  <w:noWrap w:val="0"/>
                  <w:vAlign w:val="center"/>
                </w:tcPr>
                <w:p w14:paraId="18D54066">
                  <w:pPr>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S</w:t>
                  </w:r>
                  <w:r>
                    <w:rPr>
                      <w:rFonts w:hint="eastAsia" w:ascii="Times New Roman" w:hAnsi="Times New Roman" w:cs="Times New Roman"/>
                      <w:b w:val="0"/>
                      <w:bCs w:val="0"/>
                      <w:color w:val="auto"/>
                      <w:sz w:val="21"/>
                      <w:szCs w:val="21"/>
                      <w:lang w:val="en-US" w:eastAsia="zh-CN"/>
                    </w:rPr>
                    <w:t>6</w:t>
                  </w:r>
                </w:p>
              </w:tc>
              <w:tc>
                <w:tcPr>
                  <w:tcW w:w="1530" w:type="dxa"/>
                  <w:noWrap w:val="0"/>
                  <w:vAlign w:val="center"/>
                </w:tcPr>
                <w:p w14:paraId="036CDAA5">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生产剩余材料</w:t>
                  </w:r>
                </w:p>
              </w:tc>
              <w:tc>
                <w:tcPr>
                  <w:tcW w:w="2397" w:type="dxa"/>
                  <w:vMerge w:val="continue"/>
                  <w:noWrap w:val="0"/>
                  <w:vAlign w:val="center"/>
                </w:tcPr>
                <w:p w14:paraId="1B92C1CF">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color w:val="auto"/>
                      <w:sz w:val="21"/>
                      <w:szCs w:val="21"/>
                      <w:lang w:val="en-US" w:eastAsia="zh-CN"/>
                    </w:rPr>
                  </w:pPr>
                </w:p>
              </w:tc>
              <w:tc>
                <w:tcPr>
                  <w:tcW w:w="911" w:type="dxa"/>
                  <w:vMerge w:val="continue"/>
                  <w:noWrap w:val="0"/>
                  <w:vAlign w:val="center"/>
                </w:tcPr>
                <w:p w14:paraId="0627B747">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jc w:val="center"/>
                    <w:textAlignment w:val="auto"/>
                    <w:rPr>
                      <w:rFonts w:hint="default" w:ascii="Times New Roman" w:hAnsi="Times New Roman" w:cs="Times New Roman"/>
                      <w:b w:val="0"/>
                      <w:bCs w:val="0"/>
                      <w:color w:val="auto"/>
                      <w:sz w:val="21"/>
                      <w:szCs w:val="21"/>
                      <w:vertAlign w:val="baseline"/>
                      <w:lang w:val="en-US" w:eastAsia="zh-CN"/>
                    </w:rPr>
                  </w:pPr>
                </w:p>
              </w:tc>
            </w:tr>
            <w:tr w14:paraId="3419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4" w:type="dxa"/>
                  <w:vMerge w:val="continue"/>
                  <w:noWrap w:val="0"/>
                  <w:vAlign w:val="center"/>
                </w:tcPr>
                <w:p w14:paraId="418CEA5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c>
                <w:tcPr>
                  <w:tcW w:w="1965" w:type="dxa"/>
                  <w:noWrap w:val="0"/>
                  <w:vAlign w:val="center"/>
                </w:tcPr>
                <w:p w14:paraId="13494285">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eastAsia"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eastAsia="zh-CN"/>
                    </w:rPr>
                    <w:t>液压设备</w:t>
                  </w:r>
                </w:p>
              </w:tc>
              <w:tc>
                <w:tcPr>
                  <w:tcW w:w="1609" w:type="dxa"/>
                  <w:noWrap w:val="0"/>
                  <w:vAlign w:val="center"/>
                </w:tcPr>
                <w:p w14:paraId="746E2841">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sz w:val="21"/>
                      <w:szCs w:val="21"/>
                    </w:rPr>
                    <w:t>S2</w:t>
                  </w:r>
                </w:p>
              </w:tc>
              <w:tc>
                <w:tcPr>
                  <w:tcW w:w="1530" w:type="dxa"/>
                  <w:noWrap w:val="0"/>
                  <w:vAlign w:val="center"/>
                </w:tcPr>
                <w:p w14:paraId="4297EAEC">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eastAsia="宋体" w:cs="Times New Roman"/>
                      <w:b w:val="0"/>
                      <w:bCs w:val="0"/>
                      <w:color w:val="auto"/>
                      <w:sz w:val="21"/>
                      <w:szCs w:val="21"/>
                      <w:lang w:eastAsia="zh-CN"/>
                    </w:rPr>
                    <w:t>废液压油</w:t>
                  </w:r>
                </w:p>
              </w:tc>
              <w:tc>
                <w:tcPr>
                  <w:tcW w:w="2397" w:type="dxa"/>
                  <w:vMerge w:val="restart"/>
                  <w:noWrap w:val="0"/>
                  <w:vAlign w:val="center"/>
                </w:tcPr>
                <w:p w14:paraId="28376CC0">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暂存危废间，</w:t>
                  </w:r>
                  <w:r>
                    <w:rPr>
                      <w:rFonts w:hint="default" w:ascii="Times New Roman" w:hAnsi="Times New Roman" w:cs="Times New Roman"/>
                      <w:color w:val="auto"/>
                      <w:sz w:val="21"/>
                      <w:szCs w:val="21"/>
                      <w:lang w:eastAsia="zh-CN"/>
                    </w:rPr>
                    <w:t>定期</w:t>
                  </w:r>
                  <w:r>
                    <w:rPr>
                      <w:rFonts w:hint="default" w:ascii="Times New Roman" w:hAnsi="Times New Roman" w:cs="Times New Roman"/>
                      <w:color w:val="auto"/>
                      <w:sz w:val="21"/>
                      <w:szCs w:val="21"/>
                    </w:rPr>
                    <w:t>由资质单位处置</w:t>
                  </w:r>
                </w:p>
              </w:tc>
              <w:tc>
                <w:tcPr>
                  <w:tcW w:w="911" w:type="dxa"/>
                  <w:vMerge w:val="continue"/>
                  <w:noWrap w:val="0"/>
                  <w:vAlign w:val="center"/>
                </w:tcPr>
                <w:p w14:paraId="7AC2CDD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p>
              </w:tc>
            </w:tr>
            <w:tr w14:paraId="5A50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4" w:type="dxa"/>
                  <w:vMerge w:val="continue"/>
                  <w:noWrap w:val="0"/>
                  <w:vAlign w:val="center"/>
                </w:tcPr>
                <w:p w14:paraId="38728EF2">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color w:val="auto"/>
                      <w:sz w:val="21"/>
                      <w:szCs w:val="21"/>
                    </w:rPr>
                  </w:pPr>
                </w:p>
              </w:tc>
              <w:tc>
                <w:tcPr>
                  <w:tcW w:w="1965" w:type="dxa"/>
                  <w:noWrap w:val="0"/>
                  <w:vAlign w:val="center"/>
                </w:tcPr>
                <w:p w14:paraId="0E760470">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lang w:eastAsia="zh-CN"/>
                    </w:rPr>
                    <w:t>检维修</w:t>
                  </w:r>
                </w:p>
              </w:tc>
              <w:tc>
                <w:tcPr>
                  <w:tcW w:w="1609" w:type="dxa"/>
                  <w:noWrap w:val="0"/>
                  <w:vAlign w:val="center"/>
                </w:tcPr>
                <w:p w14:paraId="1901864A">
                  <w:pPr>
                    <w:ind w:left="0" w:leftChars="0" w:right="0" w:rightChars="0"/>
                    <w:jc w:val="center"/>
                    <w:rPr>
                      <w:rFonts w:hint="eastAsia" w:ascii="Times New Roman" w:hAnsi="Times New Roman" w:eastAsia="宋体" w:cs="Times New Roman"/>
                      <w:b w:val="0"/>
                      <w:bCs w:val="0"/>
                      <w:color w:val="auto"/>
                      <w:sz w:val="21"/>
                      <w:szCs w:val="21"/>
                      <w:lang w:val="en-US" w:eastAsia="zh-CN" w:bidi="zh-CN"/>
                    </w:rPr>
                  </w:pPr>
                  <w:r>
                    <w:rPr>
                      <w:rFonts w:hint="default" w:ascii="Times New Roman" w:hAnsi="Times New Roman" w:cs="Times New Roman"/>
                      <w:b w:val="0"/>
                      <w:bCs w:val="0"/>
                      <w:color w:val="auto"/>
                      <w:sz w:val="21"/>
                      <w:szCs w:val="21"/>
                    </w:rPr>
                    <w:t>S</w:t>
                  </w:r>
                  <w:r>
                    <w:rPr>
                      <w:rFonts w:hint="eastAsia" w:ascii="Times New Roman" w:hAnsi="Times New Roman" w:cs="Times New Roman"/>
                      <w:b w:val="0"/>
                      <w:bCs w:val="0"/>
                      <w:color w:val="auto"/>
                      <w:sz w:val="21"/>
                      <w:szCs w:val="21"/>
                      <w:lang w:val="en-US" w:eastAsia="zh-CN"/>
                    </w:rPr>
                    <w:t>4</w:t>
                  </w:r>
                </w:p>
              </w:tc>
              <w:tc>
                <w:tcPr>
                  <w:tcW w:w="1530" w:type="dxa"/>
                  <w:noWrap w:val="0"/>
                  <w:vAlign w:val="center"/>
                </w:tcPr>
                <w:p w14:paraId="04C7A80A">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rPr>
                    <w:t>废</w:t>
                  </w:r>
                  <w:r>
                    <w:rPr>
                      <w:rFonts w:hint="eastAsia" w:ascii="Times New Roman" w:hAnsi="Times New Roman" w:cs="Times New Roman"/>
                      <w:b w:val="0"/>
                      <w:bCs w:val="0"/>
                      <w:color w:val="auto"/>
                      <w:sz w:val="21"/>
                      <w:szCs w:val="21"/>
                      <w:lang w:eastAsia="zh-CN"/>
                    </w:rPr>
                    <w:t>机</w:t>
                  </w:r>
                  <w:r>
                    <w:rPr>
                      <w:rFonts w:hint="default" w:ascii="Times New Roman" w:hAnsi="Times New Roman" w:cs="Times New Roman"/>
                      <w:b w:val="0"/>
                      <w:bCs w:val="0"/>
                      <w:color w:val="auto"/>
                      <w:sz w:val="21"/>
                      <w:szCs w:val="21"/>
                    </w:rPr>
                    <w:t>油</w:t>
                  </w:r>
                </w:p>
              </w:tc>
              <w:tc>
                <w:tcPr>
                  <w:tcW w:w="2397" w:type="dxa"/>
                  <w:vMerge w:val="continue"/>
                  <w:noWrap w:val="0"/>
                  <w:vAlign w:val="center"/>
                </w:tcPr>
                <w:p w14:paraId="6061DFB3">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lang w:val="en-US" w:eastAsia="zh-CN"/>
                    </w:rPr>
                  </w:pPr>
                </w:p>
              </w:tc>
              <w:tc>
                <w:tcPr>
                  <w:tcW w:w="911" w:type="dxa"/>
                  <w:vMerge w:val="continue"/>
                  <w:noWrap w:val="0"/>
                  <w:vAlign w:val="center"/>
                </w:tcPr>
                <w:p w14:paraId="56E030FB">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lang w:val="en-US" w:eastAsia="zh-CN"/>
                    </w:rPr>
                  </w:pPr>
                </w:p>
              </w:tc>
            </w:tr>
            <w:tr w14:paraId="4B54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24" w:type="dxa"/>
                  <w:vMerge w:val="continue"/>
                  <w:noWrap w:val="0"/>
                  <w:vAlign w:val="center"/>
                </w:tcPr>
                <w:p w14:paraId="00456F5D">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lang w:val="en-US" w:eastAsia="zh-CN"/>
                    </w:rPr>
                  </w:pPr>
                </w:p>
              </w:tc>
              <w:tc>
                <w:tcPr>
                  <w:tcW w:w="1965" w:type="dxa"/>
                  <w:noWrap w:val="0"/>
                  <w:vAlign w:val="center"/>
                </w:tcPr>
                <w:p w14:paraId="6F1CD5FD">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lang w:eastAsia="zh-CN"/>
                    </w:rPr>
                    <w:t>检维修</w:t>
                  </w:r>
                </w:p>
              </w:tc>
              <w:tc>
                <w:tcPr>
                  <w:tcW w:w="1609" w:type="dxa"/>
                  <w:shd w:val="clear" w:color="auto" w:fill="auto"/>
                  <w:noWrap w:val="0"/>
                  <w:vAlign w:val="center"/>
                </w:tcPr>
                <w:p w14:paraId="63245FF4">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S7</w:t>
                  </w:r>
                </w:p>
              </w:tc>
              <w:tc>
                <w:tcPr>
                  <w:tcW w:w="1530" w:type="dxa"/>
                  <w:noWrap w:val="0"/>
                  <w:vAlign w:val="center"/>
                </w:tcPr>
                <w:p w14:paraId="05EB1EB0">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lang w:eastAsia="zh-CN"/>
                    </w:rPr>
                    <w:t>废</w:t>
                  </w:r>
                  <w:r>
                    <w:rPr>
                      <w:rFonts w:hint="eastAsia" w:ascii="Times New Roman" w:hAnsi="Times New Roman" w:cs="Times New Roman"/>
                      <w:b w:val="0"/>
                      <w:bCs w:val="0"/>
                      <w:color w:val="auto"/>
                      <w:sz w:val="21"/>
                      <w:szCs w:val="21"/>
                      <w:lang w:val="en-US" w:eastAsia="zh-CN"/>
                    </w:rPr>
                    <w:t>包装桶</w:t>
                  </w:r>
                </w:p>
              </w:tc>
              <w:tc>
                <w:tcPr>
                  <w:tcW w:w="2397" w:type="dxa"/>
                  <w:vMerge w:val="continue"/>
                  <w:noWrap w:val="0"/>
                  <w:vAlign w:val="center"/>
                </w:tcPr>
                <w:p w14:paraId="1537492A">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lang w:val="en-US" w:eastAsia="zh-CN"/>
                    </w:rPr>
                  </w:pPr>
                </w:p>
              </w:tc>
              <w:tc>
                <w:tcPr>
                  <w:tcW w:w="911" w:type="dxa"/>
                  <w:vMerge w:val="continue"/>
                  <w:noWrap w:val="0"/>
                  <w:vAlign w:val="center"/>
                </w:tcPr>
                <w:p w14:paraId="50D2FEC8">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lang w:val="en-US" w:eastAsia="zh-CN"/>
                    </w:rPr>
                  </w:pPr>
                </w:p>
              </w:tc>
            </w:tr>
            <w:tr w14:paraId="716E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dxa"/>
                  <w:vMerge w:val="continue"/>
                  <w:noWrap w:val="0"/>
                  <w:vAlign w:val="center"/>
                </w:tcPr>
                <w:p w14:paraId="1C5283BB">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lang w:val="en-US" w:eastAsia="zh-CN"/>
                    </w:rPr>
                  </w:pPr>
                </w:p>
              </w:tc>
              <w:tc>
                <w:tcPr>
                  <w:tcW w:w="1965" w:type="dxa"/>
                  <w:noWrap w:val="0"/>
                  <w:vAlign w:val="center"/>
                </w:tcPr>
                <w:p w14:paraId="7F5AF4EC">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eastAsia="zh-CN"/>
                    </w:rPr>
                    <w:t>废气处理设备</w:t>
                  </w:r>
                </w:p>
              </w:tc>
              <w:tc>
                <w:tcPr>
                  <w:tcW w:w="1609" w:type="dxa"/>
                  <w:shd w:val="clear" w:color="auto" w:fill="auto"/>
                  <w:noWrap w:val="0"/>
                  <w:vAlign w:val="center"/>
                </w:tcPr>
                <w:p w14:paraId="1F1CCDA0">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S8</w:t>
                  </w:r>
                </w:p>
              </w:tc>
              <w:tc>
                <w:tcPr>
                  <w:tcW w:w="1530" w:type="dxa"/>
                  <w:noWrap w:val="0"/>
                  <w:vAlign w:val="center"/>
                </w:tcPr>
                <w:p w14:paraId="1F8E2742">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废活性炭</w:t>
                  </w:r>
                </w:p>
              </w:tc>
              <w:tc>
                <w:tcPr>
                  <w:tcW w:w="2397" w:type="dxa"/>
                  <w:vMerge w:val="continue"/>
                  <w:noWrap w:val="0"/>
                  <w:vAlign w:val="center"/>
                </w:tcPr>
                <w:p w14:paraId="22EAB22E">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lang w:val="en-US" w:eastAsia="zh-CN"/>
                    </w:rPr>
                  </w:pPr>
                </w:p>
              </w:tc>
              <w:tc>
                <w:tcPr>
                  <w:tcW w:w="911" w:type="dxa"/>
                  <w:vMerge w:val="continue"/>
                  <w:noWrap w:val="0"/>
                  <w:vAlign w:val="center"/>
                </w:tcPr>
                <w:p w14:paraId="6FBF02EA">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lang w:val="en-US" w:eastAsia="zh-CN"/>
                    </w:rPr>
                  </w:pPr>
                </w:p>
              </w:tc>
            </w:tr>
            <w:tr w14:paraId="457E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4" w:type="dxa"/>
                  <w:vMerge w:val="continue"/>
                  <w:noWrap w:val="0"/>
                  <w:vAlign w:val="center"/>
                </w:tcPr>
                <w:p w14:paraId="352DC3AE">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color w:val="auto"/>
                      <w:sz w:val="21"/>
                      <w:szCs w:val="21"/>
                    </w:rPr>
                  </w:pPr>
                </w:p>
              </w:tc>
              <w:tc>
                <w:tcPr>
                  <w:tcW w:w="1965" w:type="dxa"/>
                  <w:noWrap w:val="0"/>
                  <w:vAlign w:val="center"/>
                </w:tcPr>
                <w:p w14:paraId="35F38843">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生活垃圾</w:t>
                  </w:r>
                </w:p>
              </w:tc>
              <w:tc>
                <w:tcPr>
                  <w:tcW w:w="1609" w:type="dxa"/>
                  <w:noWrap w:val="0"/>
                  <w:vAlign w:val="center"/>
                </w:tcPr>
                <w:p w14:paraId="236EF893">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S9</w:t>
                  </w:r>
                </w:p>
              </w:tc>
              <w:tc>
                <w:tcPr>
                  <w:tcW w:w="1530" w:type="dxa"/>
                  <w:noWrap w:val="0"/>
                  <w:vAlign w:val="center"/>
                </w:tcPr>
                <w:p w14:paraId="706A0EDE">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生活垃圾</w:t>
                  </w:r>
                </w:p>
              </w:tc>
              <w:tc>
                <w:tcPr>
                  <w:tcW w:w="2397" w:type="dxa"/>
                  <w:noWrap w:val="0"/>
                  <w:vAlign w:val="center"/>
                </w:tcPr>
                <w:p w14:paraId="4C766D05">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由环卫部门定期清运</w:t>
                  </w:r>
                </w:p>
              </w:tc>
              <w:tc>
                <w:tcPr>
                  <w:tcW w:w="911" w:type="dxa"/>
                  <w:noWrap w:val="0"/>
                  <w:vAlign w:val="center"/>
                </w:tcPr>
                <w:p w14:paraId="137CE1DF">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不外排</w:t>
                  </w:r>
                </w:p>
              </w:tc>
            </w:tr>
          </w:tbl>
          <w:p w14:paraId="2471B424">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hint="default" w:ascii="Times New Roman" w:hAnsi="Times New Roman" w:cs="Times New Roman"/>
                <w:color w:val="auto"/>
                <w:sz w:val="21"/>
                <w:szCs w:val="21"/>
                <w:highlight w:val="none"/>
                <w:lang w:val="en-US" w:eastAsia="zh-CN"/>
              </w:rPr>
            </w:pPr>
          </w:p>
        </w:tc>
      </w:tr>
      <w:tr w14:paraId="138F9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0" w:hRule="atLeast"/>
          <w:jc w:val="center"/>
        </w:trPr>
        <w:tc>
          <w:tcPr>
            <w:tcW w:w="373" w:type="dxa"/>
            <w:tcBorders>
              <w:top w:val="single" w:color="000000" w:sz="4" w:space="0"/>
              <w:right w:val="single" w:color="000000" w:sz="4" w:space="0"/>
            </w:tcBorders>
            <w:vAlign w:val="center"/>
          </w:tcPr>
          <w:p w14:paraId="3C77DABA">
            <w:pPr>
              <w:pStyle w:val="55"/>
              <w:keepNext w:val="0"/>
              <w:keepLines w:val="0"/>
              <w:pageBreakBefore w:val="0"/>
              <w:widowControl w:val="0"/>
              <w:kinsoku/>
              <w:wordWrap/>
              <w:overflowPunct/>
              <w:topLinePunct w:val="0"/>
              <w:autoSpaceDE w:val="0"/>
              <w:autoSpaceDN w:val="0"/>
              <w:bidi w:val="0"/>
              <w:adjustRightInd/>
              <w:snapToGrid/>
              <w:spacing w:line="243"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与项目有关的原有环境污染问题</w:t>
            </w:r>
          </w:p>
        </w:tc>
        <w:tc>
          <w:tcPr>
            <w:tcW w:w="8996" w:type="dxa"/>
            <w:tcBorders>
              <w:top w:val="single" w:color="000000" w:sz="4" w:space="0"/>
              <w:left w:val="single" w:color="000000" w:sz="4" w:space="0"/>
            </w:tcBorders>
            <w:vAlign w:val="center"/>
          </w:tcPr>
          <w:p w14:paraId="1EDC6B63">
            <w:pPr>
              <w:keepNext w:val="0"/>
              <w:keepLines w:val="0"/>
              <w:pageBreakBefore w:val="0"/>
              <w:widowControl w:val="0"/>
              <w:kinsoku/>
              <w:wordWrap/>
              <w:overflowPunct/>
              <w:topLinePunct w:val="0"/>
              <w:autoSpaceDE/>
              <w:autoSpaceDN/>
              <w:bidi w:val="0"/>
              <w:adjustRightInd w:val="0"/>
              <w:snapToGrid w:val="0"/>
              <w:spacing w:before="0" w:after="0" w:line="400" w:lineRule="exact"/>
              <w:ind w:left="110" w:leftChars="50" w:right="0" w:firstLine="420" w:firstLineChars="200"/>
              <w:jc w:val="both"/>
              <w:textAlignment w:val="auto"/>
              <w:rPr>
                <w:rFonts w:ascii="Times New Roman" w:hAnsi="Times New Roman" w:cs="Times New Roman"/>
                <w:bCs/>
                <w:color w:val="auto"/>
                <w:sz w:val="21"/>
                <w:szCs w:val="21"/>
                <w:lang w:val="en-US"/>
              </w:rPr>
            </w:pPr>
            <w:r>
              <w:rPr>
                <w:rFonts w:hint="default" w:ascii="Times New Roman" w:hAnsi="Times New Roman" w:eastAsia="宋体" w:cs="Times New Roman"/>
                <w:b w:val="0"/>
                <w:bCs/>
                <w:color w:val="auto"/>
                <w:kern w:val="2"/>
                <w:sz w:val="21"/>
                <w:szCs w:val="21"/>
                <w:lang w:val="en-US" w:eastAsia="zh-CN" w:bidi="ar-SA"/>
              </w:rPr>
              <w:t>本项目</w:t>
            </w:r>
            <w:r>
              <w:rPr>
                <w:rFonts w:hint="eastAsia" w:ascii="Times New Roman" w:hAnsi="Times New Roman" w:eastAsia="宋体" w:cs="Times New Roman"/>
                <w:b w:val="0"/>
                <w:bCs/>
                <w:color w:val="auto"/>
                <w:kern w:val="2"/>
                <w:sz w:val="21"/>
                <w:szCs w:val="21"/>
                <w:lang w:val="en-US" w:eastAsia="zh-CN" w:bidi="ar-SA"/>
              </w:rPr>
              <w:t>为新建项目，</w:t>
            </w:r>
            <w:r>
              <w:rPr>
                <w:rFonts w:hint="eastAsia" w:ascii="Times New Roman" w:hAnsi="Times New Roman" w:cs="Times New Roman"/>
                <w:b w:val="0"/>
                <w:bCs w:val="0"/>
                <w:color w:val="auto"/>
                <w:sz w:val="21"/>
                <w:szCs w:val="21"/>
                <w:lang w:val="en-US" w:eastAsia="zh-CN"/>
              </w:rPr>
              <w:t>租赁现有闲置厂房</w:t>
            </w:r>
            <w:r>
              <w:rPr>
                <w:rFonts w:hint="default" w:ascii="Times New Roman" w:hAnsi="Times New Roman" w:eastAsia="宋体" w:cs="Times New Roman"/>
                <w:bCs/>
                <w:color w:val="auto"/>
                <w:sz w:val="21"/>
                <w:szCs w:val="21"/>
                <w:highlight w:val="none"/>
                <w:lang w:eastAsia="zh-CN"/>
              </w:rPr>
              <w:t>建设</w:t>
            </w:r>
            <w:r>
              <w:rPr>
                <w:rFonts w:hint="eastAsia" w:ascii="Times New Roman" w:hAnsi="Times New Roman" w:cs="Times New Roman"/>
                <w:color w:val="auto"/>
                <w:sz w:val="21"/>
                <w:szCs w:val="21"/>
                <w:lang w:val="zh-CN" w:eastAsia="zh-CN"/>
              </w:rPr>
              <w:t>河北</w:t>
            </w:r>
            <w:r>
              <w:rPr>
                <w:rFonts w:hint="eastAsia" w:ascii="Times New Roman" w:hAnsi="Times New Roman" w:cs="Times New Roman"/>
                <w:color w:val="auto"/>
                <w:sz w:val="21"/>
                <w:szCs w:val="21"/>
                <w:lang w:val="en-US" w:eastAsia="zh-CN"/>
              </w:rPr>
              <w:t>曼捷新型材料科技</w:t>
            </w:r>
            <w:r>
              <w:rPr>
                <w:rFonts w:hint="eastAsia" w:ascii="Times New Roman" w:hAnsi="Times New Roman" w:cs="Times New Roman"/>
                <w:color w:val="auto"/>
                <w:sz w:val="21"/>
                <w:szCs w:val="21"/>
                <w:lang w:val="zh-CN" w:eastAsia="zh-CN"/>
              </w:rPr>
              <w:t>有限公司建筑美缝材料混合、分装项目</w:t>
            </w:r>
            <w:r>
              <w:rPr>
                <w:rFonts w:hint="eastAsia" w:ascii="Times New Roman" w:hAnsi="Times New Roman" w:cs="Times New Roman"/>
                <w:b w:val="0"/>
                <w:bCs w:val="0"/>
                <w:color w:val="auto"/>
                <w:sz w:val="21"/>
                <w:szCs w:val="21"/>
                <w:lang w:val="en-US" w:eastAsia="zh-CN"/>
              </w:rPr>
              <w:t>。现有厂房占地面积1000平方米，分为紧邻的南北两部分，已完成地面硬化。厂房自建成后一直当做库房用于闲置材料储存，现已将厂房内存放物品清空。无其他生产项目曾在本项目拟租赁厂房生产。</w:t>
            </w:r>
            <w:r>
              <w:rPr>
                <w:rFonts w:hint="eastAsia" w:ascii="Times New Roman" w:hAnsi="Times New Roman" w:cs="Times New Roman"/>
                <w:bCs/>
                <w:color w:val="auto"/>
                <w:sz w:val="21"/>
                <w:szCs w:val="21"/>
                <w:lang w:val="en-US" w:eastAsia="zh-CN"/>
              </w:rPr>
              <w:t>项目</w:t>
            </w:r>
            <w:r>
              <w:rPr>
                <w:rFonts w:ascii="Times New Roman" w:hAnsi="Times New Roman" w:cs="Times New Roman"/>
                <w:bCs/>
                <w:color w:val="auto"/>
                <w:sz w:val="21"/>
                <w:szCs w:val="21"/>
                <w:lang w:val="en-US"/>
              </w:rPr>
              <w:t>其他配套设施水、电管网均已铺设完毕。本项目依托现有供水、</w:t>
            </w:r>
            <w:r>
              <w:rPr>
                <w:rFonts w:hint="eastAsia" w:ascii="Times New Roman" w:hAnsi="Times New Roman" w:cs="Times New Roman"/>
                <w:bCs/>
                <w:color w:val="auto"/>
                <w:sz w:val="21"/>
                <w:szCs w:val="21"/>
                <w:lang w:val="en-US" w:eastAsia="zh-CN"/>
              </w:rPr>
              <w:t>供电</w:t>
            </w:r>
            <w:r>
              <w:rPr>
                <w:rFonts w:ascii="Times New Roman" w:hAnsi="Times New Roman" w:cs="Times New Roman"/>
                <w:bCs/>
                <w:color w:val="auto"/>
                <w:sz w:val="21"/>
                <w:szCs w:val="21"/>
                <w:lang w:val="en-US"/>
              </w:rPr>
              <w:t>管网及变压器。</w:t>
            </w:r>
          </w:p>
          <w:p w14:paraId="072BCF5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0" w:leftChars="0" w:right="0" w:rightChars="0" w:firstLine="420" w:firstLineChars="200"/>
              <w:jc w:val="both"/>
              <w:textAlignment w:val="auto"/>
              <w:outlineLvl w:val="2"/>
              <w:rPr>
                <w:rFonts w:hint="eastAsia" w:ascii="Times New Roman" w:hAnsi="Times New Roman" w:cs="Times New Roman"/>
                <w:b w:val="0"/>
                <w:bCs w:val="0"/>
                <w:color w:val="auto"/>
                <w:sz w:val="21"/>
                <w:szCs w:val="21"/>
                <w:lang w:val="en-US" w:eastAsia="zh-CN"/>
              </w:rPr>
            </w:pPr>
            <w:r>
              <w:rPr>
                <w:rFonts w:ascii="Times New Roman" w:hAnsi="Times New Roman" w:cs="Times New Roman"/>
                <w:bCs/>
                <w:color w:val="auto"/>
                <w:sz w:val="21"/>
                <w:szCs w:val="21"/>
                <w:lang w:val="en-US"/>
              </w:rPr>
              <w:t>综上所述，不存在与本项目有关的原有污染情况及主要环境问题。</w:t>
            </w:r>
          </w:p>
          <w:p w14:paraId="52EB048D">
            <w:pPr>
              <w:pStyle w:val="55"/>
              <w:keepNext w:val="0"/>
              <w:keepLines w:val="0"/>
              <w:pageBreakBefore w:val="0"/>
              <w:widowControl w:val="0"/>
              <w:kinsoku/>
              <w:wordWrap/>
              <w:overflowPunct/>
              <w:topLinePunct w:val="0"/>
              <w:bidi w:val="0"/>
              <w:adjustRightInd/>
              <w:snapToGrid/>
              <w:spacing w:before="1"/>
              <w:ind w:left="0" w:leftChars="0" w:right="0" w:rightChars="0"/>
              <w:textAlignment w:val="auto"/>
              <w:rPr>
                <w:rFonts w:hint="default" w:ascii="Times New Roman" w:hAnsi="Times New Roman" w:cs="Times New Roman"/>
                <w:color w:val="auto"/>
                <w:sz w:val="21"/>
                <w:szCs w:val="21"/>
              </w:rPr>
            </w:pPr>
          </w:p>
        </w:tc>
      </w:tr>
      <w:bookmarkEnd w:id="8"/>
    </w:tbl>
    <w:p w14:paraId="717F94C2">
      <w:pPr>
        <w:spacing w:after="0"/>
        <w:rPr>
          <w:rFonts w:hint="default" w:ascii="Times New Roman" w:hAnsi="Times New Roman" w:cs="Times New Roman"/>
          <w:color w:val="auto"/>
          <w:sz w:val="21"/>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14:paraId="01469AB1">
      <w:pPr>
        <w:pStyle w:val="12"/>
        <w:spacing w:before="58"/>
        <w:ind w:left="635" w:right="654"/>
        <w:jc w:val="center"/>
        <w:rPr>
          <w:rFonts w:hint="default" w:ascii="Times New Roman" w:hAnsi="Times New Roman" w:cs="Times New Roman"/>
          <w:color w:val="auto"/>
          <w:sz w:val="22"/>
        </w:rPr>
      </w:pPr>
      <w:r>
        <w:rPr>
          <w:rFonts w:hint="default" w:ascii="Times New Roman" w:hAnsi="Times New Roman" w:cs="Times New Roman"/>
          <w:color w:val="auto"/>
        </w:rPr>
        <w:t>三、区域环境质量现状、环境保护目标及评价标准</w:t>
      </w:r>
    </w:p>
    <w:tbl>
      <w:tblPr>
        <w:tblStyle w:val="34"/>
        <w:tblW w:w="955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66"/>
      </w:tblGrid>
      <w:tr w14:paraId="3D8DF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0" w:type="dxa"/>
            <w:tcBorders>
              <w:bottom w:val="single" w:color="000000" w:sz="4" w:space="0"/>
              <w:right w:val="single" w:color="000000" w:sz="4" w:space="0"/>
            </w:tcBorders>
            <w:vAlign w:val="center"/>
          </w:tcPr>
          <w:p w14:paraId="05E43C13">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区</w:t>
            </w:r>
          </w:p>
          <w:p w14:paraId="7C2980AA">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域</w:t>
            </w:r>
          </w:p>
          <w:p w14:paraId="2E3C432B">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w:t>
            </w:r>
          </w:p>
          <w:p w14:paraId="12DBA81E">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境</w:t>
            </w:r>
          </w:p>
          <w:p w14:paraId="23B90516">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质</w:t>
            </w:r>
          </w:p>
          <w:p w14:paraId="54FAA712">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量</w:t>
            </w:r>
          </w:p>
          <w:p w14:paraId="5FFA1117">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现</w:t>
            </w:r>
          </w:p>
          <w:p w14:paraId="131D0457">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状</w:t>
            </w:r>
          </w:p>
        </w:tc>
        <w:tc>
          <w:tcPr>
            <w:tcW w:w="9166" w:type="dxa"/>
            <w:tcBorders>
              <w:left w:val="single" w:color="000000" w:sz="4" w:space="0"/>
              <w:bottom w:val="single" w:color="000000" w:sz="4" w:space="0"/>
            </w:tcBorders>
          </w:tcPr>
          <w:p w14:paraId="677C72A0">
            <w:pPr>
              <w:pStyle w:val="55"/>
              <w:keepNext w:val="0"/>
              <w:keepLines w:val="0"/>
              <w:pageBreakBefore w:val="0"/>
              <w:widowControl w:val="0"/>
              <w:kinsoku/>
              <w:wordWrap/>
              <w:overflowPunct/>
              <w:topLinePunct w:val="0"/>
              <w:autoSpaceDE w:val="0"/>
              <w:autoSpaceDN w:val="0"/>
              <w:bidi w:val="0"/>
              <w:adjustRightInd/>
              <w:snapToGrid/>
              <w:spacing w:before="0" w:line="400" w:lineRule="exact"/>
              <w:ind w:left="22" w:leftChars="1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1、大气环境</w:t>
            </w:r>
          </w:p>
          <w:p w14:paraId="0DC6FC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2"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（1）常规污染物</w:t>
            </w:r>
          </w:p>
          <w:p w14:paraId="7A97D3AF">
            <w:pPr>
              <w:autoSpaceDE/>
              <w:autoSpaceDN/>
              <w:spacing w:line="400" w:lineRule="exact"/>
              <w:ind w:left="110" w:leftChars="50" w:firstLine="420" w:firstLineChars="200"/>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w:t>
            </w:r>
            <w:r>
              <w:rPr>
                <w:rFonts w:hint="eastAsia" w:ascii="Times New Roman" w:hAnsi="Times New Roman" w:cs="Times New Roman"/>
                <w:color w:val="auto"/>
                <w:sz w:val="21"/>
                <w:szCs w:val="21"/>
                <w:lang w:val="en-US" w:bidi="ar-SA"/>
              </w:rPr>
              <w:t>《建设项目环境影响报告表编制指南（污染环境类）》（试行）中的</w:t>
            </w:r>
            <w:r>
              <w:rPr>
                <w:rFonts w:ascii="Times New Roman" w:hAnsi="Times New Roman" w:cs="Times New Roman"/>
                <w:color w:val="auto"/>
                <w:sz w:val="21"/>
                <w:szCs w:val="21"/>
                <w:lang w:val="en-US" w:bidi="ar-SA"/>
              </w:rPr>
              <w:t>相关规定，本</w:t>
            </w:r>
            <w:r>
              <w:rPr>
                <w:rFonts w:hint="eastAsia" w:ascii="Times New Roman" w:hAnsi="Times New Roman" w:cs="Times New Roman"/>
                <w:color w:val="auto"/>
                <w:sz w:val="21"/>
                <w:szCs w:val="21"/>
                <w:lang w:val="en-US" w:bidi="ar-SA"/>
              </w:rPr>
              <w:t>次</w:t>
            </w:r>
            <w:r>
              <w:rPr>
                <w:rFonts w:ascii="Times New Roman" w:hAnsi="Times New Roman" w:cs="Times New Roman"/>
                <w:color w:val="auto"/>
                <w:sz w:val="21"/>
                <w:szCs w:val="21"/>
                <w:lang w:val="en-US" w:bidi="ar-SA"/>
              </w:rPr>
              <w:t>评价</w:t>
            </w:r>
            <w:r>
              <w:rPr>
                <w:rFonts w:hint="eastAsia" w:ascii="Times New Roman" w:hAnsi="Times New Roman" w:cs="Times New Roman"/>
                <w:color w:val="auto"/>
                <w:sz w:val="21"/>
                <w:szCs w:val="21"/>
                <w:lang w:val="en-US" w:bidi="ar-SA"/>
              </w:rPr>
              <w:t>大气常规污染物环境质量现状引用</w:t>
            </w:r>
            <w:r>
              <w:rPr>
                <w:rFonts w:ascii="Times New Roman" w:hAnsi="Times New Roman" w:cs="Times New Roman"/>
                <w:color w:val="auto"/>
                <w:sz w:val="21"/>
                <w:szCs w:val="21"/>
                <w:lang w:val="en-US" w:bidi="ar-SA"/>
              </w:rPr>
              <w:t>邯郸市生态环境局</w:t>
            </w:r>
            <w:r>
              <w:rPr>
                <w:rFonts w:hint="eastAsia" w:ascii="Times New Roman" w:hAnsi="Times New Roman" w:cs="Times New Roman"/>
                <w:color w:val="auto"/>
                <w:sz w:val="21"/>
                <w:szCs w:val="21"/>
                <w:lang w:val="en-US" w:bidi="ar-SA"/>
              </w:rPr>
              <w:t>于2024年9月6日公布的《2023年度邯郸市环境质量公报》中相关数据作为基本污染物环境空气质量现状数据</w:t>
            </w:r>
            <w:r>
              <w:rPr>
                <w:rFonts w:ascii="Times New Roman" w:hAnsi="Times New Roman" w:cs="Times New Roman"/>
                <w:color w:val="auto"/>
                <w:sz w:val="21"/>
                <w:szCs w:val="21"/>
                <w:lang w:val="en-US" w:bidi="ar-SA"/>
              </w:rPr>
              <w:t>，并对各</w:t>
            </w:r>
            <w:r>
              <w:rPr>
                <w:rFonts w:hint="eastAsia" w:ascii="Times New Roman" w:hAnsi="Times New Roman" w:cs="Times New Roman"/>
                <w:color w:val="auto"/>
                <w:sz w:val="21"/>
                <w:szCs w:val="21"/>
                <w:lang w:val="en-US" w:bidi="ar-SA"/>
              </w:rPr>
              <w:t>常规</w:t>
            </w:r>
            <w:r>
              <w:rPr>
                <w:rFonts w:ascii="Times New Roman" w:hAnsi="Times New Roman" w:cs="Times New Roman"/>
                <w:color w:val="auto"/>
                <w:sz w:val="21"/>
                <w:szCs w:val="21"/>
                <w:lang w:val="en-US" w:bidi="ar-SA"/>
              </w:rPr>
              <w:t>污染物的年评价指标进行环境质量现状评价。</w:t>
            </w:r>
            <w:r>
              <w:rPr>
                <w:rFonts w:hint="eastAsia" w:ascii="Times New Roman" w:hAnsi="Times New Roman" w:cs="Times New Roman"/>
                <w:color w:val="auto"/>
                <w:sz w:val="21"/>
                <w:szCs w:val="21"/>
                <w:lang w:val="en-US" w:bidi="ar-SA"/>
              </w:rPr>
              <w:t>引用数据为3年内国家、地方生态环境主管部门公开发布的有效质量数据，引用可行。</w:t>
            </w:r>
          </w:p>
          <w:p w14:paraId="49B76F1B">
            <w:pPr>
              <w:autoSpaceDE/>
              <w:autoSpaceDN/>
              <w:spacing w:line="400" w:lineRule="exact"/>
              <w:ind w:left="110" w:leftChars="50" w:firstLine="420" w:firstLineChars="200"/>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bidi="ar-SA"/>
              </w:rPr>
              <w:t>2023年均浓度值情况：二氧化硫（SO</w:t>
            </w:r>
            <w:r>
              <w:rPr>
                <w:rFonts w:hint="eastAsia" w:ascii="Times New Roman" w:hAnsi="Times New Roman" w:cs="Times New Roman"/>
                <w:color w:val="auto"/>
                <w:sz w:val="21"/>
                <w:szCs w:val="21"/>
                <w:vertAlign w:val="subscript"/>
                <w:lang w:val="en-US" w:bidi="ar-SA"/>
              </w:rPr>
              <w:t>2</w:t>
            </w:r>
            <w:r>
              <w:rPr>
                <w:rFonts w:hint="eastAsia" w:ascii="Times New Roman" w:hAnsi="Times New Roman" w:cs="Times New Roman"/>
                <w:color w:val="auto"/>
                <w:sz w:val="21"/>
                <w:szCs w:val="21"/>
                <w:lang w:val="en-US" w:bidi="ar-SA"/>
              </w:rPr>
              <w:t>）年平均浓度9微克/立方米、二氧化氮（NO</w:t>
            </w:r>
            <w:r>
              <w:rPr>
                <w:rFonts w:hint="eastAsia" w:ascii="Times New Roman" w:hAnsi="Times New Roman" w:cs="Times New Roman"/>
                <w:color w:val="auto"/>
                <w:sz w:val="21"/>
                <w:szCs w:val="21"/>
                <w:vertAlign w:val="subscript"/>
                <w:lang w:val="en-US" w:bidi="ar-SA"/>
              </w:rPr>
              <w:t>2</w:t>
            </w:r>
            <w:r>
              <w:rPr>
                <w:rFonts w:hint="eastAsia" w:ascii="Times New Roman" w:hAnsi="Times New Roman" w:cs="Times New Roman"/>
                <w:color w:val="auto"/>
                <w:sz w:val="21"/>
                <w:szCs w:val="21"/>
                <w:lang w:val="en-US" w:bidi="ar-SA"/>
              </w:rPr>
              <w:t>）年平均浓度27微克/立方米、一氧化碳（CO）24小时平均浓度第95百分位数1.4毫克/立方米，达到国家二级标准。臭氧（O</w:t>
            </w:r>
            <w:r>
              <w:rPr>
                <w:rFonts w:hint="eastAsia" w:ascii="Times New Roman" w:hAnsi="Times New Roman" w:cs="Times New Roman"/>
                <w:color w:val="auto"/>
                <w:sz w:val="21"/>
                <w:szCs w:val="21"/>
                <w:vertAlign w:val="subscript"/>
                <w:lang w:val="en-US" w:bidi="ar-SA"/>
              </w:rPr>
              <w:t>3</w:t>
            </w:r>
            <w:r>
              <w:rPr>
                <w:rFonts w:hint="eastAsia" w:ascii="Times New Roman" w:hAnsi="Times New Roman" w:cs="Times New Roman"/>
                <w:color w:val="auto"/>
                <w:sz w:val="21"/>
                <w:szCs w:val="21"/>
                <w:lang w:val="en-US" w:bidi="ar-SA"/>
              </w:rPr>
              <w:t>）日最大8小时平均浓度第90百分位数176微克/立方米、可吸入颗粒物（PM</w:t>
            </w:r>
            <w:r>
              <w:rPr>
                <w:rFonts w:hint="eastAsia" w:ascii="Times New Roman" w:hAnsi="Times New Roman" w:cs="Times New Roman"/>
                <w:color w:val="auto"/>
                <w:sz w:val="21"/>
                <w:szCs w:val="21"/>
                <w:vertAlign w:val="subscript"/>
                <w:lang w:val="en-US" w:bidi="ar-SA"/>
              </w:rPr>
              <w:t>10</w:t>
            </w:r>
            <w:r>
              <w:rPr>
                <w:rFonts w:hint="eastAsia" w:ascii="Times New Roman" w:hAnsi="Times New Roman" w:cs="Times New Roman"/>
                <w:color w:val="auto"/>
                <w:sz w:val="21"/>
                <w:szCs w:val="21"/>
                <w:lang w:val="en-US" w:bidi="ar-SA"/>
              </w:rPr>
              <w:t>）年平均浓度76微克/立方米、细颗粒物（PM</w:t>
            </w:r>
            <w:r>
              <w:rPr>
                <w:rFonts w:hint="eastAsia" w:ascii="Times New Roman" w:hAnsi="Times New Roman" w:cs="Times New Roman"/>
                <w:color w:val="auto"/>
                <w:sz w:val="21"/>
                <w:szCs w:val="21"/>
                <w:vertAlign w:val="subscript"/>
                <w:lang w:val="en-US" w:bidi="ar-SA"/>
              </w:rPr>
              <w:t>2.5</w:t>
            </w:r>
            <w:r>
              <w:rPr>
                <w:rFonts w:hint="eastAsia" w:ascii="Times New Roman" w:hAnsi="Times New Roman" w:cs="Times New Roman"/>
                <w:color w:val="auto"/>
                <w:sz w:val="21"/>
                <w:szCs w:val="21"/>
                <w:lang w:val="en-US" w:bidi="ar-SA"/>
              </w:rPr>
              <w:t>）年平均浓度47微克/立方米，分别超标0.11倍、0.09倍、0.34倍。PM</w:t>
            </w:r>
            <w:r>
              <w:rPr>
                <w:rFonts w:hint="eastAsia" w:ascii="Times New Roman" w:hAnsi="Times New Roman" w:cs="Times New Roman"/>
                <w:color w:val="auto"/>
                <w:sz w:val="21"/>
                <w:szCs w:val="21"/>
                <w:vertAlign w:val="subscript"/>
                <w:lang w:val="en-US" w:bidi="ar-SA"/>
              </w:rPr>
              <w:t>2.5</w:t>
            </w:r>
            <w:r>
              <w:rPr>
                <w:rFonts w:hint="eastAsia" w:ascii="Times New Roman" w:hAnsi="Times New Roman" w:cs="Times New Roman"/>
                <w:color w:val="auto"/>
                <w:sz w:val="21"/>
                <w:szCs w:val="21"/>
                <w:lang w:val="en-US" w:bidi="ar-SA"/>
              </w:rPr>
              <w:t>和PM</w:t>
            </w:r>
            <w:r>
              <w:rPr>
                <w:rFonts w:hint="eastAsia" w:ascii="Times New Roman" w:hAnsi="Times New Roman" w:cs="Times New Roman"/>
                <w:color w:val="auto"/>
                <w:sz w:val="21"/>
                <w:szCs w:val="21"/>
                <w:vertAlign w:val="subscript"/>
                <w:lang w:val="en-US" w:bidi="ar-SA"/>
              </w:rPr>
              <w:t>10</w:t>
            </w:r>
            <w:r>
              <w:rPr>
                <w:rFonts w:hint="eastAsia" w:ascii="Times New Roman" w:hAnsi="Times New Roman" w:cs="Times New Roman"/>
                <w:color w:val="auto"/>
                <w:sz w:val="21"/>
                <w:szCs w:val="21"/>
                <w:lang w:val="en-US" w:bidi="ar-SA"/>
              </w:rPr>
              <w:t>是主要污染物</w:t>
            </w:r>
            <w:r>
              <w:rPr>
                <w:rFonts w:ascii="Times New Roman" w:hAnsi="Times New Roman" w:cs="Times New Roman"/>
                <w:color w:val="auto"/>
                <w:sz w:val="21"/>
                <w:szCs w:val="21"/>
                <w:lang w:val="en-US" w:bidi="ar-SA"/>
              </w:rPr>
              <w:t>。</w:t>
            </w:r>
          </w:p>
          <w:p w14:paraId="7EE07A41">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具体情况见下表。</w:t>
            </w:r>
          </w:p>
          <w:p w14:paraId="0B75E47D">
            <w:pPr>
              <w:autoSpaceDE/>
              <w:autoSpaceDN/>
              <w:spacing w:line="400" w:lineRule="exact"/>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表3.1 区域环境空气质量现状评价表</w:t>
            </w:r>
          </w:p>
          <w:tbl>
            <w:tblPr>
              <w:tblStyle w:val="34"/>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594"/>
              <w:gridCol w:w="1325"/>
              <w:gridCol w:w="1030"/>
              <w:gridCol w:w="1047"/>
              <w:gridCol w:w="1016"/>
            </w:tblGrid>
            <w:tr w14:paraId="16D7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8" w:type="pct"/>
                  <w:vAlign w:val="center"/>
                </w:tcPr>
                <w:p w14:paraId="387C8F51">
                  <w:pPr>
                    <w:widowControl/>
                    <w:adjustRightInd w:val="0"/>
                    <w:snapToGrid w:val="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0"/>
                    </w:rPr>
                    <w:t>污染物</w:t>
                  </w:r>
                </w:p>
              </w:tc>
              <w:tc>
                <w:tcPr>
                  <w:tcW w:w="2026" w:type="pct"/>
                  <w:vAlign w:val="center"/>
                </w:tcPr>
                <w:p w14:paraId="0A743F63">
                  <w:pPr>
                    <w:widowControl/>
                    <w:adjustRightInd w:val="0"/>
                    <w:snapToGrid w:val="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0"/>
                    </w:rPr>
                    <w:t>年评价指标</w:t>
                  </w:r>
                </w:p>
              </w:tc>
              <w:tc>
                <w:tcPr>
                  <w:tcW w:w="747" w:type="pct"/>
                  <w:vAlign w:val="center"/>
                </w:tcPr>
                <w:p w14:paraId="1BCB75EE">
                  <w:pPr>
                    <w:widowControl/>
                    <w:adjustRightInd w:val="0"/>
                    <w:snapToGrid w:val="0"/>
                    <w:jc w:val="center"/>
                    <w:rPr>
                      <w:rFonts w:ascii="Times New Roman" w:hAnsi="Times New Roman" w:cs="Times New Roman"/>
                      <w:b/>
                      <w:bCs/>
                      <w:color w:val="auto"/>
                      <w:sz w:val="21"/>
                      <w:szCs w:val="20"/>
                    </w:rPr>
                  </w:pPr>
                  <w:r>
                    <w:rPr>
                      <w:rFonts w:ascii="Times New Roman" w:hAnsi="Times New Roman" w:cs="Times New Roman"/>
                      <w:b/>
                      <w:bCs/>
                      <w:color w:val="auto"/>
                      <w:sz w:val="21"/>
                      <w:szCs w:val="20"/>
                    </w:rPr>
                    <w:t>现状浓度</w:t>
                  </w:r>
                </w:p>
                <w:p w14:paraId="2500CC49">
                  <w:pPr>
                    <w:widowControl/>
                    <w:adjustRightInd w:val="0"/>
                    <w:snapToGrid w:val="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0"/>
                    </w:rPr>
                    <w:t>μg/m</w:t>
                  </w:r>
                  <w:r>
                    <w:rPr>
                      <w:rFonts w:ascii="Times New Roman" w:hAnsi="Times New Roman" w:cs="Times New Roman"/>
                      <w:b/>
                      <w:bCs/>
                      <w:color w:val="auto"/>
                      <w:sz w:val="21"/>
                      <w:szCs w:val="20"/>
                      <w:vertAlign w:val="superscript"/>
                    </w:rPr>
                    <w:t>3</w:t>
                  </w:r>
                </w:p>
              </w:tc>
              <w:tc>
                <w:tcPr>
                  <w:tcW w:w="581" w:type="pct"/>
                  <w:vAlign w:val="center"/>
                </w:tcPr>
                <w:p w14:paraId="581B1A6C">
                  <w:pPr>
                    <w:widowControl/>
                    <w:adjustRightInd w:val="0"/>
                    <w:snapToGrid w:val="0"/>
                    <w:jc w:val="center"/>
                    <w:rPr>
                      <w:rFonts w:ascii="Times New Roman" w:hAnsi="Times New Roman" w:cs="Times New Roman"/>
                      <w:b/>
                      <w:bCs/>
                      <w:color w:val="auto"/>
                      <w:sz w:val="21"/>
                      <w:szCs w:val="20"/>
                    </w:rPr>
                  </w:pPr>
                  <w:r>
                    <w:rPr>
                      <w:rFonts w:ascii="Times New Roman" w:hAnsi="Times New Roman" w:cs="Times New Roman"/>
                      <w:b/>
                      <w:bCs/>
                      <w:color w:val="auto"/>
                      <w:sz w:val="21"/>
                      <w:szCs w:val="20"/>
                    </w:rPr>
                    <w:t>标准值</w:t>
                  </w:r>
                </w:p>
                <w:p w14:paraId="3326A121">
                  <w:pPr>
                    <w:widowControl/>
                    <w:adjustRightInd w:val="0"/>
                    <w:snapToGrid w:val="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0"/>
                    </w:rPr>
                    <w:t>μg/m</w:t>
                  </w:r>
                  <w:r>
                    <w:rPr>
                      <w:rFonts w:ascii="Times New Roman" w:hAnsi="Times New Roman" w:cs="Times New Roman"/>
                      <w:b/>
                      <w:bCs/>
                      <w:color w:val="auto"/>
                      <w:sz w:val="21"/>
                      <w:szCs w:val="20"/>
                      <w:vertAlign w:val="superscript"/>
                    </w:rPr>
                    <w:t>3</w:t>
                  </w:r>
                </w:p>
              </w:tc>
              <w:tc>
                <w:tcPr>
                  <w:tcW w:w="591" w:type="pct"/>
                  <w:vAlign w:val="center"/>
                </w:tcPr>
                <w:p w14:paraId="2FE5B563">
                  <w:pPr>
                    <w:widowControl/>
                    <w:adjustRightInd w:val="0"/>
                    <w:snapToGrid w:val="0"/>
                    <w:ind w:left="-110" w:leftChars="-50" w:right="-110" w:rightChars="-5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1"/>
                    </w:rPr>
                    <w:t>占标率%</w:t>
                  </w:r>
                </w:p>
              </w:tc>
              <w:tc>
                <w:tcPr>
                  <w:tcW w:w="573" w:type="pct"/>
                  <w:vAlign w:val="center"/>
                </w:tcPr>
                <w:p w14:paraId="7A5049F3">
                  <w:pPr>
                    <w:widowControl/>
                    <w:adjustRightInd w:val="0"/>
                    <w:snapToGrid w:val="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0"/>
                    </w:rPr>
                    <w:t>达标情况</w:t>
                  </w:r>
                </w:p>
              </w:tc>
            </w:tr>
            <w:tr w14:paraId="2C10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restart"/>
                  <w:vAlign w:val="center"/>
                </w:tcPr>
                <w:p w14:paraId="1FFCB199">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SO</w:t>
                  </w:r>
                  <w:r>
                    <w:rPr>
                      <w:rFonts w:ascii="Times New Roman" w:hAnsi="Times New Roman" w:cs="Times New Roman"/>
                      <w:color w:val="auto"/>
                      <w:sz w:val="21"/>
                      <w:szCs w:val="21"/>
                      <w:vertAlign w:val="subscript"/>
                    </w:rPr>
                    <w:t>2</w:t>
                  </w:r>
                </w:p>
              </w:tc>
              <w:tc>
                <w:tcPr>
                  <w:tcW w:w="2026" w:type="pct"/>
                  <w:vAlign w:val="center"/>
                </w:tcPr>
                <w:p w14:paraId="651D5967">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年平均质量浓度</w:t>
                  </w:r>
                </w:p>
              </w:tc>
              <w:tc>
                <w:tcPr>
                  <w:tcW w:w="747" w:type="pct"/>
                  <w:vAlign w:val="center"/>
                </w:tcPr>
                <w:p w14:paraId="438116AC">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9</w:t>
                  </w:r>
                </w:p>
              </w:tc>
              <w:tc>
                <w:tcPr>
                  <w:tcW w:w="581" w:type="pct"/>
                  <w:vAlign w:val="center"/>
                </w:tcPr>
                <w:p w14:paraId="0B6C64B5">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60</w:t>
                  </w:r>
                </w:p>
              </w:tc>
              <w:tc>
                <w:tcPr>
                  <w:tcW w:w="591" w:type="pct"/>
                  <w:vAlign w:val="center"/>
                </w:tcPr>
                <w:p w14:paraId="6A5E3A74">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15</w:t>
                  </w:r>
                </w:p>
              </w:tc>
              <w:tc>
                <w:tcPr>
                  <w:tcW w:w="573" w:type="pct"/>
                  <w:vAlign w:val="center"/>
                </w:tcPr>
                <w:p w14:paraId="05EF55D6">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达标</w:t>
                  </w:r>
                </w:p>
              </w:tc>
            </w:tr>
            <w:tr w14:paraId="5EF7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14:paraId="0D802CB2">
                  <w:pPr>
                    <w:widowControl/>
                    <w:adjustRightInd w:val="0"/>
                    <w:snapToGrid w:val="0"/>
                    <w:jc w:val="center"/>
                    <w:rPr>
                      <w:rFonts w:ascii="Times New Roman" w:hAnsi="Times New Roman" w:cs="Times New Roman"/>
                      <w:color w:val="auto"/>
                      <w:kern w:val="2"/>
                      <w:sz w:val="21"/>
                      <w:szCs w:val="21"/>
                      <w:lang w:val="en-US" w:bidi="ar-SA"/>
                    </w:rPr>
                  </w:pPr>
                </w:p>
              </w:tc>
              <w:tc>
                <w:tcPr>
                  <w:tcW w:w="2026" w:type="pct"/>
                  <w:vAlign w:val="center"/>
                </w:tcPr>
                <w:p w14:paraId="5225E830">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24小时平均第98位百分位数</w:t>
                  </w:r>
                </w:p>
              </w:tc>
              <w:tc>
                <w:tcPr>
                  <w:tcW w:w="747" w:type="pct"/>
                  <w:vAlign w:val="center"/>
                </w:tcPr>
                <w:p w14:paraId="7154EF7A">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581" w:type="pct"/>
                  <w:vAlign w:val="center"/>
                </w:tcPr>
                <w:p w14:paraId="48DF47F9">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150</w:t>
                  </w:r>
                </w:p>
              </w:tc>
              <w:tc>
                <w:tcPr>
                  <w:tcW w:w="591" w:type="pct"/>
                  <w:vAlign w:val="center"/>
                </w:tcPr>
                <w:p w14:paraId="3A45058D">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573" w:type="pct"/>
                  <w:vAlign w:val="center"/>
                </w:tcPr>
                <w:p w14:paraId="53C31B6E">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14:paraId="4E70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restart"/>
                  <w:vAlign w:val="center"/>
                </w:tcPr>
                <w:p w14:paraId="55DC7C85">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NO</w:t>
                  </w:r>
                  <w:r>
                    <w:rPr>
                      <w:rFonts w:ascii="Times New Roman" w:hAnsi="Times New Roman" w:cs="Times New Roman"/>
                      <w:color w:val="auto"/>
                      <w:sz w:val="21"/>
                      <w:szCs w:val="21"/>
                      <w:vertAlign w:val="subscript"/>
                    </w:rPr>
                    <w:t>2</w:t>
                  </w:r>
                </w:p>
              </w:tc>
              <w:tc>
                <w:tcPr>
                  <w:tcW w:w="2026" w:type="pct"/>
                  <w:vAlign w:val="center"/>
                </w:tcPr>
                <w:p w14:paraId="3F101636">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年平均质量浓度</w:t>
                  </w:r>
                </w:p>
              </w:tc>
              <w:tc>
                <w:tcPr>
                  <w:tcW w:w="747" w:type="pct"/>
                  <w:vAlign w:val="center"/>
                </w:tcPr>
                <w:p w14:paraId="4F59D428">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27</w:t>
                  </w:r>
                </w:p>
              </w:tc>
              <w:tc>
                <w:tcPr>
                  <w:tcW w:w="581" w:type="pct"/>
                  <w:vAlign w:val="center"/>
                </w:tcPr>
                <w:p w14:paraId="36031ED0">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40</w:t>
                  </w:r>
                </w:p>
              </w:tc>
              <w:tc>
                <w:tcPr>
                  <w:tcW w:w="591" w:type="pct"/>
                  <w:vAlign w:val="center"/>
                </w:tcPr>
                <w:p w14:paraId="1B670C0B">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67.5</w:t>
                  </w:r>
                </w:p>
              </w:tc>
              <w:tc>
                <w:tcPr>
                  <w:tcW w:w="573" w:type="pct"/>
                  <w:vAlign w:val="center"/>
                </w:tcPr>
                <w:p w14:paraId="63A124C5">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达标</w:t>
                  </w:r>
                </w:p>
              </w:tc>
            </w:tr>
            <w:tr w14:paraId="3D1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14:paraId="21D5F046">
                  <w:pPr>
                    <w:widowControl/>
                    <w:adjustRightInd w:val="0"/>
                    <w:snapToGrid w:val="0"/>
                    <w:jc w:val="center"/>
                    <w:rPr>
                      <w:rFonts w:ascii="Times New Roman" w:hAnsi="Times New Roman" w:cs="Times New Roman"/>
                      <w:color w:val="auto"/>
                      <w:kern w:val="2"/>
                      <w:sz w:val="21"/>
                      <w:szCs w:val="21"/>
                      <w:lang w:val="en-US" w:bidi="ar-SA"/>
                    </w:rPr>
                  </w:pPr>
                </w:p>
              </w:tc>
              <w:tc>
                <w:tcPr>
                  <w:tcW w:w="2026" w:type="pct"/>
                  <w:vAlign w:val="center"/>
                </w:tcPr>
                <w:p w14:paraId="0D0DBE2F">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24小时平均第98位百分位数</w:t>
                  </w:r>
                </w:p>
              </w:tc>
              <w:tc>
                <w:tcPr>
                  <w:tcW w:w="747" w:type="pct"/>
                  <w:vAlign w:val="center"/>
                </w:tcPr>
                <w:p w14:paraId="5AEA624E">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581" w:type="pct"/>
                  <w:vAlign w:val="center"/>
                </w:tcPr>
                <w:p w14:paraId="3D4717AC">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80</w:t>
                  </w:r>
                </w:p>
              </w:tc>
              <w:tc>
                <w:tcPr>
                  <w:tcW w:w="591" w:type="pct"/>
                  <w:vAlign w:val="center"/>
                </w:tcPr>
                <w:p w14:paraId="778D3449">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573" w:type="pct"/>
                  <w:vAlign w:val="center"/>
                </w:tcPr>
                <w:p w14:paraId="24A76FA1">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14:paraId="4DD8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restart"/>
                  <w:vAlign w:val="center"/>
                </w:tcPr>
                <w:p w14:paraId="34D9D872">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10</w:t>
                  </w:r>
                </w:p>
              </w:tc>
              <w:tc>
                <w:tcPr>
                  <w:tcW w:w="2026" w:type="pct"/>
                  <w:vAlign w:val="center"/>
                </w:tcPr>
                <w:p w14:paraId="5F53419D">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年平均质量浓度</w:t>
                  </w:r>
                </w:p>
              </w:tc>
              <w:tc>
                <w:tcPr>
                  <w:tcW w:w="747" w:type="pct"/>
                  <w:vAlign w:val="center"/>
                </w:tcPr>
                <w:p w14:paraId="60EB9272">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76</w:t>
                  </w:r>
                </w:p>
              </w:tc>
              <w:tc>
                <w:tcPr>
                  <w:tcW w:w="581" w:type="pct"/>
                  <w:vAlign w:val="center"/>
                </w:tcPr>
                <w:p w14:paraId="1F149D33">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70</w:t>
                  </w:r>
                </w:p>
              </w:tc>
              <w:tc>
                <w:tcPr>
                  <w:tcW w:w="591" w:type="pct"/>
                  <w:vAlign w:val="center"/>
                </w:tcPr>
                <w:p w14:paraId="315F3AC7">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108.6</w:t>
                  </w:r>
                </w:p>
              </w:tc>
              <w:tc>
                <w:tcPr>
                  <w:tcW w:w="573" w:type="pct"/>
                  <w:vAlign w:val="center"/>
                </w:tcPr>
                <w:p w14:paraId="09E3988D">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不达标</w:t>
                  </w:r>
                </w:p>
              </w:tc>
            </w:tr>
            <w:tr w14:paraId="5CB2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14:paraId="3E56DDEA">
                  <w:pPr>
                    <w:widowControl/>
                    <w:adjustRightInd w:val="0"/>
                    <w:snapToGrid w:val="0"/>
                    <w:jc w:val="center"/>
                    <w:rPr>
                      <w:rFonts w:ascii="Times New Roman" w:hAnsi="Times New Roman" w:cs="Times New Roman"/>
                      <w:color w:val="auto"/>
                      <w:kern w:val="2"/>
                      <w:sz w:val="21"/>
                      <w:szCs w:val="21"/>
                      <w:lang w:val="en-US" w:bidi="ar-SA"/>
                    </w:rPr>
                  </w:pPr>
                </w:p>
              </w:tc>
              <w:tc>
                <w:tcPr>
                  <w:tcW w:w="2026" w:type="pct"/>
                  <w:vAlign w:val="center"/>
                </w:tcPr>
                <w:p w14:paraId="23562ED1">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24小时平均第95位百分位数</w:t>
                  </w:r>
                </w:p>
              </w:tc>
              <w:tc>
                <w:tcPr>
                  <w:tcW w:w="747" w:type="pct"/>
                  <w:vAlign w:val="center"/>
                </w:tcPr>
                <w:p w14:paraId="393C7488">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581" w:type="pct"/>
                  <w:vAlign w:val="center"/>
                </w:tcPr>
                <w:p w14:paraId="49E43C1F">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150</w:t>
                  </w:r>
                </w:p>
              </w:tc>
              <w:tc>
                <w:tcPr>
                  <w:tcW w:w="591" w:type="pct"/>
                  <w:vAlign w:val="center"/>
                </w:tcPr>
                <w:p w14:paraId="6068B886">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573" w:type="pct"/>
                  <w:vAlign w:val="center"/>
                </w:tcPr>
                <w:p w14:paraId="0C764CC6">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14:paraId="45B0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restart"/>
                  <w:vAlign w:val="center"/>
                </w:tcPr>
                <w:p w14:paraId="0C15A045">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2.5</w:t>
                  </w:r>
                </w:p>
              </w:tc>
              <w:tc>
                <w:tcPr>
                  <w:tcW w:w="2026" w:type="pct"/>
                  <w:vAlign w:val="center"/>
                </w:tcPr>
                <w:p w14:paraId="5394FC59">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年平均质量浓度</w:t>
                  </w:r>
                </w:p>
              </w:tc>
              <w:tc>
                <w:tcPr>
                  <w:tcW w:w="747" w:type="pct"/>
                  <w:vAlign w:val="center"/>
                </w:tcPr>
                <w:p w14:paraId="3FBBC188">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47</w:t>
                  </w:r>
                </w:p>
              </w:tc>
              <w:tc>
                <w:tcPr>
                  <w:tcW w:w="581" w:type="pct"/>
                  <w:vAlign w:val="center"/>
                </w:tcPr>
                <w:p w14:paraId="24274452">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35</w:t>
                  </w:r>
                </w:p>
              </w:tc>
              <w:tc>
                <w:tcPr>
                  <w:tcW w:w="591" w:type="pct"/>
                  <w:vAlign w:val="center"/>
                </w:tcPr>
                <w:p w14:paraId="3579CA5A">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134.3</w:t>
                  </w:r>
                </w:p>
              </w:tc>
              <w:tc>
                <w:tcPr>
                  <w:tcW w:w="573" w:type="pct"/>
                  <w:vAlign w:val="center"/>
                </w:tcPr>
                <w:p w14:paraId="00152E3D">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不达标</w:t>
                  </w:r>
                </w:p>
              </w:tc>
            </w:tr>
            <w:tr w14:paraId="493C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Merge w:val="continue"/>
                  <w:vAlign w:val="center"/>
                </w:tcPr>
                <w:p w14:paraId="2B1B1A05">
                  <w:pPr>
                    <w:widowControl/>
                    <w:adjustRightInd w:val="0"/>
                    <w:snapToGrid w:val="0"/>
                    <w:jc w:val="center"/>
                    <w:rPr>
                      <w:rFonts w:ascii="Times New Roman" w:hAnsi="Times New Roman" w:cs="Times New Roman"/>
                      <w:color w:val="auto"/>
                      <w:kern w:val="2"/>
                      <w:sz w:val="21"/>
                      <w:szCs w:val="21"/>
                      <w:lang w:val="en-US" w:bidi="ar-SA"/>
                    </w:rPr>
                  </w:pPr>
                </w:p>
              </w:tc>
              <w:tc>
                <w:tcPr>
                  <w:tcW w:w="2026" w:type="pct"/>
                  <w:vAlign w:val="center"/>
                </w:tcPr>
                <w:p w14:paraId="7BBBDB86">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24小时平均第95位百分位数</w:t>
                  </w:r>
                </w:p>
              </w:tc>
              <w:tc>
                <w:tcPr>
                  <w:tcW w:w="747" w:type="pct"/>
                  <w:vAlign w:val="center"/>
                </w:tcPr>
                <w:p w14:paraId="7065FDAD">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581" w:type="pct"/>
                  <w:vAlign w:val="center"/>
                </w:tcPr>
                <w:p w14:paraId="1E67B325">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75</w:t>
                  </w:r>
                </w:p>
              </w:tc>
              <w:tc>
                <w:tcPr>
                  <w:tcW w:w="591" w:type="pct"/>
                  <w:vAlign w:val="center"/>
                </w:tcPr>
                <w:p w14:paraId="620D36E7">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573" w:type="pct"/>
                  <w:vAlign w:val="center"/>
                </w:tcPr>
                <w:p w14:paraId="35EEF22F">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14:paraId="4B9C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Align w:val="center"/>
                </w:tcPr>
                <w:p w14:paraId="2F2D9519">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CO</w:t>
                  </w:r>
                </w:p>
              </w:tc>
              <w:tc>
                <w:tcPr>
                  <w:tcW w:w="2026" w:type="pct"/>
                  <w:vAlign w:val="center"/>
                </w:tcPr>
                <w:p w14:paraId="3CA026A1">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24小时平均第95位百分位数</w:t>
                  </w:r>
                </w:p>
              </w:tc>
              <w:tc>
                <w:tcPr>
                  <w:tcW w:w="747" w:type="pct"/>
                  <w:vAlign w:val="center"/>
                </w:tcPr>
                <w:p w14:paraId="0CAEC3C7">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1400</w:t>
                  </w:r>
                </w:p>
              </w:tc>
              <w:tc>
                <w:tcPr>
                  <w:tcW w:w="581" w:type="pct"/>
                  <w:vAlign w:val="center"/>
                </w:tcPr>
                <w:p w14:paraId="3D0DCF05">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4000</w:t>
                  </w:r>
                </w:p>
              </w:tc>
              <w:tc>
                <w:tcPr>
                  <w:tcW w:w="591" w:type="pct"/>
                  <w:vAlign w:val="center"/>
                </w:tcPr>
                <w:p w14:paraId="4D2E0FA6">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35</w:t>
                  </w:r>
                </w:p>
              </w:tc>
              <w:tc>
                <w:tcPr>
                  <w:tcW w:w="573" w:type="pct"/>
                  <w:vAlign w:val="center"/>
                </w:tcPr>
                <w:p w14:paraId="1D771EDC">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达标</w:t>
                  </w:r>
                </w:p>
              </w:tc>
            </w:tr>
            <w:tr w14:paraId="3730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 w:type="pct"/>
                  <w:vAlign w:val="center"/>
                </w:tcPr>
                <w:p w14:paraId="2C17175D">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O</w:t>
                  </w:r>
                  <w:r>
                    <w:rPr>
                      <w:rFonts w:ascii="Times New Roman" w:hAnsi="Times New Roman" w:cs="Times New Roman"/>
                      <w:color w:val="auto"/>
                      <w:sz w:val="21"/>
                      <w:szCs w:val="21"/>
                      <w:vertAlign w:val="subscript"/>
                    </w:rPr>
                    <w:t>3</w:t>
                  </w:r>
                </w:p>
              </w:tc>
              <w:tc>
                <w:tcPr>
                  <w:tcW w:w="2026" w:type="pct"/>
                  <w:vAlign w:val="center"/>
                </w:tcPr>
                <w:p w14:paraId="6AED5A6F">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8小时平均第90位百分位数</w:t>
                  </w:r>
                </w:p>
              </w:tc>
              <w:tc>
                <w:tcPr>
                  <w:tcW w:w="747" w:type="pct"/>
                  <w:vAlign w:val="center"/>
                </w:tcPr>
                <w:p w14:paraId="7574C920">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176</w:t>
                  </w:r>
                </w:p>
              </w:tc>
              <w:tc>
                <w:tcPr>
                  <w:tcW w:w="581" w:type="pct"/>
                  <w:vAlign w:val="center"/>
                </w:tcPr>
                <w:p w14:paraId="2F32857E">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160</w:t>
                  </w:r>
                </w:p>
              </w:tc>
              <w:tc>
                <w:tcPr>
                  <w:tcW w:w="591" w:type="pct"/>
                  <w:vAlign w:val="center"/>
                </w:tcPr>
                <w:p w14:paraId="45611B21">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110</w:t>
                  </w:r>
                </w:p>
              </w:tc>
              <w:tc>
                <w:tcPr>
                  <w:tcW w:w="573" w:type="pct"/>
                  <w:vAlign w:val="center"/>
                </w:tcPr>
                <w:p w14:paraId="3E57C951">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不达标</w:t>
                  </w:r>
                </w:p>
              </w:tc>
            </w:tr>
          </w:tbl>
          <w:p w14:paraId="3B1F4125">
            <w:pPr>
              <w:autoSpaceDE/>
              <w:autoSpaceDN/>
              <w:spacing w:line="400" w:lineRule="exact"/>
              <w:ind w:left="110" w:leftChars="50" w:firstLine="420" w:firstLineChars="200"/>
              <w:jc w:val="both"/>
              <w:rPr>
                <w:rFonts w:ascii="Times New Roman" w:hAnsi="Times New Roman" w:cs="Times New Roman"/>
                <w:color w:val="auto"/>
                <w:sz w:val="21"/>
                <w:szCs w:val="21"/>
                <w:vertAlign w:val="subscript"/>
                <w:lang w:bidi="ar-SA"/>
              </w:rPr>
            </w:pPr>
            <w:r>
              <w:rPr>
                <w:rFonts w:ascii="Times New Roman" w:hAnsi="Times New Roman" w:cs="Times New Roman"/>
                <w:color w:val="auto"/>
                <w:sz w:val="21"/>
                <w:szCs w:val="21"/>
                <w:lang w:val="en-US" w:bidi="ar-SA"/>
              </w:rPr>
              <w:t>上述</w:t>
            </w:r>
            <w:r>
              <w:rPr>
                <w:rFonts w:ascii="Times New Roman" w:hAnsi="Times New Roman" w:cs="Times New Roman"/>
                <w:color w:val="auto"/>
                <w:sz w:val="21"/>
                <w:szCs w:val="21"/>
                <w:lang w:bidi="ar-SA"/>
              </w:rPr>
              <w:t>六项污染物全部达标即为城市环境空气质量达标。根据邯郸市生态环境局公布的生态环境状况公报结果，本区域为环境空气质量不达标区，不达标因子为PM</w:t>
            </w:r>
            <w:r>
              <w:rPr>
                <w:rFonts w:ascii="Times New Roman" w:hAnsi="Times New Roman" w:cs="Times New Roman"/>
                <w:color w:val="auto"/>
                <w:sz w:val="21"/>
                <w:szCs w:val="21"/>
                <w:vertAlign w:val="subscript"/>
                <w:lang w:bidi="ar-SA"/>
              </w:rPr>
              <w:t>10</w:t>
            </w:r>
            <w:r>
              <w:rPr>
                <w:rFonts w:ascii="Times New Roman" w:hAnsi="Times New Roman" w:cs="Times New Roman"/>
                <w:color w:val="auto"/>
                <w:sz w:val="21"/>
                <w:szCs w:val="21"/>
                <w:lang w:bidi="ar-SA"/>
              </w:rPr>
              <w:t>、PM</w:t>
            </w:r>
            <w:r>
              <w:rPr>
                <w:rFonts w:ascii="Times New Roman" w:hAnsi="Times New Roman" w:cs="Times New Roman"/>
                <w:color w:val="auto"/>
                <w:sz w:val="21"/>
                <w:szCs w:val="21"/>
                <w:vertAlign w:val="subscript"/>
                <w:lang w:bidi="ar-SA"/>
              </w:rPr>
              <w:t>2.5</w:t>
            </w:r>
            <w:r>
              <w:rPr>
                <w:rFonts w:ascii="Times New Roman" w:hAnsi="Times New Roman" w:cs="Times New Roman"/>
                <w:color w:val="auto"/>
                <w:sz w:val="21"/>
                <w:szCs w:val="21"/>
                <w:lang w:bidi="ar-SA"/>
              </w:rPr>
              <w:t>、O</w:t>
            </w:r>
            <w:r>
              <w:rPr>
                <w:rFonts w:ascii="Times New Roman" w:hAnsi="Times New Roman" w:cs="Times New Roman"/>
                <w:color w:val="auto"/>
                <w:sz w:val="21"/>
                <w:szCs w:val="21"/>
                <w:vertAlign w:val="subscript"/>
                <w:lang w:bidi="ar-SA"/>
              </w:rPr>
              <w:t>3</w:t>
            </w:r>
            <w:r>
              <w:rPr>
                <w:rFonts w:hint="eastAsia" w:ascii="Times New Roman" w:hAnsi="Times New Roman" w:cs="Times New Roman"/>
                <w:color w:val="auto"/>
                <w:sz w:val="21"/>
                <w:szCs w:val="21"/>
                <w:lang w:bidi="ar-SA"/>
              </w:rPr>
              <w:t>。</w:t>
            </w:r>
            <w:r>
              <w:rPr>
                <w:rFonts w:hint="eastAsia" w:ascii="Times New Roman" w:hAnsi="Times New Roman" w:cs="Times New Roman"/>
                <w:color w:val="auto"/>
                <w:sz w:val="21"/>
                <w:szCs w:val="21"/>
                <w:lang w:val="en-US" w:bidi="ar-SA"/>
              </w:rPr>
              <w:t>超标与本地区内工业企业数量较多及气候条件因素有关，造成这一现象主要原因是本地区处于工业开发强度较高、农业活动频繁的地区，易形成颗粒物积聚和飘移，导致环境质量差。针对大区域环境空气质量现状超标情况，根据《邯郸市大气污染防治工作领导小组关于印发&lt;邯郸市2023年大气污染综合治理暨全面巩固“退后十”成果工作方案&gt;的通知》（邯气领办〔2023〕5号），全面巩固空气质量“退后十”成果，大力推进结构优化调整，持续做好工业企业达标排放治理监管，深化服务绿色转型高质量发展，精准开展臭氧污染防治，持续抓好柴油货车污染治理，深入实施城市大气污染深度治理，加快推动重污染天气消除，随着各项行动的有序开展，区域环境空气质量将得到有效改善。</w:t>
            </w:r>
          </w:p>
          <w:p w14:paraId="4B42A9A2">
            <w:pPr>
              <w:keepNext w:val="0"/>
              <w:keepLines w:val="0"/>
              <w:pageBreakBefore w:val="0"/>
              <w:widowControl w:val="0"/>
              <w:kinsoku/>
              <w:wordWrap/>
              <w:overflowPunct/>
              <w:topLinePunct w:val="0"/>
              <w:autoSpaceDE/>
              <w:autoSpaceDN/>
              <w:bidi w:val="0"/>
              <w:adjustRightInd/>
              <w:snapToGrid/>
              <w:spacing w:before="0" w:after="0" w:line="400" w:lineRule="exact"/>
              <w:ind w:left="110" w:leftChars="50" w:right="0" w:firstLine="422"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（2）特征污染物</w:t>
            </w:r>
          </w:p>
          <w:p w14:paraId="288DC296">
            <w:pPr>
              <w:keepNext w:val="0"/>
              <w:keepLines w:val="0"/>
              <w:pageBreakBefore w:val="0"/>
              <w:widowControl w:val="0"/>
              <w:kinsoku/>
              <w:wordWrap/>
              <w:topLinePunct w:val="0"/>
              <w:bidi w:val="0"/>
              <w:spacing w:line="400" w:lineRule="exact"/>
              <w:ind w:left="110" w:leftChars="50" w:firstLine="420" w:firstLineChars="200"/>
              <w:textAlignment w:val="auto"/>
              <w:rPr>
                <w:color w:val="auto"/>
                <w:highlight w:val="none"/>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根据《建设项目环境影响报告表编制指南（污染环境类）》（试行）中的相关规定，</w:t>
            </w:r>
            <w:r>
              <w:rPr>
                <w:rFonts w:hint="eastAsia" w:ascii="Times New Roman" w:hAnsi="Times New Roman" w:eastAsia="宋体" w:cs="Times New Roman"/>
                <w:b w:val="0"/>
                <w:color w:val="auto"/>
                <w:kern w:val="0"/>
                <w:sz w:val="21"/>
                <w:szCs w:val="21"/>
                <w:lang w:val="en-US" w:eastAsia="zh-CN" w:bidi="ar-SA"/>
              </w:rPr>
              <w:t>本项目涉及特征污染物TSP、</w:t>
            </w:r>
            <w:r>
              <w:rPr>
                <w:rFonts w:hint="eastAsia" w:ascii="Times New Roman" w:hAnsi="Times New Roman" w:cs="Times New Roman"/>
                <w:b w:val="0"/>
                <w:color w:val="auto"/>
                <w:kern w:val="0"/>
                <w:sz w:val="21"/>
                <w:szCs w:val="21"/>
                <w:lang w:val="en-US" w:eastAsia="zh-CN" w:bidi="ar-SA"/>
              </w:rPr>
              <w:t>非甲烷总烃</w:t>
            </w:r>
            <w:r>
              <w:rPr>
                <w:rFonts w:hint="eastAsia" w:ascii="Times New Roman" w:hAnsi="Times New Roman" w:eastAsia="宋体" w:cs="Times New Roman"/>
                <w:b w:val="0"/>
                <w:color w:val="auto"/>
                <w:kern w:val="0"/>
                <w:sz w:val="21"/>
                <w:szCs w:val="21"/>
                <w:lang w:val="en-US" w:eastAsia="zh-CN" w:bidi="ar-SA"/>
              </w:rPr>
              <w:t>。</w:t>
            </w:r>
            <w:r>
              <w:rPr>
                <w:rFonts w:hint="eastAsia" w:ascii="Times New Roman" w:hAnsi="Times New Roman" w:cs="Times New Roman"/>
                <w:b w:val="0"/>
                <w:color w:val="auto"/>
                <w:kern w:val="0"/>
                <w:sz w:val="21"/>
                <w:szCs w:val="21"/>
                <w:lang w:val="en-US" w:eastAsia="zh-CN" w:bidi="ar-SA"/>
              </w:rPr>
              <w:t>河北曼捷新型材料科技有限公司委托河北旋盈环境检测服务股份有限公司于2025年5月24日至2025年5月27日进行了现状监测并出具检测报告：XR25052301-S-250610（见附件）。根据检测报告，</w:t>
            </w:r>
            <w:r>
              <w:rPr>
                <w:rFonts w:hint="default" w:ascii="Times New Roman" w:hAnsi="Times New Roman" w:cs="Times New Roman"/>
                <w:color w:val="auto"/>
                <w:sz w:val="21"/>
                <w:szCs w:val="21"/>
                <w:highlight w:val="none"/>
              </w:rPr>
              <w:t>TSP</w:t>
            </w:r>
            <w:r>
              <w:rPr>
                <w:rFonts w:hint="default" w:ascii="Times New Roman" w:hAnsi="Times New Roman" w:cs="Times New Roman"/>
                <w:color w:val="auto"/>
                <w:sz w:val="21"/>
                <w:szCs w:val="21"/>
                <w:highlight w:val="none"/>
                <w:lang w:eastAsia="zh-CN"/>
              </w:rPr>
              <w:t>、</w:t>
            </w:r>
            <w:r>
              <w:rPr>
                <w:rFonts w:hint="eastAsia"/>
                <w:color w:val="auto"/>
                <w:sz w:val="21"/>
                <w:szCs w:val="21"/>
                <w:highlight w:val="none"/>
                <w:lang w:eastAsia="zh-CN"/>
              </w:rPr>
              <w:t>非甲烷总烃</w:t>
            </w:r>
            <w:r>
              <w:rPr>
                <w:color w:val="auto"/>
                <w:sz w:val="21"/>
                <w:szCs w:val="21"/>
                <w:highlight w:val="none"/>
              </w:rPr>
              <w:t>现状监测及评价结果见</w:t>
            </w:r>
            <w:r>
              <w:rPr>
                <w:rFonts w:hint="eastAsia"/>
                <w:color w:val="auto"/>
                <w:sz w:val="21"/>
                <w:szCs w:val="21"/>
                <w:highlight w:val="none"/>
                <w:lang w:val="en-US" w:eastAsia="zh-CN"/>
              </w:rPr>
              <w:t>下表</w:t>
            </w:r>
            <w:r>
              <w:rPr>
                <w:color w:val="auto"/>
                <w:sz w:val="21"/>
                <w:szCs w:val="21"/>
                <w:highlight w:val="none"/>
              </w:rPr>
              <w:t>。</w:t>
            </w:r>
            <w:r>
              <w:rPr>
                <w:color w:val="auto"/>
                <w:highlight w:val="none"/>
              </w:rPr>
              <w:t xml:space="preserve"> </w:t>
            </w:r>
          </w:p>
          <w:p w14:paraId="790835DE">
            <w:pPr>
              <w:keepNext w:val="0"/>
              <w:keepLines w:val="0"/>
              <w:pageBreakBefore w:val="0"/>
              <w:widowControl w:val="0"/>
              <w:kinsoku/>
              <w:wordWrap/>
              <w:overflowPunct w:val="0"/>
              <w:topLinePunct w:val="0"/>
              <w:autoSpaceDE w:val="0"/>
              <w:autoSpaceDN w:val="0"/>
              <w:bidi w:val="0"/>
              <w:adjustRightInd/>
              <w:snapToGrid/>
              <w:spacing w:line="400" w:lineRule="exact"/>
              <w:ind w:left="0" w:leftChars="0" w:firstLine="0" w:firstLineChars="0"/>
              <w:jc w:val="center"/>
              <w:textAlignment w:val="auto"/>
              <w:rPr>
                <w:color w:val="auto"/>
                <w:sz w:val="21"/>
                <w:szCs w:val="21"/>
                <w:highlight w:val="none"/>
              </w:rPr>
            </w:pPr>
            <w:r>
              <w:rPr>
                <w:b/>
                <w:bCs/>
                <w:color w:val="auto"/>
                <w:sz w:val="21"/>
                <w:szCs w:val="21"/>
                <w:highlight w:val="none"/>
              </w:rPr>
              <w:t>表</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cs="Times New Roman"/>
                <w:b/>
                <w:bCs/>
                <w:color w:val="auto"/>
                <w:sz w:val="21"/>
                <w:szCs w:val="21"/>
                <w:highlight w:val="none"/>
                <w:lang w:val="en-US" w:eastAsia="zh-CN"/>
              </w:rPr>
              <w:t>2</w:t>
            </w:r>
            <w:r>
              <w:rPr>
                <w:b/>
                <w:bCs/>
                <w:color w:val="auto"/>
                <w:sz w:val="21"/>
                <w:szCs w:val="21"/>
                <w:highlight w:val="none"/>
              </w:rPr>
              <w:t xml:space="preserve"> 监测点浓度统计表</w:t>
            </w:r>
          </w:p>
          <w:tbl>
            <w:tblPr>
              <w:tblStyle w:val="34"/>
              <w:tblW w:w="49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0"/>
              <w:gridCol w:w="1340"/>
              <w:gridCol w:w="1361"/>
              <w:gridCol w:w="1649"/>
              <w:gridCol w:w="987"/>
              <w:gridCol w:w="1658"/>
              <w:gridCol w:w="1013"/>
            </w:tblGrid>
            <w:tr w14:paraId="34ADF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25" w:type="pct"/>
                  <w:tcBorders>
                    <w:tl2br w:val="nil"/>
                    <w:tr2bl w:val="nil"/>
                  </w:tcBorders>
                  <w:noWrap w:val="0"/>
                  <w:vAlign w:val="center"/>
                </w:tcPr>
                <w:p w14:paraId="3B07189F">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检测</w:t>
                  </w:r>
                </w:p>
                <w:p w14:paraId="32D3A85C">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点位</w:t>
                  </w:r>
                </w:p>
              </w:tc>
              <w:tc>
                <w:tcPr>
                  <w:tcW w:w="748" w:type="pct"/>
                  <w:tcBorders>
                    <w:tl2br w:val="nil"/>
                    <w:tr2bl w:val="nil"/>
                  </w:tcBorders>
                  <w:noWrap w:val="0"/>
                  <w:vAlign w:val="center"/>
                </w:tcPr>
                <w:p w14:paraId="274C6C3A">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检测</w:t>
                  </w:r>
                </w:p>
                <w:p w14:paraId="1546221F">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项目</w:t>
                  </w:r>
                </w:p>
              </w:tc>
              <w:tc>
                <w:tcPr>
                  <w:tcW w:w="760" w:type="pct"/>
                  <w:tcBorders>
                    <w:tl2br w:val="nil"/>
                    <w:tr2bl w:val="nil"/>
                  </w:tcBorders>
                  <w:noWrap w:val="0"/>
                  <w:vAlign w:val="center"/>
                </w:tcPr>
                <w:p w14:paraId="280B45C0">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评价标准mg/m</w:t>
                  </w:r>
                  <w:r>
                    <w:rPr>
                      <w:rFonts w:hint="default" w:ascii="Times New Roman" w:hAnsi="Times New Roman" w:cs="Times New Roman"/>
                      <w:b/>
                      <w:bCs/>
                      <w:color w:val="auto"/>
                      <w:sz w:val="20"/>
                      <w:szCs w:val="20"/>
                      <w:highlight w:val="none"/>
                      <w:vertAlign w:val="superscript"/>
                    </w:rPr>
                    <w:t>3</w:t>
                  </w:r>
                </w:p>
              </w:tc>
              <w:tc>
                <w:tcPr>
                  <w:tcW w:w="921" w:type="pct"/>
                  <w:tcBorders>
                    <w:tl2br w:val="nil"/>
                    <w:tr2bl w:val="nil"/>
                  </w:tcBorders>
                  <w:noWrap w:val="0"/>
                  <w:vAlign w:val="center"/>
                </w:tcPr>
                <w:p w14:paraId="1D7F0D20">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监测浓度范围mg/m</w:t>
                  </w:r>
                  <w:r>
                    <w:rPr>
                      <w:rFonts w:hint="default" w:ascii="Times New Roman" w:hAnsi="Times New Roman" w:cs="Times New Roman"/>
                      <w:b/>
                      <w:bCs/>
                      <w:color w:val="auto"/>
                      <w:sz w:val="20"/>
                      <w:szCs w:val="20"/>
                      <w:highlight w:val="none"/>
                      <w:vertAlign w:val="superscript"/>
                    </w:rPr>
                    <w:t>3</w:t>
                  </w:r>
                </w:p>
              </w:tc>
              <w:tc>
                <w:tcPr>
                  <w:tcW w:w="551" w:type="pct"/>
                  <w:tcBorders>
                    <w:tl2br w:val="nil"/>
                    <w:tr2bl w:val="nil"/>
                  </w:tcBorders>
                  <w:noWrap w:val="0"/>
                  <w:vAlign w:val="center"/>
                </w:tcPr>
                <w:p w14:paraId="514248AC">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超标率</w:t>
                  </w:r>
                </w:p>
                <w:p w14:paraId="6C5DBDE9">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w:t>
                  </w:r>
                </w:p>
              </w:tc>
              <w:tc>
                <w:tcPr>
                  <w:tcW w:w="926" w:type="pct"/>
                  <w:tcBorders>
                    <w:tl2br w:val="nil"/>
                    <w:tr2bl w:val="nil"/>
                  </w:tcBorders>
                  <w:noWrap w:val="0"/>
                  <w:vAlign w:val="center"/>
                </w:tcPr>
                <w:p w14:paraId="17B251E4">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标准指数Pi范围</w:t>
                  </w:r>
                </w:p>
              </w:tc>
              <w:tc>
                <w:tcPr>
                  <w:tcW w:w="565" w:type="pct"/>
                  <w:tcBorders>
                    <w:tl2br w:val="nil"/>
                    <w:tr2bl w:val="nil"/>
                  </w:tcBorders>
                  <w:noWrap w:val="0"/>
                  <w:vAlign w:val="center"/>
                </w:tcPr>
                <w:p w14:paraId="6B1DE022">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达标情况</w:t>
                  </w:r>
                </w:p>
              </w:tc>
            </w:tr>
            <w:tr w14:paraId="0BB29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25" w:type="pct"/>
                  <w:vMerge w:val="restart"/>
                  <w:tcBorders>
                    <w:tl2br w:val="nil"/>
                    <w:tr2bl w:val="nil"/>
                  </w:tcBorders>
                  <w:noWrap w:val="0"/>
                  <w:vAlign w:val="center"/>
                </w:tcPr>
                <w:p w14:paraId="1F8EC866">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南侧厂界外1#</w:t>
                  </w:r>
                </w:p>
              </w:tc>
              <w:tc>
                <w:tcPr>
                  <w:tcW w:w="748" w:type="pct"/>
                  <w:tcBorders>
                    <w:tl2br w:val="nil"/>
                    <w:tr2bl w:val="nil"/>
                  </w:tcBorders>
                  <w:noWrap w:val="0"/>
                  <w:vAlign w:val="center"/>
                </w:tcPr>
                <w:p w14:paraId="423CE90F">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TSP</w:t>
                  </w:r>
                </w:p>
              </w:tc>
              <w:tc>
                <w:tcPr>
                  <w:tcW w:w="760" w:type="pct"/>
                  <w:tcBorders>
                    <w:tl2br w:val="nil"/>
                    <w:tr2bl w:val="nil"/>
                  </w:tcBorders>
                  <w:noWrap w:val="0"/>
                  <w:vAlign w:val="center"/>
                </w:tcPr>
                <w:p w14:paraId="37AE1C24">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0.</w:t>
                  </w:r>
                  <w:r>
                    <w:rPr>
                      <w:rFonts w:hint="eastAsia" w:ascii="Times New Roman" w:hAnsi="Times New Roman" w:cs="Times New Roman"/>
                      <w:color w:val="auto"/>
                      <w:sz w:val="20"/>
                      <w:szCs w:val="20"/>
                      <w:highlight w:val="none"/>
                      <w:lang w:val="en-US" w:eastAsia="zh-CN"/>
                    </w:rPr>
                    <w:t>3</w:t>
                  </w:r>
                </w:p>
              </w:tc>
              <w:tc>
                <w:tcPr>
                  <w:tcW w:w="921" w:type="pct"/>
                  <w:tcBorders>
                    <w:tl2br w:val="nil"/>
                    <w:tr2bl w:val="nil"/>
                  </w:tcBorders>
                  <w:noWrap w:val="0"/>
                  <w:vAlign w:val="center"/>
                </w:tcPr>
                <w:p w14:paraId="404917A8">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rPr>
                    <w:t>0.</w:t>
                  </w:r>
                  <w:r>
                    <w:rPr>
                      <w:rFonts w:hint="eastAsia" w:ascii="Times New Roman" w:hAnsi="Times New Roman" w:cs="Times New Roman"/>
                      <w:color w:val="auto"/>
                      <w:sz w:val="20"/>
                      <w:szCs w:val="20"/>
                      <w:highlight w:val="none"/>
                      <w:lang w:val="en-US" w:eastAsia="zh-CN"/>
                    </w:rPr>
                    <w:t>096</w:t>
                  </w:r>
                  <w:r>
                    <w:rPr>
                      <w:rFonts w:hint="default" w:ascii="Times New Roman" w:hAnsi="Times New Roman" w:cs="Times New Roman"/>
                      <w:color w:val="auto"/>
                      <w:sz w:val="20"/>
                      <w:szCs w:val="20"/>
                      <w:highlight w:val="none"/>
                    </w:rPr>
                    <w:t>-0.</w:t>
                  </w:r>
                  <w:r>
                    <w:rPr>
                      <w:rFonts w:hint="eastAsia" w:ascii="Times New Roman" w:hAnsi="Times New Roman" w:cs="Times New Roman"/>
                      <w:color w:val="auto"/>
                      <w:sz w:val="20"/>
                      <w:szCs w:val="20"/>
                      <w:highlight w:val="none"/>
                      <w:lang w:val="en-US" w:eastAsia="zh-CN"/>
                    </w:rPr>
                    <w:t>111</w:t>
                  </w:r>
                </w:p>
              </w:tc>
              <w:tc>
                <w:tcPr>
                  <w:tcW w:w="551" w:type="pct"/>
                  <w:tcBorders>
                    <w:tl2br w:val="nil"/>
                    <w:tr2bl w:val="nil"/>
                  </w:tcBorders>
                  <w:noWrap w:val="0"/>
                  <w:vAlign w:val="center"/>
                </w:tcPr>
                <w:p w14:paraId="01E9E075">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w:t>
                  </w:r>
                </w:p>
              </w:tc>
              <w:tc>
                <w:tcPr>
                  <w:tcW w:w="926" w:type="pct"/>
                  <w:tcBorders>
                    <w:tl2br w:val="nil"/>
                    <w:tr2bl w:val="nil"/>
                  </w:tcBorders>
                  <w:noWrap w:val="0"/>
                  <w:vAlign w:val="center"/>
                </w:tcPr>
                <w:p w14:paraId="27189307">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rPr>
                    <w:t>0.</w:t>
                  </w:r>
                  <w:r>
                    <w:rPr>
                      <w:rFonts w:hint="eastAsia" w:ascii="Times New Roman" w:hAnsi="Times New Roman" w:cs="Times New Roman"/>
                      <w:color w:val="auto"/>
                      <w:sz w:val="20"/>
                      <w:szCs w:val="20"/>
                      <w:highlight w:val="none"/>
                      <w:lang w:val="en-US" w:eastAsia="zh-CN"/>
                    </w:rPr>
                    <w:t>32</w:t>
                  </w:r>
                  <w:r>
                    <w:rPr>
                      <w:rFonts w:hint="default" w:ascii="Times New Roman" w:hAnsi="Times New Roman" w:cs="Times New Roman"/>
                      <w:color w:val="auto"/>
                      <w:sz w:val="20"/>
                      <w:szCs w:val="20"/>
                      <w:highlight w:val="none"/>
                    </w:rPr>
                    <w:t>-0.</w:t>
                  </w:r>
                  <w:r>
                    <w:rPr>
                      <w:rFonts w:hint="eastAsia" w:ascii="Times New Roman" w:hAnsi="Times New Roman" w:cs="Times New Roman"/>
                      <w:color w:val="auto"/>
                      <w:sz w:val="20"/>
                      <w:szCs w:val="20"/>
                      <w:highlight w:val="none"/>
                      <w:lang w:val="en-US" w:eastAsia="zh-CN"/>
                    </w:rPr>
                    <w:t>37</w:t>
                  </w:r>
                </w:p>
              </w:tc>
              <w:tc>
                <w:tcPr>
                  <w:tcW w:w="565" w:type="pct"/>
                  <w:tcBorders>
                    <w:tl2br w:val="nil"/>
                    <w:tr2bl w:val="nil"/>
                  </w:tcBorders>
                  <w:noWrap w:val="0"/>
                  <w:vAlign w:val="center"/>
                </w:tcPr>
                <w:p w14:paraId="7D482602">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达标</w:t>
                  </w:r>
                </w:p>
              </w:tc>
            </w:tr>
            <w:tr w14:paraId="5952B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25" w:type="pct"/>
                  <w:vMerge w:val="continue"/>
                  <w:tcBorders>
                    <w:tl2br w:val="nil"/>
                    <w:tr2bl w:val="nil"/>
                  </w:tcBorders>
                  <w:noWrap w:val="0"/>
                  <w:vAlign w:val="center"/>
                </w:tcPr>
                <w:p w14:paraId="546E046E">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color w:val="auto"/>
                      <w:sz w:val="20"/>
                      <w:szCs w:val="20"/>
                      <w:highlight w:val="none"/>
                    </w:rPr>
                  </w:pPr>
                </w:p>
              </w:tc>
              <w:tc>
                <w:tcPr>
                  <w:tcW w:w="748" w:type="pct"/>
                  <w:tcBorders>
                    <w:tl2br w:val="nil"/>
                    <w:tr2bl w:val="nil"/>
                  </w:tcBorders>
                  <w:noWrap w:val="0"/>
                  <w:vAlign w:val="center"/>
                </w:tcPr>
                <w:p w14:paraId="38232F6D">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非甲烷总烃</w:t>
                  </w:r>
                </w:p>
              </w:tc>
              <w:tc>
                <w:tcPr>
                  <w:tcW w:w="760" w:type="pct"/>
                  <w:tcBorders>
                    <w:tl2br w:val="nil"/>
                    <w:tr2bl w:val="nil"/>
                  </w:tcBorders>
                  <w:noWrap w:val="0"/>
                  <w:vAlign w:val="center"/>
                </w:tcPr>
                <w:p w14:paraId="74DD2800">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w:t>
                  </w:r>
                </w:p>
              </w:tc>
              <w:tc>
                <w:tcPr>
                  <w:tcW w:w="921" w:type="pct"/>
                  <w:tcBorders>
                    <w:tl2br w:val="nil"/>
                    <w:tr2bl w:val="nil"/>
                  </w:tcBorders>
                  <w:noWrap w:val="0"/>
                  <w:vAlign w:val="center"/>
                </w:tcPr>
                <w:p w14:paraId="4CF4827F">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0.</w:t>
                  </w:r>
                  <w:r>
                    <w:rPr>
                      <w:rFonts w:hint="eastAsia" w:ascii="Times New Roman" w:hAnsi="Times New Roman" w:cs="Times New Roman"/>
                      <w:color w:val="auto"/>
                      <w:sz w:val="20"/>
                      <w:szCs w:val="20"/>
                      <w:highlight w:val="none"/>
                      <w:lang w:val="en-US" w:eastAsia="zh-CN"/>
                    </w:rPr>
                    <w:t>17</w:t>
                  </w:r>
                  <w:r>
                    <w:rPr>
                      <w:rFonts w:hint="default" w:ascii="Times New Roman" w:hAnsi="Times New Roman" w:cs="Times New Roman"/>
                      <w:color w:val="auto"/>
                      <w:sz w:val="20"/>
                      <w:szCs w:val="20"/>
                      <w:highlight w:val="none"/>
                      <w:lang w:val="en-US" w:eastAsia="zh-CN"/>
                    </w:rPr>
                    <w:t>-</w:t>
                  </w:r>
                  <w:r>
                    <w:rPr>
                      <w:rFonts w:hint="eastAsia" w:ascii="Times New Roman" w:hAnsi="Times New Roman" w:cs="Times New Roman"/>
                      <w:color w:val="auto"/>
                      <w:sz w:val="20"/>
                      <w:szCs w:val="20"/>
                      <w:highlight w:val="none"/>
                      <w:lang w:val="en-US" w:eastAsia="zh-CN"/>
                    </w:rPr>
                    <w:t>0.37</w:t>
                  </w:r>
                </w:p>
              </w:tc>
              <w:tc>
                <w:tcPr>
                  <w:tcW w:w="551" w:type="pct"/>
                  <w:tcBorders>
                    <w:tl2br w:val="nil"/>
                    <w:tr2bl w:val="nil"/>
                  </w:tcBorders>
                  <w:noWrap w:val="0"/>
                  <w:vAlign w:val="center"/>
                </w:tcPr>
                <w:p w14:paraId="5F35F0DE">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0</w:t>
                  </w:r>
                </w:p>
              </w:tc>
              <w:tc>
                <w:tcPr>
                  <w:tcW w:w="926" w:type="pct"/>
                  <w:tcBorders>
                    <w:tl2br w:val="nil"/>
                    <w:tr2bl w:val="nil"/>
                  </w:tcBorders>
                  <w:noWrap w:val="0"/>
                  <w:vAlign w:val="center"/>
                </w:tcPr>
                <w:p w14:paraId="2A11229A">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0.</w:t>
                  </w:r>
                  <w:r>
                    <w:rPr>
                      <w:rFonts w:hint="eastAsia" w:ascii="Times New Roman" w:hAnsi="Times New Roman" w:cs="Times New Roman"/>
                      <w:color w:val="auto"/>
                      <w:sz w:val="20"/>
                      <w:szCs w:val="20"/>
                      <w:highlight w:val="none"/>
                      <w:lang w:val="en-US" w:eastAsia="zh-CN"/>
                    </w:rPr>
                    <w:t>085</w:t>
                  </w:r>
                  <w:r>
                    <w:rPr>
                      <w:rFonts w:hint="default" w:ascii="Times New Roman" w:hAnsi="Times New Roman" w:cs="Times New Roman"/>
                      <w:color w:val="auto"/>
                      <w:sz w:val="20"/>
                      <w:szCs w:val="20"/>
                      <w:highlight w:val="none"/>
                      <w:lang w:val="en-US" w:eastAsia="zh-CN"/>
                    </w:rPr>
                    <w:t>-</w:t>
                  </w:r>
                  <w:r>
                    <w:rPr>
                      <w:rFonts w:hint="eastAsia" w:ascii="Times New Roman" w:hAnsi="Times New Roman" w:cs="Times New Roman"/>
                      <w:color w:val="auto"/>
                      <w:sz w:val="20"/>
                      <w:szCs w:val="20"/>
                      <w:highlight w:val="none"/>
                      <w:lang w:val="en-US" w:eastAsia="zh-CN"/>
                    </w:rPr>
                    <w:t>0.185</w:t>
                  </w:r>
                </w:p>
              </w:tc>
              <w:tc>
                <w:tcPr>
                  <w:tcW w:w="565" w:type="pct"/>
                  <w:tcBorders>
                    <w:tl2br w:val="nil"/>
                    <w:tr2bl w:val="nil"/>
                  </w:tcBorders>
                  <w:noWrap w:val="0"/>
                  <w:vAlign w:val="center"/>
                </w:tcPr>
                <w:p w14:paraId="63D6DF62">
                  <w:pPr>
                    <w:keepNext w:val="0"/>
                    <w:keepLines w:val="0"/>
                    <w:pageBreakBefore w:val="0"/>
                    <w:widowControl w:val="0"/>
                    <w:kinsoku/>
                    <w:wordWrap/>
                    <w:topLinePunct w:val="0"/>
                    <w:bidi w:val="0"/>
                    <w:spacing w:line="400" w:lineRule="exact"/>
                    <w:ind w:left="110" w:leftChars="50"/>
                    <w:jc w:val="center"/>
                    <w:textAlignment w:val="auto"/>
                    <w:rPr>
                      <w:rFonts w:hint="default" w:ascii="Times New Roman" w:hAnsi="Times New Roman"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rPr>
                    <w:t>达标</w:t>
                  </w:r>
                </w:p>
              </w:tc>
            </w:tr>
          </w:tbl>
          <w:p w14:paraId="2299F5A8">
            <w:pPr>
              <w:keepNext w:val="0"/>
              <w:keepLines w:val="0"/>
              <w:pageBreakBefore w:val="0"/>
              <w:widowControl w:val="0"/>
              <w:kinsoku/>
              <w:wordWrap/>
              <w:overflowPunct/>
              <w:topLinePunct w:val="0"/>
              <w:autoSpaceDE/>
              <w:autoSpaceDN/>
              <w:bidi w:val="0"/>
              <w:adjustRightInd w:val="0"/>
              <w:snapToGrid w:val="0"/>
              <w:spacing w:line="400" w:lineRule="exact"/>
              <w:ind w:left="110" w:leftChars="50" w:firstLine="420" w:firstLineChars="200"/>
              <w:jc w:val="left"/>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综上所述，由以上监测结果可以看出，特征因子TSP</w:t>
            </w:r>
            <w:r>
              <w:rPr>
                <w:rFonts w:hint="default" w:ascii="Times New Roman" w:hAnsi="Times New Roman" w:cs="Times New Roman"/>
                <w:color w:val="auto"/>
                <w:sz w:val="21"/>
                <w:szCs w:val="21"/>
                <w:highlight w:val="none"/>
                <w:lang w:val="en-US" w:eastAsia="zh-CN"/>
              </w:rPr>
              <w:t>日均浓度可</w:t>
            </w:r>
            <w:r>
              <w:rPr>
                <w:rFonts w:hint="default" w:ascii="Times New Roman" w:hAnsi="Times New Roman" w:cs="Times New Roman"/>
                <w:color w:val="auto"/>
                <w:sz w:val="21"/>
                <w:szCs w:val="21"/>
                <w:highlight w:val="none"/>
              </w:rPr>
              <w:t>满足《环境空气质量标准》（GB3095-2012）及其修改单中二级标准要求</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非甲烷总烃</w:t>
            </w:r>
            <w:r>
              <w:rPr>
                <w:rFonts w:hint="default" w:ascii="Times New Roman" w:hAnsi="Times New Roman" w:cs="Times New Roman"/>
                <w:color w:val="auto"/>
                <w:sz w:val="21"/>
                <w:szCs w:val="21"/>
                <w:highlight w:val="none"/>
                <w:lang w:val="en-US" w:eastAsia="zh-CN"/>
              </w:rPr>
              <w:t>1小时平均浓度可</w:t>
            </w:r>
            <w:r>
              <w:rPr>
                <w:rFonts w:hint="default" w:ascii="Times New Roman" w:hAnsi="Times New Roman" w:cs="Times New Roman"/>
                <w:color w:val="auto"/>
                <w:sz w:val="21"/>
                <w:szCs w:val="21"/>
                <w:highlight w:val="none"/>
              </w:rPr>
              <w:t>满足《环境空气质量 非甲烷总烃限值》（DB13/1577-2012）中二级标准。</w:t>
            </w:r>
          </w:p>
          <w:p w14:paraId="6396789B">
            <w:pPr>
              <w:pStyle w:val="55"/>
              <w:keepNext w:val="0"/>
              <w:keepLines w:val="0"/>
              <w:pageBreakBefore w:val="0"/>
              <w:widowControl w:val="0"/>
              <w:kinsoku/>
              <w:wordWrap/>
              <w:overflowPunct/>
              <w:topLinePunct w:val="0"/>
              <w:bidi w:val="0"/>
              <w:adjustRightInd/>
              <w:snapToGrid/>
              <w:spacing w:before="0" w:after="0" w:line="400" w:lineRule="exact"/>
              <w:ind w:left="110" w:leftChars="50" w:right="0" w:rightChars="0" w:firstLine="422"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2、地表水</w:t>
            </w:r>
          </w:p>
          <w:p w14:paraId="467DD9E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ascii="Times New Roman" w:hAnsi="Times New Roman" w:cs="Times New Roman"/>
                <w:color w:val="auto"/>
                <w:sz w:val="21"/>
                <w:szCs w:val="21"/>
                <w:lang w:val="en-US" w:bidi="ar-SA"/>
              </w:rPr>
            </w:pPr>
            <w:r>
              <w:rPr>
                <w:rFonts w:hint="default" w:ascii="Times New Roman" w:hAnsi="Times New Roman" w:eastAsia="宋体" w:cs="Times New Roman"/>
                <w:b w:val="0"/>
                <w:color w:val="auto"/>
                <w:kern w:val="0"/>
                <w:sz w:val="21"/>
                <w:szCs w:val="21"/>
                <w:lang w:val="en-US" w:eastAsia="zh-CN" w:bidi="ar-SA"/>
              </w:rPr>
              <w:t>由《河北魏县经济开发区总体发展规划(2022-2030年)环境影响报告书》中地表水环境质量现状内容可知，规划环评监测期间评价范围内地表水魏大馆渠断面各监测因子标准指数均小于1，满足《地表水环境质量标准》(GB3838-2002)Ⅳ类标准要求；近5年魏县境内东风渠地表水环境质量总体呈改善趋势，现状除COD外其他监测因子均满足《地表水环境质量标准》III类标准要求。</w:t>
            </w:r>
          </w:p>
          <w:p w14:paraId="39955837">
            <w:pPr>
              <w:pStyle w:val="55"/>
              <w:keepNext w:val="0"/>
              <w:keepLines w:val="0"/>
              <w:pageBreakBefore w:val="0"/>
              <w:widowControl w:val="0"/>
              <w:kinsoku/>
              <w:wordWrap/>
              <w:overflowPunct/>
              <w:topLinePunct w:val="0"/>
              <w:bidi w:val="0"/>
              <w:adjustRightInd/>
              <w:snapToGrid/>
              <w:spacing w:line="400" w:lineRule="exact"/>
              <w:ind w:left="110" w:leftChars="50" w:right="0" w:rightChars="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3、声环境</w:t>
            </w:r>
          </w:p>
          <w:p w14:paraId="2119CECA">
            <w:pPr>
              <w:keepNext w:val="0"/>
              <w:keepLines w:val="0"/>
              <w:pageBreakBefore w:val="0"/>
              <w:widowControl w:val="0"/>
              <w:kinsoku/>
              <w:wordWrap/>
              <w:overflowPunct/>
              <w:topLinePunct w:val="0"/>
              <w:autoSpaceDE/>
              <w:autoSpaceDN/>
              <w:bidi w:val="0"/>
              <w:adjustRightInd/>
              <w:snapToGrid/>
              <w:spacing w:before="0" w:after="0" w:line="400" w:lineRule="exact"/>
              <w:ind w:left="110" w:leftChars="5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根据《建设项目环境影响报告表编制指南（污染环境类）》（试行）中的相关规定，厂界外周边50m范围内存在声环境保护目标的建设项目，应监测保护目标声环境质量现状并评价达标情况</w:t>
            </w:r>
            <w:r>
              <w:rPr>
                <w:rFonts w:hint="default" w:ascii="Times New Roman" w:hAnsi="Times New Roman" w:eastAsia="宋体" w:cs="Times New Roman"/>
                <w:color w:val="auto"/>
                <w:sz w:val="21"/>
                <w:szCs w:val="21"/>
                <w:lang w:val="zh-CN" w:eastAsia="zh-CN"/>
              </w:rPr>
              <w:t>。本项目厂界外50m范围内，不存在声环境保护目标，不再进行声环境达标分析</w:t>
            </w:r>
            <w:r>
              <w:rPr>
                <w:rFonts w:hint="default" w:ascii="Times New Roman" w:hAnsi="Times New Roman" w:eastAsia="宋体" w:cs="Times New Roman"/>
                <w:b w:val="0"/>
                <w:color w:val="auto"/>
                <w:kern w:val="0"/>
                <w:sz w:val="21"/>
                <w:szCs w:val="21"/>
                <w:lang w:val="en-US" w:eastAsia="zh-CN" w:bidi="ar-SA"/>
              </w:rPr>
              <w:t>。</w:t>
            </w:r>
          </w:p>
          <w:p w14:paraId="62187C14">
            <w:pPr>
              <w:pStyle w:val="55"/>
              <w:keepNext w:val="0"/>
              <w:keepLines w:val="0"/>
              <w:pageBreakBefore w:val="0"/>
              <w:widowControl w:val="0"/>
              <w:kinsoku/>
              <w:wordWrap/>
              <w:overflowPunct/>
              <w:topLinePunct w:val="0"/>
              <w:autoSpaceDE w:val="0"/>
              <w:autoSpaceDN w:val="0"/>
              <w:bidi w:val="0"/>
              <w:adjustRightInd/>
              <w:snapToGrid/>
              <w:spacing w:before="0" w:line="400" w:lineRule="exact"/>
              <w:ind w:left="110" w:leftChars="5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4、生态环境</w:t>
            </w:r>
          </w:p>
          <w:p w14:paraId="533BE58B">
            <w:pPr>
              <w:pStyle w:val="96"/>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10" w:leftChars="50" w:firstLine="420" w:firstLineChars="200"/>
              <w:textAlignment w:val="auto"/>
              <w:outlineLvl w:val="9"/>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本项目位于邯郸市</w:t>
            </w:r>
            <w:r>
              <w:rPr>
                <w:rFonts w:hint="eastAsia" w:ascii="Times New Roman" w:hAnsi="Times New Roman" w:cs="Times New Roman"/>
                <w:color w:val="auto"/>
                <w:sz w:val="21"/>
                <w:szCs w:val="21"/>
                <w:lang w:val="en-US"/>
              </w:rPr>
              <w:t>魏县</w:t>
            </w:r>
            <w:r>
              <w:rPr>
                <w:rFonts w:hint="eastAsia" w:ascii="Times New Roman" w:hAnsi="Times New Roman" w:cs="Times New Roman"/>
                <w:color w:val="auto"/>
                <w:sz w:val="21"/>
                <w:szCs w:val="21"/>
                <w:lang w:val="en-US" w:eastAsia="zh-CN"/>
              </w:rPr>
              <w:t>回隆镇 平安南路路北</w:t>
            </w:r>
            <w:r>
              <w:rPr>
                <w:rFonts w:hint="default"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评价区域内无自然保护区、文物保护单位、集中式供水水源地和珍稀濒危野生动植物等敏感目标</w:t>
            </w:r>
            <w:r>
              <w:rPr>
                <w:rFonts w:hint="default" w:ascii="Times New Roman" w:hAnsi="Times New Roman" w:cs="Times New Roman"/>
                <w:color w:val="auto"/>
                <w:kern w:val="2"/>
                <w:sz w:val="21"/>
                <w:szCs w:val="21"/>
                <w:lang w:val="en-US" w:eastAsia="zh-CN" w:bidi="ar-SA"/>
              </w:rPr>
              <w:t>。</w:t>
            </w:r>
          </w:p>
          <w:p w14:paraId="1C87DDE2">
            <w:pPr>
              <w:pStyle w:val="96"/>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outlineLvl w:val="9"/>
              <w:rPr>
                <w:rFonts w:hint="default" w:ascii="Times New Roman" w:hAnsi="Times New Roman" w:cs="Times New Roman"/>
                <w:b/>
                <w:bCs/>
                <w:color w:val="auto"/>
                <w:sz w:val="21"/>
                <w:szCs w:val="21"/>
                <w:lang w:val="en-US" w:eastAsia="zh-CN"/>
              </w:rPr>
            </w:pPr>
          </w:p>
        </w:tc>
      </w:tr>
      <w:tr w14:paraId="34B79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8" w:hRule="atLeast"/>
          <w:jc w:val="center"/>
        </w:trPr>
        <w:tc>
          <w:tcPr>
            <w:tcW w:w="390" w:type="dxa"/>
            <w:tcBorders>
              <w:top w:val="single" w:color="000000" w:sz="4" w:space="0"/>
              <w:bottom w:val="single" w:color="000000" w:sz="4" w:space="0"/>
              <w:right w:val="single" w:color="000000" w:sz="4" w:space="0"/>
            </w:tcBorders>
            <w:vAlign w:val="center"/>
          </w:tcPr>
          <w:p w14:paraId="221D034B">
            <w:pPr>
              <w:pStyle w:val="55"/>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w:t>
            </w:r>
          </w:p>
          <w:p w14:paraId="0C8C6048">
            <w:pPr>
              <w:pStyle w:val="55"/>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境</w:t>
            </w:r>
          </w:p>
          <w:p w14:paraId="11F9D3D9">
            <w:pPr>
              <w:pStyle w:val="55"/>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w:t>
            </w:r>
          </w:p>
          <w:p w14:paraId="067876C4">
            <w:pPr>
              <w:pStyle w:val="55"/>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护</w:t>
            </w:r>
          </w:p>
          <w:p w14:paraId="7A0D10BF">
            <w:pPr>
              <w:pStyle w:val="55"/>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rPr>
              <w:t>目</w:t>
            </w:r>
          </w:p>
          <w:p w14:paraId="2059BCA1">
            <w:pPr>
              <w:pStyle w:val="55"/>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标</w:t>
            </w:r>
          </w:p>
        </w:tc>
        <w:tc>
          <w:tcPr>
            <w:tcW w:w="9166" w:type="dxa"/>
            <w:tcBorders>
              <w:top w:val="single" w:color="000000" w:sz="4" w:space="0"/>
              <w:left w:val="single" w:color="000000" w:sz="4" w:space="0"/>
              <w:bottom w:val="single" w:color="000000" w:sz="4" w:space="0"/>
            </w:tcBorders>
            <w:vAlign w:val="center"/>
          </w:tcPr>
          <w:p w14:paraId="3F88C7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根据该项目周围环境状况，本项目厂界外500米范围内自然保护区、风景名胜区、居住区、文化区和农村地区中人群较集中的区域等大气环境保护目标</w:t>
            </w:r>
            <w:r>
              <w:rPr>
                <w:rFonts w:hint="eastAsia" w:ascii="Times New Roman" w:hAnsi="Times New Roman" w:cs="Times New Roman"/>
                <w:color w:val="auto"/>
                <w:sz w:val="21"/>
                <w:szCs w:val="21"/>
                <w:lang w:val="en-US" w:eastAsia="zh-CN"/>
              </w:rPr>
              <w:t>为南街西村；本项目厂界外50m范围内不存在声环境保护目标；本项目厂界外500m范围内无地下水集中式饮用水水源和热水、矿泉水、温泉等特殊地下水资源；本项目用地范围内及周边无生态环境保护目标。</w:t>
            </w:r>
            <w:r>
              <w:rPr>
                <w:rFonts w:hint="default" w:ascii="Times New Roman" w:hAnsi="Times New Roman" w:cs="Times New Roman"/>
                <w:color w:val="auto"/>
                <w:sz w:val="21"/>
                <w:szCs w:val="21"/>
                <w:lang w:val="en-US" w:eastAsia="zh-CN"/>
              </w:rPr>
              <w:t>详情见下表。项目周边环境保护目标分布图见附图2。</w:t>
            </w:r>
          </w:p>
          <w:p w14:paraId="456A6338">
            <w:pPr>
              <w:spacing w:line="48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表</w:t>
            </w:r>
            <w:r>
              <w:rPr>
                <w:rFonts w:hint="default"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环境保护目标一览表</w:t>
            </w:r>
          </w:p>
          <w:tbl>
            <w:tblPr>
              <w:tblStyle w:val="34"/>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85"/>
              <w:gridCol w:w="840"/>
              <w:gridCol w:w="800"/>
              <w:gridCol w:w="696"/>
              <w:gridCol w:w="739"/>
              <w:gridCol w:w="685"/>
              <w:gridCol w:w="565"/>
              <w:gridCol w:w="455"/>
              <w:gridCol w:w="2038"/>
            </w:tblGrid>
            <w:tr w14:paraId="6937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restart"/>
                  <w:noWrap w:val="0"/>
                  <w:vAlign w:val="center"/>
                </w:tcPr>
                <w:p w14:paraId="2A2B48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w:t>
                  </w:r>
                </w:p>
                <w:p w14:paraId="6089B0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要素</w:t>
                  </w:r>
                </w:p>
              </w:tc>
              <w:tc>
                <w:tcPr>
                  <w:tcW w:w="785" w:type="dxa"/>
                  <w:vMerge w:val="restart"/>
                  <w:noWrap w:val="0"/>
                  <w:vAlign w:val="center"/>
                </w:tcPr>
                <w:p w14:paraId="59EBDC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保护对象</w:t>
                  </w:r>
                </w:p>
              </w:tc>
              <w:tc>
                <w:tcPr>
                  <w:tcW w:w="1640" w:type="dxa"/>
                  <w:gridSpan w:val="2"/>
                  <w:noWrap w:val="0"/>
                  <w:vAlign w:val="center"/>
                </w:tcPr>
                <w:p w14:paraId="436026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坐标/m</w:t>
                  </w:r>
                </w:p>
              </w:tc>
              <w:tc>
                <w:tcPr>
                  <w:tcW w:w="696" w:type="dxa"/>
                  <w:vMerge w:val="restart"/>
                  <w:noWrap w:val="0"/>
                  <w:vAlign w:val="center"/>
                </w:tcPr>
                <w:p w14:paraId="69D126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保护对象</w:t>
                  </w:r>
                </w:p>
              </w:tc>
              <w:tc>
                <w:tcPr>
                  <w:tcW w:w="739" w:type="dxa"/>
                  <w:vMerge w:val="restart"/>
                  <w:noWrap w:val="0"/>
                  <w:vAlign w:val="center"/>
                </w:tcPr>
                <w:p w14:paraId="1FBC38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保护内容</w:t>
                  </w:r>
                </w:p>
              </w:tc>
              <w:tc>
                <w:tcPr>
                  <w:tcW w:w="685" w:type="dxa"/>
                  <w:vMerge w:val="restart"/>
                  <w:noWrap w:val="0"/>
                  <w:vAlign w:val="center"/>
                </w:tcPr>
                <w:p w14:paraId="1CD8C0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环境功能区</w:t>
                  </w:r>
                </w:p>
              </w:tc>
              <w:tc>
                <w:tcPr>
                  <w:tcW w:w="565" w:type="dxa"/>
                  <w:vMerge w:val="restart"/>
                  <w:noWrap w:val="0"/>
                  <w:vAlign w:val="center"/>
                </w:tcPr>
                <w:p w14:paraId="54DE03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相对方位</w:t>
                  </w:r>
                </w:p>
              </w:tc>
              <w:tc>
                <w:tcPr>
                  <w:tcW w:w="455" w:type="dxa"/>
                  <w:vMerge w:val="restart"/>
                  <w:noWrap w:val="0"/>
                  <w:vAlign w:val="center"/>
                </w:tcPr>
                <w:p w14:paraId="66891D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距离(m)</w:t>
                  </w:r>
                </w:p>
              </w:tc>
              <w:tc>
                <w:tcPr>
                  <w:tcW w:w="2038" w:type="dxa"/>
                  <w:vMerge w:val="restart"/>
                  <w:noWrap w:val="0"/>
                  <w:vAlign w:val="center"/>
                </w:tcPr>
                <w:p w14:paraId="51FD3D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14:paraId="02A8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continue"/>
                  <w:noWrap w:val="0"/>
                  <w:vAlign w:val="center"/>
                </w:tcPr>
                <w:p w14:paraId="3DDCA8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p>
              </w:tc>
              <w:tc>
                <w:tcPr>
                  <w:tcW w:w="785" w:type="dxa"/>
                  <w:vMerge w:val="continue"/>
                  <w:noWrap w:val="0"/>
                  <w:vAlign w:val="center"/>
                </w:tcPr>
                <w:p w14:paraId="56E963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rPr>
                  </w:pPr>
                </w:p>
              </w:tc>
              <w:tc>
                <w:tcPr>
                  <w:tcW w:w="840" w:type="dxa"/>
                  <w:noWrap w:val="0"/>
                  <w:vAlign w:val="center"/>
                </w:tcPr>
                <w:p w14:paraId="3DC4BC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纬度</w:t>
                  </w:r>
                </w:p>
              </w:tc>
              <w:tc>
                <w:tcPr>
                  <w:tcW w:w="800" w:type="dxa"/>
                  <w:noWrap w:val="0"/>
                  <w:vAlign w:val="center"/>
                </w:tcPr>
                <w:p w14:paraId="38BB70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经度</w:t>
                  </w:r>
                </w:p>
              </w:tc>
              <w:tc>
                <w:tcPr>
                  <w:tcW w:w="696" w:type="dxa"/>
                  <w:vMerge w:val="continue"/>
                  <w:noWrap w:val="0"/>
                  <w:vAlign w:val="center"/>
                </w:tcPr>
                <w:p w14:paraId="2C9888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739" w:type="dxa"/>
                  <w:vMerge w:val="continue"/>
                  <w:noWrap w:val="0"/>
                  <w:vAlign w:val="center"/>
                </w:tcPr>
                <w:p w14:paraId="32E17F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685" w:type="dxa"/>
                  <w:vMerge w:val="continue"/>
                  <w:noWrap w:val="0"/>
                  <w:vAlign w:val="center"/>
                </w:tcPr>
                <w:p w14:paraId="6E945C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565" w:type="dxa"/>
                  <w:vMerge w:val="continue"/>
                  <w:noWrap w:val="0"/>
                  <w:vAlign w:val="center"/>
                </w:tcPr>
                <w:p w14:paraId="63959C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455" w:type="dxa"/>
                  <w:vMerge w:val="continue"/>
                  <w:noWrap w:val="0"/>
                  <w:vAlign w:val="center"/>
                </w:tcPr>
                <w:p w14:paraId="227A9F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2038" w:type="dxa"/>
                  <w:vMerge w:val="continue"/>
                  <w:noWrap w:val="0"/>
                  <w:vAlign w:val="center"/>
                </w:tcPr>
                <w:p w14:paraId="0E3E0F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r>
            <w:tr w14:paraId="6B4C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35" w:type="dxa"/>
                  <w:noWrap w:val="0"/>
                  <w:vAlign w:val="center"/>
                </w:tcPr>
                <w:p w14:paraId="032F44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14:paraId="4AEA36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空气</w:t>
                  </w:r>
                </w:p>
              </w:tc>
              <w:tc>
                <w:tcPr>
                  <w:tcW w:w="785" w:type="dxa"/>
                  <w:noWrap w:val="0"/>
                  <w:vAlign w:val="center"/>
                </w:tcPr>
                <w:p w14:paraId="6D8A26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南街西村</w:t>
                  </w:r>
                </w:p>
              </w:tc>
              <w:tc>
                <w:tcPr>
                  <w:tcW w:w="840" w:type="dxa"/>
                  <w:noWrap w:val="0"/>
                  <w:vAlign w:val="center"/>
                </w:tcPr>
                <w:p w14:paraId="5122D8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w:t>
                  </w:r>
                  <w:r>
                    <w:rPr>
                      <w:rFonts w:hint="default" w:ascii="Times New Roman" w:hAnsi="Times New Roman" w:cs="Times New Roman"/>
                      <w:color w:val="auto"/>
                      <w:sz w:val="21"/>
                      <w:szCs w:val="21"/>
                    </w:rPr>
                    <w:t>8′52.110</w:t>
                  </w:r>
                  <w:r>
                    <w:rPr>
                      <w:rFonts w:hint="default" w:ascii="Times New Roman" w:hAnsi="Times New Roman" w:eastAsia="宋体" w:cs="Times New Roman"/>
                      <w:color w:val="auto"/>
                      <w:sz w:val="21"/>
                      <w:szCs w:val="21"/>
                      <w:highlight w:val="none"/>
                      <w:lang w:val="en-US" w:eastAsia="zh-CN"/>
                    </w:rPr>
                    <w:t>″</w:t>
                  </w:r>
                </w:p>
              </w:tc>
              <w:tc>
                <w:tcPr>
                  <w:tcW w:w="800" w:type="dxa"/>
                  <w:noWrap w:val="0"/>
                  <w:vAlign w:val="center"/>
                </w:tcPr>
                <w:p w14:paraId="2CC221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rPr>
                    <w:t>114°45′55.697</w:t>
                  </w:r>
                  <w:r>
                    <w:rPr>
                      <w:rFonts w:hint="default" w:ascii="Times New Roman" w:hAnsi="Times New Roman" w:eastAsia="宋体" w:cs="Times New Roman"/>
                      <w:color w:val="auto"/>
                      <w:sz w:val="21"/>
                      <w:szCs w:val="21"/>
                      <w:highlight w:val="none"/>
                      <w:lang w:val="en-US" w:eastAsia="zh-CN"/>
                    </w:rPr>
                    <w:t>″</w:t>
                  </w:r>
                </w:p>
              </w:tc>
              <w:tc>
                <w:tcPr>
                  <w:tcW w:w="696" w:type="dxa"/>
                  <w:noWrap w:val="0"/>
                  <w:vAlign w:val="center"/>
                </w:tcPr>
                <w:p w14:paraId="6F36F3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居民</w:t>
                  </w:r>
                </w:p>
              </w:tc>
              <w:tc>
                <w:tcPr>
                  <w:tcW w:w="739" w:type="dxa"/>
                  <w:noWrap w:val="0"/>
                  <w:vAlign w:val="center"/>
                </w:tcPr>
                <w:p w14:paraId="4E968B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居民区</w:t>
                  </w:r>
                </w:p>
              </w:tc>
              <w:tc>
                <w:tcPr>
                  <w:tcW w:w="685" w:type="dxa"/>
                  <w:noWrap w:val="0"/>
                  <w:vAlign w:val="center"/>
                </w:tcPr>
                <w:p w14:paraId="0B9FBC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二类区</w:t>
                  </w:r>
                </w:p>
              </w:tc>
              <w:tc>
                <w:tcPr>
                  <w:tcW w:w="565" w:type="dxa"/>
                  <w:noWrap w:val="0"/>
                  <w:vAlign w:val="center"/>
                </w:tcPr>
                <w:p w14:paraId="6D35B3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东</w:t>
                  </w:r>
                </w:p>
              </w:tc>
              <w:tc>
                <w:tcPr>
                  <w:tcW w:w="455" w:type="dxa"/>
                  <w:noWrap w:val="0"/>
                  <w:vAlign w:val="center"/>
                </w:tcPr>
                <w:p w14:paraId="3E79F7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200</w:t>
                  </w:r>
                </w:p>
              </w:tc>
              <w:tc>
                <w:tcPr>
                  <w:tcW w:w="2038" w:type="dxa"/>
                  <w:noWrap w:val="0"/>
                  <w:vAlign w:val="center"/>
                </w:tcPr>
                <w:p w14:paraId="513D4458">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《环境空气质量标准》(GB3095-2012)及修改单二级标准</w:t>
                  </w:r>
                </w:p>
              </w:tc>
            </w:tr>
          </w:tbl>
          <w:p w14:paraId="2F081DD9">
            <w:pPr>
              <w:keepNext w:val="0"/>
              <w:keepLines w:val="0"/>
              <w:pageBreakBefore w:val="0"/>
              <w:widowControl w:val="0"/>
              <w:kinsoku/>
              <w:wordWrap/>
              <w:overflowPunct/>
              <w:topLinePunct w:val="0"/>
              <w:autoSpaceDE/>
              <w:autoSpaceDN/>
              <w:bidi w:val="0"/>
              <w:adjustRightInd/>
              <w:snapToGrid/>
              <w:spacing w:line="400" w:lineRule="exact"/>
              <w:ind w:left="110" w:leftChars="50" w:firstLine="420" w:firstLineChars="200"/>
              <w:jc w:val="both"/>
              <w:textAlignment w:val="auto"/>
              <w:rPr>
                <w:rFonts w:hint="default" w:ascii="Times New Roman" w:hAnsi="Times New Roman" w:cs="Times New Roman"/>
                <w:color w:val="auto"/>
                <w:sz w:val="21"/>
                <w:szCs w:val="21"/>
              </w:rPr>
            </w:pPr>
          </w:p>
        </w:tc>
      </w:tr>
      <w:tr w14:paraId="06AD3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1" w:hRule="atLeast"/>
          <w:jc w:val="center"/>
        </w:trPr>
        <w:tc>
          <w:tcPr>
            <w:tcW w:w="390" w:type="dxa"/>
            <w:tcBorders>
              <w:top w:val="single" w:color="000000" w:sz="4" w:space="0"/>
              <w:bottom w:val="single" w:color="000000" w:sz="4" w:space="0"/>
              <w:right w:val="single" w:color="000000" w:sz="4" w:space="0"/>
            </w:tcBorders>
            <w:vAlign w:val="center"/>
          </w:tcPr>
          <w:p w14:paraId="449959B7">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w:t>
            </w:r>
          </w:p>
          <w:p w14:paraId="12875908">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染</w:t>
            </w:r>
          </w:p>
          <w:p w14:paraId="475BF7D3">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物</w:t>
            </w:r>
          </w:p>
          <w:p w14:paraId="362137EE">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w:t>
            </w:r>
          </w:p>
          <w:p w14:paraId="79BF6381">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放</w:t>
            </w:r>
          </w:p>
          <w:p w14:paraId="65C06930">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控</w:t>
            </w:r>
          </w:p>
          <w:p w14:paraId="18733EBB">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制</w:t>
            </w:r>
          </w:p>
          <w:p w14:paraId="6C8CDF25">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w:t>
            </w:r>
          </w:p>
          <w:p w14:paraId="18F3C76C">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准</w:t>
            </w:r>
          </w:p>
        </w:tc>
        <w:tc>
          <w:tcPr>
            <w:tcW w:w="9166" w:type="dxa"/>
            <w:tcBorders>
              <w:top w:val="single" w:color="000000" w:sz="4" w:space="0"/>
              <w:left w:val="single" w:color="000000" w:sz="4" w:space="0"/>
              <w:bottom w:val="single" w:color="000000" w:sz="4" w:space="0"/>
            </w:tcBorders>
            <w:vAlign w:val="center"/>
          </w:tcPr>
          <w:p w14:paraId="4E14A0E4">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1、废气</w:t>
            </w:r>
          </w:p>
          <w:p w14:paraId="6710DB8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bCs w:val="0"/>
                <w:color w:val="auto"/>
                <w:sz w:val="21"/>
                <w:szCs w:val="21"/>
                <w:highlight w:val="none"/>
                <w:lang w:eastAsia="zh-CN"/>
              </w:rPr>
              <w:t>（</w:t>
            </w:r>
            <w:r>
              <w:rPr>
                <w:rFonts w:hint="eastAsia" w:ascii="Times New Roman" w:hAnsi="Times New Roman" w:eastAsia="宋体" w:cs="Times New Roman"/>
                <w:b/>
                <w:bCs w:val="0"/>
                <w:color w:val="auto"/>
                <w:sz w:val="21"/>
                <w:szCs w:val="21"/>
                <w:highlight w:val="none"/>
                <w:lang w:val="en-US" w:eastAsia="zh-CN"/>
              </w:rPr>
              <w:t>1</w:t>
            </w:r>
            <w:r>
              <w:rPr>
                <w:rFonts w:hint="eastAsia" w:ascii="Times New Roman" w:hAnsi="Times New Roman" w:eastAsia="宋体" w:cs="Times New Roman"/>
                <w:b/>
                <w:bCs w:val="0"/>
                <w:color w:val="auto"/>
                <w:sz w:val="21"/>
                <w:szCs w:val="21"/>
                <w:highlight w:val="none"/>
                <w:lang w:eastAsia="zh-CN"/>
              </w:rPr>
              <w:t>）</w:t>
            </w:r>
            <w:r>
              <w:rPr>
                <w:rFonts w:hint="eastAsia" w:ascii="Times New Roman" w:hAnsi="Times New Roman" w:eastAsia="宋体" w:cs="Times New Roman"/>
                <w:b/>
                <w:bCs w:val="0"/>
                <w:color w:val="auto"/>
                <w:sz w:val="21"/>
                <w:szCs w:val="21"/>
                <w:highlight w:val="none"/>
                <w:lang w:val="en-US" w:eastAsia="zh-CN"/>
              </w:rPr>
              <w:t>美缝剂</w:t>
            </w:r>
            <w:r>
              <w:rPr>
                <w:rFonts w:hint="eastAsia" w:ascii="Times New Roman" w:hAnsi="Times New Roman" w:eastAsia="宋体" w:cs="Times New Roman"/>
                <w:b/>
                <w:bCs w:val="0"/>
                <w:color w:val="auto"/>
                <w:sz w:val="21"/>
                <w:szCs w:val="21"/>
                <w:highlight w:val="none"/>
                <w:lang w:eastAsia="zh-CN"/>
              </w:rPr>
              <w:t>生产线废气排放口（DA001）</w:t>
            </w:r>
            <w:r>
              <w:rPr>
                <w:rFonts w:hint="default" w:ascii="Times New Roman" w:hAnsi="Times New Roman" w:eastAsia="宋体" w:cs="Times New Roman"/>
                <w:b/>
                <w:bCs w:val="0"/>
                <w:color w:val="auto"/>
                <w:sz w:val="21"/>
                <w:szCs w:val="21"/>
                <w:highlight w:val="none"/>
                <w:lang w:eastAsia="zh-CN"/>
              </w:rPr>
              <w:t>：</w:t>
            </w:r>
            <w:r>
              <w:rPr>
                <w:rFonts w:hint="default" w:ascii="Times New Roman" w:hAnsi="Times New Roman" w:eastAsia="宋体" w:cs="Times New Roman"/>
                <w:b w:val="0"/>
                <w:bCs/>
                <w:color w:val="auto"/>
                <w:sz w:val="21"/>
                <w:szCs w:val="21"/>
                <w:highlight w:val="none"/>
                <w:lang w:eastAsia="zh-CN"/>
              </w:rPr>
              <w:t>颗粒物、</w:t>
            </w:r>
            <w:r>
              <w:rPr>
                <w:rFonts w:hint="eastAsia" w:ascii="Times New Roman" w:hAnsi="Times New Roman" w:eastAsia="宋体" w:cs="Times New Roman"/>
                <w:b w:val="0"/>
                <w:bCs/>
                <w:color w:val="auto"/>
                <w:sz w:val="21"/>
                <w:szCs w:val="21"/>
                <w:highlight w:val="none"/>
                <w:lang w:eastAsia="zh-CN"/>
              </w:rPr>
              <w:t>非甲烷总烃</w:t>
            </w:r>
            <w:r>
              <w:rPr>
                <w:rFonts w:hint="default" w:ascii="Times New Roman" w:hAnsi="Times New Roman" w:eastAsia="宋体" w:cs="Times New Roman"/>
                <w:b w:val="0"/>
                <w:bCs/>
                <w:color w:val="auto"/>
                <w:sz w:val="21"/>
                <w:szCs w:val="21"/>
                <w:highlight w:val="none"/>
                <w:lang w:eastAsia="zh-CN"/>
              </w:rPr>
              <w:t>有组织排放执行《涂料、油墨及胶粘剂工业大气污染物排放标准》（GB 37824</w:t>
            </w:r>
            <w:r>
              <w:rPr>
                <w:rFonts w:hint="eastAsia"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lang w:eastAsia="zh-CN"/>
              </w:rPr>
              <w:t>2019）表2大气污染物特别排放限值，即：颗粒物排放浓度≤</w:t>
            </w:r>
            <w:r>
              <w:rPr>
                <w:rFonts w:hint="eastAsia" w:ascii="Times New Roman" w:hAnsi="Times New Roman" w:eastAsia="宋体" w:cs="Times New Roman"/>
                <w:b w:val="0"/>
                <w:bCs/>
                <w:color w:val="auto"/>
                <w:sz w:val="21"/>
                <w:szCs w:val="21"/>
                <w:highlight w:val="none"/>
                <w:lang w:val="en-US" w:eastAsia="zh-CN"/>
              </w:rPr>
              <w:t>20</w:t>
            </w:r>
            <w:r>
              <w:rPr>
                <w:rFonts w:hint="default" w:ascii="Times New Roman" w:hAnsi="Times New Roman" w:eastAsia="宋体" w:cs="Times New Roman"/>
                <w:b w:val="0"/>
                <w:bCs/>
                <w:color w:val="auto"/>
                <w:sz w:val="21"/>
                <w:szCs w:val="21"/>
                <w:highlight w:val="none"/>
                <w:lang w:eastAsia="zh-CN"/>
              </w:rPr>
              <w:t>mg/m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lang w:eastAsia="zh-CN"/>
              </w:rPr>
              <w:t>，</w:t>
            </w:r>
            <w:r>
              <w:rPr>
                <w:rFonts w:hint="eastAsia" w:ascii="Times New Roman" w:hAnsi="Times New Roman" w:eastAsia="宋体" w:cs="Times New Roman"/>
                <w:b w:val="0"/>
                <w:bCs/>
                <w:color w:val="auto"/>
                <w:sz w:val="21"/>
                <w:szCs w:val="21"/>
                <w:highlight w:val="none"/>
                <w:lang w:eastAsia="zh-CN"/>
              </w:rPr>
              <w:t>非甲烷总烃</w:t>
            </w:r>
            <w:r>
              <w:rPr>
                <w:rFonts w:hint="default" w:ascii="Times New Roman" w:hAnsi="Times New Roman" w:eastAsia="宋体" w:cs="Times New Roman"/>
                <w:b w:val="0"/>
                <w:bCs/>
                <w:color w:val="auto"/>
                <w:sz w:val="21"/>
                <w:szCs w:val="21"/>
                <w:highlight w:val="none"/>
                <w:lang w:eastAsia="zh-CN"/>
              </w:rPr>
              <w:t>排放浓度≤</w:t>
            </w:r>
            <w:r>
              <w:rPr>
                <w:rFonts w:hint="eastAsia" w:ascii="Times New Roman" w:hAnsi="Times New Roman" w:eastAsia="宋体" w:cs="Times New Roman"/>
                <w:b w:val="0"/>
                <w:bCs/>
                <w:color w:val="auto"/>
                <w:sz w:val="21"/>
                <w:szCs w:val="21"/>
                <w:highlight w:val="none"/>
                <w:lang w:val="en-US" w:eastAsia="zh-CN"/>
              </w:rPr>
              <w:t>6</w:t>
            </w:r>
            <w:r>
              <w:rPr>
                <w:rFonts w:hint="default" w:ascii="Times New Roman" w:hAnsi="Times New Roman" w:eastAsia="宋体" w:cs="Times New Roman"/>
                <w:b w:val="0"/>
                <w:bCs/>
                <w:color w:val="auto"/>
                <w:sz w:val="21"/>
                <w:szCs w:val="21"/>
                <w:highlight w:val="none"/>
                <w:lang w:eastAsia="zh-CN"/>
              </w:rPr>
              <w:t>0mg/m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lang w:eastAsia="zh-CN"/>
              </w:rPr>
              <w:t>。</w:t>
            </w:r>
          </w:p>
          <w:p w14:paraId="6542143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bCs w:val="0"/>
                <w:color w:val="auto"/>
                <w:sz w:val="21"/>
                <w:szCs w:val="21"/>
                <w:highlight w:val="none"/>
                <w:lang w:eastAsia="zh-CN"/>
              </w:rPr>
              <w:t>（</w:t>
            </w:r>
            <w:r>
              <w:rPr>
                <w:rFonts w:hint="eastAsia" w:ascii="Times New Roman" w:hAnsi="Times New Roman" w:eastAsia="宋体" w:cs="Times New Roman"/>
                <w:b/>
                <w:bCs w:val="0"/>
                <w:color w:val="auto"/>
                <w:sz w:val="21"/>
                <w:szCs w:val="21"/>
                <w:highlight w:val="none"/>
                <w:lang w:val="en-US" w:eastAsia="zh-CN"/>
              </w:rPr>
              <w:t>2</w:t>
            </w:r>
            <w:r>
              <w:rPr>
                <w:rFonts w:hint="eastAsia" w:ascii="Times New Roman" w:hAnsi="Times New Roman" w:eastAsia="宋体" w:cs="Times New Roman"/>
                <w:b/>
                <w:bCs w:val="0"/>
                <w:color w:val="auto"/>
                <w:sz w:val="21"/>
                <w:szCs w:val="21"/>
                <w:highlight w:val="none"/>
                <w:lang w:eastAsia="zh-CN"/>
              </w:rPr>
              <w:t>）厂界</w:t>
            </w:r>
            <w:r>
              <w:rPr>
                <w:rFonts w:hint="default" w:ascii="Times New Roman" w:hAnsi="Times New Roman" w:eastAsia="宋体" w:cs="Times New Roman"/>
                <w:b/>
                <w:bCs w:val="0"/>
                <w:color w:val="auto"/>
                <w:sz w:val="21"/>
                <w:szCs w:val="21"/>
                <w:highlight w:val="none"/>
                <w:lang w:eastAsia="zh-CN"/>
              </w:rPr>
              <w:t>无组织废气：</w:t>
            </w:r>
            <w:r>
              <w:rPr>
                <w:rFonts w:hint="eastAsia" w:ascii="Times New Roman" w:hAnsi="Times New Roman" w:eastAsia="宋体" w:cs="Times New Roman"/>
                <w:b w:val="0"/>
                <w:bCs/>
                <w:color w:val="auto"/>
                <w:sz w:val="21"/>
                <w:szCs w:val="21"/>
                <w:highlight w:val="none"/>
                <w:lang w:eastAsia="zh-CN"/>
              </w:rPr>
              <w:t>厂界</w:t>
            </w:r>
            <w:r>
              <w:rPr>
                <w:rFonts w:hint="default" w:ascii="Times New Roman" w:hAnsi="Times New Roman" w:eastAsia="宋体" w:cs="Times New Roman"/>
                <w:b w:val="0"/>
                <w:bCs/>
                <w:color w:val="auto"/>
                <w:sz w:val="21"/>
                <w:szCs w:val="21"/>
                <w:highlight w:val="none"/>
                <w:lang w:eastAsia="zh-CN"/>
              </w:rPr>
              <w:t>无组织非甲烷总烃执行《工业企业挥发性有机物排放控制标准》(DB13/2322-2016)表2企业边界大气污染物浓度限值，即厂界非甲烷总烃≤2.0mg/m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lang w:eastAsia="zh-CN"/>
              </w:rPr>
              <w:t>；</w:t>
            </w:r>
          </w:p>
          <w:p w14:paraId="638DA0D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val="0"/>
                <w:bCs/>
                <w:color w:val="auto"/>
                <w:sz w:val="21"/>
                <w:szCs w:val="21"/>
                <w:highlight w:val="none"/>
                <w:lang w:eastAsia="zh-CN"/>
              </w:rPr>
              <w:t>厂界</w:t>
            </w:r>
            <w:r>
              <w:rPr>
                <w:rFonts w:hint="default" w:ascii="Times New Roman" w:hAnsi="Times New Roman" w:eastAsia="宋体" w:cs="Times New Roman"/>
                <w:b w:val="0"/>
                <w:bCs/>
                <w:color w:val="auto"/>
                <w:sz w:val="21"/>
                <w:szCs w:val="21"/>
                <w:highlight w:val="none"/>
                <w:lang w:eastAsia="zh-CN"/>
              </w:rPr>
              <w:t>无组织颗粒物执行《大气污染物综合排放标准》(GB12697-1996)表2无组织排放监控浓度限值要求，即：厂界颗粒物≤1mg/m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lang w:eastAsia="zh-CN"/>
              </w:rPr>
              <w:t>（肉眼不可见）。</w:t>
            </w:r>
          </w:p>
          <w:p w14:paraId="40BE2FF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bCs w:val="0"/>
                <w:color w:val="auto"/>
                <w:sz w:val="21"/>
                <w:szCs w:val="21"/>
                <w:highlight w:val="none"/>
                <w:lang w:eastAsia="zh-CN"/>
              </w:rPr>
              <w:t>（</w:t>
            </w:r>
            <w:r>
              <w:rPr>
                <w:rFonts w:hint="eastAsia" w:ascii="Times New Roman" w:hAnsi="Times New Roman" w:eastAsia="宋体" w:cs="Times New Roman"/>
                <w:b/>
                <w:bCs w:val="0"/>
                <w:color w:val="auto"/>
                <w:sz w:val="21"/>
                <w:szCs w:val="21"/>
                <w:highlight w:val="none"/>
                <w:lang w:val="en-US" w:eastAsia="zh-CN"/>
              </w:rPr>
              <w:t>3</w:t>
            </w:r>
            <w:r>
              <w:rPr>
                <w:rFonts w:hint="eastAsia" w:ascii="Times New Roman" w:hAnsi="Times New Roman" w:eastAsia="宋体" w:cs="Times New Roman"/>
                <w:b/>
                <w:bCs w:val="0"/>
                <w:color w:val="auto"/>
                <w:sz w:val="21"/>
                <w:szCs w:val="21"/>
                <w:highlight w:val="none"/>
                <w:lang w:eastAsia="zh-CN"/>
              </w:rPr>
              <w:t>）厂区内无组织废气：</w:t>
            </w:r>
            <w:r>
              <w:rPr>
                <w:rFonts w:hint="default" w:ascii="Times New Roman" w:hAnsi="Times New Roman" w:eastAsia="宋体" w:cs="Times New Roman"/>
                <w:b w:val="0"/>
                <w:bCs/>
                <w:color w:val="auto"/>
                <w:sz w:val="21"/>
                <w:szCs w:val="21"/>
                <w:highlight w:val="none"/>
                <w:lang w:eastAsia="zh-CN"/>
              </w:rPr>
              <w:t>厂区内非甲烷总烃</w:t>
            </w:r>
            <w:r>
              <w:rPr>
                <w:rFonts w:hint="eastAsia" w:ascii="Times New Roman" w:hAnsi="Times New Roman" w:cs="Times New Roman"/>
                <w:b w:val="0"/>
                <w:bCs/>
                <w:color w:val="auto"/>
                <w:sz w:val="21"/>
                <w:szCs w:val="21"/>
                <w:highlight w:val="none"/>
                <w:lang w:val="en-US" w:eastAsia="zh-CN"/>
              </w:rPr>
              <w:t>满足《挥发性有机物无组织排放控制标准（GB 37822—2019）》表A.1以及</w:t>
            </w:r>
            <w:r>
              <w:rPr>
                <w:rFonts w:hint="default" w:ascii="Times New Roman" w:hAnsi="Times New Roman" w:eastAsia="宋体" w:cs="Times New Roman"/>
                <w:b w:val="0"/>
                <w:bCs/>
                <w:color w:val="auto"/>
                <w:sz w:val="21"/>
                <w:szCs w:val="21"/>
                <w:highlight w:val="none"/>
                <w:lang w:eastAsia="zh-CN"/>
              </w:rPr>
              <w:t>《涂料、油墨及胶粘剂工业大气污染物排放标准》（GB 37824</w:t>
            </w:r>
            <w:r>
              <w:rPr>
                <w:rFonts w:hint="eastAsia"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lang w:eastAsia="zh-CN"/>
              </w:rPr>
              <w:t>2019）表 B.1 厂区内 VOCs 无组织</w:t>
            </w:r>
            <w:r>
              <w:rPr>
                <w:rFonts w:hint="eastAsia" w:ascii="Times New Roman" w:hAnsi="Times New Roman" w:eastAsia="宋体" w:cs="Times New Roman"/>
                <w:b w:val="0"/>
                <w:bCs/>
                <w:color w:val="auto"/>
                <w:sz w:val="21"/>
                <w:szCs w:val="21"/>
                <w:highlight w:val="none"/>
                <w:lang w:eastAsia="zh-CN"/>
              </w:rPr>
              <w:t>特别</w:t>
            </w:r>
            <w:r>
              <w:rPr>
                <w:rFonts w:hint="default" w:ascii="Times New Roman" w:hAnsi="Times New Roman" w:eastAsia="宋体" w:cs="Times New Roman"/>
                <w:b w:val="0"/>
                <w:bCs/>
                <w:color w:val="auto"/>
                <w:sz w:val="21"/>
                <w:szCs w:val="21"/>
                <w:highlight w:val="none"/>
                <w:lang w:eastAsia="zh-CN"/>
              </w:rPr>
              <w:t>排放限值，即厂区内监控点处1h平均浓度值≤6mg/m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lang w:eastAsia="zh-CN"/>
              </w:rPr>
              <w:t>、监控点处任意一次浓度值≤20mg/m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lang w:eastAsia="zh-CN"/>
              </w:rPr>
              <w:t>。</w:t>
            </w:r>
          </w:p>
          <w:p w14:paraId="1BAFAA9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rPr>
              <w:t>表</w:t>
            </w:r>
            <w:r>
              <w:rPr>
                <w:rFonts w:hint="eastAsia" w:ascii="Times New Roman" w:hAnsi="Times New Roman" w:eastAsia="宋体" w:cs="Times New Roman"/>
                <w:b/>
                <w:bCs/>
                <w:color w:val="auto"/>
                <w:sz w:val="21"/>
                <w:szCs w:val="21"/>
                <w:highlight w:val="none"/>
                <w:lang w:val="en-US" w:eastAsia="zh-CN"/>
              </w:rPr>
              <w:t>3.</w:t>
            </w:r>
            <w:r>
              <w:rPr>
                <w:rFonts w:hint="eastAsia" w:ascii="Times New Roman" w:hAnsi="Times New Roman"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zh-CN"/>
              </w:rPr>
              <w:t>大气污染物排放限值</w:t>
            </w:r>
            <w:r>
              <w:rPr>
                <w:rFonts w:hint="default" w:ascii="Times New Roman" w:hAnsi="Times New Roman" w:eastAsia="宋体" w:cs="Times New Roman"/>
                <w:b/>
                <w:bCs/>
                <w:color w:val="auto"/>
                <w:sz w:val="21"/>
                <w:szCs w:val="21"/>
                <w:highlight w:val="none"/>
                <w:lang w:val="en-US" w:eastAsia="zh-CN"/>
              </w:rPr>
              <w:t>一览表</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02"/>
              <w:gridCol w:w="1188"/>
              <w:gridCol w:w="1741"/>
              <w:gridCol w:w="570"/>
              <w:gridCol w:w="705"/>
              <w:gridCol w:w="3094"/>
            </w:tblGrid>
            <w:tr w14:paraId="4A9C3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602" w:type="dxa"/>
                  <w:noWrap w:val="0"/>
                  <w:vAlign w:val="center"/>
                </w:tcPr>
                <w:p w14:paraId="074015E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1188" w:type="dxa"/>
                  <w:noWrap w:val="0"/>
                  <w:vAlign w:val="center"/>
                </w:tcPr>
                <w:p w14:paraId="5692F8D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w:t>
                  </w:r>
                </w:p>
              </w:tc>
              <w:tc>
                <w:tcPr>
                  <w:tcW w:w="2311" w:type="dxa"/>
                  <w:gridSpan w:val="2"/>
                  <w:noWrap w:val="0"/>
                  <w:vAlign w:val="center"/>
                </w:tcPr>
                <w:p w14:paraId="409D854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标准值</w:t>
                  </w:r>
                </w:p>
              </w:tc>
              <w:tc>
                <w:tcPr>
                  <w:tcW w:w="705" w:type="dxa"/>
                  <w:noWrap w:val="0"/>
                  <w:vAlign w:val="center"/>
                </w:tcPr>
                <w:p w14:paraId="3885493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单位</w:t>
                  </w:r>
                </w:p>
              </w:tc>
              <w:tc>
                <w:tcPr>
                  <w:tcW w:w="3094" w:type="dxa"/>
                  <w:noWrap w:val="0"/>
                  <w:vAlign w:val="center"/>
                </w:tcPr>
                <w:p w14:paraId="77356FE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标准来源</w:t>
                  </w:r>
                </w:p>
              </w:tc>
            </w:tr>
            <w:tr w14:paraId="6688A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602" w:type="dxa"/>
                  <w:vMerge w:val="restart"/>
                  <w:noWrap w:val="0"/>
                  <w:vAlign w:val="center"/>
                </w:tcPr>
                <w:p w14:paraId="4B52A7B6">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美缝剂</w:t>
                  </w:r>
                  <w:r>
                    <w:rPr>
                      <w:rFonts w:hint="eastAsia" w:ascii="Times New Roman" w:hAnsi="Times New Roman" w:cs="Times New Roman"/>
                      <w:color w:val="auto"/>
                      <w:sz w:val="21"/>
                      <w:szCs w:val="21"/>
                      <w:lang w:eastAsia="zh-CN"/>
                    </w:rPr>
                    <w:t>生产线废气排放口</w:t>
                  </w:r>
                  <w:r>
                    <w:rPr>
                      <w:rFonts w:hint="default" w:ascii="Times New Roman" w:hAnsi="Times New Roman" w:eastAsia="宋体" w:cs="Times New Roman"/>
                      <w:color w:val="auto"/>
                      <w:sz w:val="21"/>
                      <w:szCs w:val="21"/>
                      <w:lang w:eastAsia="zh-CN"/>
                    </w:rPr>
                    <w:t>（DA001）</w:t>
                  </w:r>
                </w:p>
              </w:tc>
              <w:tc>
                <w:tcPr>
                  <w:tcW w:w="1188" w:type="dxa"/>
                  <w:noWrap w:val="0"/>
                  <w:vAlign w:val="center"/>
                </w:tcPr>
                <w:p w14:paraId="5F49D9E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颗粒物</w:t>
                  </w:r>
                </w:p>
              </w:tc>
              <w:tc>
                <w:tcPr>
                  <w:tcW w:w="1741" w:type="dxa"/>
                  <w:noWrap w:val="0"/>
                  <w:vAlign w:val="center"/>
                </w:tcPr>
                <w:p w14:paraId="12D82DF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570" w:type="dxa"/>
                  <w:noWrap w:val="0"/>
                  <w:vAlign w:val="center"/>
                </w:tcPr>
                <w:p w14:paraId="77BDE51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b w:val="0"/>
                      <w:bCs w:val="0"/>
                      <w:color w:val="auto"/>
                      <w:sz w:val="21"/>
                      <w:szCs w:val="21"/>
                      <w:lang w:val="en-US" w:eastAsia="zh-CN"/>
                    </w:rPr>
                    <w:t>20</w:t>
                  </w:r>
                </w:p>
              </w:tc>
              <w:tc>
                <w:tcPr>
                  <w:tcW w:w="705" w:type="dxa"/>
                  <w:noWrap w:val="0"/>
                  <w:vAlign w:val="center"/>
                </w:tcPr>
                <w:p w14:paraId="4384618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094" w:type="dxa"/>
                  <w:vMerge w:val="restart"/>
                  <w:noWrap w:val="0"/>
                  <w:vAlign w:val="center"/>
                </w:tcPr>
                <w:p w14:paraId="4F8EEE1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《涂料、油墨及胶粘剂工业大气污染物排放标准》（GB 37824-2019）表2大气污染物特别排放限值</w:t>
                  </w:r>
                </w:p>
              </w:tc>
            </w:tr>
            <w:tr w14:paraId="08837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8" w:hRule="atLeast"/>
                <w:jc w:val="center"/>
              </w:trPr>
              <w:tc>
                <w:tcPr>
                  <w:tcW w:w="1602" w:type="dxa"/>
                  <w:vMerge w:val="continue"/>
                  <w:noWrap w:val="0"/>
                  <w:vAlign w:val="center"/>
                </w:tcPr>
                <w:p w14:paraId="566E3E9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color w:val="auto"/>
                    </w:rPr>
                  </w:pPr>
                </w:p>
              </w:tc>
              <w:tc>
                <w:tcPr>
                  <w:tcW w:w="1188" w:type="dxa"/>
                  <w:noWrap w:val="0"/>
                  <w:vAlign w:val="center"/>
                </w:tcPr>
                <w:p w14:paraId="4AE68DD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color w:val="auto"/>
                    </w:rPr>
                  </w:pPr>
                  <w:r>
                    <w:rPr>
                      <w:rFonts w:hint="eastAsia" w:ascii="Times New Roman" w:hAnsi="Times New Roman" w:eastAsia="宋体" w:cs="Times New Roman"/>
                      <w:b w:val="0"/>
                      <w:bCs/>
                      <w:color w:val="auto"/>
                      <w:sz w:val="21"/>
                      <w:szCs w:val="21"/>
                      <w:highlight w:val="none"/>
                      <w:lang w:eastAsia="zh-CN"/>
                    </w:rPr>
                    <w:t>非甲烷总烃</w:t>
                  </w:r>
                </w:p>
              </w:tc>
              <w:tc>
                <w:tcPr>
                  <w:tcW w:w="1741" w:type="dxa"/>
                  <w:noWrap w:val="0"/>
                  <w:vAlign w:val="center"/>
                </w:tcPr>
                <w:p w14:paraId="60BC39A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sz w:val="21"/>
                      <w:szCs w:val="21"/>
                      <w:lang w:eastAsia="zh-CN"/>
                    </w:rPr>
                    <w:t>排气筒</w:t>
                  </w:r>
                  <w:r>
                    <w:rPr>
                      <w:rFonts w:hint="default" w:ascii="Times New Roman" w:hAnsi="Times New Roman" w:cs="Times New Roman"/>
                      <w:color w:val="auto"/>
                      <w:sz w:val="21"/>
                      <w:szCs w:val="21"/>
                    </w:rPr>
                    <w:t>排放浓度</w:t>
                  </w:r>
                </w:p>
              </w:tc>
              <w:tc>
                <w:tcPr>
                  <w:tcW w:w="570" w:type="dxa"/>
                  <w:noWrap w:val="0"/>
                  <w:vAlign w:val="center"/>
                </w:tcPr>
                <w:p w14:paraId="0FEAAFE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b w:val="0"/>
                      <w:bCs w:val="0"/>
                      <w:color w:val="auto"/>
                      <w:sz w:val="21"/>
                      <w:szCs w:val="21"/>
                      <w:lang w:val="en-US" w:eastAsia="zh-CN"/>
                    </w:rPr>
                    <w:t>60</w:t>
                  </w:r>
                </w:p>
              </w:tc>
              <w:tc>
                <w:tcPr>
                  <w:tcW w:w="705" w:type="dxa"/>
                  <w:noWrap w:val="0"/>
                  <w:vAlign w:val="center"/>
                </w:tcPr>
                <w:p w14:paraId="6BFA621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3094" w:type="dxa"/>
                  <w:vMerge w:val="continue"/>
                  <w:noWrap w:val="0"/>
                  <w:vAlign w:val="center"/>
                </w:tcPr>
                <w:p w14:paraId="31E9B9C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eastAsia="zh-CN"/>
                    </w:rPr>
                  </w:pPr>
                </w:p>
              </w:tc>
            </w:tr>
            <w:tr w14:paraId="502E3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1" w:hRule="atLeast"/>
                <w:jc w:val="center"/>
              </w:trPr>
              <w:tc>
                <w:tcPr>
                  <w:tcW w:w="1602" w:type="dxa"/>
                  <w:vMerge w:val="restart"/>
                  <w:noWrap w:val="0"/>
                  <w:vAlign w:val="center"/>
                </w:tcPr>
                <w:p w14:paraId="1567F249">
                  <w:pPr>
                    <w:keepNext w:val="0"/>
                    <w:keepLines w:val="0"/>
                    <w:suppressLineNumbers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厂界无组织废气</w:t>
                  </w:r>
                </w:p>
              </w:tc>
              <w:tc>
                <w:tcPr>
                  <w:tcW w:w="1188" w:type="dxa"/>
                  <w:vMerge w:val="restart"/>
                  <w:noWrap w:val="0"/>
                  <w:vAlign w:val="center"/>
                </w:tcPr>
                <w:p w14:paraId="0210D4C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eastAsia="zh-CN"/>
                    </w:rPr>
                    <w:t>颗粒物</w:t>
                  </w:r>
                </w:p>
              </w:tc>
              <w:tc>
                <w:tcPr>
                  <w:tcW w:w="1741" w:type="dxa"/>
                  <w:vMerge w:val="restart"/>
                  <w:noWrap w:val="0"/>
                  <w:vAlign w:val="center"/>
                </w:tcPr>
                <w:p w14:paraId="37E16AB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厂界</w:t>
                  </w:r>
                  <w:r>
                    <w:rPr>
                      <w:rFonts w:hint="default" w:ascii="Times New Roman" w:hAnsi="Times New Roman" w:cs="Times New Roman"/>
                      <w:color w:val="auto"/>
                      <w:sz w:val="21"/>
                      <w:szCs w:val="21"/>
                    </w:rPr>
                    <w:t>浓度</w:t>
                  </w:r>
                </w:p>
              </w:tc>
              <w:tc>
                <w:tcPr>
                  <w:tcW w:w="570" w:type="dxa"/>
                  <w:noWrap w:val="0"/>
                  <w:vAlign w:val="center"/>
                </w:tcPr>
                <w:p w14:paraId="7EE0470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1</w:t>
                  </w:r>
                </w:p>
              </w:tc>
              <w:tc>
                <w:tcPr>
                  <w:tcW w:w="705" w:type="dxa"/>
                  <w:noWrap w:val="0"/>
                  <w:vAlign w:val="center"/>
                </w:tcPr>
                <w:p w14:paraId="7FB5E48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p>
              </w:tc>
              <w:tc>
                <w:tcPr>
                  <w:tcW w:w="3094" w:type="dxa"/>
                  <w:vMerge w:val="restart"/>
                  <w:noWrap w:val="0"/>
                  <w:vAlign w:val="center"/>
                </w:tcPr>
                <w:p w14:paraId="3B00FA3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val="0"/>
                      <w:color w:val="auto"/>
                      <w:sz w:val="21"/>
                      <w:szCs w:val="21"/>
                      <w:lang w:val="en-US" w:eastAsia="zh-CN"/>
                    </w:rPr>
                    <w:t>《大气污染物综合排放标准》(GB12697-1996)表2颗粒物（</w:t>
                  </w:r>
                  <w:r>
                    <w:rPr>
                      <w:rFonts w:hint="eastAsia" w:ascii="Times New Roman" w:hAnsi="Times New Roman" w:cs="Times New Roman"/>
                      <w:color w:val="auto"/>
                      <w:sz w:val="21"/>
                      <w:szCs w:val="21"/>
                      <w:lang w:eastAsia="zh-CN"/>
                    </w:rPr>
                    <w:t>碳黑尘、染料尘；其他</w:t>
                  </w:r>
                  <w:r>
                    <w:rPr>
                      <w:rFonts w:hint="eastAsia" w:ascii="Times New Roman" w:hAnsi="Times New Roman" w:cs="Times New Roman"/>
                      <w:b w:val="0"/>
                      <w:bCs w:val="0"/>
                      <w:color w:val="auto"/>
                      <w:sz w:val="21"/>
                      <w:szCs w:val="21"/>
                      <w:lang w:val="en-US" w:eastAsia="zh-CN"/>
                    </w:rPr>
                    <w:t>）无组织排放监控浓度限值要求</w:t>
                  </w:r>
                </w:p>
              </w:tc>
            </w:tr>
            <w:tr w14:paraId="4A3D6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8" w:hRule="atLeast"/>
                <w:jc w:val="center"/>
              </w:trPr>
              <w:tc>
                <w:tcPr>
                  <w:tcW w:w="1602" w:type="dxa"/>
                  <w:vMerge w:val="continue"/>
                  <w:noWrap w:val="0"/>
                  <w:vAlign w:val="center"/>
                </w:tcPr>
                <w:p w14:paraId="29823F1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color w:val="auto"/>
                    </w:rPr>
                  </w:pPr>
                </w:p>
              </w:tc>
              <w:tc>
                <w:tcPr>
                  <w:tcW w:w="1188" w:type="dxa"/>
                  <w:vMerge w:val="continue"/>
                  <w:noWrap w:val="0"/>
                  <w:vAlign w:val="center"/>
                </w:tcPr>
                <w:p w14:paraId="79E7597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color w:val="auto"/>
                    </w:rPr>
                  </w:pPr>
                </w:p>
              </w:tc>
              <w:tc>
                <w:tcPr>
                  <w:tcW w:w="1741" w:type="dxa"/>
                  <w:vMerge w:val="continue"/>
                  <w:noWrap w:val="0"/>
                  <w:vAlign w:val="center"/>
                </w:tcPr>
                <w:p w14:paraId="5940816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color w:val="auto"/>
                    </w:rPr>
                  </w:pPr>
                </w:p>
              </w:tc>
              <w:tc>
                <w:tcPr>
                  <w:tcW w:w="1275" w:type="dxa"/>
                  <w:gridSpan w:val="2"/>
                  <w:noWrap w:val="0"/>
                  <w:vAlign w:val="center"/>
                </w:tcPr>
                <w:p w14:paraId="3660263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color w:val="auto"/>
                      <w:sz w:val="21"/>
                      <w:szCs w:val="21"/>
                      <w:highlight w:val="none"/>
                      <w:lang w:val="en-US" w:eastAsia="zh-CN"/>
                    </w:rPr>
                    <w:t>肉眼不可见</w:t>
                  </w:r>
                </w:p>
              </w:tc>
              <w:tc>
                <w:tcPr>
                  <w:tcW w:w="3094" w:type="dxa"/>
                  <w:vMerge w:val="continue"/>
                  <w:noWrap w:val="0"/>
                  <w:vAlign w:val="center"/>
                </w:tcPr>
                <w:p w14:paraId="25BA3ED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Times New Roman" w:hAnsi="Times New Roman" w:cs="Times New Roman"/>
                      <w:bCs/>
                      <w:color w:val="auto"/>
                      <w:sz w:val="21"/>
                      <w:szCs w:val="21"/>
                      <w:lang w:val="en-US" w:eastAsia="zh-CN"/>
                    </w:rPr>
                  </w:pPr>
                </w:p>
              </w:tc>
            </w:tr>
            <w:tr w14:paraId="3B9A0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1602" w:type="dxa"/>
                  <w:vMerge w:val="continue"/>
                  <w:noWrap w:val="0"/>
                  <w:vAlign w:val="center"/>
                </w:tcPr>
                <w:p w14:paraId="5DA5389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color w:val="auto"/>
                    </w:rPr>
                  </w:pPr>
                </w:p>
              </w:tc>
              <w:tc>
                <w:tcPr>
                  <w:tcW w:w="1188" w:type="dxa"/>
                  <w:noWrap w:val="0"/>
                  <w:vAlign w:val="center"/>
                </w:tcPr>
                <w:p w14:paraId="691ABF9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非甲烷总烃</w:t>
                  </w:r>
                </w:p>
              </w:tc>
              <w:tc>
                <w:tcPr>
                  <w:tcW w:w="1741" w:type="dxa"/>
                  <w:noWrap w:val="0"/>
                  <w:vAlign w:val="center"/>
                </w:tcPr>
                <w:p w14:paraId="34957BB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厂界</w:t>
                  </w:r>
                  <w:r>
                    <w:rPr>
                      <w:rFonts w:hint="default" w:ascii="Times New Roman" w:hAnsi="Times New Roman" w:cs="Times New Roman"/>
                      <w:color w:val="auto"/>
                      <w:sz w:val="21"/>
                      <w:szCs w:val="21"/>
                    </w:rPr>
                    <w:t>浓度</w:t>
                  </w:r>
                </w:p>
              </w:tc>
              <w:tc>
                <w:tcPr>
                  <w:tcW w:w="570" w:type="dxa"/>
                  <w:noWrap w:val="0"/>
                  <w:vAlign w:val="center"/>
                </w:tcPr>
                <w:p w14:paraId="376EA96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w:t>
                  </w:r>
                </w:p>
              </w:tc>
              <w:tc>
                <w:tcPr>
                  <w:tcW w:w="705" w:type="dxa"/>
                  <w:noWrap w:val="0"/>
                  <w:vAlign w:val="center"/>
                </w:tcPr>
                <w:p w14:paraId="451F5F5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p>
              </w:tc>
              <w:tc>
                <w:tcPr>
                  <w:tcW w:w="3094" w:type="dxa"/>
                  <w:noWrap w:val="0"/>
                  <w:vAlign w:val="center"/>
                </w:tcPr>
                <w:p w14:paraId="25863F1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b w:val="0"/>
                      <w:bCs w:val="0"/>
                      <w:color w:val="auto"/>
                      <w:sz w:val="21"/>
                      <w:szCs w:val="21"/>
                      <w:lang w:val="en-US" w:eastAsia="zh-CN"/>
                    </w:rPr>
                    <w:t>《工业企业挥发性有机物排放控制标准》(DB13/2322-2016)表2企业边界大气污染物浓度限值</w:t>
                  </w:r>
                </w:p>
              </w:tc>
            </w:tr>
            <w:tr w14:paraId="670D0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 w:hRule="atLeast"/>
                <w:jc w:val="center"/>
              </w:trPr>
              <w:tc>
                <w:tcPr>
                  <w:tcW w:w="1602" w:type="dxa"/>
                  <w:vMerge w:val="restart"/>
                  <w:noWrap w:val="0"/>
                  <w:vAlign w:val="center"/>
                </w:tcPr>
                <w:p w14:paraId="050B3A0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厂区内无组织废气</w:t>
                  </w:r>
                </w:p>
              </w:tc>
              <w:tc>
                <w:tcPr>
                  <w:tcW w:w="1188" w:type="dxa"/>
                  <w:vMerge w:val="restart"/>
                  <w:noWrap w:val="0"/>
                  <w:vAlign w:val="center"/>
                </w:tcPr>
                <w:p w14:paraId="3105681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非甲烷总烃</w:t>
                  </w:r>
                </w:p>
              </w:tc>
              <w:tc>
                <w:tcPr>
                  <w:tcW w:w="1741" w:type="dxa"/>
                  <w:noWrap w:val="0"/>
                  <w:vAlign w:val="center"/>
                </w:tcPr>
                <w:p w14:paraId="36D7832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highlight w:val="none"/>
                      <w:lang w:eastAsia="zh-CN"/>
                    </w:rPr>
                    <w:t>厂区内</w:t>
                  </w:r>
                  <w:r>
                    <w:rPr>
                      <w:rFonts w:hint="default" w:ascii="Times New Roman" w:hAnsi="Times New Roman" w:cs="Times New Roman"/>
                      <w:color w:val="auto"/>
                      <w:sz w:val="21"/>
                      <w:szCs w:val="21"/>
                      <w:highlight w:val="none"/>
                    </w:rPr>
                    <w:t>监控点处1h平均浓度值</w:t>
                  </w:r>
                </w:p>
              </w:tc>
              <w:tc>
                <w:tcPr>
                  <w:tcW w:w="570" w:type="dxa"/>
                  <w:noWrap w:val="0"/>
                  <w:vAlign w:val="center"/>
                </w:tcPr>
                <w:p w14:paraId="5B80C3C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6</w:t>
                  </w:r>
                </w:p>
              </w:tc>
              <w:tc>
                <w:tcPr>
                  <w:tcW w:w="705" w:type="dxa"/>
                  <w:noWrap w:val="0"/>
                  <w:vAlign w:val="center"/>
                </w:tcPr>
                <w:p w14:paraId="65A612E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p>
              </w:tc>
              <w:tc>
                <w:tcPr>
                  <w:tcW w:w="3094" w:type="dxa"/>
                  <w:vMerge w:val="restart"/>
                  <w:noWrap w:val="0"/>
                  <w:vAlign w:val="center"/>
                </w:tcPr>
                <w:p w14:paraId="3845AAD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sz w:val="21"/>
                      <w:szCs w:val="21"/>
                      <w:lang w:eastAsia="zh-CN"/>
                    </w:rPr>
                  </w:pPr>
                  <w:r>
                    <w:rPr>
                      <w:rFonts w:hint="default" w:ascii="Times New Roman" w:hAnsi="Times New Roman" w:eastAsia="宋体" w:cs="Times New Roman"/>
                      <w:b w:val="0"/>
                      <w:bCs/>
                      <w:color w:val="auto"/>
                      <w:sz w:val="21"/>
                      <w:szCs w:val="21"/>
                      <w:highlight w:val="none"/>
                      <w:lang w:eastAsia="zh-CN"/>
                    </w:rPr>
                    <w:t>《挥发性有机物无组织排放控制标准（GB 37822—2019）》</w:t>
                  </w:r>
                  <w:r>
                    <w:rPr>
                      <w:rFonts w:hint="eastAsia" w:ascii="Times New Roman" w:hAnsi="Times New Roman" w:cs="Times New Roman"/>
                      <w:b w:val="0"/>
                      <w:bCs/>
                      <w:color w:val="auto"/>
                      <w:sz w:val="21"/>
                      <w:szCs w:val="21"/>
                      <w:highlight w:val="none"/>
                      <w:lang w:val="en-US" w:eastAsia="zh-CN"/>
                    </w:rPr>
                    <w:t>表A.1以及</w:t>
                  </w:r>
                  <w:r>
                    <w:rPr>
                      <w:rFonts w:hint="default" w:ascii="Times New Roman" w:hAnsi="Times New Roman" w:eastAsia="宋体" w:cs="Times New Roman"/>
                      <w:b w:val="0"/>
                      <w:bCs/>
                      <w:color w:val="auto"/>
                      <w:sz w:val="21"/>
                      <w:szCs w:val="21"/>
                      <w:highlight w:val="none"/>
                      <w:lang w:eastAsia="zh-CN"/>
                    </w:rPr>
                    <w:t>《涂料、油墨及胶粘剂工业大气污染物排放标准》（GB 37824</w:t>
                  </w:r>
                  <w:r>
                    <w:rPr>
                      <w:rFonts w:hint="eastAsia"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lang w:eastAsia="zh-CN"/>
                    </w:rPr>
                    <w:t>2019）表 B.1 厂区内 VOCs 无组织</w:t>
                  </w:r>
                  <w:r>
                    <w:rPr>
                      <w:rFonts w:hint="eastAsia" w:ascii="Times New Roman" w:hAnsi="Times New Roman" w:eastAsia="宋体" w:cs="Times New Roman"/>
                      <w:b w:val="0"/>
                      <w:bCs/>
                      <w:color w:val="auto"/>
                      <w:sz w:val="21"/>
                      <w:szCs w:val="21"/>
                      <w:highlight w:val="none"/>
                      <w:lang w:eastAsia="zh-CN"/>
                    </w:rPr>
                    <w:t>特别</w:t>
                  </w:r>
                  <w:r>
                    <w:rPr>
                      <w:rFonts w:hint="default" w:ascii="Times New Roman" w:hAnsi="Times New Roman" w:eastAsia="宋体" w:cs="Times New Roman"/>
                      <w:b w:val="0"/>
                      <w:bCs/>
                      <w:color w:val="auto"/>
                      <w:sz w:val="21"/>
                      <w:szCs w:val="21"/>
                      <w:highlight w:val="none"/>
                      <w:lang w:eastAsia="zh-CN"/>
                    </w:rPr>
                    <w:t>排放限值</w:t>
                  </w:r>
                </w:p>
              </w:tc>
            </w:tr>
            <w:tr w14:paraId="10888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 w:hRule="atLeast"/>
                <w:jc w:val="center"/>
              </w:trPr>
              <w:tc>
                <w:tcPr>
                  <w:tcW w:w="1602" w:type="dxa"/>
                  <w:vMerge w:val="continue"/>
                  <w:noWrap w:val="0"/>
                  <w:vAlign w:val="center"/>
                </w:tcPr>
                <w:p w14:paraId="7117C18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color w:val="auto"/>
                    </w:rPr>
                  </w:pPr>
                </w:p>
              </w:tc>
              <w:tc>
                <w:tcPr>
                  <w:tcW w:w="1188" w:type="dxa"/>
                  <w:vMerge w:val="continue"/>
                  <w:noWrap w:val="0"/>
                  <w:vAlign w:val="center"/>
                </w:tcPr>
                <w:p w14:paraId="5C4EABC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eastAsia="zh-CN"/>
                    </w:rPr>
                  </w:pPr>
                </w:p>
              </w:tc>
              <w:tc>
                <w:tcPr>
                  <w:tcW w:w="1741" w:type="dxa"/>
                  <w:noWrap w:val="0"/>
                  <w:vAlign w:val="center"/>
                </w:tcPr>
                <w:p w14:paraId="3567F35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厂区内</w:t>
                  </w:r>
                  <w:r>
                    <w:rPr>
                      <w:rFonts w:hint="default" w:ascii="Times New Roman" w:hAnsi="Times New Roman" w:cs="Times New Roman"/>
                      <w:color w:val="auto"/>
                      <w:sz w:val="21"/>
                      <w:szCs w:val="21"/>
                      <w:highlight w:val="none"/>
                    </w:rPr>
                    <w:t>监控点处</w:t>
                  </w:r>
                </w:p>
                <w:p w14:paraId="17B5185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highlight w:val="none"/>
                    </w:rPr>
                    <w:t>任意一次浓度值</w:t>
                  </w:r>
                </w:p>
              </w:tc>
              <w:tc>
                <w:tcPr>
                  <w:tcW w:w="570" w:type="dxa"/>
                  <w:noWrap w:val="0"/>
                  <w:vAlign w:val="center"/>
                </w:tcPr>
                <w:p w14:paraId="4C01A04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highlight w:val="none"/>
                      <w:lang w:val="en-US" w:eastAsia="zh-CN"/>
                    </w:rPr>
                    <w:t>20</w:t>
                  </w:r>
                </w:p>
              </w:tc>
              <w:tc>
                <w:tcPr>
                  <w:tcW w:w="705" w:type="dxa"/>
                  <w:noWrap w:val="0"/>
                  <w:vAlign w:val="center"/>
                </w:tcPr>
                <w:p w14:paraId="1BB1CE5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p>
              </w:tc>
              <w:tc>
                <w:tcPr>
                  <w:tcW w:w="3094" w:type="dxa"/>
                  <w:vMerge w:val="continue"/>
                  <w:noWrap w:val="0"/>
                  <w:vAlign w:val="center"/>
                </w:tcPr>
                <w:p w14:paraId="0617ED6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eastAsia="zh-CN"/>
                    </w:rPr>
                  </w:pPr>
                </w:p>
              </w:tc>
            </w:tr>
          </w:tbl>
          <w:p w14:paraId="55018F13">
            <w:pPr>
              <w:keepNext w:val="0"/>
              <w:keepLines w:val="0"/>
              <w:pageBreakBefore w:val="0"/>
              <w:widowControl w:val="0"/>
              <w:kinsoku/>
              <w:wordWrap/>
              <w:overflowPunct/>
              <w:topLinePunct w:val="0"/>
              <w:autoSpaceDE/>
              <w:autoSpaceDN/>
              <w:bidi w:val="0"/>
              <w:adjustRightInd/>
              <w:snapToGrid/>
              <w:spacing w:before="0" w:line="400" w:lineRule="exact"/>
              <w:ind w:firstLine="422" w:firstLineChars="200"/>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、废水</w:t>
            </w:r>
          </w:p>
          <w:p w14:paraId="7A4BBFDC">
            <w:pPr>
              <w:keepNext w:val="0"/>
              <w:keepLines w:val="0"/>
              <w:pageBreakBefore w:val="0"/>
              <w:widowControl w:val="0"/>
              <w:kinsoku/>
              <w:wordWrap/>
              <w:overflowPunct/>
              <w:topLinePunct w:val="0"/>
              <w:autoSpaceDE/>
              <w:autoSpaceDN/>
              <w:bidi w:val="0"/>
              <w:adjustRightInd w:val="0"/>
              <w:snapToGrid w:val="0"/>
              <w:spacing w:before="0" w:line="400" w:lineRule="exact"/>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color w:val="auto"/>
                <w:sz w:val="21"/>
                <w:szCs w:val="21"/>
                <w:lang w:bidi="ar"/>
              </w:rPr>
              <w:t>生活污水用于厂区泼洒抑尘，厂区设防渗旱厕，定期清掏</w:t>
            </w:r>
            <w:r>
              <w:rPr>
                <w:rFonts w:hint="eastAsia"/>
                <w:color w:val="auto"/>
                <w:sz w:val="21"/>
                <w:szCs w:val="21"/>
                <w:lang w:eastAsia="zh-CN" w:bidi="ar"/>
              </w:rPr>
              <w:t>；</w:t>
            </w:r>
            <w:r>
              <w:rPr>
                <w:rFonts w:hint="eastAsia"/>
                <w:color w:val="auto"/>
                <w:sz w:val="21"/>
                <w:szCs w:val="21"/>
                <w:lang w:val="en-US" w:eastAsia="zh-CN" w:bidi="ar"/>
              </w:rPr>
              <w:t>冷却水循环使用。无废水外排。</w:t>
            </w:r>
          </w:p>
          <w:p w14:paraId="39111B03">
            <w:pPr>
              <w:keepNext w:val="0"/>
              <w:keepLines w:val="0"/>
              <w:pageBreakBefore w:val="0"/>
              <w:widowControl w:val="0"/>
              <w:kinsoku/>
              <w:wordWrap/>
              <w:overflowPunct/>
              <w:topLinePunct w:val="0"/>
              <w:autoSpaceDE/>
              <w:autoSpaceDN/>
              <w:bidi w:val="0"/>
              <w:adjustRightInd w:val="0"/>
              <w:snapToGrid w:val="0"/>
              <w:spacing w:before="0" w:line="400" w:lineRule="exact"/>
              <w:ind w:firstLine="422" w:firstLineChars="200"/>
              <w:textAlignment w:val="auto"/>
              <w:rPr>
                <w:rFonts w:hint="default" w:ascii="Times New Roman" w:hAnsi="Times New Roman" w:eastAsia="宋体" w:cs="Times New Roman"/>
                <w:b/>
                <w:bCs/>
                <w:color w:val="auto"/>
                <w:sz w:val="21"/>
                <w:szCs w:val="20"/>
                <w:highlight w:val="none"/>
              </w:rPr>
            </w:pPr>
            <w:r>
              <w:rPr>
                <w:rFonts w:hint="default" w:ascii="Times New Roman" w:hAnsi="Times New Roman" w:eastAsia="宋体" w:cs="Times New Roman"/>
                <w:b/>
                <w:bCs/>
                <w:color w:val="auto"/>
                <w:sz w:val="21"/>
                <w:szCs w:val="20"/>
                <w:highlight w:val="none"/>
                <w:lang w:val="en-US" w:eastAsia="zh-CN"/>
              </w:rPr>
              <w:t>3</w:t>
            </w:r>
            <w:r>
              <w:rPr>
                <w:rFonts w:hint="default" w:ascii="Times New Roman" w:hAnsi="Times New Roman" w:eastAsia="宋体" w:cs="Times New Roman"/>
                <w:b/>
                <w:bCs/>
                <w:color w:val="auto"/>
                <w:sz w:val="21"/>
                <w:szCs w:val="20"/>
                <w:highlight w:val="none"/>
              </w:rPr>
              <w:t>、噪声</w:t>
            </w:r>
          </w:p>
          <w:p w14:paraId="214B546E">
            <w:pPr>
              <w:keepNext w:val="0"/>
              <w:keepLines w:val="0"/>
              <w:pageBreakBefore w:val="0"/>
              <w:widowControl w:val="0"/>
              <w:kinsoku/>
              <w:wordWrap/>
              <w:overflowPunct/>
              <w:topLinePunct w:val="0"/>
              <w:autoSpaceDE/>
              <w:autoSpaceDN/>
              <w:bidi w:val="0"/>
              <w:adjustRightInd w:val="0"/>
              <w:snapToGrid w:val="0"/>
              <w:spacing w:before="0" w:line="400" w:lineRule="exact"/>
              <w:ind w:firstLine="420" w:firstLineChars="200"/>
              <w:textAlignment w:val="auto"/>
              <w:rPr>
                <w:rFonts w:hint="default" w:ascii="Times New Roman" w:hAnsi="Times New Roman" w:eastAsia="宋体" w:cs="Times New Roman"/>
                <w:bCs/>
                <w:color w:val="auto"/>
                <w:sz w:val="21"/>
                <w:szCs w:val="20"/>
                <w:highlight w:val="none"/>
                <w:lang w:val="zh-CN"/>
              </w:rPr>
            </w:pPr>
            <w:r>
              <w:rPr>
                <w:rFonts w:hint="default" w:ascii="Times New Roman" w:hAnsi="Times New Roman" w:eastAsia="宋体" w:cs="Times New Roman"/>
                <w:color w:val="auto"/>
                <w:sz w:val="21"/>
                <w:szCs w:val="20"/>
                <w:highlight w:val="none"/>
              </w:rPr>
              <w:t>本项目运营期厂界噪声执行《工业企业厂界环境噪声排放标准》（</w:t>
            </w:r>
            <w:r>
              <w:rPr>
                <w:rFonts w:hint="default" w:ascii="Times New Roman" w:hAnsi="Times New Roman" w:eastAsia="宋体" w:cs="Times New Roman"/>
                <w:color w:val="auto"/>
                <w:sz w:val="21"/>
                <w:szCs w:val="20"/>
                <w:highlight w:val="none"/>
                <w:lang w:eastAsia="zh-CN"/>
              </w:rPr>
              <w:t>GB</w:t>
            </w:r>
            <w:r>
              <w:rPr>
                <w:rFonts w:hint="default" w:ascii="Times New Roman" w:hAnsi="Times New Roman" w:eastAsia="宋体" w:cs="Times New Roman"/>
                <w:color w:val="auto"/>
                <w:sz w:val="21"/>
                <w:szCs w:val="20"/>
                <w:highlight w:val="none"/>
                <w:lang w:val="en-US" w:eastAsia="zh-CN"/>
              </w:rPr>
              <w:t xml:space="preserve"> </w:t>
            </w:r>
            <w:r>
              <w:rPr>
                <w:rFonts w:hint="default" w:ascii="Times New Roman" w:hAnsi="Times New Roman" w:eastAsia="宋体" w:cs="Times New Roman"/>
                <w:color w:val="auto"/>
                <w:sz w:val="21"/>
                <w:szCs w:val="20"/>
                <w:highlight w:val="none"/>
                <w:lang w:eastAsia="zh-CN"/>
              </w:rPr>
              <w:t>12348-2008</w:t>
            </w:r>
            <w:r>
              <w:rPr>
                <w:rFonts w:hint="default" w:ascii="Times New Roman" w:hAnsi="Times New Roman" w:eastAsia="宋体" w:cs="Times New Roman"/>
                <w:color w:val="auto"/>
                <w:sz w:val="21"/>
                <w:szCs w:val="20"/>
                <w:highlight w:val="none"/>
              </w:rPr>
              <w:t>）</w:t>
            </w:r>
            <w:r>
              <w:rPr>
                <w:rFonts w:hint="eastAsia" w:ascii="Times New Roman" w:hAnsi="Times New Roman" w:cs="Times New Roman"/>
                <w:color w:val="auto"/>
                <w:sz w:val="21"/>
                <w:szCs w:val="20"/>
                <w:highlight w:val="none"/>
                <w:lang w:val="en-US" w:eastAsia="zh-CN"/>
              </w:rPr>
              <w:t>2</w:t>
            </w:r>
            <w:r>
              <w:rPr>
                <w:rFonts w:hint="default" w:ascii="Times New Roman" w:hAnsi="Times New Roman" w:eastAsia="宋体" w:cs="Times New Roman"/>
                <w:color w:val="auto"/>
                <w:sz w:val="21"/>
                <w:szCs w:val="20"/>
                <w:highlight w:val="none"/>
              </w:rPr>
              <w:t>类标准</w:t>
            </w:r>
            <w:r>
              <w:rPr>
                <w:rFonts w:hint="default" w:ascii="Times New Roman" w:hAnsi="Times New Roman" w:eastAsia="宋体" w:cs="Times New Roman"/>
                <w:color w:val="auto"/>
                <w:sz w:val="21"/>
                <w:szCs w:val="20"/>
                <w:highlight w:val="none"/>
                <w:lang w:eastAsia="zh-CN"/>
              </w:rPr>
              <w:t>，</w:t>
            </w:r>
            <w:r>
              <w:rPr>
                <w:rFonts w:hint="default" w:ascii="Times New Roman" w:hAnsi="Times New Roman" w:eastAsia="宋体" w:cs="Times New Roman"/>
                <w:bCs/>
                <w:color w:val="auto"/>
                <w:sz w:val="21"/>
                <w:szCs w:val="20"/>
                <w:highlight w:val="none"/>
                <w:lang w:val="zh-CN"/>
              </w:rPr>
              <w:t>见</w:t>
            </w:r>
            <w:r>
              <w:rPr>
                <w:rFonts w:hint="default" w:ascii="Times New Roman" w:hAnsi="Times New Roman" w:eastAsia="宋体" w:cs="Times New Roman"/>
                <w:bCs/>
                <w:color w:val="auto"/>
                <w:sz w:val="21"/>
                <w:szCs w:val="20"/>
                <w:highlight w:val="none"/>
              </w:rPr>
              <w:t>下表</w:t>
            </w:r>
            <w:r>
              <w:rPr>
                <w:rFonts w:hint="default" w:ascii="Times New Roman" w:hAnsi="Times New Roman" w:eastAsia="宋体" w:cs="Times New Roman"/>
                <w:bCs/>
                <w:color w:val="auto"/>
                <w:sz w:val="21"/>
                <w:szCs w:val="20"/>
                <w:highlight w:val="none"/>
                <w:lang w:val="zh-CN"/>
              </w:rPr>
              <w:t>。</w:t>
            </w:r>
          </w:p>
          <w:p w14:paraId="05BD3DA2">
            <w:pPr>
              <w:keepNext w:val="0"/>
              <w:keepLines w:val="0"/>
              <w:pageBreakBefore w:val="0"/>
              <w:widowControl w:val="0"/>
              <w:kinsoku/>
              <w:wordWrap/>
              <w:overflowPunct/>
              <w:topLinePunct w:val="0"/>
              <w:autoSpaceDE/>
              <w:autoSpaceDN/>
              <w:bidi w:val="0"/>
              <w:adjustRightInd w:val="0"/>
              <w:snapToGrid w:val="0"/>
              <w:spacing w:before="0" w:line="400" w:lineRule="exact"/>
              <w:jc w:val="center"/>
              <w:textAlignment w:val="auto"/>
              <w:rPr>
                <w:rFonts w:hint="default" w:ascii="Times New Roman" w:hAnsi="Times New Roman" w:eastAsia="宋体" w:cs="Times New Roman"/>
                <w:b/>
                <w:bCs/>
                <w:color w:val="auto"/>
                <w:sz w:val="21"/>
                <w:szCs w:val="20"/>
                <w:highlight w:val="none"/>
              </w:rPr>
            </w:pPr>
            <w:r>
              <w:rPr>
                <w:rFonts w:hint="default" w:ascii="Times New Roman" w:hAnsi="Times New Roman" w:eastAsia="宋体" w:cs="Times New Roman"/>
                <w:b/>
                <w:bCs/>
                <w:color w:val="auto"/>
                <w:sz w:val="21"/>
                <w:szCs w:val="20"/>
                <w:highlight w:val="none"/>
              </w:rPr>
              <w:t>表3</w:t>
            </w:r>
            <w:r>
              <w:rPr>
                <w:rFonts w:hint="eastAsia" w:ascii="Times New Roman" w:hAnsi="Times New Roman" w:eastAsia="宋体" w:cs="Times New Roman"/>
                <w:b/>
                <w:bCs/>
                <w:color w:val="auto"/>
                <w:sz w:val="21"/>
                <w:szCs w:val="20"/>
                <w:highlight w:val="none"/>
                <w:lang w:val="en-US" w:eastAsia="zh-CN"/>
              </w:rPr>
              <w:t>.</w:t>
            </w:r>
            <w:r>
              <w:rPr>
                <w:rFonts w:hint="eastAsia" w:ascii="Times New Roman" w:hAnsi="Times New Roman" w:cs="Times New Roman"/>
                <w:b/>
                <w:bCs/>
                <w:color w:val="auto"/>
                <w:sz w:val="21"/>
                <w:szCs w:val="20"/>
                <w:highlight w:val="none"/>
                <w:lang w:val="en-US" w:eastAsia="zh-CN"/>
              </w:rPr>
              <w:t>5</w:t>
            </w:r>
            <w:r>
              <w:rPr>
                <w:rFonts w:hint="default" w:ascii="Times New Roman" w:hAnsi="Times New Roman" w:eastAsia="宋体" w:cs="Times New Roman"/>
                <w:b/>
                <w:bCs/>
                <w:color w:val="auto"/>
                <w:sz w:val="21"/>
                <w:szCs w:val="20"/>
                <w:highlight w:val="none"/>
                <w:lang w:val="en-US" w:eastAsia="zh-CN"/>
              </w:rPr>
              <w:t xml:space="preserve"> </w:t>
            </w:r>
            <w:r>
              <w:rPr>
                <w:rFonts w:hint="default" w:ascii="Times New Roman" w:hAnsi="Times New Roman" w:eastAsia="宋体" w:cs="Times New Roman"/>
                <w:b/>
                <w:bCs/>
                <w:color w:val="auto"/>
                <w:sz w:val="21"/>
                <w:szCs w:val="20"/>
                <w:highlight w:val="none"/>
              </w:rPr>
              <w:t>环境噪声排放标准一览表单位：dB（A）</w:t>
            </w:r>
          </w:p>
          <w:tbl>
            <w:tblPr>
              <w:tblStyle w:val="34"/>
              <w:tblW w:w="47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04"/>
              <w:gridCol w:w="967"/>
              <w:gridCol w:w="828"/>
              <w:gridCol w:w="4372"/>
            </w:tblGrid>
            <w:tr w14:paraId="7D20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pct"/>
                  <w:tcBorders>
                    <w:tl2br w:val="nil"/>
                    <w:tr2bl w:val="nil"/>
                  </w:tcBorders>
                  <w:noWrap w:val="0"/>
                  <w:vAlign w:val="center"/>
                </w:tcPr>
                <w:p w14:paraId="0B4557F5">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类别</w:t>
                  </w:r>
                </w:p>
              </w:tc>
              <w:tc>
                <w:tcPr>
                  <w:tcW w:w="748" w:type="pct"/>
                  <w:tcBorders>
                    <w:tl2br w:val="nil"/>
                    <w:tr2bl w:val="nil"/>
                  </w:tcBorders>
                  <w:noWrap w:val="0"/>
                  <w:vAlign w:val="center"/>
                </w:tcPr>
                <w:p w14:paraId="798F0825">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污染物</w:t>
                  </w:r>
                </w:p>
              </w:tc>
              <w:tc>
                <w:tcPr>
                  <w:tcW w:w="555" w:type="pct"/>
                  <w:tcBorders>
                    <w:tl2br w:val="nil"/>
                    <w:tr2bl w:val="nil"/>
                  </w:tcBorders>
                  <w:noWrap w:val="0"/>
                  <w:vAlign w:val="center"/>
                </w:tcPr>
                <w:p w14:paraId="4E5C9AB9">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昼间</w:t>
                  </w:r>
                </w:p>
              </w:tc>
              <w:tc>
                <w:tcPr>
                  <w:tcW w:w="475" w:type="pct"/>
                  <w:tcBorders>
                    <w:tl2br w:val="nil"/>
                    <w:tr2bl w:val="nil"/>
                  </w:tcBorders>
                  <w:noWrap w:val="0"/>
                  <w:vAlign w:val="center"/>
                </w:tcPr>
                <w:p w14:paraId="1374AA72">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夜间</w:t>
                  </w:r>
                </w:p>
              </w:tc>
              <w:tc>
                <w:tcPr>
                  <w:tcW w:w="2510" w:type="pct"/>
                  <w:tcBorders>
                    <w:tl2br w:val="nil"/>
                    <w:tr2bl w:val="nil"/>
                  </w:tcBorders>
                  <w:noWrap w:val="0"/>
                  <w:vAlign w:val="center"/>
                </w:tcPr>
                <w:p w14:paraId="26C1F5AB">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标准来源</w:t>
                  </w:r>
                </w:p>
              </w:tc>
            </w:tr>
            <w:tr w14:paraId="42CB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pct"/>
                  <w:tcBorders>
                    <w:tl2br w:val="nil"/>
                    <w:tr2bl w:val="nil"/>
                  </w:tcBorders>
                  <w:noWrap w:val="0"/>
                  <w:vAlign w:val="center"/>
                </w:tcPr>
                <w:p w14:paraId="3C38F8B5">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厂界噪声</w:t>
                  </w:r>
                </w:p>
              </w:tc>
              <w:tc>
                <w:tcPr>
                  <w:tcW w:w="748" w:type="pct"/>
                  <w:tcBorders>
                    <w:tl2br w:val="nil"/>
                    <w:tr2bl w:val="nil"/>
                  </w:tcBorders>
                  <w:noWrap w:val="0"/>
                  <w:vAlign w:val="center"/>
                </w:tcPr>
                <w:p w14:paraId="5A44D70F">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Leq（A）</w:t>
                  </w:r>
                </w:p>
              </w:tc>
              <w:tc>
                <w:tcPr>
                  <w:tcW w:w="555" w:type="pct"/>
                  <w:tcBorders>
                    <w:tl2br w:val="nil"/>
                    <w:tr2bl w:val="nil"/>
                  </w:tcBorders>
                  <w:noWrap w:val="0"/>
                  <w:vAlign w:val="center"/>
                </w:tcPr>
                <w:p w14:paraId="59FD5608">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rPr>
                    <w:t>6</w:t>
                  </w:r>
                  <w:r>
                    <w:rPr>
                      <w:rFonts w:hint="eastAsia" w:ascii="Times New Roman" w:hAnsi="Times New Roman" w:cs="Times New Roman"/>
                      <w:color w:val="auto"/>
                      <w:sz w:val="21"/>
                      <w:szCs w:val="21"/>
                      <w:highlight w:val="none"/>
                      <w:lang w:val="en-US" w:eastAsia="zh-CN"/>
                    </w:rPr>
                    <w:t>0</w:t>
                  </w:r>
                </w:p>
              </w:tc>
              <w:tc>
                <w:tcPr>
                  <w:tcW w:w="475" w:type="pct"/>
                  <w:tcBorders>
                    <w:tl2br w:val="nil"/>
                    <w:tr2bl w:val="nil"/>
                  </w:tcBorders>
                  <w:noWrap w:val="0"/>
                  <w:vAlign w:val="center"/>
                </w:tcPr>
                <w:p w14:paraId="184E1352">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rPr>
                    <w:t>5</w:t>
                  </w:r>
                  <w:r>
                    <w:rPr>
                      <w:rFonts w:hint="eastAsia" w:ascii="Times New Roman" w:hAnsi="Times New Roman" w:cs="Times New Roman"/>
                      <w:color w:val="auto"/>
                      <w:sz w:val="21"/>
                      <w:szCs w:val="21"/>
                      <w:highlight w:val="none"/>
                      <w:lang w:val="en-US" w:eastAsia="zh-CN"/>
                    </w:rPr>
                    <w:t>0</w:t>
                  </w:r>
                </w:p>
              </w:tc>
              <w:tc>
                <w:tcPr>
                  <w:tcW w:w="2510" w:type="pct"/>
                  <w:tcBorders>
                    <w:tl2br w:val="nil"/>
                    <w:tr2bl w:val="nil"/>
                  </w:tcBorders>
                  <w:noWrap w:val="0"/>
                  <w:vAlign w:val="center"/>
                </w:tcPr>
                <w:p w14:paraId="304B2E8C">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《工业企业厂界环境噪声排放标准》（GB</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zh-CN"/>
                    </w:rPr>
                    <w:t>12348-2008）</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zh-CN"/>
                    </w:rPr>
                    <w:t>类标准</w:t>
                  </w:r>
                </w:p>
              </w:tc>
            </w:tr>
          </w:tbl>
          <w:p w14:paraId="4F0AA251">
            <w:pPr>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、固体废物</w:t>
            </w:r>
          </w:p>
          <w:p w14:paraId="34A126B6">
            <w:pPr>
              <w:keepNext w:val="0"/>
              <w:keepLines w:val="0"/>
              <w:pageBreakBefore w:val="0"/>
              <w:widowControl w:val="0"/>
              <w:kinsoku/>
              <w:wordWrap/>
              <w:overflowPunct/>
              <w:topLinePunct w:val="0"/>
              <w:autoSpaceDE/>
              <w:autoSpaceDN/>
              <w:bidi w:val="0"/>
              <w:adjustRightInd/>
              <w:snapToGrid/>
              <w:spacing w:before="0" w:line="400" w:lineRule="exact"/>
              <w:ind w:left="0" w:leftChars="0"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一般工业固</w:t>
            </w:r>
            <w:r>
              <w:rPr>
                <w:rFonts w:hint="default" w:ascii="Times New Roman" w:hAnsi="Times New Roman" w:eastAsia="宋体" w:cs="Times New Roman"/>
                <w:color w:val="auto"/>
                <w:kern w:val="2"/>
                <w:sz w:val="21"/>
                <w:szCs w:val="21"/>
                <w:lang w:val="en-US" w:eastAsia="zh-CN" w:bidi="ar-SA"/>
              </w:rPr>
              <w:t>体废物贮存处置执行《一般工业固体废物贮存和填埋污染控制标准》(GB 18599-2020)</w:t>
            </w:r>
            <w:r>
              <w:rPr>
                <w:rFonts w:hint="default" w:ascii="Times New Roman" w:hAnsi="Times New Roman" w:cs="Times New Roman"/>
                <w:color w:val="auto"/>
                <w:kern w:val="2"/>
                <w:sz w:val="21"/>
                <w:szCs w:val="21"/>
                <w:lang w:val="en-US" w:eastAsia="zh-CN" w:bidi="ar-SA"/>
              </w:rPr>
              <w:t>要求</w:t>
            </w:r>
            <w:r>
              <w:rPr>
                <w:rFonts w:hint="default" w:ascii="Times New Roman" w:hAnsi="Times New Roman" w:eastAsia="宋体" w:cs="Times New Roman"/>
                <w:color w:val="auto"/>
                <w:kern w:val="2"/>
                <w:sz w:val="21"/>
                <w:szCs w:val="21"/>
                <w:lang w:val="en-US" w:eastAsia="zh-CN" w:bidi="ar-SA"/>
              </w:rPr>
              <w:t>。危险废物贮存处置执行</w:t>
            </w:r>
            <w:r>
              <w:rPr>
                <w:rFonts w:hint="eastAsia" w:ascii="Times New Roman" w:hAnsi="Times New Roman" w:cs="Times New Roman"/>
                <w:color w:val="auto"/>
                <w:kern w:val="2"/>
                <w:sz w:val="21"/>
                <w:szCs w:val="21"/>
                <w:lang w:val="en-US" w:eastAsia="zh-CN" w:bidi="ar-SA"/>
              </w:rPr>
              <w:t>《危险废物贮存污染控制标准》（GB 18597—2023）</w:t>
            </w:r>
            <w:r>
              <w:rPr>
                <w:rFonts w:hint="default" w:ascii="Times New Roman" w:hAnsi="Times New Roman" w:eastAsia="宋体" w:cs="Times New Roman"/>
                <w:color w:val="auto"/>
                <w:kern w:val="2"/>
                <w:sz w:val="21"/>
                <w:szCs w:val="21"/>
                <w:lang w:val="en-US" w:eastAsia="zh-CN" w:bidi="ar-SA"/>
              </w:rPr>
              <w:t>要求</w:t>
            </w:r>
            <w:r>
              <w:rPr>
                <w:rFonts w:hint="default" w:ascii="Times New Roman" w:hAnsi="Times New Roman" w:cs="Times New Roman"/>
                <w:color w:val="auto"/>
                <w:sz w:val="21"/>
                <w:szCs w:val="21"/>
                <w:highlight w:val="none"/>
              </w:rPr>
              <w:t>。</w:t>
            </w:r>
          </w:p>
        </w:tc>
      </w:tr>
      <w:tr w14:paraId="6A7EB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3" w:hRule="atLeast"/>
          <w:jc w:val="center"/>
        </w:trPr>
        <w:tc>
          <w:tcPr>
            <w:tcW w:w="390" w:type="dxa"/>
            <w:tcBorders>
              <w:top w:val="single" w:color="000000" w:sz="4" w:space="0"/>
              <w:right w:val="single" w:color="000000" w:sz="4" w:space="0"/>
            </w:tcBorders>
            <w:vAlign w:val="center"/>
          </w:tcPr>
          <w:p w14:paraId="1094250C">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总</w:t>
            </w:r>
          </w:p>
          <w:p w14:paraId="5B3CAC3D">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量</w:t>
            </w:r>
          </w:p>
          <w:p w14:paraId="4D816C69">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控</w:t>
            </w:r>
          </w:p>
          <w:p w14:paraId="51DC68D6">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制</w:t>
            </w:r>
          </w:p>
          <w:p w14:paraId="72FA42E1">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指</w:t>
            </w:r>
          </w:p>
          <w:p w14:paraId="60DD5CEB">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w:t>
            </w:r>
          </w:p>
        </w:tc>
        <w:tc>
          <w:tcPr>
            <w:tcW w:w="9166" w:type="dxa"/>
            <w:tcBorders>
              <w:top w:val="single" w:color="000000" w:sz="4" w:space="0"/>
              <w:left w:val="single" w:color="000000" w:sz="4" w:space="0"/>
            </w:tcBorders>
            <w:vAlign w:val="center"/>
          </w:tcPr>
          <w:p w14:paraId="64D969E1">
            <w:pPr>
              <w:pStyle w:val="55"/>
              <w:keepNext w:val="0"/>
              <w:keepLines w:val="0"/>
              <w:pageBreakBefore w:val="0"/>
              <w:widowControl w:val="0"/>
              <w:tabs>
                <w:tab w:val="left" w:pos="269"/>
                <w:tab w:val="right" w:pos="4433"/>
              </w:tabs>
              <w:kinsoku/>
              <w:wordWrap/>
              <w:overflowPunct/>
              <w:topLinePunct w:val="0"/>
              <w:autoSpaceDE w:val="0"/>
              <w:autoSpaceDN w:val="0"/>
              <w:bidi w:val="0"/>
              <w:adjustRightInd/>
              <w:snapToGrid/>
              <w:spacing w:line="360" w:lineRule="auto"/>
              <w:ind w:right="0" w:rightChars="0" w:firstLine="420" w:firstLineChars="200"/>
              <w:jc w:val="both"/>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根据《关于印发&lt;建设项目主要污染物排放总量指标审核及管理暂行办法&gt;的通知》</w:t>
            </w:r>
            <w:r>
              <w:rPr>
                <w:rFonts w:hint="eastAsia"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环发[2014]197号</w:t>
            </w:r>
            <w:r>
              <w:rPr>
                <w:rFonts w:hint="eastAsia"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及《河北省环境保护厅关于进一步改革和优化建设项目主要污染物排放总量核定工作的通知》</w:t>
            </w:r>
            <w:r>
              <w:rPr>
                <w:rFonts w:hint="eastAsia"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冀环总[2014]283号</w:t>
            </w:r>
            <w:r>
              <w:rPr>
                <w:rFonts w:hint="eastAsia"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，总量控制因子确定为SO</w:t>
            </w:r>
            <w:r>
              <w:rPr>
                <w:rFonts w:hint="default" w:ascii="Times New Roman" w:hAnsi="Times New Roman" w:eastAsia="宋体" w:cs="Times New Roman"/>
                <w:b w:val="0"/>
                <w:bCs w:val="0"/>
                <w:color w:val="auto"/>
                <w:kern w:val="2"/>
                <w:sz w:val="21"/>
                <w:szCs w:val="21"/>
                <w:vertAlign w:val="subscript"/>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、NO</w:t>
            </w:r>
            <w:r>
              <w:rPr>
                <w:rFonts w:hint="default" w:ascii="Times New Roman" w:hAnsi="Times New Roman" w:eastAsia="宋体" w:cs="Times New Roman"/>
                <w:b w:val="0"/>
                <w:bCs w:val="0"/>
                <w:color w:val="auto"/>
                <w:kern w:val="2"/>
                <w:sz w:val="21"/>
                <w:szCs w:val="21"/>
                <w:vertAlign w:val="subscript"/>
                <w:lang w:val="en-US" w:eastAsia="zh-CN" w:bidi="ar-SA"/>
              </w:rPr>
              <w:t>X</w:t>
            </w:r>
            <w:r>
              <w:rPr>
                <w:rFonts w:hint="default" w:ascii="Times New Roman" w:hAnsi="Times New Roman" w:eastAsia="宋体" w:cs="Times New Roman"/>
                <w:b w:val="0"/>
                <w:bCs w:val="0"/>
                <w:color w:val="auto"/>
                <w:kern w:val="2"/>
                <w:sz w:val="21"/>
                <w:szCs w:val="21"/>
                <w:lang w:val="en-US" w:eastAsia="zh-CN" w:bidi="ar-SA"/>
              </w:rPr>
              <w:t>、COD、NH</w:t>
            </w:r>
            <w:r>
              <w:rPr>
                <w:rFonts w:hint="default" w:ascii="Times New Roman" w:hAnsi="Times New Roman" w:eastAsia="宋体" w:cs="Times New Roman"/>
                <w:b w:val="0"/>
                <w:bCs w:val="0"/>
                <w:color w:val="auto"/>
                <w:kern w:val="2"/>
                <w:sz w:val="21"/>
                <w:szCs w:val="21"/>
                <w:vertAlign w:val="sub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-N。本项目不涉及SO</w:t>
            </w:r>
            <w:r>
              <w:rPr>
                <w:rFonts w:hint="default" w:ascii="Times New Roman" w:hAnsi="Times New Roman" w:eastAsia="宋体" w:cs="Times New Roman"/>
                <w:b w:val="0"/>
                <w:bCs w:val="0"/>
                <w:color w:val="auto"/>
                <w:kern w:val="2"/>
                <w:sz w:val="21"/>
                <w:szCs w:val="21"/>
                <w:vertAlign w:val="subscript"/>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、NO</w:t>
            </w:r>
            <w:r>
              <w:rPr>
                <w:rFonts w:hint="default" w:ascii="Times New Roman" w:hAnsi="Times New Roman" w:eastAsia="宋体" w:cs="Times New Roman"/>
                <w:b w:val="0"/>
                <w:bCs w:val="0"/>
                <w:color w:val="auto"/>
                <w:kern w:val="2"/>
                <w:sz w:val="21"/>
                <w:szCs w:val="21"/>
                <w:vertAlign w:val="subscript"/>
                <w:lang w:val="en-US" w:eastAsia="zh-CN" w:bidi="ar-SA"/>
              </w:rPr>
              <w:t>X</w:t>
            </w:r>
            <w:r>
              <w:rPr>
                <w:rFonts w:hint="default" w:ascii="Times New Roman" w:hAnsi="Times New Roman" w:eastAsia="宋体" w:cs="Times New Roman"/>
                <w:b w:val="0"/>
                <w:bCs w:val="0"/>
                <w:color w:val="auto"/>
                <w:kern w:val="2"/>
                <w:sz w:val="21"/>
                <w:szCs w:val="21"/>
                <w:lang w:val="en-US" w:eastAsia="zh-CN" w:bidi="ar-SA"/>
              </w:rPr>
              <w:t>排放。</w:t>
            </w:r>
            <w:r>
              <w:rPr>
                <w:rFonts w:hint="eastAsia" w:ascii="Times New Roman" w:hAnsi="Times New Roman" w:cs="Times New Roman"/>
                <w:b w:val="0"/>
                <w:bCs w:val="0"/>
                <w:color w:val="auto"/>
                <w:kern w:val="2"/>
                <w:sz w:val="21"/>
                <w:szCs w:val="21"/>
                <w:lang w:val="en-US" w:eastAsia="zh-CN" w:bidi="ar-SA"/>
              </w:rPr>
              <w:t>无生产废水产生，冷却水循环使用</w:t>
            </w:r>
            <w:r>
              <w:rPr>
                <w:rFonts w:hint="default" w:ascii="Times New Roman" w:hAnsi="Times New Roman" w:eastAsia="宋体" w:cs="Times New Roman"/>
                <w:b w:val="0"/>
                <w:bCs w:val="0"/>
                <w:color w:val="auto"/>
                <w:kern w:val="2"/>
                <w:sz w:val="21"/>
                <w:szCs w:val="21"/>
                <w:lang w:val="en-US" w:eastAsia="zh-CN" w:bidi="ar-SA"/>
              </w:rPr>
              <w:t>，生活污水</w:t>
            </w:r>
            <w:r>
              <w:rPr>
                <w:rFonts w:hint="eastAsia" w:eastAsia="宋体" w:cs="Times New Roman"/>
                <w:b w:val="0"/>
                <w:bCs w:val="0"/>
                <w:color w:val="auto"/>
                <w:kern w:val="2"/>
                <w:sz w:val="21"/>
                <w:szCs w:val="21"/>
                <w:lang w:val="en-US" w:eastAsia="zh-CN" w:bidi="ar-SA"/>
              </w:rPr>
              <w:t>排入厂区防渗旱厕，</w:t>
            </w:r>
            <w:r>
              <w:rPr>
                <w:rFonts w:hint="eastAsia" w:cs="Times New Roman"/>
                <w:b w:val="0"/>
                <w:bCs w:val="0"/>
                <w:color w:val="auto"/>
                <w:kern w:val="2"/>
                <w:sz w:val="21"/>
                <w:szCs w:val="21"/>
                <w:lang w:val="en-US" w:eastAsia="zh-CN" w:bidi="ar-SA"/>
              </w:rPr>
              <w:t>定期清掏用作农肥</w:t>
            </w:r>
            <w:r>
              <w:rPr>
                <w:rFonts w:hint="default" w:ascii="Times New Roman" w:hAnsi="Times New Roman" w:eastAsia="宋体" w:cs="Times New Roman"/>
                <w:b w:val="0"/>
                <w:bCs w:val="0"/>
                <w:color w:val="auto"/>
                <w:kern w:val="2"/>
                <w:sz w:val="21"/>
                <w:szCs w:val="21"/>
                <w:lang w:val="en-US" w:eastAsia="zh-CN" w:bidi="ar-SA"/>
              </w:rPr>
              <w:t>。本项目污染物总量控制指标为：COD：0t/a，NH</w:t>
            </w:r>
            <w:r>
              <w:rPr>
                <w:rFonts w:hint="default" w:ascii="Times New Roman" w:hAnsi="Times New Roman" w:eastAsia="宋体" w:cs="Times New Roman"/>
                <w:b w:val="0"/>
                <w:bCs w:val="0"/>
                <w:color w:val="auto"/>
                <w:kern w:val="2"/>
                <w:sz w:val="21"/>
                <w:szCs w:val="21"/>
                <w:vertAlign w:val="sub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-N：</w:t>
            </w:r>
            <w:r>
              <w:rPr>
                <w:rFonts w:hint="eastAsia" w:eastAsia="宋体" w:cs="Times New Roman"/>
                <w:b w:val="0"/>
                <w:bCs w:val="0"/>
                <w:color w:val="auto"/>
                <w:kern w:val="2"/>
                <w:sz w:val="21"/>
                <w:szCs w:val="21"/>
                <w:lang w:val="en-US" w:eastAsia="zh-CN" w:bidi="ar-SA"/>
              </w:rPr>
              <w:t>0</w:t>
            </w:r>
            <w:r>
              <w:rPr>
                <w:rFonts w:hint="default" w:ascii="Times New Roman" w:hAnsi="Times New Roman" w:eastAsia="宋体" w:cs="Times New Roman"/>
                <w:b w:val="0"/>
                <w:bCs w:val="0"/>
                <w:color w:val="auto"/>
                <w:kern w:val="2"/>
                <w:sz w:val="21"/>
                <w:szCs w:val="21"/>
                <w:lang w:val="en-US" w:eastAsia="zh-CN" w:bidi="ar-SA"/>
              </w:rPr>
              <w:t>t/a，SO</w:t>
            </w:r>
            <w:r>
              <w:rPr>
                <w:rFonts w:hint="default" w:ascii="Times New Roman" w:hAnsi="Times New Roman" w:eastAsia="宋体" w:cs="Times New Roman"/>
                <w:b w:val="0"/>
                <w:bCs w:val="0"/>
                <w:color w:val="auto"/>
                <w:kern w:val="2"/>
                <w:sz w:val="21"/>
                <w:szCs w:val="21"/>
                <w:vertAlign w:val="subscript"/>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：0t/a，NO</w:t>
            </w:r>
            <w:r>
              <w:rPr>
                <w:rFonts w:hint="default" w:ascii="Times New Roman" w:hAnsi="Times New Roman" w:eastAsia="宋体" w:cs="Times New Roman"/>
                <w:b w:val="0"/>
                <w:bCs w:val="0"/>
                <w:color w:val="auto"/>
                <w:kern w:val="2"/>
                <w:sz w:val="21"/>
                <w:szCs w:val="21"/>
                <w:vertAlign w:val="subscript"/>
                <w:lang w:val="en-US" w:eastAsia="zh-CN" w:bidi="ar-SA"/>
              </w:rPr>
              <w:t>X</w:t>
            </w:r>
            <w:r>
              <w:rPr>
                <w:rFonts w:hint="default" w:ascii="Times New Roman" w:hAnsi="Times New Roman" w:eastAsia="宋体" w:cs="Times New Roman"/>
                <w:b w:val="0"/>
                <w:bCs w:val="0"/>
                <w:color w:val="auto"/>
                <w:kern w:val="2"/>
                <w:sz w:val="21"/>
                <w:szCs w:val="21"/>
                <w:lang w:val="en-US" w:eastAsia="zh-CN" w:bidi="ar-SA"/>
              </w:rPr>
              <w:t>：0t/a。</w:t>
            </w:r>
          </w:p>
        </w:tc>
      </w:tr>
    </w:tbl>
    <w:p w14:paraId="016FA5A3">
      <w:pPr>
        <w:spacing w:after="0"/>
        <w:jc w:val="right"/>
        <w:rPr>
          <w:rFonts w:hint="default" w:ascii="Times New Roman" w:hAnsi="Times New Roman" w:cs="Times New Roman"/>
          <w:color w:val="auto"/>
          <w:sz w:val="21"/>
        </w:rPr>
        <w:sectPr>
          <w:footerReference r:id="rId7" w:type="default"/>
          <w:footerReference r:id="rId8"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14:paraId="7D2CC8EE">
      <w:pPr>
        <w:pStyle w:val="12"/>
        <w:spacing w:before="58"/>
        <w:ind w:left="635" w:right="652"/>
        <w:jc w:val="center"/>
        <w:rPr>
          <w:rFonts w:hint="default" w:ascii="Times New Roman" w:hAnsi="Times New Roman" w:cs="Times New Roman"/>
          <w:color w:val="auto"/>
        </w:rPr>
      </w:pPr>
      <w:r>
        <w:rPr>
          <w:rFonts w:hint="default" w:ascii="Times New Roman" w:hAnsi="Times New Roman" w:cs="Times New Roman"/>
          <w:color w:val="auto"/>
        </w:rPr>
        <w:t>四、主要环境影响和保护措施</w:t>
      </w:r>
    </w:p>
    <w:tbl>
      <w:tblPr>
        <w:tblStyle w:val="34"/>
        <w:tblW w:w="97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360"/>
      </w:tblGrid>
      <w:tr w14:paraId="08D9C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3" w:hRule="atLeast"/>
          <w:jc w:val="center"/>
        </w:trPr>
        <w:tc>
          <w:tcPr>
            <w:tcW w:w="419" w:type="dxa"/>
            <w:tcBorders>
              <w:bottom w:val="single" w:color="000000" w:sz="4" w:space="0"/>
              <w:right w:val="single" w:color="000000" w:sz="4" w:space="0"/>
            </w:tcBorders>
            <w:vAlign w:val="center"/>
          </w:tcPr>
          <w:p w14:paraId="15F725A7">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施</w:t>
            </w:r>
          </w:p>
          <w:p w14:paraId="1ACA2F47">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工</w:t>
            </w:r>
          </w:p>
          <w:p w14:paraId="6DB57EBC">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期</w:t>
            </w:r>
          </w:p>
          <w:p w14:paraId="4313EC54">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w:t>
            </w:r>
          </w:p>
          <w:p w14:paraId="023B9CB1">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境</w:t>
            </w:r>
          </w:p>
          <w:p w14:paraId="4C31FAD4">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w:t>
            </w:r>
          </w:p>
          <w:p w14:paraId="319678CC">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护</w:t>
            </w:r>
          </w:p>
          <w:p w14:paraId="0ACCE4AA">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措</w:t>
            </w:r>
          </w:p>
          <w:p w14:paraId="1C5F25CE">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施</w:t>
            </w:r>
          </w:p>
        </w:tc>
        <w:tc>
          <w:tcPr>
            <w:tcW w:w="9360" w:type="dxa"/>
            <w:tcBorders>
              <w:left w:val="single" w:color="000000" w:sz="4" w:space="0"/>
              <w:bottom w:val="single" w:color="000000" w:sz="4" w:space="0"/>
            </w:tcBorders>
            <w:vAlign w:val="center"/>
          </w:tcPr>
          <w:p w14:paraId="5CC26D83">
            <w:pPr>
              <w:keepNext w:val="0"/>
              <w:keepLines w:val="0"/>
              <w:pageBreakBefore w:val="0"/>
              <w:widowControl w:val="0"/>
              <w:kinsoku/>
              <w:wordWrap/>
              <w:overflowPunct/>
              <w:topLinePunct w:val="0"/>
              <w:autoSpaceDE w:val="0"/>
              <w:autoSpaceDN w:val="0"/>
              <w:bidi w:val="0"/>
              <w:adjustRightInd/>
              <w:snapToGrid/>
              <w:spacing w:before="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eastAsia="zh-CN"/>
              </w:rPr>
              <w:t>租赁</w:t>
            </w:r>
            <w:r>
              <w:rPr>
                <w:rFonts w:hint="default" w:ascii="Times New Roman" w:hAnsi="Times New Roman" w:eastAsia="宋体" w:cs="Times New Roman"/>
                <w:color w:val="auto"/>
                <w:sz w:val="21"/>
                <w:szCs w:val="21"/>
                <w:highlight w:val="none"/>
              </w:rPr>
              <w:t>已建成厂房，项目厂区地面已完成硬化。施工期主要为</w:t>
            </w:r>
            <w:r>
              <w:rPr>
                <w:rFonts w:hint="eastAsia" w:ascii="Times New Roman" w:hAnsi="Times New Roman" w:eastAsia="宋体" w:cs="Times New Roman"/>
                <w:color w:val="auto"/>
                <w:sz w:val="21"/>
                <w:szCs w:val="21"/>
                <w:highlight w:val="none"/>
                <w:lang w:eastAsia="zh-CN"/>
              </w:rPr>
              <w:t>在租赁现有车间内</w:t>
            </w:r>
            <w:r>
              <w:rPr>
                <w:rFonts w:hint="default" w:ascii="Times New Roman" w:hAnsi="Times New Roman" w:eastAsia="宋体" w:cs="Times New Roman"/>
                <w:color w:val="auto"/>
                <w:sz w:val="21"/>
                <w:szCs w:val="21"/>
                <w:highlight w:val="none"/>
                <w:lang w:eastAsia="zh-CN"/>
              </w:rPr>
              <w:t>新建危废间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对地面防渗进行改造</w:t>
            </w:r>
            <w:r>
              <w:rPr>
                <w:rFonts w:hint="default" w:ascii="Times New Roman" w:hAnsi="Times New Roman" w:eastAsia="宋体" w:cs="Times New Roman"/>
                <w:color w:val="auto"/>
                <w:sz w:val="21"/>
                <w:szCs w:val="21"/>
                <w:highlight w:val="none"/>
              </w:rPr>
              <w:t>，设备安装和调试，随着设备安装完成，污染随之消失，不会对周围环境产生明显不利影响；本报告不再对施工期环境影响赘述。开挖土方工作施工量较低，采取洒水抑尘的措施后，可有效降低扬尘的产生，施工扬尘不会对周边环境产生影响。施工工作主要在室内进行，产生的噪声经车间隔声及距离衰减后，施工噪声不会对外环境产生明显影响。设备包装物经收集后外售，应集中堆放，及时运至垃圾场集中处理；施工人员生活垃圾交环卫部门统一处理，施工期固废经妥善处理后不会对外环境产生明显影响</w:t>
            </w:r>
            <w:r>
              <w:rPr>
                <w:rFonts w:hint="default" w:ascii="Times New Roman" w:hAnsi="Times New Roman" w:eastAsia="宋体" w:cs="Times New Roman"/>
                <w:color w:val="auto"/>
                <w:sz w:val="21"/>
                <w:szCs w:val="21"/>
                <w:highlight w:val="none"/>
                <w:lang w:val="en-US" w:eastAsia="zh-CN"/>
              </w:rPr>
              <w:t>。</w:t>
            </w:r>
          </w:p>
        </w:tc>
      </w:tr>
      <w:tr w14:paraId="5AB01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16" w:hRule="atLeast"/>
          <w:jc w:val="center"/>
        </w:trPr>
        <w:tc>
          <w:tcPr>
            <w:tcW w:w="419" w:type="dxa"/>
            <w:tcBorders>
              <w:top w:val="single" w:color="000000" w:sz="4" w:space="0"/>
              <w:right w:val="single" w:color="000000" w:sz="4" w:space="0"/>
            </w:tcBorders>
            <w:vAlign w:val="center"/>
          </w:tcPr>
          <w:p w14:paraId="1388DDA1">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运</w:t>
            </w:r>
          </w:p>
          <w:p w14:paraId="45C16F92">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营</w:t>
            </w:r>
          </w:p>
          <w:p w14:paraId="2DC46750">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期</w:t>
            </w:r>
          </w:p>
          <w:p w14:paraId="04E67A73">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w:t>
            </w:r>
          </w:p>
          <w:p w14:paraId="545EA5C8">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境</w:t>
            </w:r>
          </w:p>
          <w:p w14:paraId="17607DDF">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影</w:t>
            </w:r>
          </w:p>
          <w:p w14:paraId="645154F7">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响</w:t>
            </w:r>
          </w:p>
          <w:p w14:paraId="6C5129CC">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和</w:t>
            </w:r>
          </w:p>
          <w:p w14:paraId="44AB0204">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w:t>
            </w:r>
          </w:p>
          <w:p w14:paraId="16A4BE50">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护</w:t>
            </w:r>
          </w:p>
          <w:p w14:paraId="6CD8AE29">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rPr>
              <w:t>措</w:t>
            </w:r>
          </w:p>
          <w:p w14:paraId="640450DA">
            <w:pPr>
              <w:pStyle w:val="5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施</w:t>
            </w:r>
          </w:p>
        </w:tc>
        <w:tc>
          <w:tcPr>
            <w:tcW w:w="9360" w:type="dxa"/>
            <w:tcBorders>
              <w:top w:val="single" w:color="000000" w:sz="4" w:space="0"/>
              <w:left w:val="single" w:color="000000" w:sz="4" w:space="0"/>
            </w:tcBorders>
          </w:tcPr>
          <w:p w14:paraId="579C8563">
            <w:pPr>
              <w:pStyle w:val="2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50" w:right="0" w:rightChars="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一、</w:t>
            </w:r>
            <w:r>
              <w:rPr>
                <w:rFonts w:hint="default" w:ascii="Times New Roman" w:hAnsi="Times New Roman" w:eastAsia="宋体" w:cs="Times New Roman"/>
                <w:b/>
                <w:bCs/>
                <w:color w:val="auto"/>
                <w:sz w:val="21"/>
                <w:szCs w:val="21"/>
                <w:lang w:val="en-US" w:eastAsia="zh-CN"/>
              </w:rPr>
              <w:t>废气</w:t>
            </w:r>
          </w:p>
          <w:p w14:paraId="05E574FE">
            <w:pPr>
              <w:pStyle w:val="2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1、有组织废气</w:t>
            </w:r>
          </w:p>
          <w:p w14:paraId="0F22D0D6">
            <w:pPr>
              <w:pStyle w:val="6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本项目有组织废气排放情况及污染源参数见下表。</w:t>
            </w:r>
          </w:p>
          <w:p w14:paraId="1985B986">
            <w:pPr>
              <w:pStyle w:val="2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表4.1 大气污染物有组织排放量核算表（有组织）</w:t>
            </w:r>
          </w:p>
          <w:tbl>
            <w:tblPr>
              <w:tblStyle w:val="3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1058"/>
              <w:gridCol w:w="1456"/>
              <w:gridCol w:w="1128"/>
              <w:gridCol w:w="915"/>
              <w:gridCol w:w="855"/>
              <w:gridCol w:w="735"/>
              <w:gridCol w:w="960"/>
              <w:gridCol w:w="555"/>
              <w:gridCol w:w="746"/>
            </w:tblGrid>
            <w:tr w14:paraId="1FFA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7" w:type="dxa"/>
                  <w:noWrap w:val="0"/>
                  <w:vAlign w:val="center"/>
                </w:tcPr>
                <w:p w14:paraId="5AB999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14:paraId="727005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1058" w:type="dxa"/>
                  <w:noWrap w:val="0"/>
                  <w:vAlign w:val="center"/>
                </w:tcPr>
                <w:p w14:paraId="57503B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456" w:type="dxa"/>
                  <w:noWrap w:val="0"/>
                  <w:vAlign w:val="center"/>
                </w:tcPr>
                <w:p w14:paraId="0003A3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1128" w:type="dxa"/>
                  <w:noWrap w:val="0"/>
                  <w:vAlign w:val="center"/>
                </w:tcPr>
                <w:p w14:paraId="15DD22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915" w:type="dxa"/>
                  <w:noWrap w:val="0"/>
                  <w:vAlign w:val="center"/>
                </w:tcPr>
                <w:p w14:paraId="0FFCC4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55" w:type="dxa"/>
                  <w:noWrap w:val="0"/>
                  <w:vAlign w:val="center"/>
                </w:tcPr>
                <w:p w14:paraId="4FC9B3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eastAsia" w:ascii="Times New Roman" w:hAnsi="Times New Roman"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35" w:type="dxa"/>
                  <w:noWrap w:val="0"/>
                  <w:vAlign w:val="center"/>
                </w:tcPr>
                <w:p w14:paraId="18B4E8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60" w:type="dxa"/>
                  <w:noWrap w:val="0"/>
                  <w:vAlign w:val="center"/>
                </w:tcPr>
                <w:p w14:paraId="17C11F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555" w:type="dxa"/>
                  <w:noWrap w:val="0"/>
                  <w:vAlign w:val="center"/>
                </w:tcPr>
                <w:p w14:paraId="7E875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746" w:type="dxa"/>
                  <w:noWrap w:val="0"/>
                  <w:vAlign w:val="center"/>
                </w:tcPr>
                <w:p w14:paraId="5F1E56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14:paraId="2223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7" w:type="dxa"/>
                  <w:vMerge w:val="restart"/>
                  <w:noWrap w:val="0"/>
                  <w:vAlign w:val="center"/>
                </w:tcPr>
                <w:p w14:paraId="1EAFEA92">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vMerge w:val="restart"/>
                  <w:noWrap w:val="0"/>
                  <w:vAlign w:val="center"/>
                </w:tcPr>
                <w:p w14:paraId="417D2038">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1058" w:type="dxa"/>
                  <w:noWrap w:val="0"/>
                  <w:vAlign w:val="center"/>
                </w:tcPr>
                <w:p w14:paraId="0DF426FE">
                  <w:pPr>
                    <w:pStyle w:val="55"/>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val="0"/>
                      <w:bCs/>
                      <w:color w:val="auto"/>
                      <w:spacing w:val="0"/>
                      <w:kern w:val="2"/>
                      <w:sz w:val="21"/>
                      <w:szCs w:val="21"/>
                      <w:highlight w:val="none"/>
                      <w:vertAlign w:val="baseline"/>
                      <w:lang w:val="en-US" w:eastAsia="zh-CN"/>
                    </w:rPr>
                    <w:t>颗粒物</w:t>
                  </w:r>
                </w:p>
              </w:tc>
              <w:tc>
                <w:tcPr>
                  <w:tcW w:w="1456" w:type="dxa"/>
                  <w:vMerge w:val="restart"/>
                  <w:noWrap w:val="0"/>
                  <w:vAlign w:val="center"/>
                </w:tcPr>
                <w:p w14:paraId="18BE60AD">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集气罩+布袋除尘器+两级活性炭箱</w:t>
                  </w:r>
                  <w:r>
                    <w:rPr>
                      <w:rFonts w:hint="default" w:ascii="Times New Roman" w:hAnsi="Times New Roman" w:cs="Times New Roman"/>
                      <w:color w:val="auto"/>
                      <w:spacing w:val="0"/>
                      <w:kern w:val="21"/>
                      <w:sz w:val="21"/>
                      <w:szCs w:val="21"/>
                      <w:highlight w:val="none"/>
                      <w:lang w:val="en-US" w:eastAsia="zh-CN"/>
                    </w:rPr>
                    <w:t>+15m高排气筒</w:t>
                  </w:r>
                </w:p>
              </w:tc>
              <w:tc>
                <w:tcPr>
                  <w:tcW w:w="1128" w:type="dxa"/>
                  <w:noWrap w:val="0"/>
                  <w:vAlign w:val="center"/>
                </w:tcPr>
                <w:p w14:paraId="7C6F9B90">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color w:val="auto"/>
                      <w:spacing w:val="0"/>
                      <w:kern w:val="2"/>
                      <w:sz w:val="21"/>
                      <w:szCs w:val="21"/>
                      <w:highlight w:val="none"/>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0.2732</w:t>
                  </w:r>
                </w:p>
              </w:tc>
              <w:tc>
                <w:tcPr>
                  <w:tcW w:w="915" w:type="dxa"/>
                  <w:noWrap w:val="0"/>
                  <w:vAlign w:val="center"/>
                </w:tcPr>
                <w:p w14:paraId="1614C743">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color w:val="auto"/>
                      <w:spacing w:val="0"/>
                      <w:kern w:val="2"/>
                      <w:sz w:val="21"/>
                      <w:szCs w:val="21"/>
                      <w:highlight w:val="none"/>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0.0038</w:t>
                  </w:r>
                </w:p>
              </w:tc>
              <w:tc>
                <w:tcPr>
                  <w:tcW w:w="855" w:type="dxa"/>
                  <w:noWrap w:val="0"/>
                  <w:vAlign w:val="center"/>
                </w:tcPr>
                <w:p w14:paraId="3ED6075E">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color w:val="auto"/>
                      <w:spacing w:val="0"/>
                      <w:kern w:val="2"/>
                      <w:sz w:val="21"/>
                      <w:szCs w:val="21"/>
                      <w:highlight w:val="none"/>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0.0092</w:t>
                  </w:r>
                </w:p>
              </w:tc>
              <w:tc>
                <w:tcPr>
                  <w:tcW w:w="735" w:type="dxa"/>
                  <w:noWrap w:val="0"/>
                  <w:vAlign w:val="center"/>
                </w:tcPr>
                <w:p w14:paraId="67870193">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60" w:type="dxa"/>
                  <w:vMerge w:val="restart"/>
                  <w:noWrap w:val="0"/>
                  <w:vAlign w:val="center"/>
                </w:tcPr>
                <w:p w14:paraId="2EAA9E56">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i w:val="0"/>
                      <w:iCs w:val="0"/>
                      <w:color w:val="auto"/>
                      <w:kern w:val="0"/>
                      <w:sz w:val="21"/>
                      <w:szCs w:val="21"/>
                      <w:u w:val="none"/>
                      <w:lang w:val="en-US" w:eastAsia="zh-CN" w:bidi="ar"/>
                    </w:rPr>
                    <w:t>14</w:t>
                  </w:r>
                  <w:r>
                    <w:rPr>
                      <w:rFonts w:hint="default" w:ascii="Times New Roman" w:hAnsi="Times New Roman" w:cs="Times New Roman"/>
                      <w:i w:val="0"/>
                      <w:iCs w:val="0"/>
                      <w:color w:val="auto"/>
                      <w:kern w:val="0"/>
                      <w:sz w:val="21"/>
                      <w:szCs w:val="21"/>
                      <w:u w:val="none"/>
                      <w:lang w:val="en-US" w:eastAsia="zh-CN" w:bidi="ar"/>
                    </w:rPr>
                    <w:t>000</w:t>
                  </w:r>
                </w:p>
              </w:tc>
              <w:tc>
                <w:tcPr>
                  <w:tcW w:w="555" w:type="dxa"/>
                  <w:vMerge w:val="restart"/>
                  <w:noWrap w:val="0"/>
                  <w:vAlign w:val="center"/>
                </w:tcPr>
                <w:p w14:paraId="5B4A869F">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90%</w:t>
                  </w:r>
                </w:p>
              </w:tc>
              <w:tc>
                <w:tcPr>
                  <w:tcW w:w="746" w:type="dxa"/>
                  <w:noWrap w:val="0"/>
                  <w:vAlign w:val="center"/>
                </w:tcPr>
                <w:p w14:paraId="43648756">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99%</w:t>
                  </w:r>
                </w:p>
              </w:tc>
            </w:tr>
            <w:tr w14:paraId="0008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7" w:type="dxa"/>
                  <w:vMerge w:val="continue"/>
                  <w:noWrap w:val="0"/>
                  <w:vAlign w:val="center"/>
                </w:tcPr>
                <w:p w14:paraId="4B586C9E">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rPr>
                  </w:pPr>
                </w:p>
              </w:tc>
              <w:tc>
                <w:tcPr>
                  <w:tcW w:w="435" w:type="dxa"/>
                  <w:vMerge w:val="continue"/>
                  <w:noWrap w:val="0"/>
                  <w:vAlign w:val="center"/>
                </w:tcPr>
                <w:p w14:paraId="26D0C824">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rPr>
                  </w:pPr>
                </w:p>
              </w:tc>
              <w:tc>
                <w:tcPr>
                  <w:tcW w:w="1058" w:type="dxa"/>
                  <w:noWrap w:val="0"/>
                  <w:vAlign w:val="center"/>
                </w:tcPr>
                <w:p w14:paraId="225EAF35">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color w:val="auto"/>
                      <w:spacing w:val="0"/>
                      <w:kern w:val="2"/>
                      <w:sz w:val="21"/>
                      <w:szCs w:val="21"/>
                      <w:highlight w:val="none"/>
                      <w:vertAlign w:val="baseline"/>
                      <w:lang w:val="en-US" w:eastAsia="zh-CN"/>
                    </w:rPr>
                  </w:pPr>
                  <w:r>
                    <w:rPr>
                      <w:rFonts w:hint="default" w:ascii="Times New Roman" w:hAnsi="Times New Roman" w:cs="Times New Roman"/>
                      <w:b w:val="0"/>
                      <w:bCs/>
                      <w:color w:val="auto"/>
                      <w:spacing w:val="0"/>
                      <w:kern w:val="2"/>
                      <w:sz w:val="21"/>
                      <w:szCs w:val="21"/>
                      <w:highlight w:val="none"/>
                      <w:vertAlign w:val="baseline"/>
                      <w:lang w:val="en-US" w:eastAsia="zh-CN"/>
                    </w:rPr>
                    <w:t>非甲烷总烃</w:t>
                  </w:r>
                </w:p>
              </w:tc>
              <w:tc>
                <w:tcPr>
                  <w:tcW w:w="1456" w:type="dxa"/>
                  <w:vMerge w:val="continue"/>
                  <w:noWrap w:val="0"/>
                  <w:vAlign w:val="center"/>
                </w:tcPr>
                <w:p w14:paraId="167C538D">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color w:val="auto"/>
                      <w:spacing w:val="0"/>
                      <w:kern w:val="2"/>
                      <w:sz w:val="21"/>
                      <w:szCs w:val="21"/>
                      <w:highlight w:val="none"/>
                      <w:vertAlign w:val="baseline"/>
                      <w:lang w:val="en-US" w:eastAsia="zh-CN"/>
                    </w:rPr>
                  </w:pPr>
                </w:p>
              </w:tc>
              <w:tc>
                <w:tcPr>
                  <w:tcW w:w="1128" w:type="dxa"/>
                  <w:noWrap w:val="0"/>
                  <w:vAlign w:val="center"/>
                </w:tcPr>
                <w:p w14:paraId="1E13E2B2">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color w:val="auto"/>
                      <w:spacing w:val="0"/>
                      <w:kern w:val="2"/>
                      <w:sz w:val="21"/>
                      <w:szCs w:val="21"/>
                      <w:highlight w:val="none"/>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2.0732</w:t>
                  </w:r>
                </w:p>
              </w:tc>
              <w:tc>
                <w:tcPr>
                  <w:tcW w:w="915" w:type="dxa"/>
                  <w:noWrap w:val="0"/>
                  <w:vAlign w:val="center"/>
                </w:tcPr>
                <w:p w14:paraId="6FB2C742">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color w:val="auto"/>
                      <w:spacing w:val="0"/>
                      <w:kern w:val="2"/>
                      <w:sz w:val="21"/>
                      <w:szCs w:val="21"/>
                      <w:highlight w:val="none"/>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0.0290</w:t>
                  </w:r>
                </w:p>
              </w:tc>
              <w:tc>
                <w:tcPr>
                  <w:tcW w:w="855" w:type="dxa"/>
                  <w:noWrap w:val="0"/>
                  <w:vAlign w:val="center"/>
                </w:tcPr>
                <w:p w14:paraId="4921339A">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color w:val="auto"/>
                      <w:spacing w:val="0"/>
                      <w:kern w:val="2"/>
                      <w:sz w:val="21"/>
                      <w:szCs w:val="21"/>
                      <w:highlight w:val="none"/>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0.0697</w:t>
                  </w:r>
                </w:p>
              </w:tc>
              <w:tc>
                <w:tcPr>
                  <w:tcW w:w="735" w:type="dxa"/>
                  <w:noWrap w:val="0"/>
                  <w:vAlign w:val="center"/>
                </w:tcPr>
                <w:p w14:paraId="63DCAA99">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color w:val="auto"/>
                      <w:spacing w:val="0"/>
                      <w:kern w:val="2"/>
                      <w:sz w:val="21"/>
                      <w:szCs w:val="21"/>
                      <w:highlight w:val="none"/>
                      <w:vertAlign w:val="baseline"/>
                      <w:lang w:val="en-US" w:eastAsia="zh-CN"/>
                    </w:rPr>
                  </w:pPr>
                  <w:r>
                    <w:rPr>
                      <w:rFonts w:hint="eastAsia" w:ascii="Times New Roman" w:hAnsi="Times New Roman" w:cs="Times New Roman"/>
                      <w:b w:val="0"/>
                      <w:bCs/>
                      <w:color w:val="auto"/>
                      <w:spacing w:val="0"/>
                      <w:kern w:val="2"/>
                      <w:sz w:val="21"/>
                      <w:szCs w:val="21"/>
                      <w:highlight w:val="none"/>
                      <w:vertAlign w:val="baseline"/>
                      <w:lang w:val="en-US" w:eastAsia="zh-CN"/>
                    </w:rPr>
                    <w:t>是</w:t>
                  </w:r>
                </w:p>
              </w:tc>
              <w:tc>
                <w:tcPr>
                  <w:tcW w:w="960" w:type="dxa"/>
                  <w:vMerge w:val="continue"/>
                  <w:noWrap w:val="0"/>
                  <w:vAlign w:val="center"/>
                </w:tcPr>
                <w:p w14:paraId="6D5441EA">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color w:val="auto"/>
                      <w:spacing w:val="0"/>
                      <w:kern w:val="2"/>
                      <w:sz w:val="21"/>
                      <w:szCs w:val="21"/>
                      <w:highlight w:val="none"/>
                      <w:vertAlign w:val="baseline"/>
                      <w:lang w:val="en-US" w:eastAsia="zh-CN"/>
                    </w:rPr>
                  </w:pPr>
                </w:p>
              </w:tc>
              <w:tc>
                <w:tcPr>
                  <w:tcW w:w="555" w:type="dxa"/>
                  <w:vMerge w:val="continue"/>
                  <w:noWrap w:val="0"/>
                  <w:vAlign w:val="center"/>
                </w:tcPr>
                <w:p w14:paraId="271D5F30">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color w:val="auto"/>
                      <w:spacing w:val="0"/>
                      <w:kern w:val="2"/>
                      <w:sz w:val="21"/>
                      <w:szCs w:val="21"/>
                      <w:highlight w:val="none"/>
                      <w:vertAlign w:val="baseline"/>
                      <w:lang w:val="en-US" w:eastAsia="zh-CN"/>
                    </w:rPr>
                  </w:pPr>
                </w:p>
              </w:tc>
              <w:tc>
                <w:tcPr>
                  <w:tcW w:w="746" w:type="dxa"/>
                  <w:noWrap w:val="0"/>
                  <w:vAlign w:val="center"/>
                </w:tcPr>
                <w:p w14:paraId="1BF5BF60">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color w:val="auto"/>
                      <w:spacing w:val="0"/>
                      <w:kern w:val="2"/>
                      <w:sz w:val="21"/>
                      <w:szCs w:val="21"/>
                      <w:highlight w:val="none"/>
                      <w:vertAlign w:val="baseline"/>
                      <w:lang w:val="en-US" w:eastAsia="zh-CN"/>
                    </w:rPr>
                  </w:pPr>
                  <w:r>
                    <w:rPr>
                      <w:rFonts w:hint="eastAsia" w:ascii="Times New Roman" w:hAnsi="Times New Roman" w:cs="Times New Roman"/>
                      <w:b w:val="0"/>
                      <w:bCs/>
                      <w:color w:val="auto"/>
                      <w:spacing w:val="0"/>
                      <w:kern w:val="2"/>
                      <w:sz w:val="21"/>
                      <w:szCs w:val="21"/>
                      <w:highlight w:val="none"/>
                      <w:vertAlign w:val="baseline"/>
                      <w:lang w:val="en-US" w:eastAsia="zh-CN"/>
                    </w:rPr>
                    <w:t>91%</w:t>
                  </w:r>
                </w:p>
              </w:tc>
            </w:tr>
            <w:tr w14:paraId="52A3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246" w:type="dxa"/>
                  <w:gridSpan w:val="4"/>
                  <w:vMerge w:val="restart"/>
                  <w:noWrap w:val="0"/>
                  <w:vAlign w:val="center"/>
                </w:tcPr>
                <w:p w14:paraId="04DA38F0">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2043" w:type="dxa"/>
                  <w:gridSpan w:val="2"/>
                  <w:noWrap w:val="0"/>
                  <w:vAlign w:val="center"/>
                </w:tcPr>
                <w:p w14:paraId="71128C90">
                  <w:pPr>
                    <w:pStyle w:val="55"/>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spacing w:val="0"/>
                      <w:kern w:val="2"/>
                      <w:sz w:val="21"/>
                      <w:szCs w:val="21"/>
                      <w:highlight w:val="none"/>
                      <w:vertAlign w:val="baseline"/>
                      <w:lang w:val="en-US" w:eastAsia="zh-CN"/>
                    </w:rPr>
                    <w:t>颗粒物</w:t>
                  </w:r>
                </w:p>
              </w:tc>
              <w:tc>
                <w:tcPr>
                  <w:tcW w:w="3851" w:type="dxa"/>
                  <w:gridSpan w:val="5"/>
                  <w:noWrap w:val="0"/>
                  <w:vAlign w:val="center"/>
                </w:tcPr>
                <w:p w14:paraId="09AF340D">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color w:val="auto"/>
                      <w:spacing w:val="0"/>
                      <w:kern w:val="2"/>
                      <w:sz w:val="21"/>
                      <w:szCs w:val="21"/>
                      <w:highlight w:val="none"/>
                      <w:vertAlign w:val="baseline"/>
                      <w:lang w:val="en-US" w:eastAsia="zh-CN"/>
                    </w:rPr>
                    <w:t>0.00</w:t>
                  </w:r>
                  <w:r>
                    <w:rPr>
                      <w:rFonts w:hint="eastAsia" w:ascii="Times New Roman" w:hAnsi="Times New Roman" w:cs="Times New Roman"/>
                      <w:b w:val="0"/>
                      <w:bCs/>
                      <w:color w:val="auto"/>
                      <w:spacing w:val="0"/>
                      <w:kern w:val="2"/>
                      <w:sz w:val="21"/>
                      <w:szCs w:val="21"/>
                      <w:highlight w:val="none"/>
                      <w:vertAlign w:val="baseline"/>
                      <w:lang w:val="en-US" w:eastAsia="zh-CN"/>
                    </w:rPr>
                    <w:t>92</w:t>
                  </w:r>
                  <w:r>
                    <w:rPr>
                      <w:rFonts w:hint="eastAsia" w:ascii="Times New Roman" w:hAnsi="Times New Roman" w:eastAsia="宋体" w:cs="Times New Roman"/>
                      <w:b w:val="0"/>
                      <w:bCs/>
                      <w:color w:val="auto"/>
                      <w:spacing w:val="0"/>
                      <w:kern w:val="2"/>
                      <w:sz w:val="21"/>
                      <w:szCs w:val="21"/>
                      <w:highlight w:val="none"/>
                      <w:vertAlign w:val="baseline"/>
                      <w:lang w:val="en-US" w:eastAsia="zh-CN"/>
                    </w:rPr>
                    <w:t xml:space="preserve"> </w:t>
                  </w:r>
                  <w:r>
                    <w:rPr>
                      <w:rFonts w:hint="default" w:ascii="Times New Roman" w:hAnsi="Times New Roman" w:eastAsia="宋体" w:cs="Times New Roman"/>
                      <w:i w:val="0"/>
                      <w:iCs w:val="0"/>
                      <w:color w:val="auto"/>
                      <w:kern w:val="0"/>
                      <w:sz w:val="21"/>
                      <w:szCs w:val="21"/>
                      <w:u w:val="none"/>
                      <w:lang w:val="en-US" w:eastAsia="zh-CN" w:bidi="ar"/>
                    </w:rPr>
                    <w:t>t/a</w:t>
                  </w:r>
                </w:p>
              </w:tc>
            </w:tr>
            <w:tr w14:paraId="760F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46" w:type="dxa"/>
                  <w:gridSpan w:val="4"/>
                  <w:vMerge w:val="continue"/>
                  <w:noWrap w:val="0"/>
                  <w:vAlign w:val="center"/>
                </w:tcPr>
                <w:p w14:paraId="465E02B4">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rPr>
                  </w:pPr>
                </w:p>
              </w:tc>
              <w:tc>
                <w:tcPr>
                  <w:tcW w:w="2043" w:type="dxa"/>
                  <w:gridSpan w:val="2"/>
                  <w:noWrap w:val="0"/>
                  <w:vAlign w:val="center"/>
                </w:tcPr>
                <w:p w14:paraId="0F347298">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color w:val="auto"/>
                      <w:spacing w:val="0"/>
                      <w:kern w:val="2"/>
                      <w:sz w:val="21"/>
                      <w:szCs w:val="21"/>
                      <w:highlight w:val="none"/>
                      <w:vertAlign w:val="baseline"/>
                      <w:lang w:val="en-US" w:eastAsia="zh-CN"/>
                    </w:rPr>
                  </w:pPr>
                  <w:r>
                    <w:rPr>
                      <w:rFonts w:hint="default" w:ascii="Times New Roman" w:hAnsi="Times New Roman" w:cs="Times New Roman"/>
                      <w:b w:val="0"/>
                      <w:bCs/>
                      <w:color w:val="auto"/>
                      <w:spacing w:val="0"/>
                      <w:kern w:val="2"/>
                      <w:sz w:val="21"/>
                      <w:szCs w:val="21"/>
                      <w:highlight w:val="none"/>
                      <w:vertAlign w:val="baseline"/>
                      <w:lang w:val="en-US" w:eastAsia="zh-CN"/>
                    </w:rPr>
                    <w:t>非甲烷总烃</w:t>
                  </w:r>
                </w:p>
              </w:tc>
              <w:tc>
                <w:tcPr>
                  <w:tcW w:w="3851" w:type="dxa"/>
                  <w:gridSpan w:val="5"/>
                  <w:noWrap w:val="0"/>
                  <w:vAlign w:val="center"/>
                </w:tcPr>
                <w:p w14:paraId="7812D89D">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color w:val="auto"/>
                      <w:spacing w:val="0"/>
                      <w:kern w:val="2"/>
                      <w:sz w:val="21"/>
                      <w:szCs w:val="21"/>
                      <w:highlight w:val="none"/>
                      <w:vertAlign w:val="baseline"/>
                      <w:lang w:val="en-US" w:eastAsia="zh-CN"/>
                    </w:rPr>
                  </w:pPr>
                  <w:r>
                    <w:rPr>
                      <w:rFonts w:hint="eastAsia" w:ascii="Times New Roman" w:hAnsi="Times New Roman" w:eastAsia="宋体" w:cs="Times New Roman"/>
                      <w:b w:val="0"/>
                      <w:bCs/>
                      <w:color w:val="auto"/>
                      <w:spacing w:val="0"/>
                      <w:kern w:val="2"/>
                      <w:sz w:val="21"/>
                      <w:szCs w:val="21"/>
                      <w:highlight w:val="none"/>
                      <w:vertAlign w:val="baseline"/>
                      <w:lang w:val="en-US" w:eastAsia="zh-CN"/>
                    </w:rPr>
                    <w:t>0.</w:t>
                  </w:r>
                  <w:r>
                    <w:rPr>
                      <w:rFonts w:hint="eastAsia" w:ascii="Times New Roman" w:hAnsi="Times New Roman" w:cs="Times New Roman"/>
                      <w:b w:val="0"/>
                      <w:bCs/>
                      <w:color w:val="auto"/>
                      <w:spacing w:val="0"/>
                      <w:kern w:val="2"/>
                      <w:sz w:val="21"/>
                      <w:szCs w:val="21"/>
                      <w:highlight w:val="none"/>
                      <w:vertAlign w:val="baseline"/>
                      <w:lang w:val="en-US" w:eastAsia="zh-CN"/>
                    </w:rPr>
                    <w:t>0697</w:t>
                  </w:r>
                  <w:r>
                    <w:rPr>
                      <w:rFonts w:hint="eastAsia" w:ascii="Times New Roman" w:hAnsi="Times New Roman" w:eastAsia="宋体" w:cs="Times New Roman"/>
                      <w:b w:val="0"/>
                      <w:bCs/>
                      <w:color w:val="auto"/>
                      <w:spacing w:val="0"/>
                      <w:kern w:val="2"/>
                      <w:sz w:val="21"/>
                      <w:szCs w:val="21"/>
                      <w:highlight w:val="none"/>
                      <w:vertAlign w:val="baseline"/>
                      <w:lang w:val="en-US" w:eastAsia="zh-CN"/>
                    </w:rPr>
                    <w:t xml:space="preserve"> </w:t>
                  </w:r>
                  <w:r>
                    <w:rPr>
                      <w:rFonts w:hint="default" w:ascii="Times New Roman" w:hAnsi="Times New Roman" w:eastAsia="宋体" w:cs="Times New Roman"/>
                      <w:i w:val="0"/>
                      <w:iCs w:val="0"/>
                      <w:color w:val="auto"/>
                      <w:kern w:val="0"/>
                      <w:sz w:val="21"/>
                      <w:szCs w:val="21"/>
                      <w:u w:val="none"/>
                      <w:lang w:val="en-US" w:eastAsia="zh-CN" w:bidi="ar"/>
                    </w:rPr>
                    <w:t>t/a</w:t>
                  </w:r>
                </w:p>
              </w:tc>
            </w:tr>
          </w:tbl>
          <w:p w14:paraId="7CA28E36">
            <w:pPr>
              <w:pStyle w:val="2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表4.2 主要废气污染源参数一览表(点源)</w:t>
            </w:r>
          </w:p>
          <w:tbl>
            <w:tblPr>
              <w:tblStyle w:val="34"/>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4"/>
              <w:gridCol w:w="2178"/>
              <w:gridCol w:w="867"/>
              <w:gridCol w:w="1142"/>
              <w:gridCol w:w="1123"/>
              <w:gridCol w:w="947"/>
              <w:gridCol w:w="649"/>
              <w:gridCol w:w="642"/>
              <w:gridCol w:w="649"/>
              <w:gridCol w:w="645"/>
            </w:tblGrid>
            <w:tr w14:paraId="5827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jc w:val="center"/>
              </w:trPr>
              <w:tc>
                <w:tcPr>
                  <w:tcW w:w="25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5E82B4E6">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21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D1F1AD">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污染源名称</w:t>
                  </w:r>
                </w:p>
              </w:tc>
              <w:tc>
                <w:tcPr>
                  <w:tcW w:w="8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910ABD">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污染物名称</w:t>
                  </w:r>
                </w:p>
              </w:tc>
              <w:tc>
                <w:tcPr>
                  <w:tcW w:w="22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9A8C03">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排气筒底部中心坐标</w:t>
                  </w:r>
                  <w:r>
                    <w:rPr>
                      <w:rStyle w:val="87"/>
                      <w:rFonts w:hint="default" w:ascii="Times New Roman" w:hAnsi="Times New Roman" w:eastAsia="宋体" w:cs="Times New Roman"/>
                      <w:color w:val="auto"/>
                      <w:sz w:val="21"/>
                      <w:szCs w:val="21"/>
                      <w:lang w:val="en-US" w:eastAsia="zh-CN" w:bidi="ar"/>
                    </w:rPr>
                    <w:t>( °)</w:t>
                  </w:r>
                </w:p>
              </w:tc>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CE0D7E">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排气筒底部海拔高度</w:t>
                  </w:r>
                  <w:r>
                    <w:rPr>
                      <w:rStyle w:val="87"/>
                      <w:rFonts w:hint="default" w:ascii="Times New Roman" w:hAnsi="Times New Roman" w:eastAsia="宋体" w:cs="Times New Roman"/>
                      <w:color w:val="auto"/>
                      <w:sz w:val="21"/>
                      <w:szCs w:val="21"/>
                      <w:lang w:val="en-US" w:eastAsia="zh-CN" w:bidi="ar"/>
                    </w:rPr>
                    <w:t>(m)</w:t>
                  </w:r>
                </w:p>
              </w:tc>
              <w:tc>
                <w:tcPr>
                  <w:tcW w:w="25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A1FF4A">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排气筒参数</w:t>
                  </w:r>
                </w:p>
              </w:tc>
            </w:tr>
            <w:tr w14:paraId="676F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BCC72C">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21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6C84BA">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C4350">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134C418A">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经度</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7879DB6E">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纬度</w:t>
                  </w: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7AEDA">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z w:val="21"/>
                      <w:szCs w:val="21"/>
                      <w:u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AE025DF">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高度</w:t>
                  </w:r>
                </w:p>
                <w:p w14:paraId="64B157C6">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(m)</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6CFFD494">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内径</w:t>
                  </w:r>
                </w:p>
                <w:p w14:paraId="26D335DF">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(m)</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168FCDF">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温度</w:t>
                  </w:r>
                </w:p>
                <w:p w14:paraId="6FE65A69">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960025A">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Style w:val="88"/>
                      <w:rFonts w:hint="default" w:ascii="Times New Roman" w:hAnsi="Times New Roman" w:eastAsia="宋体" w:cs="Times New Roman"/>
                      <w:color w:val="auto"/>
                      <w:sz w:val="21"/>
                      <w:szCs w:val="21"/>
                      <w:lang w:val="en-US" w:eastAsia="zh-CN" w:bidi="ar"/>
                    </w:rPr>
                    <w:t>流量</w:t>
                  </w:r>
                  <w:r>
                    <w:rPr>
                      <w:rFonts w:hint="default" w:ascii="Times New Roman" w:hAnsi="Times New Roman" w:eastAsia="宋体" w:cs="Times New Roman"/>
                      <w:i w:val="0"/>
                      <w:iCs w:val="0"/>
                      <w:color w:val="auto"/>
                      <w:kern w:val="0"/>
                      <w:sz w:val="21"/>
                      <w:szCs w:val="21"/>
                      <w:u w:val="none"/>
                      <w:lang w:val="en-US" w:eastAsia="zh-CN" w:bidi="ar"/>
                    </w:rPr>
                    <w:t>(m</w:t>
                  </w:r>
                  <w:r>
                    <w:rPr>
                      <w:rStyle w:val="89"/>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p>
              </w:tc>
            </w:tr>
            <w:tr w14:paraId="36DB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54" w:type="dxa"/>
                  <w:tcBorders>
                    <w:top w:val="single" w:color="auto" w:sz="4" w:space="0"/>
                    <w:left w:val="single" w:color="auto" w:sz="4" w:space="0"/>
                    <w:bottom w:val="single" w:color="auto" w:sz="4" w:space="0"/>
                    <w:right w:val="single" w:color="auto" w:sz="4" w:space="0"/>
                  </w:tcBorders>
                  <w:shd w:val="clear" w:color="auto" w:fill="auto"/>
                  <w:vAlign w:val="center"/>
                </w:tcPr>
                <w:p w14:paraId="3649482E">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w:t>
                  </w:r>
                </w:p>
              </w:tc>
              <w:tc>
                <w:tcPr>
                  <w:tcW w:w="2178" w:type="dxa"/>
                  <w:tcBorders>
                    <w:top w:val="single" w:color="auto" w:sz="4" w:space="0"/>
                    <w:left w:val="single" w:color="auto" w:sz="4" w:space="0"/>
                    <w:bottom w:val="single" w:color="auto" w:sz="4" w:space="0"/>
                    <w:right w:val="single" w:color="auto" w:sz="4" w:space="0"/>
                  </w:tcBorders>
                  <w:shd w:val="clear" w:color="auto" w:fill="auto"/>
                  <w:vAlign w:val="center"/>
                </w:tcPr>
                <w:p w14:paraId="6FA20632">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美缝剂</w:t>
                  </w:r>
                  <w:r>
                    <w:rPr>
                      <w:rFonts w:hint="eastAsia" w:ascii="Times New Roman" w:hAnsi="Times New Roman" w:cs="Times New Roman"/>
                      <w:color w:val="auto"/>
                      <w:sz w:val="21"/>
                      <w:szCs w:val="21"/>
                      <w:lang w:eastAsia="zh-CN"/>
                    </w:rPr>
                    <w:t>生产线废气排放口</w:t>
                  </w:r>
                  <w:r>
                    <w:rPr>
                      <w:rFonts w:hint="default" w:ascii="Times New Roman" w:hAnsi="Times New Roman" w:eastAsia="宋体" w:cs="Times New Roman"/>
                      <w:color w:val="auto"/>
                      <w:sz w:val="21"/>
                      <w:szCs w:val="21"/>
                      <w:lang w:eastAsia="zh-CN"/>
                    </w:rPr>
                    <w:t>（DA001）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ACB2CC3">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r>
                    <w:rPr>
                      <w:rFonts w:hint="default" w:ascii="Times New Roman" w:hAnsi="Times New Roman" w:cs="Times New Roman"/>
                      <w:i w:val="0"/>
                      <w:iCs w:val="0"/>
                      <w:color w:val="auto"/>
                      <w:kern w:val="0"/>
                      <w:sz w:val="21"/>
                      <w:szCs w:val="21"/>
                      <w:u w:val="none"/>
                      <w:lang w:val="en-US" w:eastAsia="zh-CN" w:bidi="ar"/>
                    </w:rPr>
                    <w:t>、非甲烷总烃</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612A5A4F">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114°45′17.146″</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2E63923E">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36°8′39.74</w:t>
                  </w:r>
                  <w:r>
                    <w:rPr>
                      <w:rFonts w:hint="eastAsia" w:ascii="Times New Roman" w:hAnsi="Times New Roman" w:cs="Times New Roman"/>
                      <w:i w:val="0"/>
                      <w:iCs w:val="0"/>
                      <w:color w:val="auto"/>
                      <w:sz w:val="21"/>
                      <w:szCs w:val="21"/>
                      <w:u w:val="none"/>
                      <w:lang w:val="en-US" w:eastAsia="zh-CN"/>
                    </w:rPr>
                    <w:t>2</w:t>
                  </w:r>
                  <w:r>
                    <w:rPr>
                      <w:rFonts w:hint="default" w:ascii="Times New Roman" w:hAnsi="Times New Roman" w:eastAsia="宋体" w:cs="Times New Roman"/>
                      <w:i w:val="0"/>
                      <w:iCs w:val="0"/>
                      <w:color w:val="auto"/>
                      <w:sz w:val="21"/>
                      <w:szCs w:val="21"/>
                      <w:u w:val="none"/>
                    </w:rPr>
                    <w:t>″</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619A9AEA">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59</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4B333B5">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0E92C2EF">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4</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23089420">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0FA3606">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14</w:t>
                  </w:r>
                  <w:r>
                    <w:rPr>
                      <w:rFonts w:hint="default" w:ascii="Times New Roman" w:hAnsi="Times New Roman" w:cs="Times New Roman"/>
                      <w:i w:val="0"/>
                      <w:iCs w:val="0"/>
                      <w:color w:val="auto"/>
                      <w:kern w:val="0"/>
                      <w:sz w:val="21"/>
                      <w:szCs w:val="21"/>
                      <w:u w:val="none"/>
                      <w:lang w:val="en-US" w:eastAsia="zh-CN" w:bidi="ar"/>
                    </w:rPr>
                    <w:t>000</w:t>
                  </w:r>
                </w:p>
              </w:tc>
            </w:tr>
          </w:tbl>
          <w:p w14:paraId="387C645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eastAsia="zh-CN"/>
              </w:rPr>
              <w:t>本项目有组织废气</w:t>
            </w:r>
            <w:r>
              <w:rPr>
                <w:rFonts w:hint="default" w:ascii="Times New Roman" w:hAnsi="Times New Roman" w:cs="Times New Roman"/>
                <w:b w:val="0"/>
                <w:bCs w:val="0"/>
                <w:color w:val="auto"/>
                <w:sz w:val="21"/>
                <w:szCs w:val="21"/>
              </w:rPr>
              <w:t>主要为</w:t>
            </w:r>
            <w:r>
              <w:rPr>
                <w:rFonts w:hint="eastAsia" w:ascii="Times New Roman" w:hAnsi="Times New Roman" w:cs="Times New Roman"/>
                <w:b w:val="0"/>
                <w:bCs w:val="0"/>
                <w:color w:val="auto"/>
                <w:kern w:val="2"/>
                <w:sz w:val="21"/>
                <w:szCs w:val="21"/>
                <w:highlight w:val="none"/>
                <w:lang w:val="en-US" w:eastAsia="zh-CN" w:bidi="en-US"/>
              </w:rPr>
              <w:t>投料废气（G1）、搅拌废气（G2）、出料废气（G3）</w:t>
            </w:r>
            <w:r>
              <w:rPr>
                <w:rFonts w:hint="eastAsia" w:ascii="Times New Roman" w:hAnsi="Times New Roman" w:cs="Times New Roman"/>
                <w:b w:val="0"/>
                <w:bCs w:val="0"/>
                <w:color w:val="auto"/>
                <w:sz w:val="21"/>
                <w:szCs w:val="21"/>
                <w:lang w:eastAsia="zh-CN"/>
              </w:rPr>
              <w:t>产生的颗粒物、非甲烷总烃</w:t>
            </w:r>
            <w:r>
              <w:rPr>
                <w:rFonts w:hint="default" w:ascii="Times New Roman" w:hAnsi="Times New Roman" w:cs="Times New Roman"/>
                <w:b w:val="0"/>
                <w:bCs w:val="0"/>
                <w:color w:val="auto"/>
                <w:sz w:val="21"/>
                <w:szCs w:val="21"/>
              </w:rPr>
              <w:t>。根据《2646密封用填料及类似品制造行业系数手册》，颗粒物产生按0.51kg/t-产品计算，VOCs</w:t>
            </w:r>
            <w:r>
              <w:rPr>
                <w:rFonts w:hint="eastAsia" w:ascii="Times New Roman" w:hAnsi="Times New Roman" w:cs="Times New Roman"/>
                <w:b w:val="0"/>
                <w:bCs w:val="0"/>
                <w:color w:val="auto"/>
                <w:sz w:val="21"/>
                <w:szCs w:val="21"/>
                <w:lang w:eastAsia="zh-CN"/>
              </w:rPr>
              <w:t>（以非甲烷总烃计）</w:t>
            </w:r>
            <w:r>
              <w:rPr>
                <w:rFonts w:hint="default" w:ascii="Times New Roman" w:hAnsi="Times New Roman" w:cs="Times New Roman"/>
                <w:b w:val="0"/>
                <w:bCs w:val="0"/>
                <w:color w:val="auto"/>
                <w:sz w:val="21"/>
                <w:szCs w:val="21"/>
              </w:rPr>
              <w:t>产生按0.43kg/t-产品计算，本</w:t>
            </w:r>
            <w:r>
              <w:rPr>
                <w:rFonts w:hint="eastAsia" w:ascii="Times New Roman" w:hAnsi="Times New Roman" w:cs="Times New Roman"/>
                <w:b w:val="0"/>
                <w:bCs w:val="0"/>
                <w:color w:val="auto"/>
                <w:sz w:val="21"/>
                <w:szCs w:val="21"/>
                <w:lang w:val="zh-CN" w:eastAsia="zh-CN"/>
              </w:rPr>
              <w:t>项目建成后，</w:t>
            </w:r>
            <w:r>
              <w:rPr>
                <w:rFonts w:hint="default" w:ascii="Times New Roman" w:hAnsi="Times New Roman" w:cs="Times New Roman"/>
                <w:b w:val="0"/>
                <w:bCs w:val="0"/>
                <w:color w:val="auto"/>
                <w:sz w:val="21"/>
                <w:szCs w:val="21"/>
                <w:lang w:eastAsia="zh-CN"/>
              </w:rPr>
              <w:t>年产</w:t>
            </w:r>
            <w:r>
              <w:rPr>
                <w:rFonts w:hint="eastAsia" w:ascii="Times New Roman" w:hAnsi="Times New Roman" w:cs="Times New Roman"/>
                <w:b w:val="0"/>
                <w:bCs w:val="0"/>
                <w:color w:val="auto"/>
                <w:sz w:val="21"/>
                <w:szCs w:val="21"/>
                <w:lang w:val="en-US" w:eastAsia="zh-CN"/>
              </w:rPr>
              <w:t>美缝剂2000t/a</w:t>
            </w:r>
            <w:r>
              <w:rPr>
                <w:rFonts w:hint="default" w:ascii="Times New Roman" w:hAnsi="Times New Roman" w:cs="Times New Roman"/>
                <w:b w:val="0"/>
                <w:bCs w:val="0"/>
                <w:color w:val="auto"/>
                <w:sz w:val="21"/>
                <w:szCs w:val="21"/>
              </w:rPr>
              <w:t>，则</w:t>
            </w:r>
            <w:r>
              <w:rPr>
                <w:rFonts w:hint="eastAsia" w:ascii="Times New Roman" w:hAnsi="Times New Roman" w:cs="Times New Roman"/>
                <w:b w:val="0"/>
                <w:bCs w:val="0"/>
                <w:color w:val="auto"/>
                <w:sz w:val="21"/>
                <w:szCs w:val="21"/>
                <w:lang w:eastAsia="zh-CN"/>
              </w:rPr>
              <w:t>颗粒物产生量为</w:t>
            </w:r>
            <w:r>
              <w:rPr>
                <w:rFonts w:hint="eastAsia" w:ascii="Times New Roman" w:hAnsi="Times New Roman" w:cs="Times New Roman"/>
                <w:b w:val="0"/>
                <w:bCs w:val="0"/>
                <w:color w:val="auto"/>
                <w:sz w:val="21"/>
                <w:szCs w:val="21"/>
                <w:lang w:val="en-US" w:eastAsia="zh-CN"/>
              </w:rPr>
              <w:t>1.02t/a，</w:t>
            </w:r>
            <w:r>
              <w:rPr>
                <w:rFonts w:hint="default" w:ascii="Times New Roman" w:hAnsi="Times New Roman" w:cs="Times New Roman"/>
                <w:b w:val="0"/>
                <w:bCs w:val="0"/>
                <w:color w:val="auto"/>
                <w:sz w:val="21"/>
                <w:szCs w:val="21"/>
              </w:rPr>
              <w:t>VOCs</w:t>
            </w:r>
            <w:r>
              <w:rPr>
                <w:rFonts w:hint="eastAsia" w:ascii="Times New Roman" w:hAnsi="Times New Roman" w:cs="Times New Roman"/>
                <w:b w:val="0"/>
                <w:bCs w:val="0"/>
                <w:color w:val="auto"/>
                <w:sz w:val="21"/>
                <w:szCs w:val="21"/>
                <w:lang w:eastAsia="zh-CN"/>
              </w:rPr>
              <w:t>（以非甲烷总烃计）</w:t>
            </w:r>
            <w:r>
              <w:rPr>
                <w:rFonts w:hint="default" w:ascii="Times New Roman" w:hAnsi="Times New Roman" w:cs="Times New Roman"/>
                <w:b w:val="0"/>
                <w:bCs w:val="0"/>
                <w:color w:val="auto"/>
                <w:sz w:val="21"/>
                <w:szCs w:val="21"/>
              </w:rPr>
              <w:t>产生量为</w:t>
            </w:r>
            <w:r>
              <w:rPr>
                <w:rFonts w:hint="eastAsia" w:ascii="Times New Roman" w:hAnsi="Times New Roman" w:cs="Times New Roman"/>
                <w:b w:val="0"/>
                <w:bCs w:val="0"/>
                <w:color w:val="auto"/>
                <w:sz w:val="21"/>
                <w:szCs w:val="21"/>
                <w:lang w:val="en-US" w:eastAsia="zh-CN"/>
              </w:rPr>
              <w:t>0.86</w:t>
            </w:r>
            <w:r>
              <w:rPr>
                <w:rFonts w:hint="default" w:ascii="Times New Roman" w:hAnsi="Times New Roman" w:cs="Times New Roman"/>
                <w:b w:val="0"/>
                <w:bCs w:val="0"/>
                <w:color w:val="auto"/>
                <w:sz w:val="21"/>
                <w:szCs w:val="21"/>
              </w:rPr>
              <w:t>t/a。</w:t>
            </w:r>
          </w:p>
          <w:p w14:paraId="2E361DD6">
            <w:pPr>
              <w:pStyle w:val="2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bCs/>
                <w:color w:val="auto"/>
                <w:sz w:val="21"/>
                <w:szCs w:val="21"/>
                <w:lang w:val="en-US" w:eastAsia="zh-CN"/>
              </w:rPr>
              <w:t>治理措施：</w:t>
            </w:r>
            <w:r>
              <w:rPr>
                <w:rFonts w:hint="default" w:ascii="Times New Roman" w:hAnsi="Times New Roman" w:cs="Times New Roman"/>
                <w:b w:val="0"/>
                <w:bCs w:val="0"/>
                <w:color w:val="auto"/>
                <w:sz w:val="21"/>
                <w:szCs w:val="21"/>
                <w:lang w:val="en-US" w:eastAsia="zh-CN"/>
              </w:rPr>
              <w:t>本次评价要求在</w:t>
            </w:r>
            <w:r>
              <w:rPr>
                <w:rFonts w:hint="eastAsia" w:ascii="Times New Roman" w:hAnsi="Times New Roman" w:cs="Times New Roman"/>
                <w:b w:val="0"/>
                <w:bCs w:val="0"/>
                <w:color w:val="auto"/>
                <w:sz w:val="21"/>
                <w:szCs w:val="21"/>
                <w:lang w:val="en-US" w:eastAsia="zh-CN"/>
              </w:rPr>
              <w:t>防尘搅拌罐、分散机、挤出机、灌装机等设备装卸料</w:t>
            </w:r>
            <w:r>
              <w:rPr>
                <w:rFonts w:hint="eastAsia" w:ascii="Times New Roman" w:hAnsi="Times New Roman" w:cs="Times New Roman"/>
                <w:b w:val="0"/>
                <w:bCs w:val="0"/>
                <w:color w:val="auto"/>
                <w:kern w:val="2"/>
                <w:sz w:val="21"/>
                <w:szCs w:val="21"/>
                <w:lang w:val="en-US" w:eastAsia="zh-CN" w:bidi="ar-SA"/>
              </w:rPr>
              <w:t>点位上方</w:t>
            </w:r>
            <w:r>
              <w:rPr>
                <w:rFonts w:hint="default" w:ascii="Times New Roman" w:hAnsi="Times New Roman" w:cs="Times New Roman"/>
                <w:b w:val="0"/>
                <w:bCs w:val="0"/>
                <w:color w:val="auto"/>
                <w:sz w:val="21"/>
                <w:szCs w:val="21"/>
                <w:lang w:val="en-US" w:eastAsia="zh-CN"/>
              </w:rPr>
              <w:t>设置集气罩，废气通过集气罩收集至布袋除尘器+两级活性炭箱处理后，通过1根15m高排气筒排放（</w:t>
            </w:r>
            <w:r>
              <w:rPr>
                <w:rFonts w:hint="eastAsia" w:ascii="Times New Roman" w:hAnsi="Times New Roman" w:cs="Times New Roman"/>
                <w:color w:val="auto"/>
                <w:sz w:val="21"/>
                <w:szCs w:val="21"/>
                <w:lang w:eastAsia="zh-CN"/>
              </w:rPr>
              <w:t>密封胶生产线废气排放口</w:t>
            </w:r>
            <w:r>
              <w:rPr>
                <w:rFonts w:hint="default" w:ascii="Times New Roman" w:hAnsi="Times New Roman" w:cs="Times New Roman"/>
                <w:b w:val="0"/>
                <w:bCs w:val="0"/>
                <w:color w:val="auto"/>
                <w:sz w:val="21"/>
                <w:szCs w:val="21"/>
                <w:lang w:val="en-US" w:eastAsia="zh-CN"/>
              </w:rPr>
              <w:t>DA001）。</w:t>
            </w:r>
            <w:r>
              <w:rPr>
                <w:rFonts w:hint="default" w:ascii="Times New Roman" w:hAnsi="Times New Roman" w:cs="Times New Roman"/>
                <w:color w:val="auto"/>
                <w:sz w:val="21"/>
                <w:szCs w:val="21"/>
                <w:lang w:val="en-US" w:eastAsia="zh-CN"/>
              </w:rPr>
              <w:t>参照《排污许可证申请与核发技术规范</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涂料、油墨、颜料及类似产品制造业》（HJ 1116—2020）中废气污染防治可行性技术，布袋除尘属于颗粒物废气治理的可行性技术，活性炭吸附属于</w:t>
            </w:r>
            <w:r>
              <w:rPr>
                <w:rFonts w:hint="eastAsia" w:ascii="Times New Roman" w:hAnsi="Times New Roman" w:cs="Times New Roman"/>
                <w:color w:val="auto"/>
                <w:sz w:val="21"/>
                <w:szCs w:val="21"/>
                <w:lang w:val="en-US" w:eastAsia="zh-CN"/>
              </w:rPr>
              <w:t>挥发性有机物</w:t>
            </w:r>
            <w:r>
              <w:rPr>
                <w:rFonts w:hint="default" w:ascii="Times New Roman" w:hAnsi="Times New Roman" w:cs="Times New Roman"/>
                <w:color w:val="auto"/>
                <w:sz w:val="21"/>
                <w:szCs w:val="21"/>
                <w:lang w:val="en-US" w:eastAsia="zh-CN"/>
              </w:rPr>
              <w:t>废气治理的可行性技术。本项目采用布袋除尘器+两级活性炭处理措施可行。</w:t>
            </w:r>
          </w:p>
          <w:p w14:paraId="392CDFE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cs="Times New Roman"/>
                <w:b w:val="0"/>
                <w:bCs w:val="0"/>
                <w:color w:val="auto"/>
                <w:sz w:val="21"/>
                <w:szCs w:val="21"/>
              </w:rPr>
              <w:t>根据《2646密封用填料及类似品制造行业系数手册》</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合成高分子密封材料</w:t>
            </w:r>
            <w:r>
              <w:rPr>
                <w:rFonts w:hint="eastAsia" w:ascii="Times New Roman" w:hAnsi="Times New Roman" w:cs="Times New Roman"/>
                <w:b w:val="0"/>
                <w:bCs w:val="0"/>
                <w:color w:val="auto"/>
                <w:sz w:val="21"/>
                <w:szCs w:val="21"/>
                <w:lang w:eastAsia="zh-CN"/>
              </w:rPr>
              <w:t>工业废气量按照1.64×10</w:t>
            </w:r>
            <w:r>
              <w:rPr>
                <w:rFonts w:hint="eastAsia" w:ascii="Times New Roman" w:hAnsi="Times New Roman" w:cs="Times New Roman"/>
                <w:b w:val="0"/>
                <w:bCs w:val="0"/>
                <w:color w:val="auto"/>
                <w:sz w:val="21"/>
                <w:szCs w:val="21"/>
                <w:vertAlign w:val="superscript"/>
                <w:lang w:eastAsia="zh-CN"/>
              </w:rPr>
              <w:t>4</w:t>
            </w:r>
            <w:r>
              <w:rPr>
                <w:rFonts w:hint="eastAsia" w:ascii="Times New Roman" w:hAnsi="Times New Roman" w:cs="Times New Roman"/>
                <w:b w:val="0"/>
                <w:bCs w:val="0"/>
                <w:color w:val="auto"/>
                <w:sz w:val="21"/>
                <w:szCs w:val="21"/>
                <w:lang w:eastAsia="zh-CN"/>
              </w:rPr>
              <w:t>标立方米/吨-产品核算，</w:t>
            </w:r>
            <w:r>
              <w:rPr>
                <w:rFonts w:hint="default" w:ascii="Times New Roman" w:hAnsi="Times New Roman" w:cs="Times New Roman"/>
                <w:b w:val="0"/>
                <w:bCs w:val="0"/>
                <w:color w:val="auto"/>
                <w:sz w:val="21"/>
                <w:szCs w:val="21"/>
              </w:rPr>
              <w:t>本</w:t>
            </w:r>
            <w:r>
              <w:rPr>
                <w:rFonts w:hint="eastAsia" w:ascii="Times New Roman" w:hAnsi="Times New Roman" w:cs="Times New Roman"/>
                <w:b w:val="0"/>
                <w:bCs w:val="0"/>
                <w:color w:val="auto"/>
                <w:sz w:val="21"/>
                <w:szCs w:val="21"/>
                <w:lang w:val="zh-CN" w:eastAsia="zh-CN"/>
              </w:rPr>
              <w:t>项目建成后，</w:t>
            </w:r>
            <w:r>
              <w:rPr>
                <w:rFonts w:hint="default" w:ascii="Times New Roman" w:hAnsi="Times New Roman" w:cs="Times New Roman"/>
                <w:b w:val="0"/>
                <w:bCs w:val="0"/>
                <w:color w:val="auto"/>
                <w:sz w:val="21"/>
                <w:szCs w:val="21"/>
                <w:lang w:eastAsia="zh-CN"/>
              </w:rPr>
              <w:t>年产</w:t>
            </w:r>
            <w:r>
              <w:rPr>
                <w:rFonts w:hint="eastAsia" w:ascii="Times New Roman" w:hAnsi="Times New Roman" w:cs="Times New Roman"/>
                <w:b w:val="0"/>
                <w:bCs w:val="0"/>
                <w:color w:val="auto"/>
                <w:sz w:val="21"/>
                <w:szCs w:val="21"/>
                <w:lang w:val="en-US" w:eastAsia="zh-CN"/>
              </w:rPr>
              <w:t>美缝剂2000t/a</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年工作时间</w:t>
            </w:r>
            <w:r>
              <w:rPr>
                <w:rFonts w:hint="eastAsia" w:ascii="Times New Roman" w:hAnsi="Times New Roman" w:cs="Times New Roman"/>
                <w:b w:val="0"/>
                <w:bCs w:val="0"/>
                <w:color w:val="auto"/>
                <w:sz w:val="21"/>
                <w:szCs w:val="21"/>
                <w:lang w:val="en-US" w:eastAsia="zh-CN"/>
              </w:rPr>
              <w:t>2400h/a，</w:t>
            </w:r>
            <w:r>
              <w:rPr>
                <w:rFonts w:hint="eastAsia" w:ascii="Times New Roman" w:hAnsi="Times New Roman" w:cs="Times New Roman"/>
                <w:b w:val="0"/>
                <w:bCs w:val="0"/>
                <w:color w:val="auto"/>
                <w:sz w:val="21"/>
                <w:szCs w:val="21"/>
                <w:lang w:eastAsia="zh-CN"/>
              </w:rPr>
              <w:t>则本项目废气量为</w:t>
            </w:r>
            <w:r>
              <w:rPr>
                <w:rFonts w:hint="eastAsia" w:ascii="Times New Roman" w:hAnsi="Times New Roman" w:cs="Times New Roman"/>
                <w:b w:val="0"/>
                <w:bCs w:val="0"/>
                <w:color w:val="auto"/>
                <w:sz w:val="21"/>
                <w:szCs w:val="21"/>
                <w:lang w:val="en-US" w:eastAsia="zh-CN"/>
              </w:rPr>
              <w:t>13666Nm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/h，</w:t>
            </w:r>
            <w:r>
              <w:rPr>
                <w:rFonts w:hint="eastAsia" w:ascii="Times New Roman" w:hAnsi="Times New Roman" w:cs="Times New Roman"/>
                <w:color w:val="auto"/>
                <w:kern w:val="2"/>
                <w:sz w:val="21"/>
                <w:szCs w:val="24"/>
                <w:lang w:val="en-US" w:eastAsia="zh-CN" w:bidi="ar-SA"/>
              </w:rPr>
              <w:t>考虑管道压力损失等因素的影响，故本项目拟设风量为14000m</w:t>
            </w:r>
            <w:r>
              <w:rPr>
                <w:rFonts w:hint="eastAsia" w:ascii="Times New Roman" w:hAnsi="Times New Roman" w:cs="Times New Roman"/>
                <w:color w:val="auto"/>
                <w:kern w:val="2"/>
                <w:sz w:val="21"/>
                <w:szCs w:val="24"/>
                <w:vertAlign w:val="superscript"/>
                <w:lang w:val="en-US" w:eastAsia="zh-CN" w:bidi="ar-SA"/>
              </w:rPr>
              <w:t>3</w:t>
            </w:r>
            <w:r>
              <w:rPr>
                <w:rFonts w:hint="eastAsia" w:ascii="Times New Roman" w:hAnsi="Times New Roman" w:cs="Times New Roman"/>
                <w:color w:val="auto"/>
                <w:kern w:val="2"/>
                <w:sz w:val="21"/>
                <w:szCs w:val="24"/>
                <w:lang w:val="en-US" w:eastAsia="zh-CN" w:bidi="ar-SA"/>
              </w:rPr>
              <w:t>/h的引风机。</w:t>
            </w:r>
          </w:p>
          <w:p w14:paraId="7AB07E2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本项目采用双级活性炭吸附装置处理有机废气，活性炭填充量与处理废气量体积之比应不小于1:5000，本套环保设备风机风量为</w:t>
            </w:r>
            <w:r>
              <w:rPr>
                <w:rFonts w:hint="eastAsia" w:ascii="Times New Roman" w:hAnsi="Times New Roman" w:cs="Times New Roman"/>
                <w:color w:val="auto"/>
                <w:kern w:val="2"/>
                <w:sz w:val="21"/>
                <w:szCs w:val="21"/>
                <w:lang w:val="en-US" w:eastAsia="zh-CN" w:bidi="ar-SA"/>
              </w:rPr>
              <w:t>14</w:t>
            </w:r>
            <w:r>
              <w:rPr>
                <w:rFonts w:hint="default" w:ascii="Times New Roman" w:hAnsi="Times New Roman" w:cs="Times New Roman"/>
                <w:color w:val="auto"/>
                <w:kern w:val="2"/>
                <w:sz w:val="21"/>
                <w:szCs w:val="21"/>
                <w:lang w:val="en-US" w:eastAsia="zh-CN" w:bidi="ar-SA"/>
              </w:rPr>
              <w:t>000m</w:t>
            </w:r>
            <w:r>
              <w:rPr>
                <w:rFonts w:hint="default" w:ascii="Times New Roman" w:hAnsi="Times New Roman" w:cs="Times New Roman"/>
                <w:color w:val="auto"/>
                <w:kern w:val="2"/>
                <w:sz w:val="21"/>
                <w:szCs w:val="21"/>
                <w:vertAlign w:val="superscript"/>
                <w:lang w:val="en-US" w:eastAsia="zh-CN" w:bidi="ar-SA"/>
              </w:rPr>
              <w:t>3</w:t>
            </w:r>
            <w:r>
              <w:rPr>
                <w:rFonts w:hint="default" w:ascii="Times New Roman" w:hAnsi="Times New Roman" w:cs="Times New Roman"/>
                <w:color w:val="auto"/>
                <w:kern w:val="2"/>
                <w:sz w:val="21"/>
                <w:szCs w:val="21"/>
                <w:lang w:val="en-US" w:eastAsia="zh-CN" w:bidi="ar-SA"/>
              </w:rPr>
              <w:t>/h，要求活性炭填充量不小于</w:t>
            </w:r>
            <w:r>
              <w:rPr>
                <w:rFonts w:hint="eastAsia" w:ascii="Times New Roman" w:hAnsi="Times New Roman" w:cs="Times New Roman"/>
                <w:color w:val="auto"/>
                <w:kern w:val="2"/>
                <w:sz w:val="21"/>
                <w:szCs w:val="21"/>
                <w:lang w:val="en-US" w:eastAsia="zh-CN" w:bidi="ar-SA"/>
              </w:rPr>
              <w:t>2.8</w:t>
            </w:r>
            <w:r>
              <w:rPr>
                <w:rFonts w:hint="default" w:ascii="Times New Roman" w:hAnsi="Times New Roman" w:cs="Times New Roman"/>
                <w:color w:val="auto"/>
                <w:kern w:val="2"/>
                <w:sz w:val="21"/>
                <w:szCs w:val="21"/>
                <w:lang w:val="en-US" w:eastAsia="zh-CN" w:bidi="ar-SA"/>
              </w:rPr>
              <w:t>m</w:t>
            </w:r>
            <w:r>
              <w:rPr>
                <w:rFonts w:hint="default" w:ascii="Times New Roman" w:hAnsi="Times New Roman" w:cs="Times New Roman"/>
                <w:color w:val="auto"/>
                <w:kern w:val="2"/>
                <w:sz w:val="21"/>
                <w:szCs w:val="21"/>
                <w:vertAlign w:val="superscript"/>
                <w:lang w:val="en-US" w:eastAsia="zh-CN" w:bidi="ar-SA"/>
              </w:rPr>
              <w:t>3</w:t>
            </w:r>
            <w:r>
              <w:rPr>
                <w:rFonts w:hint="default" w:ascii="Times New Roman" w:hAnsi="Times New Roman" w:cs="Times New Roman"/>
                <w:color w:val="auto"/>
                <w:kern w:val="2"/>
                <w:sz w:val="21"/>
                <w:szCs w:val="21"/>
                <w:lang w:val="en-US" w:eastAsia="zh-CN" w:bidi="ar-SA"/>
              </w:rPr>
              <w:t>。</w:t>
            </w:r>
          </w:p>
          <w:p w14:paraId="1976B21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本项目集气罩收集效率为90%，布袋除尘器的处理效率为99%，两级活性炭箱对非甲烷总烃的处理效率为91%（</w:t>
            </w:r>
            <w:r>
              <w:rPr>
                <w:rFonts w:hint="default" w:ascii="Times New Roman" w:hAnsi="Times New Roman" w:cs="Times New Roman"/>
                <w:color w:val="auto"/>
                <w:sz w:val="21"/>
                <w:szCs w:val="21"/>
                <w:lang w:val="en-US" w:eastAsia="zh-CN"/>
              </w:rPr>
              <w:t>单台活性炭箱的吸附效率为75%</w:t>
            </w:r>
            <w:r>
              <w:rPr>
                <w:rFonts w:hint="default" w:ascii="Times New Roman" w:hAnsi="Times New Roman"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美缝剂生产线</w:t>
            </w:r>
            <w:r>
              <w:rPr>
                <w:rFonts w:hint="default" w:ascii="Times New Roman" w:hAnsi="Times New Roman" w:cs="Times New Roman"/>
                <w:color w:val="auto"/>
                <w:kern w:val="2"/>
                <w:sz w:val="21"/>
                <w:szCs w:val="21"/>
                <w:lang w:val="en-US" w:eastAsia="zh-CN" w:bidi="ar-SA"/>
              </w:rPr>
              <w:t>污染物核算见下表。</w:t>
            </w:r>
          </w:p>
          <w:p w14:paraId="4FAE79D9">
            <w:pPr>
              <w:pStyle w:val="2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ind w:left="0" w:left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default" w:ascii="Times New Roman" w:hAnsi="Times New Roman" w:cs="Times New Roman"/>
                <w:b/>
                <w:bCs/>
                <w:color w:val="auto"/>
                <w:kern w:val="2"/>
                <w:sz w:val="21"/>
                <w:szCs w:val="21"/>
                <w:lang w:val="en-US" w:eastAsia="zh-CN" w:bidi="ar-SA"/>
              </w:rPr>
              <w:t>3</w:t>
            </w:r>
            <w:r>
              <w:rPr>
                <w:rFonts w:hint="default" w:ascii="Times New Roman" w:hAnsi="Times New Roman" w:eastAsia="宋体" w:cs="Times New Roman"/>
                <w:b/>
                <w:bCs/>
                <w:color w:val="auto"/>
                <w:kern w:val="2"/>
                <w:sz w:val="21"/>
                <w:szCs w:val="21"/>
                <w:lang w:val="en-US" w:eastAsia="zh-CN" w:bidi="ar-SA"/>
              </w:rPr>
              <w:t xml:space="preserve"> </w:t>
            </w:r>
            <w:r>
              <w:rPr>
                <w:rFonts w:hint="eastAsia" w:ascii="Times New Roman" w:hAnsi="Times New Roman" w:cs="Times New Roman"/>
                <w:b/>
                <w:bCs/>
                <w:color w:val="auto"/>
                <w:kern w:val="2"/>
                <w:sz w:val="21"/>
                <w:szCs w:val="21"/>
                <w:lang w:val="en-US" w:eastAsia="zh-CN" w:bidi="ar-SA"/>
              </w:rPr>
              <w:t>美缝剂</w:t>
            </w:r>
            <w:r>
              <w:rPr>
                <w:rFonts w:hint="default" w:ascii="Times New Roman" w:hAnsi="Times New Roman" w:eastAsia="宋体" w:cs="Times New Roman"/>
                <w:b/>
                <w:bCs/>
                <w:color w:val="auto"/>
                <w:kern w:val="2"/>
                <w:sz w:val="21"/>
                <w:szCs w:val="21"/>
                <w:lang w:val="en-US" w:eastAsia="zh-CN" w:bidi="ar-SA"/>
              </w:rPr>
              <w:t>生产线废气</w:t>
            </w:r>
            <w:r>
              <w:rPr>
                <w:rFonts w:hint="default" w:ascii="Times New Roman" w:hAnsi="Times New Roman" w:cs="Times New Roman"/>
                <w:b/>
                <w:bCs/>
                <w:color w:val="auto"/>
                <w:kern w:val="2"/>
                <w:sz w:val="21"/>
                <w:szCs w:val="21"/>
                <w:lang w:val="en-US" w:eastAsia="zh-CN" w:bidi="ar-SA"/>
              </w:rPr>
              <w:t>污染物核算一览表</w:t>
            </w:r>
          </w:p>
          <w:tbl>
            <w:tblPr>
              <w:tblStyle w:val="34"/>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69"/>
              <w:gridCol w:w="718"/>
              <w:gridCol w:w="630"/>
              <w:gridCol w:w="700"/>
              <w:gridCol w:w="678"/>
              <w:gridCol w:w="548"/>
              <w:gridCol w:w="476"/>
              <w:gridCol w:w="519"/>
              <w:gridCol w:w="655"/>
              <w:gridCol w:w="840"/>
              <w:gridCol w:w="660"/>
              <w:gridCol w:w="480"/>
              <w:gridCol w:w="840"/>
              <w:gridCol w:w="645"/>
              <w:gridCol w:w="556"/>
            </w:tblGrid>
            <w:tr w14:paraId="78139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9" w:type="dxa"/>
                  <w:vMerge w:val="restart"/>
                  <w:tcBorders>
                    <w:tl2br w:val="nil"/>
                    <w:tr2bl w:val="nil"/>
                  </w:tcBorders>
                  <w:shd w:val="clear" w:color="auto" w:fill="auto"/>
                  <w:vAlign w:val="center"/>
                </w:tcPr>
                <w:p w14:paraId="236A97FE">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序号</w:t>
                  </w:r>
                </w:p>
              </w:tc>
              <w:tc>
                <w:tcPr>
                  <w:tcW w:w="718" w:type="dxa"/>
                  <w:vMerge w:val="restart"/>
                  <w:tcBorders>
                    <w:tl2br w:val="nil"/>
                    <w:tr2bl w:val="nil"/>
                  </w:tcBorders>
                  <w:shd w:val="clear" w:color="auto" w:fill="auto"/>
                  <w:vAlign w:val="center"/>
                </w:tcPr>
                <w:p w14:paraId="1A0B5BA8">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排放口</w:t>
                  </w:r>
                </w:p>
              </w:tc>
              <w:tc>
                <w:tcPr>
                  <w:tcW w:w="630" w:type="dxa"/>
                  <w:vMerge w:val="restart"/>
                  <w:tcBorders>
                    <w:tl2br w:val="nil"/>
                    <w:tr2bl w:val="nil"/>
                  </w:tcBorders>
                  <w:shd w:val="clear" w:color="auto" w:fill="auto"/>
                  <w:vAlign w:val="center"/>
                </w:tcPr>
                <w:p w14:paraId="64741726">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污染物</w:t>
                  </w:r>
                </w:p>
              </w:tc>
              <w:tc>
                <w:tcPr>
                  <w:tcW w:w="700" w:type="dxa"/>
                  <w:vMerge w:val="restart"/>
                  <w:tcBorders>
                    <w:tl2br w:val="nil"/>
                    <w:tr2bl w:val="nil"/>
                  </w:tcBorders>
                  <w:shd w:val="clear" w:color="auto" w:fill="auto"/>
                  <w:vAlign w:val="center"/>
                </w:tcPr>
                <w:p w14:paraId="3FA9BE5D">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污染防治措施</w:t>
                  </w:r>
                </w:p>
              </w:tc>
              <w:tc>
                <w:tcPr>
                  <w:tcW w:w="678" w:type="dxa"/>
                  <w:vMerge w:val="restart"/>
                  <w:tcBorders>
                    <w:tl2br w:val="nil"/>
                    <w:tr2bl w:val="nil"/>
                  </w:tcBorders>
                  <w:shd w:val="clear" w:color="auto" w:fill="auto"/>
                  <w:vAlign w:val="center"/>
                </w:tcPr>
                <w:p w14:paraId="1920D308">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是否为可行性技术</w:t>
                  </w:r>
                </w:p>
              </w:tc>
              <w:tc>
                <w:tcPr>
                  <w:tcW w:w="548" w:type="dxa"/>
                  <w:vMerge w:val="restart"/>
                  <w:tcBorders>
                    <w:tl2br w:val="nil"/>
                    <w:tr2bl w:val="nil"/>
                  </w:tcBorders>
                  <w:shd w:val="clear" w:color="auto" w:fill="auto"/>
                  <w:vAlign w:val="center"/>
                </w:tcPr>
                <w:p w14:paraId="2AD11AEB">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处理能力m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r>
                    <w:rPr>
                      <w:rFonts w:hint="default" w:ascii="Times New Roman" w:hAnsi="Times New Roman" w:eastAsia="宋体" w:cs="Times New Roman"/>
                      <w:b/>
                      <w:bCs/>
                      <w:i w:val="0"/>
                      <w:iCs w:val="0"/>
                      <w:color w:val="auto"/>
                      <w:spacing w:val="0"/>
                      <w:kern w:val="0"/>
                      <w:sz w:val="21"/>
                      <w:szCs w:val="21"/>
                      <w:u w:val="none"/>
                      <w:lang w:val="en-US" w:eastAsia="zh-CN" w:bidi="ar"/>
                    </w:rPr>
                    <w:t>/h</w:t>
                  </w:r>
                </w:p>
              </w:tc>
              <w:tc>
                <w:tcPr>
                  <w:tcW w:w="476" w:type="dxa"/>
                  <w:vMerge w:val="restart"/>
                  <w:tcBorders>
                    <w:tl2br w:val="nil"/>
                    <w:tr2bl w:val="nil"/>
                  </w:tcBorders>
                  <w:shd w:val="clear" w:color="auto" w:fill="auto"/>
                  <w:vAlign w:val="center"/>
                </w:tcPr>
                <w:p w14:paraId="79609AE1">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收集效率</w:t>
                  </w:r>
                </w:p>
              </w:tc>
              <w:tc>
                <w:tcPr>
                  <w:tcW w:w="519" w:type="dxa"/>
                  <w:vMerge w:val="restart"/>
                  <w:tcBorders>
                    <w:tl2br w:val="nil"/>
                    <w:tr2bl w:val="nil"/>
                  </w:tcBorders>
                  <w:shd w:val="clear" w:color="auto" w:fill="auto"/>
                  <w:vAlign w:val="center"/>
                </w:tcPr>
                <w:p w14:paraId="5D46B22E">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运行时长h/a</w:t>
                  </w:r>
                </w:p>
              </w:tc>
              <w:tc>
                <w:tcPr>
                  <w:tcW w:w="655" w:type="dxa"/>
                  <w:vMerge w:val="restart"/>
                  <w:tcBorders>
                    <w:tl2br w:val="nil"/>
                    <w:tr2bl w:val="nil"/>
                  </w:tcBorders>
                  <w:shd w:val="clear" w:color="auto" w:fill="auto"/>
                  <w:vAlign w:val="center"/>
                </w:tcPr>
                <w:p w14:paraId="3C32E723">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治理工艺去除率</w:t>
                  </w:r>
                </w:p>
              </w:tc>
              <w:tc>
                <w:tcPr>
                  <w:tcW w:w="1980" w:type="dxa"/>
                  <w:gridSpan w:val="3"/>
                  <w:tcBorders>
                    <w:tl2br w:val="nil"/>
                    <w:tr2bl w:val="nil"/>
                  </w:tcBorders>
                  <w:shd w:val="clear" w:color="auto" w:fill="auto"/>
                  <w:noWrap/>
                  <w:vAlign w:val="center"/>
                </w:tcPr>
                <w:p w14:paraId="0E1E13D0">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产生情况</w:t>
                  </w:r>
                </w:p>
              </w:tc>
              <w:tc>
                <w:tcPr>
                  <w:tcW w:w="2041" w:type="dxa"/>
                  <w:gridSpan w:val="3"/>
                  <w:tcBorders>
                    <w:tl2br w:val="nil"/>
                    <w:tr2bl w:val="nil"/>
                  </w:tcBorders>
                  <w:shd w:val="clear" w:color="auto" w:fill="auto"/>
                  <w:noWrap/>
                  <w:vAlign w:val="center"/>
                </w:tcPr>
                <w:p w14:paraId="5C6A1323">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排放情况</w:t>
                  </w:r>
                </w:p>
              </w:tc>
            </w:tr>
            <w:tr w14:paraId="34D98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269" w:type="dxa"/>
                  <w:vMerge w:val="continue"/>
                  <w:tcBorders>
                    <w:tl2br w:val="nil"/>
                    <w:tr2bl w:val="nil"/>
                  </w:tcBorders>
                  <w:shd w:val="clear" w:color="auto" w:fill="auto"/>
                  <w:vAlign w:val="center"/>
                </w:tcPr>
                <w:p w14:paraId="7749770E">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718" w:type="dxa"/>
                  <w:vMerge w:val="continue"/>
                  <w:tcBorders>
                    <w:tl2br w:val="nil"/>
                    <w:tr2bl w:val="nil"/>
                  </w:tcBorders>
                  <w:shd w:val="clear" w:color="auto" w:fill="auto"/>
                  <w:vAlign w:val="center"/>
                </w:tcPr>
                <w:p w14:paraId="1A18CE59">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30" w:type="dxa"/>
                  <w:vMerge w:val="continue"/>
                  <w:tcBorders>
                    <w:tl2br w:val="nil"/>
                    <w:tr2bl w:val="nil"/>
                  </w:tcBorders>
                  <w:shd w:val="clear" w:color="auto" w:fill="auto"/>
                  <w:vAlign w:val="center"/>
                </w:tcPr>
                <w:p w14:paraId="0B906848">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700" w:type="dxa"/>
                  <w:vMerge w:val="continue"/>
                  <w:tcBorders>
                    <w:tl2br w:val="nil"/>
                    <w:tr2bl w:val="nil"/>
                  </w:tcBorders>
                  <w:shd w:val="clear" w:color="auto" w:fill="auto"/>
                  <w:vAlign w:val="center"/>
                </w:tcPr>
                <w:p w14:paraId="218618F2">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78" w:type="dxa"/>
                  <w:vMerge w:val="continue"/>
                  <w:tcBorders>
                    <w:tl2br w:val="nil"/>
                    <w:tr2bl w:val="nil"/>
                  </w:tcBorders>
                  <w:shd w:val="clear" w:color="auto" w:fill="auto"/>
                  <w:vAlign w:val="center"/>
                </w:tcPr>
                <w:p w14:paraId="2E5502E6">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48" w:type="dxa"/>
                  <w:vMerge w:val="continue"/>
                  <w:tcBorders>
                    <w:tl2br w:val="nil"/>
                    <w:tr2bl w:val="nil"/>
                  </w:tcBorders>
                  <w:shd w:val="clear" w:color="auto" w:fill="auto"/>
                  <w:vAlign w:val="center"/>
                </w:tcPr>
                <w:p w14:paraId="073C6A27">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476" w:type="dxa"/>
                  <w:vMerge w:val="continue"/>
                  <w:tcBorders>
                    <w:tl2br w:val="nil"/>
                    <w:tr2bl w:val="nil"/>
                  </w:tcBorders>
                  <w:shd w:val="clear" w:color="auto" w:fill="auto"/>
                  <w:vAlign w:val="center"/>
                </w:tcPr>
                <w:p w14:paraId="237A4CAA">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519" w:type="dxa"/>
                  <w:vMerge w:val="continue"/>
                  <w:tcBorders>
                    <w:tl2br w:val="nil"/>
                    <w:tr2bl w:val="nil"/>
                  </w:tcBorders>
                  <w:shd w:val="clear" w:color="auto" w:fill="auto"/>
                  <w:vAlign w:val="center"/>
                </w:tcPr>
                <w:p w14:paraId="05324061">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655" w:type="dxa"/>
                  <w:vMerge w:val="continue"/>
                  <w:tcBorders>
                    <w:tl2br w:val="nil"/>
                    <w:tr2bl w:val="nil"/>
                  </w:tcBorders>
                  <w:shd w:val="clear" w:color="auto" w:fill="auto"/>
                  <w:vAlign w:val="center"/>
                </w:tcPr>
                <w:p w14:paraId="75BE291C">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b/>
                      <w:bCs/>
                      <w:i w:val="0"/>
                      <w:iCs w:val="0"/>
                      <w:color w:val="auto"/>
                      <w:spacing w:val="0"/>
                      <w:sz w:val="21"/>
                      <w:szCs w:val="21"/>
                      <w:u w:val="none"/>
                    </w:rPr>
                  </w:pPr>
                </w:p>
              </w:tc>
              <w:tc>
                <w:tcPr>
                  <w:tcW w:w="840" w:type="dxa"/>
                  <w:tcBorders>
                    <w:tl2br w:val="nil"/>
                    <w:tr2bl w:val="nil"/>
                  </w:tcBorders>
                  <w:shd w:val="clear" w:color="auto" w:fill="auto"/>
                  <w:vAlign w:val="center"/>
                </w:tcPr>
                <w:p w14:paraId="43747766">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60" w:type="dxa"/>
                  <w:tcBorders>
                    <w:tl2br w:val="nil"/>
                    <w:tr2bl w:val="nil"/>
                  </w:tcBorders>
                  <w:shd w:val="clear" w:color="auto" w:fill="auto"/>
                  <w:vAlign w:val="center"/>
                </w:tcPr>
                <w:p w14:paraId="7D5F36E3">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产生速率kg/h</w:t>
                  </w:r>
                </w:p>
              </w:tc>
              <w:tc>
                <w:tcPr>
                  <w:tcW w:w="480" w:type="dxa"/>
                  <w:tcBorders>
                    <w:tl2br w:val="nil"/>
                    <w:tr2bl w:val="nil"/>
                  </w:tcBorders>
                  <w:shd w:val="clear" w:color="auto" w:fill="auto"/>
                  <w:vAlign w:val="center"/>
                </w:tcPr>
                <w:p w14:paraId="471A3118">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eastAsia" w:ascii="Times New Roman" w:hAnsi="Times New Roman" w:cs="Times New Roman"/>
                      <w:b/>
                      <w:bCs/>
                      <w:i w:val="0"/>
                      <w:iCs w:val="0"/>
                      <w:color w:val="auto"/>
                      <w:spacing w:val="0"/>
                      <w:kern w:val="0"/>
                      <w:sz w:val="21"/>
                      <w:szCs w:val="21"/>
                      <w:u w:val="none"/>
                      <w:lang w:val="en-US" w:eastAsia="zh-CN" w:bidi="ar"/>
                    </w:rPr>
                    <w:t>产生</w:t>
                  </w:r>
                  <w:r>
                    <w:rPr>
                      <w:rFonts w:hint="default" w:ascii="Times New Roman" w:hAnsi="Times New Roman" w:eastAsia="宋体" w:cs="Times New Roman"/>
                      <w:b/>
                      <w:bCs/>
                      <w:i w:val="0"/>
                      <w:iCs w:val="0"/>
                      <w:color w:val="auto"/>
                      <w:spacing w:val="0"/>
                      <w:kern w:val="0"/>
                      <w:sz w:val="21"/>
                      <w:szCs w:val="21"/>
                      <w:u w:val="none"/>
                      <w:lang w:val="en-US" w:eastAsia="zh-CN" w:bidi="ar"/>
                    </w:rPr>
                    <w:t>量t/a</w:t>
                  </w:r>
                </w:p>
              </w:tc>
              <w:tc>
                <w:tcPr>
                  <w:tcW w:w="840" w:type="dxa"/>
                  <w:tcBorders>
                    <w:tl2br w:val="nil"/>
                    <w:tr2bl w:val="nil"/>
                  </w:tcBorders>
                  <w:shd w:val="clear" w:color="auto" w:fill="auto"/>
                  <w:vAlign w:val="center"/>
                </w:tcPr>
                <w:p w14:paraId="088F6572">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排放浓度mg/m</w:t>
                  </w:r>
                  <w:r>
                    <w:rPr>
                      <w:rFonts w:hint="default" w:ascii="Times New Roman" w:hAnsi="Times New Roman" w:eastAsia="宋体" w:cs="Times New Roman"/>
                      <w:b/>
                      <w:bCs/>
                      <w:i w:val="0"/>
                      <w:iCs w:val="0"/>
                      <w:color w:val="auto"/>
                      <w:spacing w:val="0"/>
                      <w:kern w:val="0"/>
                      <w:sz w:val="21"/>
                      <w:szCs w:val="21"/>
                      <w:u w:val="none"/>
                      <w:vertAlign w:val="superscript"/>
                      <w:lang w:val="en-US" w:eastAsia="zh-CN" w:bidi="ar"/>
                    </w:rPr>
                    <w:t>3</w:t>
                  </w:r>
                </w:p>
              </w:tc>
              <w:tc>
                <w:tcPr>
                  <w:tcW w:w="645" w:type="dxa"/>
                  <w:tcBorders>
                    <w:tl2br w:val="nil"/>
                    <w:tr2bl w:val="nil"/>
                  </w:tcBorders>
                  <w:shd w:val="clear" w:color="auto" w:fill="auto"/>
                  <w:vAlign w:val="center"/>
                </w:tcPr>
                <w:p w14:paraId="030BBEED">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排放速率kg/h</w:t>
                  </w:r>
                </w:p>
              </w:tc>
              <w:tc>
                <w:tcPr>
                  <w:tcW w:w="556" w:type="dxa"/>
                  <w:tcBorders>
                    <w:tl2br w:val="nil"/>
                    <w:tr2bl w:val="nil"/>
                  </w:tcBorders>
                  <w:shd w:val="clear" w:color="auto" w:fill="auto"/>
                  <w:vAlign w:val="center"/>
                </w:tcPr>
                <w:p w14:paraId="238C367A">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pacing w:val="0"/>
                      <w:sz w:val="21"/>
                      <w:szCs w:val="21"/>
                      <w:u w:val="none"/>
                    </w:rPr>
                  </w:pPr>
                  <w:r>
                    <w:rPr>
                      <w:rFonts w:hint="default" w:ascii="Times New Roman" w:hAnsi="Times New Roman" w:eastAsia="宋体" w:cs="Times New Roman"/>
                      <w:b/>
                      <w:bCs/>
                      <w:i w:val="0"/>
                      <w:iCs w:val="0"/>
                      <w:color w:val="auto"/>
                      <w:spacing w:val="0"/>
                      <w:kern w:val="0"/>
                      <w:sz w:val="21"/>
                      <w:szCs w:val="21"/>
                      <w:u w:val="none"/>
                      <w:lang w:val="en-US" w:eastAsia="zh-CN" w:bidi="ar"/>
                    </w:rPr>
                    <w:t>排放量t/a</w:t>
                  </w:r>
                </w:p>
              </w:tc>
            </w:tr>
            <w:tr w14:paraId="7C93E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269" w:type="dxa"/>
                  <w:tcBorders>
                    <w:tl2br w:val="nil"/>
                    <w:tr2bl w:val="nil"/>
                  </w:tcBorders>
                  <w:shd w:val="clear" w:color="auto" w:fill="auto"/>
                  <w:vAlign w:val="center"/>
                </w:tcPr>
                <w:p w14:paraId="5BD19A21">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18" w:type="dxa"/>
                  <w:vMerge w:val="restart"/>
                  <w:tcBorders>
                    <w:tl2br w:val="nil"/>
                    <w:tr2bl w:val="nil"/>
                  </w:tcBorders>
                  <w:shd w:val="clear" w:color="auto" w:fill="auto"/>
                  <w:vAlign w:val="center"/>
                </w:tcPr>
                <w:p w14:paraId="17011784">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630" w:type="dxa"/>
                  <w:tcBorders>
                    <w:tl2br w:val="nil"/>
                    <w:tr2bl w:val="nil"/>
                  </w:tcBorders>
                  <w:shd w:val="clear" w:color="auto" w:fill="auto"/>
                  <w:vAlign w:val="center"/>
                </w:tcPr>
                <w:p w14:paraId="6B21E818">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700" w:type="dxa"/>
                  <w:tcBorders>
                    <w:tl2br w:val="nil"/>
                    <w:tr2bl w:val="nil"/>
                  </w:tcBorders>
                  <w:shd w:val="clear" w:color="auto" w:fill="auto"/>
                  <w:vAlign w:val="center"/>
                </w:tcPr>
                <w:p w14:paraId="0822F5D6">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袋式除尘</w:t>
                  </w:r>
                </w:p>
              </w:tc>
              <w:tc>
                <w:tcPr>
                  <w:tcW w:w="678" w:type="dxa"/>
                  <w:tcBorders>
                    <w:tl2br w:val="nil"/>
                    <w:tr2bl w:val="nil"/>
                  </w:tcBorders>
                  <w:shd w:val="clear" w:color="auto" w:fill="auto"/>
                  <w:vAlign w:val="center"/>
                </w:tcPr>
                <w:p w14:paraId="78031006">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548" w:type="dxa"/>
                  <w:vMerge w:val="restart"/>
                  <w:tcBorders>
                    <w:tl2br w:val="nil"/>
                    <w:tr2bl w:val="nil"/>
                  </w:tcBorders>
                  <w:shd w:val="clear" w:color="auto" w:fill="auto"/>
                  <w:vAlign w:val="center"/>
                </w:tcPr>
                <w:p w14:paraId="47D18FC5">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140</w:t>
                  </w:r>
                  <w:r>
                    <w:rPr>
                      <w:rFonts w:hint="default" w:ascii="Times New Roman" w:hAnsi="Times New Roman" w:eastAsia="宋体" w:cs="Times New Roman"/>
                      <w:i w:val="0"/>
                      <w:iCs w:val="0"/>
                      <w:color w:val="auto"/>
                      <w:kern w:val="0"/>
                      <w:sz w:val="21"/>
                      <w:szCs w:val="21"/>
                      <w:u w:val="none"/>
                      <w:lang w:val="en-US" w:eastAsia="zh-CN" w:bidi="ar"/>
                    </w:rPr>
                    <w:t>00</w:t>
                  </w:r>
                </w:p>
              </w:tc>
              <w:tc>
                <w:tcPr>
                  <w:tcW w:w="476" w:type="dxa"/>
                  <w:vMerge w:val="restart"/>
                  <w:tcBorders>
                    <w:tl2br w:val="nil"/>
                    <w:tr2bl w:val="nil"/>
                  </w:tcBorders>
                  <w:shd w:val="clear" w:color="auto" w:fill="auto"/>
                  <w:vAlign w:val="center"/>
                </w:tcPr>
                <w:p w14:paraId="4E39A9D7">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90%</w:t>
                  </w:r>
                </w:p>
              </w:tc>
              <w:tc>
                <w:tcPr>
                  <w:tcW w:w="519" w:type="dxa"/>
                  <w:vMerge w:val="restart"/>
                  <w:tcBorders>
                    <w:tl2br w:val="nil"/>
                    <w:tr2bl w:val="nil"/>
                  </w:tcBorders>
                  <w:shd w:val="clear" w:color="auto" w:fill="auto"/>
                  <w:vAlign w:val="center"/>
                </w:tcPr>
                <w:p w14:paraId="4E7A519D">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24</w:t>
                  </w:r>
                  <w:r>
                    <w:rPr>
                      <w:rFonts w:hint="default" w:ascii="Times New Roman" w:hAnsi="Times New Roman" w:eastAsia="宋体" w:cs="Times New Roman"/>
                      <w:i w:val="0"/>
                      <w:iCs w:val="0"/>
                      <w:color w:val="auto"/>
                      <w:kern w:val="0"/>
                      <w:sz w:val="21"/>
                      <w:szCs w:val="21"/>
                      <w:u w:val="none"/>
                      <w:lang w:val="en-US" w:eastAsia="zh-CN" w:bidi="ar"/>
                    </w:rPr>
                    <w:t>00</w:t>
                  </w:r>
                </w:p>
              </w:tc>
              <w:tc>
                <w:tcPr>
                  <w:tcW w:w="655" w:type="dxa"/>
                  <w:tcBorders>
                    <w:tl2br w:val="nil"/>
                    <w:tr2bl w:val="nil"/>
                  </w:tcBorders>
                  <w:shd w:val="clear" w:color="auto" w:fill="auto"/>
                  <w:vAlign w:val="center"/>
                </w:tcPr>
                <w:p w14:paraId="5878F8D4">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99.0%</w:t>
                  </w:r>
                </w:p>
              </w:tc>
              <w:tc>
                <w:tcPr>
                  <w:tcW w:w="840" w:type="dxa"/>
                  <w:tcBorders>
                    <w:tl2br w:val="nil"/>
                    <w:tr2bl w:val="nil"/>
                  </w:tcBorders>
                  <w:shd w:val="clear" w:color="auto" w:fill="auto"/>
                  <w:noWrap/>
                  <w:vAlign w:val="center"/>
                </w:tcPr>
                <w:p w14:paraId="0B4ACCA4">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30.3571</w:t>
                  </w:r>
                </w:p>
              </w:tc>
              <w:tc>
                <w:tcPr>
                  <w:tcW w:w="660" w:type="dxa"/>
                  <w:tcBorders>
                    <w:tl2br w:val="nil"/>
                    <w:tr2bl w:val="nil"/>
                  </w:tcBorders>
                  <w:shd w:val="clear" w:color="auto" w:fill="auto"/>
                  <w:noWrap/>
                  <w:vAlign w:val="center"/>
                </w:tcPr>
                <w:p w14:paraId="4CCB84A5">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0.4250</w:t>
                  </w:r>
                </w:p>
              </w:tc>
              <w:tc>
                <w:tcPr>
                  <w:tcW w:w="480" w:type="dxa"/>
                  <w:tcBorders>
                    <w:tl2br w:val="nil"/>
                    <w:tr2bl w:val="nil"/>
                  </w:tcBorders>
                  <w:shd w:val="clear" w:color="auto" w:fill="auto"/>
                  <w:noWrap/>
                  <w:vAlign w:val="center"/>
                </w:tcPr>
                <w:p w14:paraId="6775C726">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1.02</w:t>
                  </w:r>
                </w:p>
              </w:tc>
              <w:tc>
                <w:tcPr>
                  <w:tcW w:w="840" w:type="dxa"/>
                  <w:tcBorders>
                    <w:tl2br w:val="nil"/>
                    <w:tr2bl w:val="nil"/>
                  </w:tcBorders>
                  <w:shd w:val="clear" w:color="auto" w:fill="auto"/>
                  <w:vAlign w:val="center"/>
                </w:tcPr>
                <w:p w14:paraId="43441469">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0.2732</w:t>
                  </w:r>
                </w:p>
              </w:tc>
              <w:tc>
                <w:tcPr>
                  <w:tcW w:w="645" w:type="dxa"/>
                  <w:tcBorders>
                    <w:tl2br w:val="nil"/>
                    <w:tr2bl w:val="nil"/>
                  </w:tcBorders>
                  <w:shd w:val="clear" w:color="auto" w:fill="auto"/>
                  <w:vAlign w:val="center"/>
                </w:tcPr>
                <w:p w14:paraId="501C947C">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0.0038</w:t>
                  </w:r>
                </w:p>
              </w:tc>
              <w:tc>
                <w:tcPr>
                  <w:tcW w:w="556" w:type="dxa"/>
                  <w:tcBorders>
                    <w:tl2br w:val="nil"/>
                    <w:tr2bl w:val="nil"/>
                  </w:tcBorders>
                  <w:shd w:val="clear" w:color="auto" w:fill="auto"/>
                  <w:vAlign w:val="center"/>
                </w:tcPr>
                <w:p w14:paraId="6A6A79CB">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0.0092</w:t>
                  </w:r>
                </w:p>
              </w:tc>
            </w:tr>
            <w:tr w14:paraId="217DB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269" w:type="dxa"/>
                  <w:tcBorders>
                    <w:tl2br w:val="nil"/>
                    <w:tr2bl w:val="nil"/>
                  </w:tcBorders>
                  <w:shd w:val="clear" w:color="auto" w:fill="auto"/>
                  <w:vAlign w:val="center"/>
                </w:tcPr>
                <w:p w14:paraId="0122E0D6">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w:t>
                  </w:r>
                </w:p>
              </w:tc>
              <w:tc>
                <w:tcPr>
                  <w:tcW w:w="718" w:type="dxa"/>
                  <w:vMerge w:val="continue"/>
                  <w:tcBorders>
                    <w:tl2br w:val="nil"/>
                    <w:tr2bl w:val="nil"/>
                  </w:tcBorders>
                  <w:shd w:val="clear" w:color="auto" w:fill="auto"/>
                  <w:vAlign w:val="center"/>
                </w:tcPr>
                <w:p w14:paraId="0DD29007">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630" w:type="dxa"/>
                  <w:tcBorders>
                    <w:tl2br w:val="nil"/>
                    <w:tr2bl w:val="nil"/>
                  </w:tcBorders>
                  <w:shd w:val="clear" w:color="auto" w:fill="auto"/>
                  <w:vAlign w:val="center"/>
                </w:tcPr>
                <w:p w14:paraId="3EEF329D">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非甲烷总烃</w:t>
                  </w:r>
                </w:p>
              </w:tc>
              <w:tc>
                <w:tcPr>
                  <w:tcW w:w="700" w:type="dxa"/>
                  <w:tcBorders>
                    <w:tl2br w:val="nil"/>
                    <w:tr2bl w:val="nil"/>
                  </w:tcBorders>
                  <w:shd w:val="clear" w:color="auto" w:fill="auto"/>
                  <w:vAlign w:val="center"/>
                </w:tcPr>
                <w:p w14:paraId="49752CE5">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活性炭吸附</w:t>
                  </w:r>
                </w:p>
              </w:tc>
              <w:tc>
                <w:tcPr>
                  <w:tcW w:w="678" w:type="dxa"/>
                  <w:tcBorders>
                    <w:tl2br w:val="nil"/>
                    <w:tr2bl w:val="nil"/>
                  </w:tcBorders>
                  <w:shd w:val="clear" w:color="auto" w:fill="auto"/>
                  <w:vAlign w:val="center"/>
                </w:tcPr>
                <w:p w14:paraId="51F7B4EA">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548" w:type="dxa"/>
                  <w:vMerge w:val="continue"/>
                  <w:tcBorders>
                    <w:tl2br w:val="nil"/>
                    <w:tr2bl w:val="nil"/>
                  </w:tcBorders>
                  <w:shd w:val="clear" w:color="auto" w:fill="auto"/>
                  <w:vAlign w:val="center"/>
                </w:tcPr>
                <w:p w14:paraId="2A1828CD">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eastAsia" w:ascii="Times New Roman" w:hAnsi="Times New Roman" w:cs="Times New Roman"/>
                      <w:i w:val="0"/>
                      <w:iCs w:val="0"/>
                      <w:color w:val="auto"/>
                      <w:kern w:val="0"/>
                      <w:sz w:val="21"/>
                      <w:szCs w:val="21"/>
                      <w:u w:val="none"/>
                      <w:lang w:val="en-US" w:eastAsia="zh-CN" w:bidi="ar"/>
                    </w:rPr>
                  </w:pPr>
                </w:p>
              </w:tc>
              <w:tc>
                <w:tcPr>
                  <w:tcW w:w="476" w:type="dxa"/>
                  <w:vMerge w:val="continue"/>
                  <w:tcBorders>
                    <w:tl2br w:val="nil"/>
                    <w:tr2bl w:val="nil"/>
                  </w:tcBorders>
                  <w:shd w:val="clear" w:color="auto" w:fill="auto"/>
                  <w:vAlign w:val="center"/>
                </w:tcPr>
                <w:p w14:paraId="08E74198">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519" w:type="dxa"/>
                  <w:vMerge w:val="continue"/>
                  <w:tcBorders>
                    <w:tl2br w:val="nil"/>
                    <w:tr2bl w:val="nil"/>
                  </w:tcBorders>
                  <w:shd w:val="clear" w:color="auto" w:fill="auto"/>
                  <w:vAlign w:val="center"/>
                </w:tcPr>
                <w:p w14:paraId="0B34C9FA">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655" w:type="dxa"/>
                  <w:tcBorders>
                    <w:tl2br w:val="nil"/>
                    <w:tr2bl w:val="nil"/>
                  </w:tcBorders>
                  <w:shd w:val="clear" w:color="auto" w:fill="auto"/>
                  <w:vAlign w:val="center"/>
                </w:tcPr>
                <w:p w14:paraId="6C9274E5">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91%</w:t>
                  </w:r>
                </w:p>
              </w:tc>
              <w:tc>
                <w:tcPr>
                  <w:tcW w:w="840" w:type="dxa"/>
                  <w:tcBorders>
                    <w:tl2br w:val="nil"/>
                    <w:tr2bl w:val="nil"/>
                  </w:tcBorders>
                  <w:shd w:val="clear" w:color="auto" w:fill="auto"/>
                  <w:noWrap/>
                  <w:vAlign w:val="center"/>
                </w:tcPr>
                <w:p w14:paraId="63D3C8B9">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25.5952</w:t>
                  </w:r>
                </w:p>
              </w:tc>
              <w:tc>
                <w:tcPr>
                  <w:tcW w:w="660" w:type="dxa"/>
                  <w:tcBorders>
                    <w:tl2br w:val="nil"/>
                    <w:tr2bl w:val="nil"/>
                  </w:tcBorders>
                  <w:shd w:val="clear" w:color="auto" w:fill="auto"/>
                  <w:noWrap/>
                  <w:vAlign w:val="center"/>
                </w:tcPr>
                <w:p w14:paraId="20F3F5B7">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0.3583</w:t>
                  </w:r>
                </w:p>
              </w:tc>
              <w:tc>
                <w:tcPr>
                  <w:tcW w:w="480" w:type="dxa"/>
                  <w:tcBorders>
                    <w:tl2br w:val="nil"/>
                    <w:tr2bl w:val="nil"/>
                  </w:tcBorders>
                  <w:shd w:val="clear" w:color="auto" w:fill="auto"/>
                  <w:noWrap/>
                  <w:vAlign w:val="center"/>
                </w:tcPr>
                <w:p w14:paraId="27FF28AC">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0.86</w:t>
                  </w:r>
                </w:p>
              </w:tc>
              <w:tc>
                <w:tcPr>
                  <w:tcW w:w="840" w:type="dxa"/>
                  <w:tcBorders>
                    <w:tl2br w:val="nil"/>
                    <w:tr2bl w:val="nil"/>
                  </w:tcBorders>
                  <w:shd w:val="clear" w:color="auto" w:fill="auto"/>
                  <w:vAlign w:val="center"/>
                </w:tcPr>
                <w:p w14:paraId="149EA176">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2.0732</w:t>
                  </w:r>
                </w:p>
              </w:tc>
              <w:tc>
                <w:tcPr>
                  <w:tcW w:w="645" w:type="dxa"/>
                  <w:tcBorders>
                    <w:tl2br w:val="nil"/>
                    <w:tr2bl w:val="nil"/>
                  </w:tcBorders>
                  <w:shd w:val="clear" w:color="auto" w:fill="auto"/>
                  <w:vAlign w:val="center"/>
                </w:tcPr>
                <w:p w14:paraId="7A320B96">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0.0290</w:t>
                  </w:r>
                </w:p>
              </w:tc>
              <w:tc>
                <w:tcPr>
                  <w:tcW w:w="556" w:type="dxa"/>
                  <w:tcBorders>
                    <w:tl2br w:val="nil"/>
                    <w:tr2bl w:val="nil"/>
                  </w:tcBorders>
                  <w:shd w:val="clear" w:color="auto" w:fill="auto"/>
                  <w:vAlign w:val="center"/>
                </w:tcPr>
                <w:p w14:paraId="2E78EA2C">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0.0697</w:t>
                  </w:r>
                </w:p>
              </w:tc>
            </w:tr>
          </w:tbl>
          <w:p w14:paraId="43873C6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color w:val="auto"/>
                <w:kern w:val="2"/>
                <w:sz w:val="21"/>
                <w:szCs w:val="21"/>
                <w:lang w:val="en-US" w:eastAsia="zh-CN" w:bidi="ar-SA"/>
              </w:rPr>
              <w:t>根据上</w:t>
            </w:r>
            <w:r>
              <w:rPr>
                <w:rFonts w:hint="default" w:ascii="Times New Roman" w:hAnsi="Times New Roman" w:cs="Times New Roman"/>
                <w:color w:val="auto"/>
                <w:kern w:val="2"/>
                <w:sz w:val="21"/>
                <w:szCs w:val="21"/>
                <w:lang w:val="en-US" w:eastAsia="zh-CN" w:bidi="ar-SA"/>
              </w:rPr>
              <w:t>表</w:t>
            </w:r>
            <w:r>
              <w:rPr>
                <w:rFonts w:hint="default" w:ascii="Times New Roman" w:hAnsi="Times New Roman" w:eastAsia="宋体" w:cs="Times New Roman"/>
                <w:color w:val="auto"/>
                <w:kern w:val="2"/>
                <w:sz w:val="21"/>
                <w:szCs w:val="21"/>
                <w:lang w:val="en-US" w:eastAsia="zh-CN" w:bidi="ar-SA"/>
              </w:rPr>
              <w:t>可知，</w:t>
            </w:r>
            <w:r>
              <w:rPr>
                <w:rFonts w:hint="default" w:ascii="Times New Roman" w:hAnsi="Times New Roman" w:cs="Times New Roman"/>
                <w:b w:val="0"/>
                <w:bCs w:val="0"/>
                <w:color w:val="auto"/>
                <w:sz w:val="21"/>
                <w:szCs w:val="21"/>
                <w:lang w:val="en-US" w:eastAsia="zh-CN"/>
              </w:rPr>
              <w:t>采取上述处理措施后，</w:t>
            </w:r>
            <w:r>
              <w:rPr>
                <w:rFonts w:hint="default" w:ascii="Times New Roman" w:hAnsi="Times New Roman" w:eastAsia="宋体" w:cs="Times New Roman"/>
                <w:b w:val="0"/>
                <w:bCs/>
                <w:color w:val="auto"/>
                <w:sz w:val="21"/>
                <w:szCs w:val="21"/>
                <w:highlight w:val="none"/>
                <w:lang w:eastAsia="zh-CN"/>
              </w:rPr>
              <w:t>颗粒物、</w:t>
            </w:r>
            <w:r>
              <w:rPr>
                <w:rFonts w:hint="eastAsia" w:ascii="Times New Roman" w:hAnsi="Times New Roman" w:eastAsia="宋体" w:cs="Times New Roman"/>
                <w:b w:val="0"/>
                <w:bCs/>
                <w:color w:val="auto"/>
                <w:sz w:val="21"/>
                <w:szCs w:val="21"/>
                <w:highlight w:val="none"/>
                <w:lang w:eastAsia="zh-CN"/>
              </w:rPr>
              <w:t>非甲烷总烃</w:t>
            </w:r>
            <w:r>
              <w:rPr>
                <w:rFonts w:hint="default" w:ascii="Times New Roman" w:hAnsi="Times New Roman" w:eastAsia="宋体" w:cs="Times New Roman"/>
                <w:b w:val="0"/>
                <w:bCs/>
                <w:color w:val="auto"/>
                <w:sz w:val="21"/>
                <w:szCs w:val="21"/>
                <w:highlight w:val="none"/>
                <w:lang w:eastAsia="zh-CN"/>
              </w:rPr>
              <w:t>有组织排放</w:t>
            </w:r>
            <w:r>
              <w:rPr>
                <w:rFonts w:hint="eastAsia" w:ascii="Times New Roman" w:hAnsi="Times New Roman" w:eastAsia="宋体" w:cs="Times New Roman"/>
                <w:b w:val="0"/>
                <w:bCs/>
                <w:color w:val="auto"/>
                <w:sz w:val="21"/>
                <w:szCs w:val="21"/>
                <w:highlight w:val="none"/>
                <w:lang w:eastAsia="zh-CN"/>
              </w:rPr>
              <w:t>满足</w:t>
            </w:r>
            <w:r>
              <w:rPr>
                <w:rFonts w:hint="default" w:ascii="Times New Roman" w:hAnsi="Times New Roman" w:eastAsia="宋体" w:cs="Times New Roman"/>
                <w:b w:val="0"/>
                <w:bCs/>
                <w:color w:val="auto"/>
                <w:sz w:val="21"/>
                <w:szCs w:val="21"/>
                <w:highlight w:val="none"/>
                <w:lang w:eastAsia="zh-CN"/>
              </w:rPr>
              <w:t>《涂料、油墨及胶粘剂工业大气污染物排放标准》（GB 37824</w:t>
            </w:r>
            <w:r>
              <w:rPr>
                <w:rFonts w:hint="eastAsia"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lang w:eastAsia="zh-CN"/>
              </w:rPr>
              <w:t>2019）表2大气污染物特别排放限值，即：颗粒物排放浓度≤</w:t>
            </w:r>
            <w:r>
              <w:rPr>
                <w:rFonts w:hint="eastAsia" w:ascii="Times New Roman" w:hAnsi="Times New Roman" w:eastAsia="宋体" w:cs="Times New Roman"/>
                <w:b w:val="0"/>
                <w:bCs/>
                <w:color w:val="auto"/>
                <w:sz w:val="21"/>
                <w:szCs w:val="21"/>
                <w:highlight w:val="none"/>
                <w:lang w:val="en-US" w:eastAsia="zh-CN"/>
              </w:rPr>
              <w:t>20</w:t>
            </w:r>
            <w:r>
              <w:rPr>
                <w:rFonts w:hint="default" w:ascii="Times New Roman" w:hAnsi="Times New Roman" w:eastAsia="宋体" w:cs="Times New Roman"/>
                <w:b w:val="0"/>
                <w:bCs/>
                <w:color w:val="auto"/>
                <w:sz w:val="21"/>
                <w:szCs w:val="21"/>
                <w:highlight w:val="none"/>
                <w:lang w:eastAsia="zh-CN"/>
              </w:rPr>
              <w:t>mg/m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lang w:eastAsia="zh-CN"/>
              </w:rPr>
              <w:t>，</w:t>
            </w:r>
            <w:r>
              <w:rPr>
                <w:rFonts w:hint="eastAsia" w:ascii="Times New Roman" w:hAnsi="Times New Roman" w:eastAsia="宋体" w:cs="Times New Roman"/>
                <w:b w:val="0"/>
                <w:bCs/>
                <w:color w:val="auto"/>
                <w:sz w:val="21"/>
                <w:szCs w:val="21"/>
                <w:highlight w:val="none"/>
                <w:lang w:eastAsia="zh-CN"/>
              </w:rPr>
              <w:t>非甲烷总烃</w:t>
            </w:r>
            <w:r>
              <w:rPr>
                <w:rFonts w:hint="default" w:ascii="Times New Roman" w:hAnsi="Times New Roman" w:eastAsia="宋体" w:cs="Times New Roman"/>
                <w:b w:val="0"/>
                <w:bCs/>
                <w:color w:val="auto"/>
                <w:sz w:val="21"/>
                <w:szCs w:val="21"/>
                <w:highlight w:val="none"/>
                <w:lang w:eastAsia="zh-CN"/>
              </w:rPr>
              <w:t>排放浓度≤</w:t>
            </w:r>
            <w:r>
              <w:rPr>
                <w:rFonts w:hint="eastAsia" w:ascii="Times New Roman" w:hAnsi="Times New Roman" w:eastAsia="宋体" w:cs="Times New Roman"/>
                <w:b w:val="0"/>
                <w:bCs/>
                <w:color w:val="auto"/>
                <w:sz w:val="21"/>
                <w:szCs w:val="21"/>
                <w:highlight w:val="none"/>
                <w:lang w:val="en-US" w:eastAsia="zh-CN"/>
              </w:rPr>
              <w:t>6</w:t>
            </w:r>
            <w:r>
              <w:rPr>
                <w:rFonts w:hint="default" w:ascii="Times New Roman" w:hAnsi="Times New Roman" w:eastAsia="宋体" w:cs="Times New Roman"/>
                <w:b w:val="0"/>
                <w:bCs/>
                <w:color w:val="auto"/>
                <w:sz w:val="21"/>
                <w:szCs w:val="21"/>
                <w:highlight w:val="none"/>
                <w:lang w:eastAsia="zh-CN"/>
              </w:rPr>
              <w:t>0mg/m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lang w:eastAsia="zh-CN"/>
              </w:rPr>
              <w:t>。</w:t>
            </w:r>
          </w:p>
          <w:p w14:paraId="0C0F2FDB">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cs="Times New Roman"/>
                <w:b/>
                <w:bCs w:val="0"/>
                <w:color w:val="auto"/>
                <w:sz w:val="21"/>
                <w:szCs w:val="21"/>
                <w:lang w:val="en-US" w:eastAsia="zh-CN"/>
              </w:rPr>
              <w:t>2、厂界无组织</w:t>
            </w:r>
            <w:r>
              <w:rPr>
                <w:rFonts w:hint="eastAsia" w:ascii="Times New Roman" w:hAnsi="Times New Roman" w:cs="Times New Roman"/>
                <w:b/>
                <w:bCs w:val="0"/>
                <w:color w:val="auto"/>
                <w:sz w:val="21"/>
                <w:szCs w:val="21"/>
                <w:lang w:val="en-US" w:eastAsia="zh-CN"/>
              </w:rPr>
              <w:t>废气</w:t>
            </w:r>
          </w:p>
          <w:p w14:paraId="243B77C8">
            <w:pPr>
              <w:pStyle w:val="6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无组织废气排放情况及污染源参数见下表。</w:t>
            </w:r>
          </w:p>
          <w:p w14:paraId="707EDD53">
            <w:pPr>
              <w:pStyle w:val="2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cs="Times New Roman"/>
                <w:b/>
                <w:bCs/>
                <w:color w:val="auto"/>
                <w:kern w:val="2"/>
                <w:sz w:val="21"/>
                <w:szCs w:val="21"/>
                <w:lang w:val="en-US" w:eastAsia="zh-CN" w:bidi="ar-SA"/>
              </w:rPr>
              <w:t>4</w:t>
            </w:r>
            <w:r>
              <w:rPr>
                <w:rFonts w:hint="default" w:ascii="Times New Roman" w:hAnsi="Times New Roman" w:cs="Times New Roman"/>
                <w:b/>
                <w:bCs/>
                <w:color w:val="auto"/>
                <w:kern w:val="2"/>
                <w:sz w:val="21"/>
                <w:szCs w:val="21"/>
                <w:lang w:val="en-US" w:eastAsia="zh-CN" w:bidi="ar-SA"/>
              </w:rPr>
              <w:t xml:space="preserve"> </w:t>
            </w:r>
            <w:r>
              <w:rPr>
                <w:rFonts w:hint="default" w:ascii="Times New Roman" w:hAnsi="Times New Roman" w:eastAsia="宋体" w:cs="Times New Roman"/>
                <w:b/>
                <w:bCs/>
                <w:color w:val="auto"/>
                <w:kern w:val="2"/>
                <w:sz w:val="21"/>
                <w:szCs w:val="21"/>
                <w:lang w:val="en-US" w:eastAsia="zh-CN" w:bidi="ar-SA"/>
              </w:rPr>
              <w:t>大气污染物无组织排放量核算表</w:t>
            </w:r>
          </w:p>
          <w:tbl>
            <w:tblPr>
              <w:tblStyle w:val="34"/>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991"/>
              <w:gridCol w:w="772"/>
              <w:gridCol w:w="1083"/>
              <w:gridCol w:w="1414"/>
              <w:gridCol w:w="1773"/>
              <w:gridCol w:w="1934"/>
              <w:gridCol w:w="698"/>
            </w:tblGrid>
            <w:tr w14:paraId="10D5130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268" w:type="dxa"/>
                  <w:vMerge w:val="restart"/>
                  <w:noWrap w:val="0"/>
                  <w:vAlign w:val="center"/>
                </w:tcPr>
                <w:p w14:paraId="7CDEF5D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序号</w:t>
                  </w:r>
                </w:p>
              </w:tc>
              <w:tc>
                <w:tcPr>
                  <w:tcW w:w="991" w:type="dxa"/>
                  <w:vMerge w:val="restart"/>
                  <w:noWrap w:val="0"/>
                  <w:vAlign w:val="center"/>
                </w:tcPr>
                <w:p w14:paraId="71DE4CB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z w:val="21"/>
                      <w:szCs w:val="21"/>
                    </w:rPr>
                    <w:t>污染源名称</w:t>
                  </w:r>
                </w:p>
              </w:tc>
              <w:tc>
                <w:tcPr>
                  <w:tcW w:w="772" w:type="dxa"/>
                  <w:vMerge w:val="restart"/>
                  <w:noWrap w:val="0"/>
                  <w:vAlign w:val="center"/>
                </w:tcPr>
                <w:p w14:paraId="11C3C4C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z w:val="21"/>
                      <w:szCs w:val="21"/>
                      <w:lang w:val="en-US" w:eastAsia="zh-CN" w:bidi="ar-SA"/>
                    </w:rPr>
                    <w:t>产污环节</w:t>
                  </w:r>
                </w:p>
              </w:tc>
              <w:tc>
                <w:tcPr>
                  <w:tcW w:w="1083" w:type="dxa"/>
                  <w:vMerge w:val="restart"/>
                  <w:noWrap w:val="0"/>
                  <w:vAlign w:val="center"/>
                </w:tcPr>
                <w:p w14:paraId="0112531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污染物</w:t>
                  </w:r>
                </w:p>
              </w:tc>
              <w:tc>
                <w:tcPr>
                  <w:tcW w:w="1414" w:type="dxa"/>
                  <w:vMerge w:val="restart"/>
                  <w:noWrap w:val="0"/>
                  <w:vAlign w:val="center"/>
                </w:tcPr>
                <w:p w14:paraId="2C8F177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z w:val="21"/>
                      <w:szCs w:val="21"/>
                      <w:lang w:val="en-US" w:eastAsia="zh-CN" w:bidi="ar-SA"/>
                    </w:rPr>
                    <w:t>主要污染防治措施</w:t>
                  </w:r>
                </w:p>
              </w:tc>
              <w:tc>
                <w:tcPr>
                  <w:tcW w:w="3707" w:type="dxa"/>
                  <w:gridSpan w:val="2"/>
                  <w:noWrap w:val="0"/>
                  <w:vAlign w:val="center"/>
                </w:tcPr>
                <w:p w14:paraId="51E5357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pacing w:val="-3"/>
                      <w:sz w:val="21"/>
                      <w:szCs w:val="21"/>
                      <w:lang w:val="en-US" w:eastAsia="zh-CN" w:bidi="ar-SA"/>
                    </w:rPr>
                    <w:t>国家或地方污染物排放标准</w:t>
                  </w:r>
                </w:p>
              </w:tc>
              <w:tc>
                <w:tcPr>
                  <w:tcW w:w="698" w:type="dxa"/>
                  <w:vMerge w:val="restart"/>
                  <w:noWrap w:val="0"/>
                  <w:vAlign w:val="center"/>
                </w:tcPr>
                <w:p w14:paraId="26C3474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pacing w:val="-5"/>
                      <w:sz w:val="21"/>
                      <w:szCs w:val="21"/>
                      <w:lang w:val="en-US" w:eastAsia="en-US" w:bidi="ar-SA"/>
                    </w:rPr>
                  </w:pPr>
                  <w:r>
                    <w:rPr>
                      <w:rFonts w:hint="default" w:ascii="Times New Roman" w:hAnsi="Times New Roman" w:eastAsia="宋体" w:cs="Times New Roman"/>
                      <w:b/>
                      <w:bCs/>
                      <w:color w:val="auto"/>
                      <w:spacing w:val="-5"/>
                      <w:sz w:val="21"/>
                      <w:szCs w:val="21"/>
                      <w:lang w:val="en-US" w:eastAsia="en-US" w:bidi="ar-SA"/>
                    </w:rPr>
                    <w:t>年排放</w:t>
                  </w:r>
                </w:p>
                <w:p w14:paraId="5AF8911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pacing w:val="-5"/>
                      <w:sz w:val="21"/>
                      <w:szCs w:val="21"/>
                      <w:lang w:val="en-US" w:eastAsia="en-US" w:bidi="ar-SA"/>
                    </w:rPr>
                    <w:t>量</w:t>
                  </w:r>
                  <w:r>
                    <w:rPr>
                      <w:rFonts w:hint="default" w:ascii="Times New Roman" w:hAnsi="Times New Roman" w:eastAsia="宋体" w:cs="Times New Roman"/>
                      <w:b/>
                      <w:bCs/>
                      <w:color w:val="auto"/>
                      <w:spacing w:val="-5"/>
                      <w:sz w:val="21"/>
                      <w:szCs w:val="21"/>
                      <w:lang w:val="en-US" w:eastAsia="zh-CN" w:bidi="ar-SA"/>
                    </w:rPr>
                    <w:t>(t/a)</w:t>
                  </w:r>
                </w:p>
              </w:tc>
            </w:tr>
            <w:tr w14:paraId="52B384D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268" w:type="dxa"/>
                  <w:vMerge w:val="continue"/>
                  <w:noWrap w:val="0"/>
                  <w:vAlign w:val="center"/>
                </w:tcPr>
                <w:p w14:paraId="26E7152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991" w:type="dxa"/>
                  <w:vMerge w:val="continue"/>
                  <w:noWrap w:val="0"/>
                  <w:vAlign w:val="center"/>
                </w:tcPr>
                <w:p w14:paraId="03E9A9F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772" w:type="dxa"/>
                  <w:vMerge w:val="continue"/>
                  <w:noWrap w:val="0"/>
                  <w:vAlign w:val="center"/>
                </w:tcPr>
                <w:p w14:paraId="2EACD87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083" w:type="dxa"/>
                  <w:vMerge w:val="continue"/>
                  <w:noWrap w:val="0"/>
                  <w:vAlign w:val="center"/>
                </w:tcPr>
                <w:p w14:paraId="385B394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414" w:type="dxa"/>
                  <w:vMerge w:val="continue"/>
                  <w:noWrap w:val="0"/>
                  <w:vAlign w:val="center"/>
                </w:tcPr>
                <w:p w14:paraId="17CAC0F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1773" w:type="dxa"/>
                  <w:noWrap w:val="0"/>
                  <w:vAlign w:val="center"/>
                </w:tcPr>
                <w:p w14:paraId="6340AB5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pacing w:val="-3"/>
                      <w:sz w:val="21"/>
                      <w:szCs w:val="21"/>
                      <w:lang w:val="en-US" w:eastAsia="zh-CN" w:bidi="ar-SA"/>
                    </w:rPr>
                  </w:pPr>
                  <w:r>
                    <w:rPr>
                      <w:rFonts w:hint="default" w:ascii="Times New Roman" w:hAnsi="Times New Roman" w:eastAsia="宋体" w:cs="Times New Roman"/>
                      <w:b/>
                      <w:bCs/>
                      <w:color w:val="auto"/>
                      <w:spacing w:val="-3"/>
                      <w:sz w:val="21"/>
                      <w:szCs w:val="21"/>
                      <w:lang w:val="en-US" w:eastAsia="zh-CN" w:bidi="ar-SA"/>
                    </w:rPr>
                    <w:t>标准名称</w:t>
                  </w:r>
                </w:p>
              </w:tc>
              <w:tc>
                <w:tcPr>
                  <w:tcW w:w="1934" w:type="dxa"/>
                  <w:noWrap w:val="0"/>
                  <w:vAlign w:val="center"/>
                </w:tcPr>
                <w:p w14:paraId="352CB9B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spacing w:val="-3"/>
                      <w:sz w:val="21"/>
                      <w:szCs w:val="21"/>
                      <w:lang w:val="en-US" w:eastAsia="zh-CN" w:bidi="ar-SA"/>
                    </w:rPr>
                  </w:pPr>
                  <w:r>
                    <w:rPr>
                      <w:rFonts w:hint="default" w:ascii="Times New Roman" w:hAnsi="Times New Roman" w:eastAsia="宋体" w:cs="Times New Roman"/>
                      <w:b/>
                      <w:bCs/>
                      <w:color w:val="auto"/>
                      <w:spacing w:val="-3"/>
                      <w:sz w:val="21"/>
                      <w:szCs w:val="21"/>
                      <w:lang w:val="en-US" w:eastAsia="zh-CN" w:bidi="ar-SA"/>
                    </w:rPr>
                    <w:t>浓度限值/（</w:t>
                  </w:r>
                  <w:r>
                    <w:rPr>
                      <w:rFonts w:hint="default" w:ascii="Times New Roman" w:hAnsi="Times New Roman" w:eastAsia="宋体" w:cs="Times New Roman"/>
                      <w:b/>
                      <w:bCs/>
                      <w:color w:val="auto"/>
                      <w:spacing w:val="-4"/>
                      <w:sz w:val="21"/>
                      <w:szCs w:val="21"/>
                      <w:vertAlign w:val="baseline"/>
                      <w:lang w:val="en-US" w:eastAsia="zh-CN"/>
                    </w:rPr>
                    <w:t>mg/m</w:t>
                  </w:r>
                  <w:r>
                    <w:rPr>
                      <w:rFonts w:hint="default" w:ascii="Times New Roman" w:hAnsi="Times New Roman" w:eastAsia="宋体" w:cs="Times New Roman"/>
                      <w:b/>
                      <w:bCs/>
                      <w:color w:val="auto"/>
                      <w:spacing w:val="-4"/>
                      <w:sz w:val="21"/>
                      <w:szCs w:val="21"/>
                      <w:vertAlign w:val="superscript"/>
                      <w:lang w:val="en-US" w:eastAsia="zh-CN"/>
                    </w:rPr>
                    <w:t>3</w:t>
                  </w:r>
                  <w:r>
                    <w:rPr>
                      <w:rFonts w:hint="default" w:ascii="Times New Roman" w:hAnsi="Times New Roman" w:eastAsia="宋体" w:cs="Times New Roman"/>
                      <w:b/>
                      <w:bCs/>
                      <w:color w:val="auto"/>
                      <w:spacing w:val="-3"/>
                      <w:sz w:val="21"/>
                      <w:szCs w:val="21"/>
                      <w:lang w:val="en-US" w:eastAsia="zh-CN" w:bidi="ar-SA"/>
                    </w:rPr>
                    <w:t>）</w:t>
                  </w:r>
                </w:p>
              </w:tc>
              <w:tc>
                <w:tcPr>
                  <w:tcW w:w="698" w:type="dxa"/>
                  <w:vMerge w:val="continue"/>
                  <w:noWrap w:val="0"/>
                  <w:vAlign w:val="center"/>
                </w:tcPr>
                <w:p w14:paraId="6B81E35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3"/>
                      <w:sz w:val="21"/>
                      <w:szCs w:val="21"/>
                      <w:lang w:val="en-US" w:eastAsia="zh-CN" w:bidi="ar-SA"/>
                    </w:rPr>
                  </w:pPr>
                </w:p>
              </w:tc>
            </w:tr>
            <w:tr w14:paraId="6516A05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268" w:type="dxa"/>
                  <w:vMerge w:val="restart"/>
                  <w:noWrap w:val="0"/>
                  <w:vAlign w:val="center"/>
                </w:tcPr>
                <w:p w14:paraId="4126263C">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991" w:type="dxa"/>
                  <w:vMerge w:val="restart"/>
                  <w:noWrap w:val="0"/>
                  <w:vAlign w:val="center"/>
                </w:tcPr>
                <w:p w14:paraId="52BCD7B6">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b w:val="0"/>
                      <w:bCs w:val="0"/>
                      <w:color w:val="auto"/>
                      <w:kern w:val="2"/>
                      <w:sz w:val="21"/>
                      <w:szCs w:val="21"/>
                      <w:highlight w:val="none"/>
                      <w:lang w:val="en-US" w:eastAsia="zh-CN" w:bidi="en-US"/>
                    </w:rPr>
                    <w:t>投料废气、搅拌废气、出料废气</w:t>
                  </w:r>
                </w:p>
              </w:tc>
              <w:tc>
                <w:tcPr>
                  <w:tcW w:w="772" w:type="dxa"/>
                  <w:vMerge w:val="restart"/>
                  <w:noWrap w:val="0"/>
                  <w:vAlign w:val="center"/>
                </w:tcPr>
                <w:p w14:paraId="33ACCD46">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未被集气罩收集的</w:t>
                  </w:r>
                  <w:r>
                    <w:rPr>
                      <w:rFonts w:hint="eastAsia" w:ascii="Times New Roman" w:hAnsi="Times New Roman" w:cs="Times New Roman"/>
                      <w:i w:val="0"/>
                      <w:iCs w:val="0"/>
                      <w:color w:val="auto"/>
                      <w:kern w:val="0"/>
                      <w:sz w:val="21"/>
                      <w:szCs w:val="21"/>
                      <w:u w:val="none"/>
                      <w:lang w:val="en-US" w:eastAsia="zh-CN" w:bidi="ar"/>
                    </w:rPr>
                    <w:t>废气</w:t>
                  </w:r>
                </w:p>
              </w:tc>
              <w:tc>
                <w:tcPr>
                  <w:tcW w:w="1083" w:type="dxa"/>
                  <w:noWrap w:val="0"/>
                  <w:vAlign w:val="center"/>
                </w:tcPr>
                <w:p w14:paraId="6F42BAA8">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414" w:type="dxa"/>
                  <w:vMerge w:val="restart"/>
                  <w:noWrap w:val="0"/>
                  <w:vAlign w:val="center"/>
                </w:tcPr>
                <w:p w14:paraId="04C587E0">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车间密闭</w:t>
                  </w:r>
                  <w:r>
                    <w:rPr>
                      <w:rFonts w:hint="default" w:ascii="Times New Roman" w:hAnsi="Times New Roman" w:cs="Times New Roman"/>
                      <w:i w:val="0"/>
                      <w:iCs w:val="0"/>
                      <w:color w:val="auto"/>
                      <w:kern w:val="0"/>
                      <w:sz w:val="21"/>
                      <w:szCs w:val="21"/>
                      <w:u w:val="none"/>
                      <w:lang w:val="en-US" w:eastAsia="zh-CN" w:bidi="ar"/>
                    </w:rPr>
                    <w:t>、泼洒抑尘</w:t>
                  </w:r>
                </w:p>
              </w:tc>
              <w:tc>
                <w:tcPr>
                  <w:tcW w:w="1773" w:type="dxa"/>
                  <w:noWrap w:val="0"/>
                  <w:vAlign w:val="center"/>
                </w:tcPr>
                <w:p w14:paraId="09944D1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3"/>
                      <w:sz w:val="21"/>
                      <w:szCs w:val="21"/>
                      <w:lang w:val="en-US" w:eastAsia="en-US" w:bidi="ar-SA"/>
                    </w:rPr>
                  </w:pPr>
                  <w:r>
                    <w:rPr>
                      <w:rFonts w:hint="eastAsia" w:ascii="Times New Roman" w:hAnsi="Times New Roman" w:cs="Times New Roman"/>
                      <w:b w:val="0"/>
                      <w:bCs w:val="0"/>
                      <w:color w:val="auto"/>
                      <w:sz w:val="21"/>
                      <w:szCs w:val="21"/>
                      <w:lang w:val="en-US" w:eastAsia="zh-CN"/>
                    </w:rPr>
                    <w:t>《大气污染物综合排放标准》(GB12697-1996)表2颗粒物（</w:t>
                  </w:r>
                  <w:r>
                    <w:rPr>
                      <w:rFonts w:hint="eastAsia" w:ascii="Times New Roman" w:hAnsi="Times New Roman" w:cs="Times New Roman"/>
                      <w:color w:val="auto"/>
                      <w:sz w:val="21"/>
                      <w:szCs w:val="21"/>
                      <w:lang w:eastAsia="zh-CN"/>
                    </w:rPr>
                    <w:t>碳黑尘、染料尘；其他</w:t>
                  </w:r>
                  <w:r>
                    <w:rPr>
                      <w:rFonts w:hint="eastAsia" w:ascii="Times New Roman" w:hAnsi="Times New Roman" w:cs="Times New Roman"/>
                      <w:b w:val="0"/>
                      <w:bCs w:val="0"/>
                      <w:color w:val="auto"/>
                      <w:sz w:val="21"/>
                      <w:szCs w:val="21"/>
                      <w:lang w:val="en-US" w:eastAsia="zh-CN"/>
                    </w:rPr>
                    <w:t>）无组织排放监控浓度限值要求</w:t>
                  </w:r>
                </w:p>
              </w:tc>
              <w:tc>
                <w:tcPr>
                  <w:tcW w:w="1934" w:type="dxa"/>
                  <w:noWrap w:val="0"/>
                  <w:vAlign w:val="center"/>
                </w:tcPr>
                <w:p w14:paraId="1E6D614C">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pacing w:val="-3"/>
                      <w:sz w:val="21"/>
                      <w:szCs w:val="21"/>
                      <w:lang w:val="en-US" w:eastAsia="en-US" w:bidi="ar-SA"/>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r>
                    <w:rPr>
                      <w:rFonts w:hint="default" w:ascii="Times New Roman" w:hAnsi="Times New Roman" w:eastAsia="宋体" w:cs="Times New Roman"/>
                      <w:b w:val="0"/>
                      <w:bCs/>
                      <w:color w:val="auto"/>
                      <w:sz w:val="21"/>
                      <w:szCs w:val="21"/>
                      <w:highlight w:val="none"/>
                      <w:lang w:eastAsia="zh-CN"/>
                    </w:rPr>
                    <w:t>（肉眼不可见）</w:t>
                  </w:r>
                </w:p>
              </w:tc>
              <w:tc>
                <w:tcPr>
                  <w:tcW w:w="698" w:type="dxa"/>
                  <w:noWrap w:val="0"/>
                  <w:vAlign w:val="center"/>
                </w:tcPr>
                <w:p w14:paraId="44F03CFB">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408</w:t>
                  </w:r>
                </w:p>
              </w:tc>
            </w:tr>
            <w:tr w14:paraId="5076DDD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268" w:type="dxa"/>
                  <w:vMerge w:val="continue"/>
                  <w:noWrap w:val="0"/>
                  <w:vAlign w:val="center"/>
                </w:tcPr>
                <w:p w14:paraId="1B1F8D60">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91" w:type="dxa"/>
                  <w:vMerge w:val="continue"/>
                  <w:noWrap w:val="0"/>
                  <w:vAlign w:val="center"/>
                </w:tcPr>
                <w:p w14:paraId="296B3E55">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eastAsia" w:ascii="Times New Roman" w:hAnsi="Times New Roman" w:cs="Times New Roman"/>
                      <w:b w:val="0"/>
                      <w:bCs w:val="0"/>
                      <w:color w:val="auto"/>
                      <w:kern w:val="2"/>
                      <w:sz w:val="21"/>
                      <w:szCs w:val="21"/>
                      <w:highlight w:val="none"/>
                      <w:lang w:val="en-US" w:eastAsia="zh-CN" w:bidi="en-US"/>
                    </w:rPr>
                  </w:pPr>
                </w:p>
              </w:tc>
              <w:tc>
                <w:tcPr>
                  <w:tcW w:w="772" w:type="dxa"/>
                  <w:vMerge w:val="continue"/>
                  <w:noWrap w:val="0"/>
                  <w:vAlign w:val="center"/>
                </w:tcPr>
                <w:p w14:paraId="46884274">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83" w:type="dxa"/>
                  <w:noWrap w:val="0"/>
                  <w:vAlign w:val="center"/>
                </w:tcPr>
                <w:p w14:paraId="30B9BF1F">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1414" w:type="dxa"/>
                  <w:vMerge w:val="continue"/>
                  <w:noWrap w:val="0"/>
                  <w:vAlign w:val="center"/>
                </w:tcPr>
                <w:p w14:paraId="6552A4A0">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773" w:type="dxa"/>
                  <w:vMerge w:val="restart"/>
                  <w:noWrap w:val="0"/>
                  <w:vAlign w:val="center"/>
                </w:tcPr>
                <w:p w14:paraId="483ABFA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3"/>
                      <w:sz w:val="21"/>
                      <w:szCs w:val="21"/>
                      <w:lang w:val="en-US" w:eastAsia="en-US" w:bidi="ar-SA"/>
                    </w:rPr>
                  </w:pPr>
                  <w:r>
                    <w:rPr>
                      <w:rFonts w:hint="eastAsia" w:ascii="Times New Roman" w:hAnsi="Times New Roman" w:cs="Times New Roman"/>
                      <w:b w:val="0"/>
                      <w:bCs w:val="0"/>
                      <w:color w:val="auto"/>
                      <w:sz w:val="21"/>
                      <w:szCs w:val="21"/>
                      <w:lang w:val="en-US" w:eastAsia="zh-CN"/>
                    </w:rPr>
                    <w:t>《工业企业挥发性有机物排放控制标准》(DB13/2322-2016)表2企业边界大气污染物浓度限值</w:t>
                  </w:r>
                </w:p>
              </w:tc>
              <w:tc>
                <w:tcPr>
                  <w:tcW w:w="1934" w:type="dxa"/>
                  <w:vMerge w:val="restart"/>
                  <w:noWrap w:val="0"/>
                  <w:vAlign w:val="center"/>
                </w:tcPr>
                <w:p w14:paraId="1A2342F4">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pacing w:val="-3"/>
                      <w:sz w:val="21"/>
                      <w:szCs w:val="21"/>
                      <w:lang w:val="en-US" w:eastAsia="en-US" w:bidi="ar-SA"/>
                    </w:rPr>
                  </w:pP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p>
              </w:tc>
              <w:tc>
                <w:tcPr>
                  <w:tcW w:w="698" w:type="dxa"/>
                  <w:noWrap w:val="0"/>
                  <w:vAlign w:val="center"/>
                </w:tcPr>
                <w:p w14:paraId="41B94705">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860</w:t>
                  </w:r>
                  <w:r>
                    <w:rPr>
                      <w:rFonts w:hint="eastAsia" w:ascii="Times New Roman" w:hAnsi="Times New Roman" w:eastAsia="宋体" w:cs="Times New Roman"/>
                      <w:i w:val="0"/>
                      <w:iCs w:val="0"/>
                      <w:color w:val="auto"/>
                      <w:kern w:val="0"/>
                      <w:sz w:val="21"/>
                      <w:szCs w:val="21"/>
                      <w:u w:val="none"/>
                      <w:lang w:val="en-US" w:eastAsia="zh-CN" w:bidi="ar"/>
                    </w:rPr>
                    <w:t xml:space="preserve"> </w:t>
                  </w:r>
                </w:p>
              </w:tc>
            </w:tr>
            <w:tr w14:paraId="5BC3011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268" w:type="dxa"/>
                  <w:noWrap w:val="0"/>
                  <w:vAlign w:val="center"/>
                </w:tcPr>
                <w:p w14:paraId="5F0FF00D">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w:t>
                  </w:r>
                </w:p>
              </w:tc>
              <w:tc>
                <w:tcPr>
                  <w:tcW w:w="991" w:type="dxa"/>
                  <w:noWrap w:val="0"/>
                  <w:vAlign w:val="center"/>
                </w:tcPr>
                <w:p w14:paraId="7BE22AD0">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auto"/>
                      <w:kern w:val="2"/>
                      <w:sz w:val="21"/>
                      <w:szCs w:val="21"/>
                      <w:highlight w:val="none"/>
                      <w:lang w:val="en-US" w:eastAsia="zh-CN" w:bidi="en-US"/>
                    </w:rPr>
                  </w:pPr>
                  <w:r>
                    <w:rPr>
                      <w:rFonts w:hint="eastAsia" w:ascii="Times New Roman" w:hAnsi="Times New Roman" w:cs="Times New Roman"/>
                      <w:b w:val="0"/>
                      <w:bCs w:val="0"/>
                      <w:color w:val="auto"/>
                      <w:kern w:val="2"/>
                      <w:sz w:val="21"/>
                      <w:szCs w:val="21"/>
                      <w:highlight w:val="none"/>
                      <w:lang w:val="en-US" w:eastAsia="zh-CN" w:bidi="en-US"/>
                    </w:rPr>
                    <w:t>转印</w:t>
                  </w:r>
                </w:p>
              </w:tc>
              <w:tc>
                <w:tcPr>
                  <w:tcW w:w="772" w:type="dxa"/>
                  <w:noWrap w:val="0"/>
                  <w:vAlign w:val="center"/>
                </w:tcPr>
                <w:p w14:paraId="2AEE0B6A">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转印废气</w:t>
                  </w:r>
                </w:p>
              </w:tc>
              <w:tc>
                <w:tcPr>
                  <w:tcW w:w="1083" w:type="dxa"/>
                  <w:noWrap w:val="0"/>
                  <w:vAlign w:val="center"/>
                </w:tcPr>
                <w:p w14:paraId="76B181AE">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非甲烷总烃</w:t>
                  </w:r>
                </w:p>
              </w:tc>
              <w:tc>
                <w:tcPr>
                  <w:tcW w:w="1414" w:type="dxa"/>
                  <w:vMerge w:val="continue"/>
                  <w:noWrap w:val="0"/>
                  <w:vAlign w:val="center"/>
                </w:tcPr>
                <w:p w14:paraId="1998E407">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773" w:type="dxa"/>
                  <w:vMerge w:val="continue"/>
                  <w:noWrap w:val="0"/>
                  <w:vAlign w:val="center"/>
                </w:tcPr>
                <w:p w14:paraId="19F08CA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val="0"/>
                      <w:color w:val="auto"/>
                      <w:sz w:val="21"/>
                      <w:szCs w:val="21"/>
                      <w:lang w:val="en-US" w:eastAsia="zh-CN"/>
                    </w:rPr>
                  </w:pPr>
                </w:p>
              </w:tc>
              <w:tc>
                <w:tcPr>
                  <w:tcW w:w="1934" w:type="dxa"/>
                  <w:vMerge w:val="continue"/>
                  <w:noWrap w:val="0"/>
                  <w:vAlign w:val="center"/>
                </w:tcPr>
                <w:p w14:paraId="635FDE89">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eastAsia" w:ascii="Times New Roman" w:hAnsi="Times New Roman" w:cs="Times New Roman"/>
                      <w:color w:val="auto"/>
                      <w:sz w:val="21"/>
                      <w:szCs w:val="21"/>
                      <w:lang w:val="en-US" w:eastAsia="zh-CN"/>
                    </w:rPr>
                  </w:pPr>
                </w:p>
              </w:tc>
              <w:tc>
                <w:tcPr>
                  <w:tcW w:w="698" w:type="dxa"/>
                  <w:noWrap w:val="0"/>
                  <w:vAlign w:val="center"/>
                </w:tcPr>
                <w:p w14:paraId="5654B702">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0.0089</w:t>
                  </w:r>
                </w:p>
              </w:tc>
            </w:tr>
            <w:tr w14:paraId="749459A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114" w:type="dxa"/>
                  <w:gridSpan w:val="4"/>
                  <w:vMerge w:val="restart"/>
                  <w:noWrap w:val="0"/>
                  <w:vAlign w:val="center"/>
                </w:tcPr>
                <w:p w14:paraId="23C693E9">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无组织排放总计</w:t>
                  </w:r>
                </w:p>
              </w:tc>
              <w:tc>
                <w:tcPr>
                  <w:tcW w:w="5121" w:type="dxa"/>
                  <w:gridSpan w:val="3"/>
                  <w:noWrap w:val="0"/>
                  <w:vAlign w:val="center"/>
                </w:tcPr>
                <w:p w14:paraId="76581C7E">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698" w:type="dxa"/>
                  <w:noWrap w:val="0"/>
                  <w:vAlign w:val="center"/>
                </w:tcPr>
                <w:p w14:paraId="1CC7DF72">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408</w:t>
                  </w:r>
                  <w:r>
                    <w:rPr>
                      <w:rFonts w:hint="eastAsia" w:ascii="Times New Roman" w:hAnsi="Times New Roman" w:eastAsia="宋体" w:cs="Times New Roman"/>
                      <w:i w:val="0"/>
                      <w:iCs w:val="0"/>
                      <w:color w:val="auto"/>
                      <w:kern w:val="0"/>
                      <w:sz w:val="21"/>
                      <w:szCs w:val="21"/>
                      <w:u w:val="none"/>
                      <w:lang w:val="en-US" w:eastAsia="zh-CN" w:bidi="ar"/>
                    </w:rPr>
                    <w:t xml:space="preserve"> </w:t>
                  </w:r>
                </w:p>
              </w:tc>
            </w:tr>
            <w:tr w14:paraId="1560D81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114" w:type="dxa"/>
                  <w:gridSpan w:val="4"/>
                  <w:vMerge w:val="continue"/>
                  <w:noWrap w:val="0"/>
                  <w:vAlign w:val="center"/>
                </w:tcPr>
                <w:p w14:paraId="28FC4EBB">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5121" w:type="dxa"/>
                  <w:gridSpan w:val="3"/>
                  <w:noWrap w:val="0"/>
                  <w:vAlign w:val="center"/>
                </w:tcPr>
                <w:p w14:paraId="27E65A1C">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698" w:type="dxa"/>
                  <w:noWrap w:val="0"/>
                  <w:vAlign w:val="center"/>
                </w:tcPr>
                <w:p w14:paraId="591E8518">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949</w:t>
                  </w:r>
                  <w:r>
                    <w:rPr>
                      <w:rFonts w:hint="eastAsia" w:ascii="Times New Roman" w:hAnsi="Times New Roman" w:eastAsia="宋体" w:cs="Times New Roman"/>
                      <w:i w:val="0"/>
                      <w:iCs w:val="0"/>
                      <w:color w:val="auto"/>
                      <w:kern w:val="0"/>
                      <w:sz w:val="21"/>
                      <w:szCs w:val="21"/>
                      <w:u w:val="none"/>
                      <w:lang w:val="en-US" w:eastAsia="zh-CN" w:bidi="ar"/>
                    </w:rPr>
                    <w:t xml:space="preserve"> </w:t>
                  </w:r>
                </w:p>
              </w:tc>
            </w:tr>
          </w:tbl>
          <w:p w14:paraId="6D649017">
            <w:pPr>
              <w:pStyle w:val="2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1"/>
                <w:lang w:val="en-US" w:eastAsia="zh-CN" w:bidi="ar-SA"/>
              </w:rPr>
            </w:pPr>
          </w:p>
          <w:p w14:paraId="1E7615AD">
            <w:pPr>
              <w:pStyle w:val="2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cs="Times New Roman"/>
                <w:b/>
                <w:bCs/>
                <w:color w:val="auto"/>
                <w:kern w:val="2"/>
                <w:sz w:val="21"/>
                <w:szCs w:val="21"/>
                <w:lang w:val="en-US" w:eastAsia="zh-CN" w:bidi="ar-SA"/>
              </w:rPr>
              <w:t>5</w:t>
            </w:r>
            <w:r>
              <w:rPr>
                <w:rFonts w:hint="default" w:ascii="Times New Roman" w:hAnsi="Times New Roman" w:eastAsia="宋体" w:cs="Times New Roman"/>
                <w:b/>
                <w:bCs/>
                <w:color w:val="auto"/>
                <w:kern w:val="2"/>
                <w:sz w:val="21"/>
                <w:szCs w:val="21"/>
                <w:lang w:val="en-US" w:eastAsia="zh-CN" w:bidi="ar-SA"/>
              </w:rPr>
              <w:t xml:space="preserve"> 主要废气污染源参数一览表(面源)</w:t>
            </w:r>
          </w:p>
          <w:tbl>
            <w:tblPr>
              <w:tblStyle w:val="34"/>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6"/>
              <w:gridCol w:w="1548"/>
              <w:gridCol w:w="1308"/>
              <w:gridCol w:w="1368"/>
              <w:gridCol w:w="948"/>
              <w:gridCol w:w="854"/>
              <w:gridCol w:w="990"/>
              <w:gridCol w:w="1177"/>
            </w:tblGrid>
            <w:tr w14:paraId="29099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776" w:type="dxa"/>
                  <w:vMerge w:val="restart"/>
                  <w:noWrap w:val="0"/>
                  <w:vAlign w:val="center"/>
                </w:tcPr>
                <w:p w14:paraId="5017F16E">
                  <w:pPr>
                    <w:pStyle w:val="55"/>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污染源名称</w:t>
                  </w:r>
                </w:p>
              </w:tc>
              <w:tc>
                <w:tcPr>
                  <w:tcW w:w="1548" w:type="dxa"/>
                  <w:vMerge w:val="restart"/>
                  <w:noWrap w:val="0"/>
                  <w:vAlign w:val="center"/>
                </w:tcPr>
                <w:p w14:paraId="350DC279">
                  <w:pPr>
                    <w:pStyle w:val="55"/>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污染物名称</w:t>
                  </w:r>
                </w:p>
              </w:tc>
              <w:tc>
                <w:tcPr>
                  <w:tcW w:w="2676" w:type="dxa"/>
                  <w:gridSpan w:val="2"/>
                  <w:noWrap w:val="0"/>
                  <w:vAlign w:val="center"/>
                </w:tcPr>
                <w:p w14:paraId="6320B38F">
                  <w:pPr>
                    <w:pStyle w:val="55"/>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坐标</w:t>
                  </w:r>
                </w:p>
              </w:tc>
              <w:tc>
                <w:tcPr>
                  <w:tcW w:w="948" w:type="dxa"/>
                  <w:vMerge w:val="restart"/>
                  <w:noWrap w:val="0"/>
                  <w:vAlign w:val="center"/>
                </w:tcPr>
                <w:p w14:paraId="3EF9EA48">
                  <w:pPr>
                    <w:pStyle w:val="55"/>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海拔高度</w:t>
                  </w:r>
                </w:p>
                <w:p w14:paraId="77ED41E0">
                  <w:pPr>
                    <w:pStyle w:val="55"/>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w:t>
                  </w:r>
                </w:p>
              </w:tc>
              <w:tc>
                <w:tcPr>
                  <w:tcW w:w="3021" w:type="dxa"/>
                  <w:gridSpan w:val="3"/>
                  <w:noWrap w:val="0"/>
                  <w:vAlign w:val="center"/>
                </w:tcPr>
                <w:p w14:paraId="066E59FD">
                  <w:pPr>
                    <w:pStyle w:val="55"/>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矩形面源</w:t>
                  </w:r>
                </w:p>
              </w:tc>
            </w:tr>
            <w:tr w14:paraId="5FA1C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776" w:type="dxa"/>
                  <w:vMerge w:val="continue"/>
                  <w:tcBorders>
                    <w:top w:val="nil"/>
                  </w:tcBorders>
                  <w:noWrap w:val="0"/>
                  <w:vAlign w:val="center"/>
                </w:tcPr>
                <w:p w14:paraId="3900619A">
                  <w:pPr>
                    <w:pStyle w:val="55"/>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tc>
              <w:tc>
                <w:tcPr>
                  <w:tcW w:w="1548" w:type="dxa"/>
                  <w:vMerge w:val="continue"/>
                  <w:noWrap w:val="0"/>
                  <w:vAlign w:val="center"/>
                </w:tcPr>
                <w:p w14:paraId="21287894">
                  <w:pPr>
                    <w:pStyle w:val="55"/>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tc>
              <w:tc>
                <w:tcPr>
                  <w:tcW w:w="1308" w:type="dxa"/>
                  <w:noWrap w:val="0"/>
                  <w:vAlign w:val="center"/>
                </w:tcPr>
                <w:p w14:paraId="487F6126">
                  <w:pPr>
                    <w:pStyle w:val="55"/>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经度</w:t>
                  </w:r>
                </w:p>
              </w:tc>
              <w:tc>
                <w:tcPr>
                  <w:tcW w:w="1368" w:type="dxa"/>
                  <w:noWrap w:val="0"/>
                  <w:vAlign w:val="center"/>
                </w:tcPr>
                <w:p w14:paraId="1C86D2C0">
                  <w:pPr>
                    <w:pStyle w:val="55"/>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纬度</w:t>
                  </w:r>
                </w:p>
              </w:tc>
              <w:tc>
                <w:tcPr>
                  <w:tcW w:w="948" w:type="dxa"/>
                  <w:vMerge w:val="continue"/>
                  <w:tcBorders>
                    <w:top w:val="nil"/>
                  </w:tcBorders>
                  <w:noWrap w:val="0"/>
                  <w:vAlign w:val="center"/>
                </w:tcPr>
                <w:p w14:paraId="03FAD598">
                  <w:pPr>
                    <w:pStyle w:val="55"/>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tc>
              <w:tc>
                <w:tcPr>
                  <w:tcW w:w="854" w:type="dxa"/>
                  <w:noWrap w:val="0"/>
                  <w:vAlign w:val="center"/>
                </w:tcPr>
                <w:p w14:paraId="692696B3">
                  <w:pPr>
                    <w:pStyle w:val="55"/>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长度(m)</w:t>
                  </w:r>
                </w:p>
              </w:tc>
              <w:tc>
                <w:tcPr>
                  <w:tcW w:w="990" w:type="dxa"/>
                  <w:noWrap w:val="0"/>
                  <w:vAlign w:val="center"/>
                </w:tcPr>
                <w:p w14:paraId="14C3F2D4">
                  <w:pPr>
                    <w:pStyle w:val="55"/>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宽度(m)</w:t>
                  </w:r>
                </w:p>
              </w:tc>
              <w:tc>
                <w:tcPr>
                  <w:tcW w:w="1177" w:type="dxa"/>
                  <w:noWrap w:val="0"/>
                  <w:vAlign w:val="center"/>
                </w:tcPr>
                <w:p w14:paraId="3550A766">
                  <w:pPr>
                    <w:pStyle w:val="55"/>
                    <w:keepNext w:val="0"/>
                    <w:keepLines w:val="0"/>
                    <w:suppressLineNumbers w:val="0"/>
                    <w:spacing w:beforeAutospacing="0" w:afterAutospacing="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有效高度(m)</w:t>
                  </w:r>
                </w:p>
              </w:tc>
            </w:tr>
            <w:tr w14:paraId="56D60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76" w:type="dxa"/>
                  <w:noWrap w:val="0"/>
                  <w:vAlign w:val="center"/>
                </w:tcPr>
                <w:p w14:paraId="6B0177F0">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bidi="ar-SA"/>
                    </w:rPr>
                    <w:t>南部</w:t>
                  </w:r>
                  <w:r>
                    <w:rPr>
                      <w:rFonts w:hint="default" w:ascii="Times New Roman" w:hAnsi="Times New Roman" w:cs="Times New Roman"/>
                      <w:color w:val="auto"/>
                      <w:sz w:val="21"/>
                      <w:szCs w:val="21"/>
                      <w:lang w:val="en-US" w:eastAsia="zh-CN" w:bidi="ar-SA"/>
                    </w:rPr>
                    <w:t>生产车间</w:t>
                  </w:r>
                </w:p>
              </w:tc>
              <w:tc>
                <w:tcPr>
                  <w:tcW w:w="1548" w:type="dxa"/>
                  <w:noWrap w:val="0"/>
                  <w:vAlign w:val="center"/>
                </w:tcPr>
                <w:p w14:paraId="2E018ECE">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颗粒物</w:t>
                  </w:r>
                  <w:r>
                    <w:rPr>
                      <w:rFonts w:hint="default" w:ascii="Times New Roman" w:hAnsi="Times New Roman" w:cs="Times New Roman"/>
                      <w:i w:val="0"/>
                      <w:iCs w:val="0"/>
                      <w:color w:val="auto"/>
                      <w:kern w:val="0"/>
                      <w:sz w:val="21"/>
                      <w:szCs w:val="21"/>
                      <w:u w:val="none"/>
                      <w:lang w:val="en-US" w:eastAsia="zh-CN" w:bidi="ar"/>
                    </w:rPr>
                    <w:t>、非甲烷总烃</w:t>
                  </w:r>
                </w:p>
              </w:tc>
              <w:tc>
                <w:tcPr>
                  <w:tcW w:w="1308" w:type="dxa"/>
                  <w:noWrap w:val="0"/>
                  <w:vAlign w:val="center"/>
                </w:tcPr>
                <w:p w14:paraId="32A956B9">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0"/>
                      <w:lang w:val="en-US" w:eastAsia="zh-CN"/>
                    </w:rPr>
                    <w:t>1</w:t>
                  </w:r>
                  <w:r>
                    <w:rPr>
                      <w:rFonts w:hint="default" w:ascii="Times New Roman" w:hAnsi="Times New Roman" w:cs="Times New Roman"/>
                      <w:color w:val="auto"/>
                      <w:sz w:val="21"/>
                      <w:szCs w:val="20"/>
                    </w:rPr>
                    <w:t>14°45′17.786″</w:t>
                  </w:r>
                </w:p>
              </w:tc>
              <w:tc>
                <w:tcPr>
                  <w:tcW w:w="1368" w:type="dxa"/>
                  <w:noWrap w:val="0"/>
                  <w:vAlign w:val="center"/>
                </w:tcPr>
                <w:p w14:paraId="458D8DCE">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0"/>
                    </w:rPr>
                    <w:t>36°8′39.98</w:t>
                  </w:r>
                  <w:r>
                    <w:rPr>
                      <w:rFonts w:hint="default" w:ascii="Times New Roman" w:hAnsi="Times New Roman" w:cs="Times New Roman"/>
                      <w:color w:val="auto"/>
                      <w:sz w:val="21"/>
                      <w:szCs w:val="20"/>
                      <w:lang w:val="en-US" w:eastAsia="zh-CN"/>
                    </w:rPr>
                    <w:t>6</w:t>
                  </w:r>
                  <w:r>
                    <w:rPr>
                      <w:rFonts w:hint="default" w:ascii="Times New Roman" w:hAnsi="Times New Roman" w:cs="Times New Roman"/>
                      <w:color w:val="auto"/>
                      <w:sz w:val="21"/>
                      <w:szCs w:val="20"/>
                    </w:rPr>
                    <w:t>″</w:t>
                  </w:r>
                </w:p>
              </w:tc>
              <w:tc>
                <w:tcPr>
                  <w:tcW w:w="948" w:type="dxa"/>
                  <w:noWrap w:val="0"/>
                  <w:vAlign w:val="center"/>
                </w:tcPr>
                <w:p w14:paraId="5F7258A6">
                  <w:pPr>
                    <w:pStyle w:val="55"/>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57</w:t>
                  </w:r>
                </w:p>
              </w:tc>
              <w:tc>
                <w:tcPr>
                  <w:tcW w:w="854" w:type="dxa"/>
                  <w:noWrap w:val="0"/>
                  <w:vAlign w:val="center"/>
                </w:tcPr>
                <w:p w14:paraId="0D74A531">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26.5</w:t>
                  </w:r>
                </w:p>
              </w:tc>
              <w:tc>
                <w:tcPr>
                  <w:tcW w:w="990" w:type="dxa"/>
                  <w:noWrap w:val="0"/>
                  <w:vAlign w:val="center"/>
                </w:tcPr>
                <w:p w14:paraId="32A0F0AD">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18</w:t>
                  </w:r>
                </w:p>
              </w:tc>
              <w:tc>
                <w:tcPr>
                  <w:tcW w:w="1177" w:type="dxa"/>
                  <w:noWrap w:val="0"/>
                  <w:vAlign w:val="center"/>
                </w:tcPr>
                <w:p w14:paraId="77AB9037">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3</w:t>
                  </w:r>
                </w:p>
              </w:tc>
            </w:tr>
          </w:tbl>
          <w:p w14:paraId="66EA99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①未被集气罩收集的无组织</w:t>
            </w:r>
            <w:r>
              <w:rPr>
                <w:rFonts w:hint="eastAsia" w:ascii="Times New Roman" w:hAnsi="Times New Roman" w:cs="Times New Roman"/>
                <w:b/>
                <w:bCs/>
                <w:color w:val="auto"/>
                <w:kern w:val="2"/>
                <w:sz w:val="21"/>
                <w:szCs w:val="21"/>
                <w:lang w:val="en-US" w:eastAsia="zh-CN" w:bidi="ar-SA"/>
              </w:rPr>
              <w:t>废气</w:t>
            </w:r>
          </w:p>
          <w:p w14:paraId="40F56D6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主要为</w:t>
            </w:r>
            <w:r>
              <w:rPr>
                <w:rFonts w:hint="eastAsia" w:ascii="Times New Roman" w:hAnsi="Times New Roman" w:cs="Times New Roman"/>
                <w:b w:val="0"/>
                <w:bCs w:val="0"/>
                <w:color w:val="auto"/>
                <w:kern w:val="2"/>
                <w:sz w:val="21"/>
                <w:szCs w:val="21"/>
                <w:highlight w:val="none"/>
                <w:lang w:val="en-US" w:eastAsia="zh-CN" w:bidi="en-US"/>
              </w:rPr>
              <w:t>投料废气、搅拌废气</w:t>
            </w:r>
            <w:r>
              <w:rPr>
                <w:rFonts w:hint="default" w:ascii="Times New Roman" w:hAnsi="Times New Roman" w:eastAsia="宋体" w:cs="Times New Roman"/>
                <w:color w:val="auto"/>
                <w:kern w:val="2"/>
                <w:sz w:val="21"/>
                <w:szCs w:val="21"/>
                <w:lang w:val="en-US" w:eastAsia="zh-CN" w:bidi="ar-SA"/>
              </w:rPr>
              <w:t>未被集气罩收集的</w:t>
            </w:r>
            <w:r>
              <w:rPr>
                <w:rFonts w:hint="default" w:ascii="Times New Roman" w:hAnsi="Times New Roman" w:cs="Times New Roman"/>
                <w:color w:val="auto"/>
                <w:kern w:val="2"/>
                <w:sz w:val="21"/>
                <w:szCs w:val="21"/>
                <w:lang w:val="en-US" w:eastAsia="zh-CN" w:bidi="ar-SA"/>
              </w:rPr>
              <w:t>颗粒物</w:t>
            </w:r>
            <w:r>
              <w:rPr>
                <w:rFonts w:hint="eastAsia" w:ascii="Times New Roman" w:hAnsi="Times New Roman" w:cs="Times New Roman"/>
                <w:color w:val="auto"/>
                <w:kern w:val="2"/>
                <w:sz w:val="21"/>
                <w:szCs w:val="21"/>
                <w:lang w:val="en-US" w:eastAsia="zh-CN" w:bidi="ar-SA"/>
              </w:rPr>
              <w:t>、非甲烷总烃</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sz w:val="21"/>
                <w:szCs w:val="21"/>
                <w:highlight w:val="none"/>
                <w:lang w:eastAsia="zh-CN"/>
              </w:rPr>
              <w:t>本项目采取</w:t>
            </w:r>
            <w:r>
              <w:rPr>
                <w:rFonts w:hint="default" w:ascii="Times New Roman" w:hAnsi="Times New Roman" w:cs="Times New Roman"/>
                <w:color w:val="auto"/>
                <w:sz w:val="21"/>
                <w:szCs w:val="21"/>
                <w:highlight w:val="none"/>
              </w:rPr>
              <w:t>车间密闭</w:t>
            </w:r>
            <w:r>
              <w:rPr>
                <w:rFonts w:hint="default" w:ascii="Times New Roman" w:hAnsi="Times New Roman" w:cs="Times New Roman"/>
                <w:color w:val="auto"/>
                <w:spacing w:val="0"/>
                <w:kern w:val="21"/>
                <w:sz w:val="21"/>
                <w:szCs w:val="21"/>
                <w:highlight w:val="none"/>
                <w:lang w:val="en-US" w:eastAsia="zh-CN"/>
              </w:rPr>
              <w:t>、</w:t>
            </w:r>
            <w:r>
              <w:rPr>
                <w:rFonts w:hint="default" w:ascii="Times New Roman" w:hAnsi="Times New Roman" w:cs="Times New Roman"/>
                <w:color w:val="auto"/>
                <w:sz w:val="21"/>
                <w:szCs w:val="21"/>
                <w:highlight w:val="none"/>
                <w:lang w:eastAsia="zh-CN"/>
              </w:rPr>
              <w:t>泼洒抑尘等</w:t>
            </w:r>
            <w:r>
              <w:rPr>
                <w:rFonts w:hint="default" w:ascii="Times New Roman" w:hAnsi="Times New Roman" w:cs="Times New Roman"/>
                <w:color w:val="auto"/>
                <w:sz w:val="21"/>
                <w:szCs w:val="21"/>
                <w:highlight w:val="none"/>
              </w:rPr>
              <w:t>措施，估算</w:t>
            </w:r>
            <w:r>
              <w:rPr>
                <w:rFonts w:hint="default" w:ascii="Times New Roman" w:hAnsi="Times New Roman" w:cs="Times New Roman"/>
                <w:color w:val="auto"/>
                <w:kern w:val="2"/>
                <w:sz w:val="21"/>
                <w:szCs w:val="21"/>
                <w:lang w:val="en-US" w:eastAsia="zh-CN" w:bidi="ar-SA"/>
              </w:rPr>
              <w:t>未被集气罩收集的</w:t>
            </w:r>
            <w:r>
              <w:rPr>
                <w:rFonts w:hint="eastAsia" w:ascii="Times New Roman" w:hAnsi="Times New Roman" w:cs="Times New Roman"/>
                <w:color w:val="auto"/>
                <w:kern w:val="2"/>
                <w:sz w:val="21"/>
                <w:szCs w:val="21"/>
                <w:lang w:val="en-US" w:eastAsia="zh-CN" w:bidi="ar-SA"/>
              </w:rPr>
              <w:t>废气</w:t>
            </w:r>
            <w:r>
              <w:rPr>
                <w:rFonts w:hint="default" w:ascii="Times New Roman" w:hAnsi="Times New Roman" w:cs="Times New Roman"/>
                <w:color w:val="auto"/>
                <w:kern w:val="2"/>
                <w:sz w:val="21"/>
                <w:szCs w:val="21"/>
                <w:lang w:val="en-US" w:eastAsia="zh-CN" w:bidi="ar-SA"/>
              </w:rPr>
              <w:t>排放情况见下表</w:t>
            </w:r>
            <w:r>
              <w:rPr>
                <w:rFonts w:hint="default" w:ascii="Times New Roman" w:hAnsi="Times New Roman" w:eastAsia="宋体" w:cs="Times New Roman"/>
                <w:b w:val="0"/>
                <w:bCs w:val="0"/>
                <w:color w:val="auto"/>
                <w:kern w:val="2"/>
                <w:sz w:val="21"/>
                <w:szCs w:val="21"/>
                <w:lang w:val="en-US" w:eastAsia="zh-CN" w:bidi="ar-SA"/>
              </w:rPr>
              <w:t>。</w:t>
            </w:r>
          </w:p>
          <w:p w14:paraId="0108A842">
            <w:pPr>
              <w:pStyle w:val="28"/>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cs="Times New Roman"/>
                <w:b/>
                <w:bCs/>
                <w:color w:val="auto"/>
                <w:kern w:val="2"/>
                <w:sz w:val="21"/>
                <w:szCs w:val="21"/>
                <w:lang w:val="en-US" w:eastAsia="zh-CN" w:bidi="ar-SA"/>
              </w:rPr>
              <w:t>6</w:t>
            </w:r>
            <w:r>
              <w:rPr>
                <w:rFonts w:hint="default" w:ascii="Times New Roman" w:hAnsi="Times New Roman" w:eastAsia="宋体" w:cs="Times New Roman"/>
                <w:b/>
                <w:bCs/>
                <w:color w:val="auto"/>
                <w:kern w:val="2"/>
                <w:sz w:val="21"/>
                <w:szCs w:val="21"/>
                <w:lang w:val="en-US" w:eastAsia="zh-CN" w:bidi="ar-SA"/>
              </w:rPr>
              <w:t xml:space="preserve"> 未被集气罩收集废气产排污核算一览表</w:t>
            </w:r>
          </w:p>
          <w:tbl>
            <w:tblPr>
              <w:tblStyle w:val="34"/>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9"/>
              <w:gridCol w:w="1277"/>
              <w:gridCol w:w="1063"/>
              <w:gridCol w:w="624"/>
              <w:gridCol w:w="972"/>
              <w:gridCol w:w="936"/>
              <w:gridCol w:w="1248"/>
              <w:gridCol w:w="900"/>
              <w:gridCol w:w="1015"/>
            </w:tblGrid>
            <w:tr w14:paraId="4F4C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9" w:type="dxa"/>
                  <w:vMerge w:val="restart"/>
                  <w:shd w:val="clear" w:color="auto" w:fill="auto"/>
                  <w:vAlign w:val="center"/>
                </w:tcPr>
                <w:p w14:paraId="0588F6EF">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cs="Times New Roman"/>
                      <w:b/>
                      <w:bCs/>
                      <w:i w:val="0"/>
                      <w:iCs w:val="0"/>
                      <w:color w:val="auto"/>
                      <w:kern w:val="0"/>
                      <w:sz w:val="21"/>
                      <w:szCs w:val="21"/>
                      <w:u w:val="none"/>
                      <w:lang w:val="en-US" w:eastAsia="zh-CN" w:bidi="ar"/>
                    </w:rPr>
                    <w:t>产污节点</w:t>
                  </w:r>
                </w:p>
              </w:tc>
              <w:tc>
                <w:tcPr>
                  <w:tcW w:w="1277" w:type="dxa"/>
                  <w:vMerge w:val="restart"/>
                  <w:shd w:val="clear" w:color="auto" w:fill="auto"/>
                  <w:vAlign w:val="center"/>
                </w:tcPr>
                <w:p w14:paraId="6C0F7B76">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污染物</w:t>
                  </w:r>
                </w:p>
              </w:tc>
              <w:tc>
                <w:tcPr>
                  <w:tcW w:w="1063" w:type="dxa"/>
                  <w:vMerge w:val="restart"/>
                  <w:shd w:val="clear" w:color="auto" w:fill="auto"/>
                  <w:vAlign w:val="center"/>
                </w:tcPr>
                <w:p w14:paraId="57267578">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产生量t/a</w:t>
                  </w:r>
                </w:p>
              </w:tc>
              <w:tc>
                <w:tcPr>
                  <w:tcW w:w="624" w:type="dxa"/>
                  <w:vMerge w:val="restart"/>
                  <w:shd w:val="clear" w:color="auto" w:fill="auto"/>
                  <w:vAlign w:val="center"/>
                </w:tcPr>
                <w:p w14:paraId="682056A0">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收集效率</w:t>
                  </w:r>
                </w:p>
              </w:tc>
              <w:tc>
                <w:tcPr>
                  <w:tcW w:w="972" w:type="dxa"/>
                  <w:vMerge w:val="restart"/>
                  <w:shd w:val="clear" w:color="auto" w:fill="auto"/>
                  <w:vAlign w:val="center"/>
                </w:tcPr>
                <w:p w14:paraId="0AF9DAE8">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未被收集量t/a</w:t>
                  </w:r>
                </w:p>
              </w:tc>
              <w:tc>
                <w:tcPr>
                  <w:tcW w:w="2184" w:type="dxa"/>
                  <w:gridSpan w:val="2"/>
                  <w:shd w:val="clear" w:color="auto" w:fill="auto"/>
                  <w:vAlign w:val="center"/>
                </w:tcPr>
                <w:p w14:paraId="756FA51D">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控制措施</w:t>
                  </w:r>
                </w:p>
              </w:tc>
              <w:tc>
                <w:tcPr>
                  <w:tcW w:w="900" w:type="dxa"/>
                  <w:vMerge w:val="restart"/>
                  <w:shd w:val="clear" w:color="auto" w:fill="auto"/>
                  <w:vAlign w:val="center"/>
                </w:tcPr>
                <w:p w14:paraId="3D87839F">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排放量t/a</w:t>
                  </w:r>
                </w:p>
              </w:tc>
              <w:tc>
                <w:tcPr>
                  <w:tcW w:w="1015" w:type="dxa"/>
                  <w:vMerge w:val="restart"/>
                  <w:shd w:val="clear" w:color="auto" w:fill="auto"/>
                  <w:vAlign w:val="center"/>
                </w:tcPr>
                <w:p w14:paraId="30A138EB">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排放速率kg/h</w:t>
                  </w:r>
                </w:p>
              </w:tc>
            </w:tr>
            <w:tr w14:paraId="5DCE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979" w:type="dxa"/>
                  <w:vMerge w:val="continue"/>
                  <w:shd w:val="clear" w:color="auto" w:fill="auto"/>
                  <w:vAlign w:val="center"/>
                </w:tcPr>
                <w:p w14:paraId="4EB6B111">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277" w:type="dxa"/>
                  <w:vMerge w:val="continue"/>
                  <w:shd w:val="clear" w:color="auto" w:fill="auto"/>
                  <w:vAlign w:val="center"/>
                </w:tcPr>
                <w:p w14:paraId="49BE7677">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063" w:type="dxa"/>
                  <w:vMerge w:val="continue"/>
                  <w:shd w:val="clear" w:color="auto" w:fill="auto"/>
                  <w:vAlign w:val="center"/>
                </w:tcPr>
                <w:p w14:paraId="2B6AFB29">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624" w:type="dxa"/>
                  <w:vMerge w:val="continue"/>
                  <w:shd w:val="clear" w:color="auto" w:fill="auto"/>
                  <w:vAlign w:val="center"/>
                </w:tcPr>
                <w:p w14:paraId="0A2B344A">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72" w:type="dxa"/>
                  <w:vMerge w:val="continue"/>
                  <w:shd w:val="clear" w:color="auto" w:fill="auto"/>
                  <w:vAlign w:val="center"/>
                </w:tcPr>
                <w:p w14:paraId="7BC0A698">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936" w:type="dxa"/>
                  <w:shd w:val="clear" w:color="auto" w:fill="auto"/>
                  <w:vAlign w:val="center"/>
                </w:tcPr>
                <w:p w14:paraId="5CC9D38B">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措施名称</w:t>
                  </w:r>
                </w:p>
              </w:tc>
              <w:tc>
                <w:tcPr>
                  <w:tcW w:w="1248" w:type="dxa"/>
                  <w:shd w:val="clear" w:color="auto" w:fill="auto"/>
                  <w:vAlign w:val="center"/>
                </w:tcPr>
                <w:p w14:paraId="34857AF5">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效率</w:t>
                  </w:r>
                </w:p>
              </w:tc>
              <w:tc>
                <w:tcPr>
                  <w:tcW w:w="900" w:type="dxa"/>
                  <w:vMerge w:val="continue"/>
                  <w:shd w:val="clear" w:color="auto" w:fill="auto"/>
                  <w:vAlign w:val="center"/>
                </w:tcPr>
                <w:p w14:paraId="4BA5481C">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015" w:type="dxa"/>
                  <w:vMerge w:val="continue"/>
                  <w:shd w:val="clear" w:color="auto" w:fill="auto"/>
                  <w:vAlign w:val="center"/>
                </w:tcPr>
                <w:p w14:paraId="14C5C200">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r>
            <w:tr w14:paraId="1751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979" w:type="dxa"/>
                  <w:vMerge w:val="restart"/>
                  <w:shd w:val="clear" w:color="auto" w:fill="auto"/>
                  <w:vAlign w:val="center"/>
                </w:tcPr>
                <w:p w14:paraId="79A7825E">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cs="Times New Roman"/>
                      <w:b w:val="0"/>
                      <w:bCs w:val="0"/>
                      <w:color w:val="auto"/>
                      <w:kern w:val="2"/>
                      <w:sz w:val="21"/>
                      <w:szCs w:val="21"/>
                      <w:highlight w:val="none"/>
                      <w:lang w:val="en-US" w:eastAsia="zh-CN" w:bidi="en-US"/>
                    </w:rPr>
                    <w:t>投料废气、搅拌废气、出料废气</w:t>
                  </w:r>
                </w:p>
              </w:tc>
              <w:tc>
                <w:tcPr>
                  <w:tcW w:w="1277" w:type="dxa"/>
                  <w:shd w:val="clear" w:color="auto" w:fill="auto"/>
                  <w:noWrap/>
                  <w:vAlign w:val="center"/>
                </w:tcPr>
                <w:p w14:paraId="0CE15796">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1063" w:type="dxa"/>
                  <w:shd w:val="clear" w:color="auto" w:fill="auto"/>
                  <w:noWrap/>
                  <w:vAlign w:val="center"/>
                </w:tcPr>
                <w:p w14:paraId="4A05A2BD">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1.02</w:t>
                  </w:r>
                </w:p>
              </w:tc>
              <w:tc>
                <w:tcPr>
                  <w:tcW w:w="624" w:type="dxa"/>
                  <w:shd w:val="clear" w:color="auto" w:fill="auto"/>
                  <w:noWrap/>
                  <w:vAlign w:val="center"/>
                </w:tcPr>
                <w:p w14:paraId="23F6C374">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90%</w:t>
                  </w:r>
                </w:p>
              </w:tc>
              <w:tc>
                <w:tcPr>
                  <w:tcW w:w="972" w:type="dxa"/>
                  <w:shd w:val="clear" w:color="auto" w:fill="auto"/>
                  <w:noWrap/>
                  <w:vAlign w:val="center"/>
                </w:tcPr>
                <w:p w14:paraId="4E8B11D1">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1020</w:t>
                  </w:r>
                </w:p>
              </w:tc>
              <w:tc>
                <w:tcPr>
                  <w:tcW w:w="936" w:type="dxa"/>
                  <w:vMerge w:val="restart"/>
                  <w:shd w:val="clear" w:color="auto" w:fill="auto"/>
                  <w:vAlign w:val="center"/>
                </w:tcPr>
                <w:p w14:paraId="1E6CCB98">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highlight w:val="none"/>
                    </w:rPr>
                    <w:t>车间密闭</w:t>
                  </w:r>
                  <w:r>
                    <w:rPr>
                      <w:rFonts w:hint="default" w:ascii="Times New Roman" w:hAnsi="Times New Roman" w:cs="Times New Roman"/>
                      <w:color w:val="auto"/>
                      <w:spacing w:val="0"/>
                      <w:kern w:val="21"/>
                      <w:sz w:val="21"/>
                      <w:szCs w:val="21"/>
                      <w:highlight w:val="none"/>
                      <w:lang w:val="en-US" w:eastAsia="zh-CN"/>
                    </w:rPr>
                    <w:t>、</w:t>
                  </w:r>
                  <w:r>
                    <w:rPr>
                      <w:rFonts w:hint="default" w:ascii="Times New Roman" w:hAnsi="Times New Roman" w:cs="Times New Roman"/>
                      <w:color w:val="auto"/>
                      <w:sz w:val="21"/>
                      <w:szCs w:val="21"/>
                      <w:highlight w:val="none"/>
                      <w:lang w:eastAsia="zh-CN"/>
                    </w:rPr>
                    <w:t>泼洒抑尘等</w:t>
                  </w:r>
                </w:p>
              </w:tc>
              <w:tc>
                <w:tcPr>
                  <w:tcW w:w="1248" w:type="dxa"/>
                  <w:shd w:val="clear" w:color="auto" w:fill="auto"/>
                  <w:noWrap/>
                  <w:vAlign w:val="center"/>
                </w:tcPr>
                <w:p w14:paraId="369D8CE9">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w:t>
                  </w:r>
                </w:p>
              </w:tc>
              <w:tc>
                <w:tcPr>
                  <w:tcW w:w="900" w:type="dxa"/>
                  <w:shd w:val="clear" w:color="auto" w:fill="auto"/>
                  <w:noWrap/>
                  <w:vAlign w:val="center"/>
                </w:tcPr>
                <w:p w14:paraId="35C11514">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408</w:t>
                  </w:r>
                </w:p>
              </w:tc>
              <w:tc>
                <w:tcPr>
                  <w:tcW w:w="1015" w:type="dxa"/>
                  <w:shd w:val="clear" w:color="auto" w:fill="auto"/>
                  <w:noWrap/>
                  <w:vAlign w:val="center"/>
                </w:tcPr>
                <w:p w14:paraId="2EACF6A8">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170</w:t>
                  </w:r>
                </w:p>
              </w:tc>
            </w:tr>
            <w:tr w14:paraId="31FA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79" w:type="dxa"/>
                  <w:vMerge w:val="continue"/>
                  <w:shd w:val="clear" w:color="auto" w:fill="auto"/>
                  <w:vAlign w:val="center"/>
                </w:tcPr>
                <w:p w14:paraId="2D13BF07">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p>
              </w:tc>
              <w:tc>
                <w:tcPr>
                  <w:tcW w:w="1277" w:type="dxa"/>
                  <w:shd w:val="clear" w:color="auto" w:fill="auto"/>
                  <w:noWrap/>
                  <w:vAlign w:val="center"/>
                </w:tcPr>
                <w:p w14:paraId="56A737EF">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1063" w:type="dxa"/>
                  <w:shd w:val="clear" w:color="auto" w:fill="auto"/>
                  <w:noWrap/>
                  <w:vAlign w:val="center"/>
                </w:tcPr>
                <w:p w14:paraId="4395A551">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0.86</w:t>
                  </w:r>
                </w:p>
              </w:tc>
              <w:tc>
                <w:tcPr>
                  <w:tcW w:w="624" w:type="dxa"/>
                  <w:shd w:val="clear" w:color="auto" w:fill="auto"/>
                  <w:noWrap/>
                  <w:vAlign w:val="center"/>
                </w:tcPr>
                <w:p w14:paraId="53F5D522">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90%</w:t>
                  </w:r>
                </w:p>
              </w:tc>
              <w:tc>
                <w:tcPr>
                  <w:tcW w:w="972" w:type="dxa"/>
                  <w:shd w:val="clear" w:color="auto" w:fill="auto"/>
                  <w:noWrap/>
                  <w:vAlign w:val="center"/>
                </w:tcPr>
                <w:p w14:paraId="01A2AC72">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860</w:t>
                  </w:r>
                </w:p>
              </w:tc>
              <w:tc>
                <w:tcPr>
                  <w:tcW w:w="936" w:type="dxa"/>
                  <w:vMerge w:val="continue"/>
                  <w:shd w:val="clear" w:color="auto" w:fill="auto"/>
                  <w:vAlign w:val="center"/>
                </w:tcPr>
                <w:p w14:paraId="6F317659">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248" w:type="dxa"/>
                  <w:shd w:val="clear" w:color="auto" w:fill="auto"/>
                  <w:noWrap/>
                  <w:vAlign w:val="center"/>
                </w:tcPr>
                <w:p w14:paraId="3D4AC560">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w:t>
                  </w:r>
                </w:p>
              </w:tc>
              <w:tc>
                <w:tcPr>
                  <w:tcW w:w="900" w:type="dxa"/>
                  <w:shd w:val="clear" w:color="auto" w:fill="auto"/>
                  <w:noWrap/>
                  <w:vAlign w:val="center"/>
                </w:tcPr>
                <w:p w14:paraId="4CCCC805">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860</w:t>
                  </w:r>
                  <w:r>
                    <w:rPr>
                      <w:rFonts w:hint="eastAsia" w:ascii="Times New Roman" w:hAnsi="Times New Roman" w:eastAsia="宋体" w:cs="Times New Roman"/>
                      <w:i w:val="0"/>
                      <w:iCs w:val="0"/>
                      <w:color w:val="auto"/>
                      <w:kern w:val="0"/>
                      <w:sz w:val="21"/>
                      <w:szCs w:val="21"/>
                      <w:u w:val="none"/>
                      <w:lang w:val="en-US" w:eastAsia="zh-CN" w:bidi="ar"/>
                    </w:rPr>
                    <w:t xml:space="preserve"> </w:t>
                  </w:r>
                </w:p>
              </w:tc>
              <w:tc>
                <w:tcPr>
                  <w:tcW w:w="1015" w:type="dxa"/>
                  <w:shd w:val="clear" w:color="auto" w:fill="auto"/>
                  <w:noWrap/>
                  <w:vAlign w:val="center"/>
                </w:tcPr>
                <w:p w14:paraId="745DA7D6">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358</w:t>
                  </w:r>
                  <w:r>
                    <w:rPr>
                      <w:rFonts w:hint="eastAsia" w:ascii="Times New Roman" w:hAnsi="Times New Roman" w:eastAsia="宋体" w:cs="Times New Roman"/>
                      <w:i w:val="0"/>
                      <w:iCs w:val="0"/>
                      <w:color w:val="auto"/>
                      <w:kern w:val="0"/>
                      <w:sz w:val="21"/>
                      <w:szCs w:val="21"/>
                      <w:u w:val="none"/>
                      <w:lang w:val="en-US" w:eastAsia="zh-CN" w:bidi="ar"/>
                    </w:rPr>
                    <w:t xml:space="preserve"> </w:t>
                  </w:r>
                </w:p>
              </w:tc>
            </w:tr>
            <w:tr w14:paraId="56AF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1" w:type="dxa"/>
                  <w:gridSpan w:val="6"/>
                  <w:vMerge w:val="restart"/>
                  <w:shd w:val="clear" w:color="auto" w:fill="auto"/>
                  <w:noWrap/>
                  <w:vAlign w:val="center"/>
                </w:tcPr>
                <w:p w14:paraId="011002F5">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248" w:type="dxa"/>
                  <w:shd w:val="clear" w:color="auto" w:fill="auto"/>
                  <w:noWrap/>
                  <w:vAlign w:val="center"/>
                </w:tcPr>
                <w:p w14:paraId="1FCA4B86">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900" w:type="dxa"/>
                  <w:shd w:val="clear" w:color="auto" w:fill="auto"/>
                  <w:noWrap/>
                  <w:vAlign w:val="center"/>
                </w:tcPr>
                <w:p w14:paraId="6A9A7571">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408</w:t>
                  </w:r>
                </w:p>
              </w:tc>
              <w:tc>
                <w:tcPr>
                  <w:tcW w:w="1015" w:type="dxa"/>
                  <w:shd w:val="clear" w:color="auto" w:fill="auto"/>
                  <w:noWrap/>
                  <w:vAlign w:val="center"/>
                </w:tcPr>
                <w:p w14:paraId="1D30B0A0">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170</w:t>
                  </w:r>
                </w:p>
              </w:tc>
            </w:tr>
            <w:tr w14:paraId="22B8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851" w:type="dxa"/>
                  <w:gridSpan w:val="6"/>
                  <w:vMerge w:val="continue"/>
                  <w:shd w:val="clear" w:color="auto" w:fill="auto"/>
                  <w:noWrap/>
                  <w:vAlign w:val="center"/>
                </w:tcPr>
                <w:p w14:paraId="0B9427A3">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248" w:type="dxa"/>
                  <w:shd w:val="clear" w:color="auto" w:fill="auto"/>
                  <w:noWrap/>
                  <w:vAlign w:val="center"/>
                </w:tcPr>
                <w:p w14:paraId="0F8A935E">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900" w:type="dxa"/>
                  <w:shd w:val="clear" w:color="auto" w:fill="auto"/>
                  <w:noWrap/>
                  <w:vAlign w:val="center"/>
                </w:tcPr>
                <w:p w14:paraId="437FE1AE">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860</w:t>
                  </w:r>
                  <w:r>
                    <w:rPr>
                      <w:rFonts w:hint="eastAsia" w:ascii="Times New Roman" w:hAnsi="Times New Roman" w:eastAsia="宋体" w:cs="Times New Roman"/>
                      <w:i w:val="0"/>
                      <w:iCs w:val="0"/>
                      <w:color w:val="auto"/>
                      <w:kern w:val="0"/>
                      <w:sz w:val="21"/>
                      <w:szCs w:val="21"/>
                      <w:u w:val="none"/>
                      <w:lang w:val="en-US" w:eastAsia="zh-CN" w:bidi="ar"/>
                    </w:rPr>
                    <w:t xml:space="preserve"> </w:t>
                  </w:r>
                </w:p>
              </w:tc>
              <w:tc>
                <w:tcPr>
                  <w:tcW w:w="1015" w:type="dxa"/>
                  <w:shd w:val="clear" w:color="auto" w:fill="auto"/>
                  <w:noWrap/>
                  <w:vAlign w:val="center"/>
                </w:tcPr>
                <w:p w14:paraId="0D3B2700">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358</w:t>
                  </w:r>
                  <w:r>
                    <w:rPr>
                      <w:rFonts w:hint="eastAsia" w:ascii="Times New Roman" w:hAnsi="Times New Roman" w:eastAsia="宋体" w:cs="Times New Roman"/>
                      <w:i w:val="0"/>
                      <w:iCs w:val="0"/>
                      <w:color w:val="auto"/>
                      <w:kern w:val="0"/>
                      <w:sz w:val="21"/>
                      <w:szCs w:val="21"/>
                      <w:u w:val="none"/>
                      <w:lang w:val="en-US" w:eastAsia="zh-CN" w:bidi="ar"/>
                    </w:rPr>
                    <w:t xml:space="preserve"> </w:t>
                  </w:r>
                </w:p>
              </w:tc>
            </w:tr>
          </w:tbl>
          <w:p w14:paraId="06FA77E6">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110" w:rightChars="50" w:firstLine="480"/>
              <w:jc w:val="both"/>
              <w:textAlignment w:val="auto"/>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②</w:t>
            </w:r>
            <w:r>
              <w:rPr>
                <w:rFonts w:hint="eastAsia" w:ascii="Times New Roman" w:hAnsi="Times New Roman" w:cs="Times New Roman"/>
                <w:b/>
                <w:bCs/>
                <w:color w:val="auto"/>
                <w:kern w:val="2"/>
                <w:sz w:val="21"/>
                <w:szCs w:val="21"/>
                <w:lang w:val="en-US" w:eastAsia="zh-CN" w:bidi="ar-SA"/>
              </w:rPr>
              <w:t>转印废气</w:t>
            </w:r>
          </w:p>
          <w:p w14:paraId="77421E5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转印工序中会使用油墨</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 xml:space="preserve">根据企业提供的资料，本项目年消耗油墨 </w:t>
            </w:r>
            <w:r>
              <w:rPr>
                <w:rFonts w:hint="eastAsia" w:ascii="Times New Roman" w:hAnsi="Times New Roman" w:cs="Times New Roman"/>
                <w:b w:val="0"/>
                <w:bCs w:val="0"/>
                <w:color w:val="auto"/>
                <w:sz w:val="21"/>
                <w:szCs w:val="21"/>
                <w:lang w:val="en-US" w:eastAsia="zh-CN"/>
              </w:rPr>
              <w:t>20</w:t>
            </w:r>
            <w:r>
              <w:rPr>
                <w:rFonts w:hint="default" w:ascii="Times New Roman" w:hAnsi="Times New Roman" w:cs="Times New Roman"/>
                <w:b w:val="0"/>
                <w:bCs w:val="0"/>
                <w:color w:val="auto"/>
                <w:sz w:val="21"/>
                <w:szCs w:val="21"/>
                <w:lang w:val="en-US" w:eastAsia="zh-CN"/>
              </w:rPr>
              <w:t xml:space="preserve"> 瓶，每瓶重约 0.5kg，故年消耗油墨 0.0</w:t>
            </w:r>
            <w:r>
              <w:rPr>
                <w:rFonts w:hint="eastAsia" w:ascii="Times New Roman" w:hAnsi="Times New Roman" w:cs="Times New Roman"/>
                <w:b w:val="0"/>
                <w:bCs w:val="0"/>
                <w:color w:val="auto"/>
                <w:sz w:val="21"/>
                <w:szCs w:val="21"/>
                <w:lang w:val="en-US" w:eastAsia="zh-CN"/>
              </w:rPr>
              <w:t>1</w:t>
            </w:r>
            <w:r>
              <w:rPr>
                <w:rFonts w:hint="default" w:ascii="Times New Roman" w:hAnsi="Times New Roman" w:cs="Times New Roman"/>
                <w:b w:val="0"/>
                <w:bCs w:val="0"/>
                <w:color w:val="auto"/>
                <w:sz w:val="21"/>
                <w:szCs w:val="21"/>
                <w:lang w:val="en-US" w:eastAsia="zh-CN"/>
              </w:rPr>
              <w:t>t/a，类比同类项目使用的油墨主要成分为 2-丁酮 75%、染料 11%、乙醇 10%、保护剂 2.5%、导电剂 1.5%。本项目油墨的非甲烷总烃挥发量按89%计，则非甲烷总烃产生量为0.00</w:t>
            </w:r>
            <w:r>
              <w:rPr>
                <w:rFonts w:hint="eastAsia" w:ascii="Times New Roman" w:hAnsi="Times New Roman" w:cs="Times New Roman"/>
                <w:b w:val="0"/>
                <w:bCs w:val="0"/>
                <w:color w:val="auto"/>
                <w:sz w:val="21"/>
                <w:szCs w:val="21"/>
                <w:lang w:val="en-US" w:eastAsia="zh-CN"/>
              </w:rPr>
              <w:t>89</w:t>
            </w:r>
            <w:r>
              <w:rPr>
                <w:rFonts w:hint="default" w:ascii="Times New Roman" w:hAnsi="Times New Roman" w:cs="Times New Roman"/>
                <w:b w:val="0"/>
                <w:bCs w:val="0"/>
                <w:color w:val="auto"/>
                <w:sz w:val="21"/>
                <w:szCs w:val="21"/>
                <w:lang w:val="en-US" w:eastAsia="zh-CN"/>
              </w:rPr>
              <w:t>t/a。因产生量较少，则进行无组织排放，排放量为0.00</w:t>
            </w:r>
            <w:r>
              <w:rPr>
                <w:rFonts w:hint="eastAsia" w:ascii="Times New Roman" w:hAnsi="Times New Roman" w:cs="Times New Roman"/>
                <w:b w:val="0"/>
                <w:bCs w:val="0"/>
                <w:color w:val="auto"/>
                <w:sz w:val="21"/>
                <w:szCs w:val="21"/>
                <w:lang w:val="en-US" w:eastAsia="zh-CN"/>
              </w:rPr>
              <w:t>89</w:t>
            </w:r>
            <w:r>
              <w:rPr>
                <w:rFonts w:hint="default" w:ascii="Times New Roman" w:hAnsi="Times New Roman" w:cs="Times New Roman"/>
                <w:b w:val="0"/>
                <w:bCs w:val="0"/>
                <w:color w:val="auto"/>
                <w:sz w:val="21"/>
                <w:szCs w:val="21"/>
                <w:lang w:val="en-US" w:eastAsia="zh-CN"/>
              </w:rPr>
              <w:t>t/a。</w:t>
            </w:r>
          </w:p>
          <w:p w14:paraId="234A645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cs="Times New Roman"/>
                <w:b/>
                <w:bCs/>
                <w:color w:val="auto"/>
                <w:sz w:val="21"/>
                <w:szCs w:val="21"/>
                <w:lang w:val="en-US" w:eastAsia="zh-CN"/>
              </w:rPr>
              <w:t>治理措施：</w:t>
            </w:r>
            <w:r>
              <w:rPr>
                <w:rFonts w:hint="default" w:ascii="Times New Roman" w:hAnsi="Times New Roman" w:cs="Times New Roman"/>
                <w:b w:val="0"/>
                <w:bCs w:val="0"/>
                <w:color w:val="auto"/>
                <w:sz w:val="21"/>
                <w:szCs w:val="21"/>
                <w:lang w:val="en-US" w:eastAsia="zh-CN"/>
              </w:rPr>
              <w:t>根据上表可知，本项目无组织排放量较少，采取厂房密闭、泼洒抑尘的措施后，</w:t>
            </w:r>
            <w:r>
              <w:rPr>
                <w:rFonts w:hint="eastAsia" w:ascii="Times New Roman" w:hAnsi="Times New Roman" w:eastAsia="宋体" w:cs="Times New Roman"/>
                <w:b w:val="0"/>
                <w:bCs/>
                <w:color w:val="auto"/>
                <w:sz w:val="21"/>
                <w:szCs w:val="21"/>
                <w:highlight w:val="none"/>
                <w:lang w:eastAsia="zh-CN"/>
              </w:rPr>
              <w:t>厂界</w:t>
            </w:r>
            <w:r>
              <w:rPr>
                <w:rFonts w:hint="default" w:ascii="Times New Roman" w:hAnsi="Times New Roman" w:eastAsia="宋体" w:cs="Times New Roman"/>
                <w:b w:val="0"/>
                <w:bCs/>
                <w:color w:val="auto"/>
                <w:sz w:val="21"/>
                <w:szCs w:val="21"/>
                <w:highlight w:val="none"/>
                <w:lang w:eastAsia="zh-CN"/>
              </w:rPr>
              <w:t>无组织非甲烷总烃</w:t>
            </w:r>
            <w:r>
              <w:rPr>
                <w:rFonts w:hint="eastAsia" w:ascii="Times New Roman" w:hAnsi="Times New Roman" w:eastAsia="宋体" w:cs="Times New Roman"/>
                <w:b w:val="0"/>
                <w:bCs/>
                <w:color w:val="auto"/>
                <w:sz w:val="21"/>
                <w:szCs w:val="21"/>
                <w:highlight w:val="none"/>
                <w:lang w:eastAsia="zh-CN"/>
              </w:rPr>
              <w:t>满足</w:t>
            </w:r>
            <w:r>
              <w:rPr>
                <w:rFonts w:hint="default" w:ascii="Times New Roman" w:hAnsi="Times New Roman" w:eastAsia="宋体" w:cs="Times New Roman"/>
                <w:b w:val="0"/>
                <w:bCs/>
                <w:color w:val="auto"/>
                <w:sz w:val="21"/>
                <w:szCs w:val="21"/>
                <w:highlight w:val="none"/>
                <w:lang w:eastAsia="zh-CN"/>
              </w:rPr>
              <w:t>《工业企业挥发性有机物排放控制标准》(DB13/2322-2016)表2企业边界大气污染物浓度限值，即厂界非甲烷总烃≤2.0mg/m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lang w:eastAsia="zh-CN"/>
              </w:rPr>
              <w:t>；</w:t>
            </w:r>
          </w:p>
          <w:p w14:paraId="7399A48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val="0"/>
                <w:bCs/>
                <w:color w:val="auto"/>
                <w:sz w:val="21"/>
                <w:szCs w:val="21"/>
                <w:highlight w:val="none"/>
                <w:lang w:eastAsia="zh-CN"/>
              </w:rPr>
              <w:t>厂界</w:t>
            </w:r>
            <w:r>
              <w:rPr>
                <w:rFonts w:hint="default" w:ascii="Times New Roman" w:hAnsi="Times New Roman" w:eastAsia="宋体" w:cs="Times New Roman"/>
                <w:b w:val="0"/>
                <w:bCs/>
                <w:color w:val="auto"/>
                <w:sz w:val="21"/>
                <w:szCs w:val="21"/>
                <w:highlight w:val="none"/>
                <w:lang w:eastAsia="zh-CN"/>
              </w:rPr>
              <w:t>无组织颗粒物</w:t>
            </w:r>
            <w:r>
              <w:rPr>
                <w:rFonts w:hint="eastAsia" w:ascii="Times New Roman" w:hAnsi="Times New Roman" w:eastAsia="宋体" w:cs="Times New Roman"/>
                <w:b w:val="0"/>
                <w:bCs/>
                <w:color w:val="auto"/>
                <w:sz w:val="21"/>
                <w:szCs w:val="21"/>
                <w:highlight w:val="none"/>
                <w:lang w:eastAsia="zh-CN"/>
              </w:rPr>
              <w:t>满足</w:t>
            </w:r>
            <w:r>
              <w:rPr>
                <w:rFonts w:hint="default" w:ascii="Times New Roman" w:hAnsi="Times New Roman" w:eastAsia="宋体" w:cs="Times New Roman"/>
                <w:b w:val="0"/>
                <w:bCs/>
                <w:color w:val="auto"/>
                <w:sz w:val="21"/>
                <w:szCs w:val="21"/>
                <w:highlight w:val="none"/>
                <w:lang w:eastAsia="zh-CN"/>
              </w:rPr>
              <w:t>《大气污染物综合排放标准》(GB12697-1996)表2无组织排放监控浓度限值要求，即：厂界颗粒物≤1mg/m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lang w:eastAsia="zh-CN"/>
              </w:rPr>
              <w:t>（肉眼不可见）。</w:t>
            </w:r>
          </w:p>
          <w:p w14:paraId="0C4FB96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厂区内非甲烷总烃</w:t>
            </w:r>
            <w:r>
              <w:rPr>
                <w:rFonts w:hint="eastAsia" w:ascii="Times New Roman" w:hAnsi="Times New Roman" w:eastAsia="宋体" w:cs="Times New Roman"/>
                <w:b w:val="0"/>
                <w:bCs/>
                <w:color w:val="auto"/>
                <w:sz w:val="21"/>
                <w:szCs w:val="21"/>
                <w:highlight w:val="none"/>
                <w:lang w:eastAsia="zh-CN"/>
              </w:rPr>
              <w:t>满足</w:t>
            </w:r>
            <w:r>
              <w:rPr>
                <w:rFonts w:hint="default" w:ascii="Times New Roman" w:hAnsi="Times New Roman" w:eastAsia="宋体" w:cs="Times New Roman"/>
                <w:b w:val="0"/>
                <w:bCs/>
                <w:color w:val="auto"/>
                <w:sz w:val="21"/>
                <w:szCs w:val="21"/>
                <w:highlight w:val="none"/>
                <w:lang w:eastAsia="zh-CN"/>
              </w:rPr>
              <w:t>《挥发性有机物无组织排放控制标准（GB 37822—2019）》</w:t>
            </w:r>
            <w:r>
              <w:rPr>
                <w:rFonts w:hint="eastAsia" w:ascii="Times New Roman" w:hAnsi="Times New Roman" w:cs="Times New Roman"/>
                <w:b w:val="0"/>
                <w:bCs/>
                <w:color w:val="auto"/>
                <w:sz w:val="21"/>
                <w:szCs w:val="21"/>
                <w:highlight w:val="none"/>
                <w:lang w:val="en-US" w:eastAsia="zh-CN"/>
              </w:rPr>
              <w:t>表A.1以及</w:t>
            </w:r>
            <w:r>
              <w:rPr>
                <w:rFonts w:hint="default" w:ascii="Times New Roman" w:hAnsi="Times New Roman" w:eastAsia="宋体" w:cs="Times New Roman"/>
                <w:b w:val="0"/>
                <w:bCs/>
                <w:color w:val="auto"/>
                <w:sz w:val="21"/>
                <w:szCs w:val="21"/>
                <w:highlight w:val="none"/>
                <w:lang w:eastAsia="zh-CN"/>
              </w:rPr>
              <w:t>《涂料、油墨及胶粘剂工业大气污染物排放标准》（GB 37824</w:t>
            </w:r>
            <w:r>
              <w:rPr>
                <w:rFonts w:hint="eastAsia"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lang w:eastAsia="zh-CN"/>
              </w:rPr>
              <w:t>2019）表 B.1 厂区内 VOCs 无组织</w:t>
            </w:r>
            <w:r>
              <w:rPr>
                <w:rFonts w:hint="eastAsia" w:ascii="Times New Roman" w:hAnsi="Times New Roman" w:eastAsia="宋体" w:cs="Times New Roman"/>
                <w:b w:val="0"/>
                <w:bCs/>
                <w:color w:val="auto"/>
                <w:sz w:val="21"/>
                <w:szCs w:val="21"/>
                <w:highlight w:val="none"/>
                <w:lang w:eastAsia="zh-CN"/>
              </w:rPr>
              <w:t>特别</w:t>
            </w:r>
            <w:r>
              <w:rPr>
                <w:rFonts w:hint="default" w:ascii="Times New Roman" w:hAnsi="Times New Roman" w:eastAsia="宋体" w:cs="Times New Roman"/>
                <w:b w:val="0"/>
                <w:bCs/>
                <w:color w:val="auto"/>
                <w:sz w:val="21"/>
                <w:szCs w:val="21"/>
                <w:highlight w:val="none"/>
                <w:lang w:eastAsia="zh-CN"/>
              </w:rPr>
              <w:t>排放限值，即厂区内监控点处1h平均浓度值≤6mg/m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lang w:eastAsia="zh-CN"/>
              </w:rPr>
              <w:t>、监控点处任意一次浓度值≤20mg/m</w:t>
            </w:r>
            <w:r>
              <w:rPr>
                <w:rFonts w:hint="default" w:ascii="Times New Roman" w:hAnsi="Times New Roman" w:eastAsia="宋体" w:cs="Times New Roman"/>
                <w:b w:val="0"/>
                <w:bCs/>
                <w:color w:val="auto"/>
                <w:sz w:val="21"/>
                <w:szCs w:val="21"/>
                <w:highlight w:val="none"/>
                <w:vertAlign w:val="superscript"/>
                <w:lang w:eastAsia="zh-CN"/>
              </w:rPr>
              <w:t>3</w:t>
            </w:r>
            <w:r>
              <w:rPr>
                <w:rFonts w:hint="default" w:ascii="Times New Roman" w:hAnsi="Times New Roman" w:eastAsia="宋体" w:cs="Times New Roman"/>
                <w:b w:val="0"/>
                <w:bCs/>
                <w:color w:val="auto"/>
                <w:sz w:val="21"/>
                <w:szCs w:val="21"/>
                <w:highlight w:val="none"/>
                <w:lang w:eastAsia="zh-CN"/>
              </w:rPr>
              <w:t>。</w:t>
            </w:r>
          </w:p>
          <w:p w14:paraId="4549D71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6"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3、自行监测要求</w:t>
            </w:r>
          </w:p>
          <w:p w14:paraId="0E597C3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eastAsia" w:ascii="Times New Roman" w:hAnsi="Times New Roman" w:cs="Times New Roman"/>
                <w:color w:val="auto"/>
                <w:sz w:val="21"/>
                <w:szCs w:val="21"/>
                <w:lang w:val="en-US" w:eastAsia="zh-CN" w:bidi="ar-SA"/>
              </w:rPr>
              <w:t>、</w:t>
            </w:r>
            <w:r>
              <w:rPr>
                <w:rFonts w:hint="default" w:ascii="Times New Roman" w:hAnsi="Times New Roman" w:cs="Times New Roman"/>
                <w:color w:val="auto"/>
                <w:sz w:val="21"/>
                <w:szCs w:val="21"/>
                <w:lang w:val="en-US" w:eastAsia="zh-CN"/>
              </w:rPr>
              <w:t>《排污许可证申请与核发技术规范</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涂料、油墨、颜料及类似产品制造业》（HJ 1116—2020）</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14:paraId="3E5BE7FB">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p>
          <w:p w14:paraId="5416964D">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sz w:val="21"/>
                <w:szCs w:val="21"/>
                <w:lang w:val="en-US" w:eastAsia="en-US" w:bidi="ar-SA"/>
              </w:rPr>
            </w:pPr>
          </w:p>
          <w:p w14:paraId="4660CEDE">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sz w:val="21"/>
                <w:szCs w:val="21"/>
                <w:lang w:val="en-US" w:eastAsia="en-US" w:bidi="ar-SA"/>
              </w:rPr>
            </w:pPr>
          </w:p>
          <w:p w14:paraId="229E61BF">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w:t>
            </w:r>
            <w:r>
              <w:rPr>
                <w:rFonts w:hint="eastAsia" w:ascii="Times New Roman" w:hAnsi="Times New Roman" w:cs="Times New Roman"/>
                <w:b/>
                <w:bCs/>
                <w:color w:val="auto"/>
                <w:spacing w:val="0"/>
                <w:sz w:val="21"/>
                <w:szCs w:val="21"/>
                <w:lang w:val="en-US" w:eastAsia="zh-CN" w:bidi="ar-SA"/>
              </w:rPr>
              <w:t xml:space="preserve">7 </w:t>
            </w:r>
            <w:r>
              <w:rPr>
                <w:rFonts w:hint="default" w:ascii="Times New Roman" w:hAnsi="Times New Roman" w:eastAsia="宋体" w:cs="Times New Roman"/>
                <w:b/>
                <w:bCs/>
                <w:color w:val="auto"/>
                <w:spacing w:val="0"/>
                <w:sz w:val="21"/>
                <w:szCs w:val="21"/>
                <w:lang w:val="en-US" w:eastAsia="zh-CN" w:bidi="ar-SA"/>
              </w:rPr>
              <w:t>废气</w:t>
            </w:r>
            <w:r>
              <w:rPr>
                <w:rFonts w:hint="default" w:ascii="Times New Roman" w:hAnsi="Times New Roman" w:eastAsia="宋体" w:cs="Times New Roman"/>
                <w:b/>
                <w:bCs/>
                <w:color w:val="auto"/>
                <w:sz w:val="21"/>
                <w:szCs w:val="21"/>
                <w:lang w:val="en-US" w:eastAsia="en-US" w:bidi="ar-SA"/>
              </w:rPr>
              <w:t>监测计划一览表</w:t>
            </w:r>
          </w:p>
          <w:tbl>
            <w:tblPr>
              <w:tblStyle w:val="34"/>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2737"/>
              <w:gridCol w:w="2033"/>
              <w:gridCol w:w="2021"/>
              <w:gridCol w:w="1543"/>
            </w:tblGrid>
            <w:tr w14:paraId="5827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06" w:type="dxa"/>
                  <w:noWrap w:val="0"/>
                  <w:vAlign w:val="center"/>
                </w:tcPr>
                <w:p w14:paraId="2DE2768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类型</w:t>
                  </w:r>
                </w:p>
              </w:tc>
              <w:tc>
                <w:tcPr>
                  <w:tcW w:w="2737" w:type="dxa"/>
                  <w:noWrap w:val="0"/>
                  <w:vAlign w:val="center"/>
                </w:tcPr>
                <w:p w14:paraId="6C37573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项目</w:t>
                  </w:r>
                </w:p>
              </w:tc>
              <w:tc>
                <w:tcPr>
                  <w:tcW w:w="2033" w:type="dxa"/>
                  <w:noWrap w:val="0"/>
                  <w:vAlign w:val="center"/>
                </w:tcPr>
                <w:p w14:paraId="2CA761A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监测因子</w:t>
                  </w:r>
                </w:p>
              </w:tc>
              <w:tc>
                <w:tcPr>
                  <w:tcW w:w="2021" w:type="dxa"/>
                  <w:noWrap w:val="0"/>
                  <w:vAlign w:val="center"/>
                </w:tcPr>
                <w:p w14:paraId="143B373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取样位置</w:t>
                  </w:r>
                </w:p>
              </w:tc>
              <w:tc>
                <w:tcPr>
                  <w:tcW w:w="1543" w:type="dxa"/>
                  <w:noWrap w:val="0"/>
                  <w:vAlign w:val="center"/>
                </w:tcPr>
                <w:p w14:paraId="7458502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监测频次</w:t>
                  </w:r>
                </w:p>
              </w:tc>
            </w:tr>
            <w:tr w14:paraId="571D1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06" w:type="dxa"/>
                  <w:vMerge w:val="restart"/>
                  <w:noWrap w:val="0"/>
                  <w:vAlign w:val="center"/>
                </w:tcPr>
                <w:p w14:paraId="2BB0A8F3">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废气</w:t>
                  </w:r>
                </w:p>
              </w:tc>
              <w:tc>
                <w:tcPr>
                  <w:tcW w:w="2737" w:type="dxa"/>
                  <w:noWrap w:val="0"/>
                  <w:vAlign w:val="center"/>
                </w:tcPr>
                <w:p w14:paraId="7FEC1E64">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en-US" w:bidi="ar-SA"/>
                    </w:rPr>
                  </w:pPr>
                  <w:r>
                    <w:rPr>
                      <w:rFonts w:hint="eastAsia" w:ascii="Times New Roman" w:hAnsi="Times New Roman" w:cs="Times New Roman"/>
                      <w:color w:val="auto"/>
                      <w:sz w:val="21"/>
                      <w:szCs w:val="21"/>
                      <w:lang w:eastAsia="zh-CN"/>
                    </w:rPr>
                    <w:t>美缝剂生产线废气排放口</w:t>
                  </w:r>
                  <w:r>
                    <w:rPr>
                      <w:rFonts w:hint="default" w:ascii="Times New Roman" w:hAnsi="Times New Roman" w:eastAsia="宋体" w:cs="Times New Roman"/>
                      <w:color w:val="auto"/>
                      <w:sz w:val="21"/>
                      <w:szCs w:val="21"/>
                      <w:lang w:eastAsia="zh-CN"/>
                    </w:rPr>
                    <w:t>（DA001）</w:t>
                  </w:r>
                </w:p>
              </w:tc>
              <w:tc>
                <w:tcPr>
                  <w:tcW w:w="2033" w:type="dxa"/>
                  <w:noWrap w:val="0"/>
                  <w:vAlign w:val="center"/>
                </w:tcPr>
                <w:p w14:paraId="01C5E5A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颗粒物</w:t>
                  </w:r>
                  <w:r>
                    <w:rPr>
                      <w:rFonts w:hint="default" w:ascii="Times New Roman" w:hAnsi="Times New Roman"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zh-CN" w:eastAsia="zh-CN" w:bidi="zh-CN"/>
                    </w:rPr>
                    <w:t>非甲烷总烃</w:t>
                  </w:r>
                </w:p>
              </w:tc>
              <w:tc>
                <w:tcPr>
                  <w:tcW w:w="2021" w:type="dxa"/>
                  <w:noWrap w:val="0"/>
                  <w:vAlign w:val="center"/>
                </w:tcPr>
                <w:p w14:paraId="4AC74D5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排气筒出口</w:t>
                  </w:r>
                </w:p>
              </w:tc>
              <w:tc>
                <w:tcPr>
                  <w:tcW w:w="1543" w:type="dxa"/>
                  <w:tcBorders>
                    <w:top w:val="nil"/>
                  </w:tcBorders>
                  <w:noWrap w:val="0"/>
                  <w:vAlign w:val="center"/>
                </w:tcPr>
                <w:p w14:paraId="34263148">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en-US" w:bidi="ar-SA"/>
                    </w:rPr>
                  </w:pPr>
                  <w:r>
                    <w:rPr>
                      <w:rFonts w:hint="eastAsia" w:ascii="Times New Roman" w:hAnsi="Times New Roman" w:cs="Times New Roman"/>
                      <w:color w:val="auto"/>
                      <w:kern w:val="2"/>
                      <w:sz w:val="21"/>
                      <w:szCs w:val="21"/>
                      <w:lang w:val="en-US" w:eastAsia="zh-CN" w:bidi="ar-SA"/>
                    </w:rPr>
                    <w:t>半</w:t>
                  </w:r>
                  <w:r>
                    <w:rPr>
                      <w:rFonts w:hint="default" w:ascii="Times New Roman" w:hAnsi="Times New Roman" w:eastAsia="宋体" w:cs="Times New Roman"/>
                      <w:color w:val="auto"/>
                      <w:kern w:val="2"/>
                      <w:sz w:val="21"/>
                      <w:szCs w:val="21"/>
                      <w:lang w:val="en-US" w:eastAsia="en-US" w:bidi="ar-SA"/>
                    </w:rPr>
                    <w:t>年1次</w:t>
                  </w:r>
                </w:p>
              </w:tc>
            </w:tr>
            <w:tr w14:paraId="64E96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06" w:type="dxa"/>
                  <w:vMerge w:val="continue"/>
                  <w:noWrap w:val="0"/>
                  <w:vAlign w:val="center"/>
                </w:tcPr>
                <w:p w14:paraId="25D5780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2737" w:type="dxa"/>
                  <w:noWrap w:val="0"/>
                  <w:vAlign w:val="center"/>
                </w:tcPr>
                <w:p w14:paraId="194710F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无组织废气</w:t>
                  </w:r>
                </w:p>
              </w:tc>
              <w:tc>
                <w:tcPr>
                  <w:tcW w:w="2033" w:type="dxa"/>
                  <w:noWrap w:val="0"/>
                  <w:vAlign w:val="center"/>
                </w:tcPr>
                <w:p w14:paraId="093DAC08">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kern w:val="2"/>
                      <w:sz w:val="21"/>
                      <w:szCs w:val="21"/>
                      <w:lang w:val="en-US" w:eastAsia="en-US" w:bidi="ar-SA"/>
                    </w:rPr>
                    <w:t>颗粒物</w:t>
                  </w:r>
                  <w:r>
                    <w:rPr>
                      <w:rFonts w:hint="default" w:ascii="Times New Roman" w:hAnsi="Times New Roman"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zh-CN" w:eastAsia="zh-CN" w:bidi="zh-CN"/>
                    </w:rPr>
                    <w:t>非甲烷总烃</w:t>
                  </w:r>
                </w:p>
              </w:tc>
              <w:tc>
                <w:tcPr>
                  <w:tcW w:w="2021" w:type="dxa"/>
                  <w:noWrap w:val="0"/>
                  <w:vAlign w:val="center"/>
                </w:tcPr>
                <w:p w14:paraId="23DF258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厂界、厂区内</w:t>
                  </w:r>
                </w:p>
              </w:tc>
              <w:tc>
                <w:tcPr>
                  <w:tcW w:w="1543" w:type="dxa"/>
                  <w:noWrap w:val="0"/>
                  <w:vAlign w:val="center"/>
                </w:tcPr>
                <w:p w14:paraId="7E849979">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en-US" w:bidi="ar-SA"/>
                    </w:rPr>
                  </w:pPr>
                  <w:r>
                    <w:rPr>
                      <w:rFonts w:hint="eastAsia" w:ascii="Times New Roman" w:hAnsi="Times New Roman" w:cs="Times New Roman"/>
                      <w:color w:val="auto"/>
                      <w:kern w:val="2"/>
                      <w:sz w:val="21"/>
                      <w:szCs w:val="21"/>
                      <w:lang w:val="en-US" w:eastAsia="zh-CN" w:bidi="ar-SA"/>
                    </w:rPr>
                    <w:t>半</w:t>
                  </w:r>
                  <w:r>
                    <w:rPr>
                      <w:rFonts w:hint="default" w:ascii="Times New Roman" w:hAnsi="Times New Roman" w:eastAsia="宋体" w:cs="Times New Roman"/>
                      <w:color w:val="auto"/>
                      <w:kern w:val="2"/>
                      <w:sz w:val="21"/>
                      <w:szCs w:val="21"/>
                      <w:lang w:val="en-US" w:eastAsia="en-US" w:bidi="ar-SA"/>
                    </w:rPr>
                    <w:t>年1次</w:t>
                  </w:r>
                </w:p>
              </w:tc>
            </w:tr>
          </w:tbl>
          <w:p w14:paraId="123F7A5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lang w:val="en-US" w:eastAsia="zh-CN"/>
              </w:rPr>
              <w:t>4、</w:t>
            </w:r>
            <w:r>
              <w:rPr>
                <w:rFonts w:hint="default" w:ascii="Times New Roman" w:hAnsi="Times New Roman" w:eastAsia="宋体" w:cs="Times New Roman"/>
                <w:b/>
                <w:bCs/>
                <w:color w:val="auto"/>
                <w:kern w:val="2"/>
                <w:sz w:val="21"/>
                <w:szCs w:val="21"/>
                <w:lang w:val="en-US" w:eastAsia="zh-CN" w:bidi="ar-SA"/>
              </w:rPr>
              <w:t>非正常排放情况</w:t>
            </w:r>
          </w:p>
          <w:p w14:paraId="53246F4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（1）废气处理设施故障</w:t>
            </w:r>
          </w:p>
          <w:p w14:paraId="1C8D7EA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根据工程分析，建设项目涉及的非正常排放主要为：</w:t>
            </w:r>
            <w:r>
              <w:rPr>
                <w:rFonts w:hint="default" w:ascii="Times New Roman" w:hAnsi="Times New Roman" w:eastAsia="宋体" w:cs="Times New Roman"/>
                <w:color w:val="auto"/>
                <w:spacing w:val="-4"/>
                <w:sz w:val="21"/>
                <w:szCs w:val="21"/>
                <w:lang w:val="en-US" w:eastAsia="zh-CN" w:bidi="ar-SA"/>
              </w:rPr>
              <w:t>布袋除尘器</w:t>
            </w:r>
            <w:r>
              <w:rPr>
                <w:rFonts w:hint="default" w:ascii="Times New Roman" w:hAnsi="Times New Roman" w:cs="Times New Roman"/>
                <w:color w:val="auto"/>
                <w:spacing w:val="-4"/>
                <w:sz w:val="21"/>
                <w:szCs w:val="21"/>
                <w:lang w:val="en-US" w:eastAsia="zh-CN" w:bidi="ar-SA"/>
              </w:rPr>
              <w:t>、</w:t>
            </w:r>
            <w:r>
              <w:rPr>
                <w:rFonts w:hint="default" w:ascii="Times New Roman" w:hAnsi="Times New Roman" w:eastAsia="宋体" w:cs="Times New Roman"/>
                <w:i w:val="0"/>
                <w:iCs w:val="0"/>
                <w:color w:val="auto"/>
                <w:kern w:val="0"/>
                <w:sz w:val="21"/>
                <w:szCs w:val="21"/>
                <w:u w:val="none"/>
                <w:lang w:val="en-US" w:eastAsia="zh-CN" w:bidi="ar"/>
              </w:rPr>
              <w:t>活性炭</w:t>
            </w:r>
            <w:r>
              <w:rPr>
                <w:rFonts w:hint="default" w:ascii="Times New Roman" w:hAnsi="Times New Roman" w:cs="Times New Roman"/>
                <w:i w:val="0"/>
                <w:iCs w:val="0"/>
                <w:color w:val="auto"/>
                <w:kern w:val="0"/>
                <w:sz w:val="21"/>
                <w:szCs w:val="21"/>
                <w:u w:val="none"/>
                <w:lang w:val="en-US" w:eastAsia="zh-CN" w:bidi="ar"/>
              </w:rPr>
              <w:t>箱</w:t>
            </w:r>
            <w:r>
              <w:rPr>
                <w:rFonts w:hint="default" w:ascii="Times New Roman" w:hAnsi="Times New Roman" w:eastAsia="宋体" w:cs="Times New Roman"/>
                <w:color w:val="auto"/>
                <w:spacing w:val="-4"/>
                <w:sz w:val="21"/>
                <w:szCs w:val="21"/>
                <w:lang w:val="en-US" w:eastAsia="zh-CN" w:bidi="ar-SA"/>
              </w:rPr>
              <w:t>出现事故，处理失效，废气未经处理直接排放，最坏情况处理效率为0%。</w:t>
            </w:r>
          </w:p>
          <w:p w14:paraId="6F01E82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本评价要求，建设单位要定期对废气处理设施（布袋除尘器</w:t>
            </w:r>
            <w:r>
              <w:rPr>
                <w:rFonts w:hint="default" w:ascii="Times New Roman" w:hAnsi="Times New Roman" w:cs="Times New Roman"/>
                <w:color w:val="auto"/>
                <w:spacing w:val="-4"/>
                <w:sz w:val="21"/>
                <w:szCs w:val="21"/>
                <w:lang w:val="en-US" w:eastAsia="zh-CN" w:bidi="ar-SA"/>
              </w:rPr>
              <w:t>、</w:t>
            </w:r>
            <w:r>
              <w:rPr>
                <w:rFonts w:hint="default" w:ascii="Times New Roman" w:hAnsi="Times New Roman" w:eastAsia="宋体" w:cs="Times New Roman"/>
                <w:i w:val="0"/>
                <w:iCs w:val="0"/>
                <w:color w:val="auto"/>
                <w:kern w:val="0"/>
                <w:sz w:val="21"/>
                <w:szCs w:val="21"/>
                <w:u w:val="none"/>
                <w:lang w:val="en-US" w:eastAsia="zh-CN" w:bidi="ar"/>
              </w:rPr>
              <w:t>活性炭</w:t>
            </w:r>
            <w:r>
              <w:rPr>
                <w:rFonts w:hint="default" w:ascii="Times New Roman" w:hAnsi="Times New Roman" w:cs="Times New Roman"/>
                <w:i w:val="0"/>
                <w:iCs w:val="0"/>
                <w:color w:val="auto"/>
                <w:kern w:val="0"/>
                <w:sz w:val="21"/>
                <w:szCs w:val="21"/>
                <w:u w:val="none"/>
                <w:lang w:val="en-US" w:eastAsia="zh-CN" w:bidi="ar"/>
              </w:rPr>
              <w:t>箱</w:t>
            </w:r>
            <w:r>
              <w:rPr>
                <w:rFonts w:hint="default" w:ascii="Times New Roman" w:hAnsi="Times New Roman" w:eastAsia="宋体" w:cs="Times New Roman"/>
                <w:color w:val="auto"/>
                <w:spacing w:val="-4"/>
                <w:sz w:val="21"/>
                <w:szCs w:val="21"/>
                <w:lang w:val="en-US" w:eastAsia="zh-CN" w:bidi="ar-SA"/>
              </w:rPr>
              <w:t>）进行维护和保养，一旦发现设施运行异常，应停止生产，迅速抢修或更换，待废气处理设施运行正常后恢复生产</w:t>
            </w:r>
            <w:r>
              <w:rPr>
                <w:rFonts w:hint="default" w:ascii="Times New Roman" w:hAnsi="Times New Roman"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事故处理时间以30分钟计</w:t>
            </w:r>
            <w:r>
              <w:rPr>
                <w:rFonts w:hint="default" w:ascii="Times New Roman" w:hAnsi="Times New Roman" w:eastAsia="宋体" w:cs="Times New Roman"/>
                <w:color w:val="auto"/>
                <w:spacing w:val="-4"/>
                <w:sz w:val="21"/>
                <w:szCs w:val="21"/>
                <w:lang w:val="en-US" w:eastAsia="zh-CN" w:bidi="ar-SA"/>
              </w:rPr>
              <w:t>。</w:t>
            </w:r>
          </w:p>
          <w:p w14:paraId="74746AD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（2）启停</w:t>
            </w:r>
            <w:r>
              <w:rPr>
                <w:rFonts w:hint="default" w:ascii="Times New Roman" w:hAnsi="Times New Roman" w:cs="Times New Roman"/>
                <w:color w:val="auto"/>
                <w:spacing w:val="-4"/>
                <w:sz w:val="21"/>
                <w:szCs w:val="21"/>
                <w:lang w:val="en-US" w:eastAsia="zh-CN" w:bidi="ar-SA"/>
              </w:rPr>
              <w:t>机</w:t>
            </w:r>
          </w:p>
          <w:p w14:paraId="69F72F7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本项目</w:t>
            </w:r>
            <w:r>
              <w:rPr>
                <w:rFonts w:hint="default" w:ascii="Times New Roman" w:hAnsi="Times New Roman" w:cs="Times New Roman"/>
                <w:color w:val="auto"/>
                <w:spacing w:val="-4"/>
                <w:sz w:val="21"/>
                <w:szCs w:val="21"/>
                <w:lang w:val="en-US" w:eastAsia="zh-CN" w:bidi="ar-SA"/>
              </w:rPr>
              <w:t>生产设备运行前</w:t>
            </w:r>
            <w:r>
              <w:rPr>
                <w:rFonts w:hint="default" w:ascii="Times New Roman" w:hAnsi="Times New Roman" w:eastAsia="宋体" w:cs="Times New Roman"/>
                <w:color w:val="auto"/>
                <w:spacing w:val="-4"/>
                <w:sz w:val="21"/>
                <w:szCs w:val="21"/>
                <w:lang w:val="en-US" w:eastAsia="zh-CN" w:bidi="ar-SA"/>
              </w:rPr>
              <w:t>环保设备提前运行，</w:t>
            </w:r>
            <w:r>
              <w:rPr>
                <w:rFonts w:hint="default" w:ascii="Times New Roman" w:hAnsi="Times New Roman" w:cs="Times New Roman"/>
                <w:color w:val="auto"/>
                <w:spacing w:val="-4"/>
                <w:sz w:val="21"/>
                <w:szCs w:val="21"/>
                <w:lang w:val="en-US" w:eastAsia="zh-CN" w:bidi="ar-SA"/>
              </w:rPr>
              <w:t>生产设备停止运行</w:t>
            </w:r>
            <w:r>
              <w:rPr>
                <w:rFonts w:hint="default" w:ascii="Times New Roman" w:hAnsi="Times New Roman" w:eastAsia="宋体" w:cs="Times New Roman"/>
                <w:color w:val="auto"/>
                <w:spacing w:val="-4"/>
                <w:sz w:val="21"/>
                <w:szCs w:val="21"/>
                <w:lang w:val="en-US" w:eastAsia="zh-CN" w:bidi="ar-SA"/>
              </w:rPr>
              <w:t>后环保设备延迟运行一段时间运行，确保废气经收集后进入废气处理系统，处理后达标排放。该部分废气以纳入正常工况污染物排放量内，不在单独核算。</w:t>
            </w:r>
          </w:p>
          <w:p w14:paraId="75C7839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非正常工况下，污染物排放量增大，对环境会产生不利影响。因此，生产中应加强管理，严格操作规范，环保设备检修时需暂停生产，检修完成后进行正常生产，避免废气直接排放造成的环境污染。</w:t>
            </w:r>
          </w:p>
          <w:p w14:paraId="403EB995">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cs="Times New Roman"/>
                <w:b/>
                <w:bCs/>
                <w:color w:val="auto"/>
                <w:kern w:val="2"/>
                <w:sz w:val="21"/>
                <w:szCs w:val="21"/>
                <w:lang w:val="en-US" w:eastAsia="zh-CN" w:bidi="ar-SA"/>
              </w:rPr>
              <w:t>8</w:t>
            </w:r>
            <w:r>
              <w:rPr>
                <w:rFonts w:hint="default" w:ascii="Times New Roman" w:hAnsi="Times New Roman" w:eastAsia="宋体" w:cs="Times New Roman"/>
                <w:b/>
                <w:bCs/>
                <w:color w:val="auto"/>
                <w:kern w:val="2"/>
                <w:sz w:val="21"/>
                <w:szCs w:val="21"/>
                <w:lang w:val="en-US" w:eastAsia="zh-CN" w:bidi="ar-SA"/>
              </w:rPr>
              <w:t xml:space="preserve"> 非正常</w:t>
            </w:r>
            <w:r>
              <w:rPr>
                <w:rFonts w:hint="eastAsia" w:ascii="Times New Roman" w:hAnsi="Times New Roman" w:cs="Times New Roman"/>
                <w:b/>
                <w:bCs/>
                <w:color w:val="auto"/>
                <w:kern w:val="2"/>
                <w:sz w:val="21"/>
                <w:szCs w:val="21"/>
                <w:lang w:val="en-US" w:eastAsia="zh-CN" w:bidi="ar-SA"/>
              </w:rPr>
              <w:t>工况</w:t>
            </w:r>
            <w:r>
              <w:rPr>
                <w:rFonts w:hint="default" w:ascii="Times New Roman" w:hAnsi="Times New Roman" w:eastAsia="宋体" w:cs="Times New Roman"/>
                <w:b/>
                <w:bCs/>
                <w:color w:val="auto"/>
                <w:kern w:val="2"/>
                <w:sz w:val="21"/>
                <w:szCs w:val="21"/>
                <w:lang w:val="en-US" w:eastAsia="zh-CN" w:bidi="ar-SA"/>
              </w:rPr>
              <w:t>排放情况表</w:t>
            </w:r>
          </w:p>
          <w:tbl>
            <w:tblPr>
              <w:tblStyle w:val="3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694"/>
              <w:gridCol w:w="920"/>
              <w:gridCol w:w="1155"/>
              <w:gridCol w:w="1185"/>
              <w:gridCol w:w="900"/>
              <w:gridCol w:w="1054"/>
              <w:gridCol w:w="2235"/>
            </w:tblGrid>
            <w:tr w14:paraId="642B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2" w:type="dxa"/>
                  <w:noWrap w:val="0"/>
                  <w:vAlign w:val="center"/>
                </w:tcPr>
                <w:p w14:paraId="52105E6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项目</w:t>
                  </w:r>
                </w:p>
              </w:tc>
              <w:tc>
                <w:tcPr>
                  <w:tcW w:w="694" w:type="dxa"/>
                  <w:noWrap w:val="0"/>
                  <w:vAlign w:val="center"/>
                </w:tcPr>
                <w:p w14:paraId="2FFFFB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排放口编号</w:t>
                  </w:r>
                </w:p>
              </w:tc>
              <w:tc>
                <w:tcPr>
                  <w:tcW w:w="920" w:type="dxa"/>
                  <w:noWrap w:val="0"/>
                  <w:vAlign w:val="center"/>
                </w:tcPr>
                <w:p w14:paraId="612A35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非正常工况频次</w:t>
                  </w:r>
                </w:p>
              </w:tc>
              <w:tc>
                <w:tcPr>
                  <w:tcW w:w="1155" w:type="dxa"/>
                  <w:noWrap w:val="0"/>
                  <w:vAlign w:val="center"/>
                </w:tcPr>
                <w:p w14:paraId="513A601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污染物名称</w:t>
                  </w:r>
                </w:p>
              </w:tc>
              <w:tc>
                <w:tcPr>
                  <w:tcW w:w="1185" w:type="dxa"/>
                  <w:noWrap w:val="0"/>
                  <w:vAlign w:val="center"/>
                </w:tcPr>
                <w:p w14:paraId="46ADFB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排放浓度（mg/m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w:t>
                  </w:r>
                </w:p>
              </w:tc>
              <w:tc>
                <w:tcPr>
                  <w:tcW w:w="900" w:type="dxa"/>
                  <w:noWrap w:val="0"/>
                  <w:vAlign w:val="center"/>
                </w:tcPr>
                <w:p w14:paraId="0C7F54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持续时间（min）</w:t>
                  </w:r>
                </w:p>
              </w:tc>
              <w:tc>
                <w:tcPr>
                  <w:tcW w:w="1054" w:type="dxa"/>
                  <w:noWrap w:val="0"/>
                  <w:vAlign w:val="center"/>
                </w:tcPr>
                <w:p w14:paraId="025A76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排放量</w:t>
                  </w:r>
                </w:p>
                <w:p w14:paraId="5D8402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（kg/次）</w:t>
                  </w:r>
                </w:p>
              </w:tc>
              <w:tc>
                <w:tcPr>
                  <w:tcW w:w="2235" w:type="dxa"/>
                  <w:noWrap w:val="0"/>
                  <w:vAlign w:val="center"/>
                </w:tcPr>
                <w:p w14:paraId="675A4D9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措施</w:t>
                  </w:r>
                </w:p>
              </w:tc>
            </w:tr>
            <w:tr w14:paraId="3CC1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932" w:type="dxa"/>
                  <w:vMerge w:val="restart"/>
                  <w:noWrap w:val="0"/>
                  <w:vAlign w:val="center"/>
                </w:tcPr>
                <w:p w14:paraId="485FED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布袋除尘器</w:t>
                  </w:r>
                  <w:r>
                    <w:rPr>
                      <w:rFonts w:hint="eastAsia" w:ascii="Times New Roman" w:hAnsi="Times New Roman" w:cs="Times New Roman"/>
                      <w:b w:val="0"/>
                      <w:bCs w:val="0"/>
                      <w:color w:val="auto"/>
                      <w:kern w:val="2"/>
                      <w:sz w:val="21"/>
                      <w:szCs w:val="21"/>
                      <w:lang w:val="en-US" w:eastAsia="zh-CN" w:bidi="ar-SA"/>
                    </w:rPr>
                    <w:t>、</w:t>
                  </w:r>
                  <w:r>
                    <w:rPr>
                      <w:rFonts w:hint="default" w:ascii="Times New Roman" w:hAnsi="Times New Roman" w:cs="Times New Roman"/>
                      <w:b w:val="0"/>
                      <w:bCs w:val="0"/>
                      <w:color w:val="auto"/>
                      <w:sz w:val="21"/>
                      <w:szCs w:val="21"/>
                      <w:lang w:val="en-US" w:eastAsia="zh-CN"/>
                    </w:rPr>
                    <w:t>两级活性炭箱</w:t>
                  </w:r>
                  <w:r>
                    <w:rPr>
                      <w:rFonts w:hint="default" w:ascii="Times New Roman" w:hAnsi="Times New Roman" w:eastAsia="宋体" w:cs="Times New Roman"/>
                      <w:b w:val="0"/>
                      <w:bCs w:val="0"/>
                      <w:color w:val="auto"/>
                      <w:kern w:val="2"/>
                      <w:sz w:val="21"/>
                      <w:szCs w:val="21"/>
                      <w:lang w:val="en-US" w:eastAsia="zh-CN" w:bidi="ar-SA"/>
                    </w:rPr>
                    <w:t>故障</w:t>
                  </w:r>
                </w:p>
              </w:tc>
              <w:tc>
                <w:tcPr>
                  <w:tcW w:w="694" w:type="dxa"/>
                  <w:vMerge w:val="restart"/>
                  <w:noWrap w:val="0"/>
                  <w:vAlign w:val="center"/>
                </w:tcPr>
                <w:p w14:paraId="4D7F9A6C">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920" w:type="dxa"/>
                  <w:vMerge w:val="restart"/>
                  <w:noWrap w:val="0"/>
                  <w:vAlign w:val="center"/>
                </w:tcPr>
                <w:p w14:paraId="166B9C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每年一次</w:t>
                  </w:r>
                </w:p>
              </w:tc>
              <w:tc>
                <w:tcPr>
                  <w:tcW w:w="1155" w:type="dxa"/>
                  <w:noWrap w:val="0"/>
                  <w:vAlign w:val="center"/>
                </w:tcPr>
                <w:p w14:paraId="36DF3F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颗粒物</w:t>
                  </w:r>
                </w:p>
              </w:tc>
              <w:tc>
                <w:tcPr>
                  <w:tcW w:w="1185" w:type="dxa"/>
                  <w:noWrap w:val="0"/>
                  <w:vAlign w:val="center"/>
                </w:tcPr>
                <w:p w14:paraId="5FF5A227">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30.3571</w:t>
                  </w:r>
                </w:p>
              </w:tc>
              <w:tc>
                <w:tcPr>
                  <w:tcW w:w="900" w:type="dxa"/>
                  <w:vMerge w:val="restart"/>
                  <w:noWrap w:val="0"/>
                  <w:vAlign w:val="center"/>
                </w:tcPr>
                <w:p w14:paraId="1C6DCA12">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054" w:type="dxa"/>
                  <w:noWrap w:val="0"/>
                  <w:vAlign w:val="center"/>
                </w:tcPr>
                <w:p w14:paraId="62BB3ED6">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0.2125</w:t>
                  </w:r>
                </w:p>
              </w:tc>
              <w:tc>
                <w:tcPr>
                  <w:tcW w:w="2235" w:type="dxa"/>
                  <w:vMerge w:val="restart"/>
                  <w:noWrap w:val="0"/>
                  <w:vAlign w:val="center"/>
                </w:tcPr>
                <w:p w14:paraId="1E7A6A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环保设备检修时需暂停生产，检修完成后进行正常生产，避免废气直接排放造成的环境污染</w:t>
                  </w:r>
                </w:p>
              </w:tc>
            </w:tr>
            <w:tr w14:paraId="6C0B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32" w:type="dxa"/>
                  <w:vMerge w:val="continue"/>
                  <w:noWrap w:val="0"/>
                  <w:vAlign w:val="center"/>
                </w:tcPr>
                <w:p w14:paraId="48404D0F">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rPr>
                  </w:pPr>
                </w:p>
              </w:tc>
              <w:tc>
                <w:tcPr>
                  <w:tcW w:w="694" w:type="dxa"/>
                  <w:vMerge w:val="continue"/>
                  <w:noWrap w:val="0"/>
                  <w:vAlign w:val="center"/>
                </w:tcPr>
                <w:p w14:paraId="1728E5CA">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rPr>
                  </w:pPr>
                </w:p>
              </w:tc>
              <w:tc>
                <w:tcPr>
                  <w:tcW w:w="920" w:type="dxa"/>
                  <w:vMerge w:val="continue"/>
                  <w:noWrap w:val="0"/>
                  <w:vAlign w:val="center"/>
                </w:tcPr>
                <w:p w14:paraId="6252F33F">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rPr>
                  </w:pPr>
                </w:p>
              </w:tc>
              <w:tc>
                <w:tcPr>
                  <w:tcW w:w="1155" w:type="dxa"/>
                  <w:noWrap w:val="0"/>
                  <w:vAlign w:val="center"/>
                </w:tcPr>
                <w:p w14:paraId="23D1EE80">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非甲烷总烃</w:t>
                  </w:r>
                </w:p>
              </w:tc>
              <w:tc>
                <w:tcPr>
                  <w:tcW w:w="1185" w:type="dxa"/>
                  <w:noWrap w:val="0"/>
                  <w:vAlign w:val="center"/>
                </w:tcPr>
                <w:p w14:paraId="79778061">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25.5952</w:t>
                  </w:r>
                </w:p>
              </w:tc>
              <w:tc>
                <w:tcPr>
                  <w:tcW w:w="900" w:type="dxa"/>
                  <w:vMerge w:val="continue"/>
                  <w:noWrap w:val="0"/>
                  <w:vAlign w:val="center"/>
                </w:tcPr>
                <w:p w14:paraId="3776095D">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p>
              </w:tc>
              <w:tc>
                <w:tcPr>
                  <w:tcW w:w="1054" w:type="dxa"/>
                  <w:noWrap w:val="0"/>
                  <w:vAlign w:val="center"/>
                </w:tcPr>
                <w:p w14:paraId="6EF8C530">
                  <w:pPr>
                    <w:keepNext w:val="0"/>
                    <w:keepLines w:val="0"/>
                    <w:pageBreakBefore w:val="0"/>
                    <w:widowControl/>
                    <w:suppressLineNumbers w:val="0"/>
                    <w:kinsoku/>
                    <w:wordWrap/>
                    <w:overflowPunct/>
                    <w:topLinePunct w:val="0"/>
                    <w:autoSpaceDE w:val="0"/>
                    <w:autoSpaceDN w:val="0"/>
                    <w:bidi w:val="0"/>
                    <w:adjustRightInd/>
                    <w:snapToGrid/>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0.1792</w:t>
                  </w:r>
                </w:p>
              </w:tc>
              <w:tc>
                <w:tcPr>
                  <w:tcW w:w="2235" w:type="dxa"/>
                  <w:vMerge w:val="continue"/>
                  <w:noWrap w:val="0"/>
                  <w:vAlign w:val="center"/>
                </w:tcPr>
                <w:p w14:paraId="2C30E303">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1"/>
                      <w:lang w:val="en-US" w:eastAsia="zh-CN" w:bidi="ar-SA"/>
                    </w:rPr>
                  </w:pPr>
                </w:p>
              </w:tc>
            </w:tr>
          </w:tbl>
          <w:p w14:paraId="2AD3A6E9">
            <w:pPr>
              <w:autoSpaceDE/>
              <w:autoSpaceDN/>
              <w:adjustRightInd w:val="0"/>
              <w:snapToGrid w:val="0"/>
              <w:spacing w:line="400" w:lineRule="exact"/>
              <w:ind w:left="110" w:leftChars="50" w:firstLine="406" w:firstLineChars="200"/>
              <w:rPr>
                <w:rFonts w:ascii="Times New Roman" w:hAnsi="Times New Roman" w:cs="Times New Roman"/>
                <w:b/>
                <w:bCs/>
                <w:color w:val="auto"/>
                <w:spacing w:val="-4"/>
                <w:sz w:val="21"/>
                <w:szCs w:val="21"/>
                <w:lang w:val="en-US" w:bidi="ar-SA"/>
              </w:rPr>
            </w:pPr>
            <w:r>
              <w:rPr>
                <w:rFonts w:hint="eastAsia" w:ascii="Times New Roman" w:hAnsi="Times New Roman" w:cs="Times New Roman"/>
                <w:b/>
                <w:bCs/>
                <w:color w:val="auto"/>
                <w:spacing w:val="-4"/>
                <w:sz w:val="21"/>
                <w:szCs w:val="21"/>
                <w:lang w:val="en-US" w:eastAsia="zh-CN" w:bidi="ar-SA"/>
              </w:rPr>
              <w:t>5</w:t>
            </w:r>
            <w:r>
              <w:rPr>
                <w:rFonts w:ascii="Times New Roman" w:hAnsi="Times New Roman" w:cs="Times New Roman"/>
                <w:b/>
                <w:bCs/>
                <w:color w:val="auto"/>
                <w:spacing w:val="-4"/>
                <w:sz w:val="21"/>
                <w:szCs w:val="21"/>
                <w:lang w:val="en-US" w:bidi="ar-SA"/>
              </w:rPr>
              <w:t>、大气环境</w:t>
            </w:r>
            <w:r>
              <w:rPr>
                <w:rFonts w:hint="eastAsia" w:ascii="Times New Roman" w:hAnsi="Times New Roman" w:cs="Times New Roman"/>
                <w:b/>
                <w:bCs/>
                <w:color w:val="auto"/>
                <w:spacing w:val="-4"/>
                <w:sz w:val="21"/>
                <w:szCs w:val="21"/>
                <w:lang w:val="en-US" w:bidi="ar-SA"/>
              </w:rPr>
              <w:t>影响</w:t>
            </w:r>
            <w:r>
              <w:rPr>
                <w:rFonts w:ascii="Times New Roman" w:hAnsi="Times New Roman" w:cs="Times New Roman"/>
                <w:b/>
                <w:bCs/>
                <w:color w:val="auto"/>
                <w:spacing w:val="-4"/>
                <w:sz w:val="21"/>
                <w:szCs w:val="21"/>
                <w:lang w:val="en-US" w:bidi="ar-SA"/>
              </w:rPr>
              <w:t>分析结论</w:t>
            </w:r>
          </w:p>
          <w:p w14:paraId="64451DC0">
            <w:pPr>
              <w:autoSpaceDE/>
              <w:autoSpaceDN/>
              <w:adjustRightInd w:val="0"/>
              <w:snapToGrid w:val="0"/>
              <w:spacing w:line="400" w:lineRule="exact"/>
              <w:ind w:left="110" w:leftChars="50" w:firstLine="404" w:firstLineChars="200"/>
              <w:rPr>
                <w:rFonts w:ascii="Times New Roman" w:hAnsi="Times New Roman" w:cs="Times New Roman"/>
                <w:color w:val="auto"/>
                <w:sz w:val="21"/>
                <w:szCs w:val="21"/>
                <w:lang w:val="en-US"/>
              </w:rPr>
            </w:pPr>
            <w:r>
              <w:rPr>
                <w:rFonts w:ascii="Times New Roman" w:hAnsi="Times New Roman" w:cs="Times New Roman"/>
                <w:color w:val="auto"/>
                <w:spacing w:val="-4"/>
                <w:sz w:val="21"/>
                <w:szCs w:val="21"/>
                <w:lang w:val="en-US" w:bidi="ar-SA"/>
              </w:rPr>
              <w:t>本项目废气经处理后均能达标排放，且能达到相应环境质量标准，对区域大气环境的环境影响较小，</w:t>
            </w:r>
            <w:r>
              <w:rPr>
                <w:rFonts w:hint="eastAsia" w:ascii="Times New Roman" w:hAnsi="Times New Roman" w:cs="Times New Roman"/>
                <w:bCs/>
                <w:color w:val="auto"/>
                <w:sz w:val="21"/>
                <w:szCs w:val="21"/>
                <w:lang w:val="en-US" w:eastAsia="zh-CN"/>
              </w:rPr>
              <w:t>对周边环境保护目标南街西村不会产生较大影响，</w:t>
            </w:r>
            <w:r>
              <w:rPr>
                <w:rFonts w:ascii="Times New Roman" w:hAnsi="Times New Roman" w:cs="Times New Roman"/>
                <w:color w:val="auto"/>
                <w:spacing w:val="-4"/>
                <w:sz w:val="21"/>
                <w:szCs w:val="21"/>
                <w:lang w:val="en-US" w:bidi="ar-SA"/>
              </w:rPr>
              <w:t>不会改变当地环境空气质量级别</w:t>
            </w:r>
            <w:r>
              <w:rPr>
                <w:rFonts w:hint="eastAsia" w:ascii="Times New Roman" w:hAnsi="Times New Roman" w:cs="Times New Roman"/>
                <w:color w:val="auto"/>
                <w:spacing w:val="-4"/>
                <w:sz w:val="21"/>
                <w:szCs w:val="21"/>
                <w:lang w:val="en-US" w:bidi="ar-SA"/>
              </w:rPr>
              <w:t>。</w:t>
            </w:r>
          </w:p>
          <w:p w14:paraId="3FB492B0">
            <w:pPr>
              <w:pStyle w:val="28"/>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Chars="50" w:right="110" w:rightChars="50" w:firstLine="422"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二、</w:t>
            </w:r>
            <w:r>
              <w:rPr>
                <w:rFonts w:hint="default" w:ascii="Times New Roman" w:hAnsi="Times New Roman" w:eastAsia="宋体" w:cs="Times New Roman"/>
                <w:b/>
                <w:bCs/>
                <w:color w:val="auto"/>
                <w:sz w:val="21"/>
                <w:szCs w:val="21"/>
                <w:lang w:val="en-US" w:eastAsia="zh-CN"/>
              </w:rPr>
              <w:t>废</w:t>
            </w:r>
            <w:r>
              <w:rPr>
                <w:rFonts w:hint="default" w:ascii="Times New Roman" w:hAnsi="Times New Roman" w:cs="Times New Roman"/>
                <w:b/>
                <w:bCs/>
                <w:color w:val="auto"/>
                <w:sz w:val="21"/>
                <w:szCs w:val="21"/>
                <w:lang w:val="en-US" w:eastAsia="zh-CN"/>
              </w:rPr>
              <w:t>水</w:t>
            </w:r>
          </w:p>
          <w:p w14:paraId="6313DB5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0" w:leftChars="0" w:right="0" w:rightChars="0" w:firstLine="422" w:firstLineChars="20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1、废水产排情况</w:t>
            </w:r>
          </w:p>
          <w:p w14:paraId="7E49C0E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0" w:leftChars="0" w:right="0" w:rightChars="0"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本项目无设备清洗废水，不同种类颜色的美缝剂采用不同的罐生产，设备无需清洗，罐内剩余材料由人工通过刮板收集，回收至搅拌罐中利用。</w:t>
            </w:r>
            <w:r>
              <w:rPr>
                <w:rFonts w:hint="default" w:ascii="Times New Roman" w:hAnsi="Times New Roman" w:eastAsia="宋体" w:cs="Times New Roman"/>
                <w:color w:val="auto"/>
                <w:kern w:val="2"/>
                <w:sz w:val="21"/>
                <w:szCs w:val="24"/>
                <w:highlight w:val="none"/>
                <w:lang w:val="en-US" w:eastAsia="zh-CN" w:bidi="ar-SA"/>
              </w:rPr>
              <w:t>本</w:t>
            </w:r>
            <w:r>
              <w:rPr>
                <w:rFonts w:hint="default" w:ascii="Times New Roman" w:hAnsi="Times New Roman" w:cs="Times New Roman"/>
                <w:color w:val="auto"/>
                <w:kern w:val="2"/>
                <w:sz w:val="21"/>
                <w:szCs w:val="24"/>
                <w:highlight w:val="none"/>
                <w:lang w:val="en-US" w:eastAsia="zh-CN" w:bidi="ar-SA"/>
              </w:rPr>
              <w:t>项目</w:t>
            </w:r>
            <w:r>
              <w:rPr>
                <w:rFonts w:hint="eastAsia" w:ascii="Times New Roman" w:hAnsi="Times New Roman" w:cs="Times New Roman"/>
                <w:color w:val="auto"/>
                <w:kern w:val="2"/>
                <w:sz w:val="21"/>
                <w:szCs w:val="24"/>
                <w:highlight w:val="none"/>
                <w:lang w:val="en-US" w:eastAsia="zh-CN" w:bidi="ar-SA"/>
              </w:rPr>
              <w:t>冷却水循环使用，</w:t>
            </w:r>
            <w:r>
              <w:rPr>
                <w:rFonts w:hint="default" w:ascii="Times New Roman" w:hAnsi="Times New Roman" w:cs="Times New Roman"/>
                <w:color w:val="auto"/>
                <w:kern w:val="2"/>
                <w:sz w:val="21"/>
                <w:szCs w:val="24"/>
                <w:highlight w:val="none"/>
                <w:lang w:val="en-US" w:eastAsia="zh-CN" w:bidi="ar-SA"/>
              </w:rPr>
              <w:t>产生的废水为生活污水W</w:t>
            </w:r>
            <w:r>
              <w:rPr>
                <w:rFonts w:hint="default" w:ascii="Times New Roman" w:hAnsi="Times New Roman" w:eastAsia="宋体" w:cs="Times New Roman"/>
                <w:color w:val="auto"/>
                <w:kern w:val="2"/>
                <w:sz w:val="21"/>
                <w:szCs w:val="24"/>
                <w:highlight w:val="none"/>
                <w:lang w:val="en-US" w:eastAsia="zh-CN" w:bidi="ar-SA"/>
              </w:rPr>
              <w:t>。废水</w:t>
            </w:r>
            <w:r>
              <w:rPr>
                <w:rFonts w:hint="default" w:ascii="Times New Roman" w:hAnsi="Times New Roman" w:eastAsia="宋体" w:cs="Times New Roman"/>
                <w:b w:val="0"/>
                <w:bCs w:val="0"/>
                <w:color w:val="auto"/>
                <w:kern w:val="0"/>
                <w:sz w:val="21"/>
                <w:szCs w:val="21"/>
                <w:highlight w:val="none"/>
                <w:lang w:val="en-US" w:eastAsia="zh-CN" w:bidi="zh-CN"/>
              </w:rPr>
              <w:t>排放情况及污染源参数见下表。</w:t>
            </w:r>
          </w:p>
          <w:p w14:paraId="1B974A45">
            <w:pPr>
              <w:spacing w:line="400" w:lineRule="exact"/>
              <w:jc w:val="center"/>
              <w:rPr>
                <w:rFonts w:ascii="Times New Roman" w:hAnsi="Times New Roman" w:cs="Times New Roman"/>
                <w:b/>
                <w:bCs/>
                <w:color w:val="auto"/>
                <w:spacing w:val="-4"/>
                <w:sz w:val="21"/>
                <w:szCs w:val="21"/>
                <w:lang w:val="en-US" w:bidi="ar-SA"/>
              </w:rPr>
            </w:pPr>
            <w:r>
              <w:rPr>
                <w:rFonts w:hint="eastAsia" w:ascii="Times New Roman" w:hAnsi="Times New Roman" w:cs="Times New Roman"/>
                <w:b/>
                <w:bCs/>
                <w:color w:val="auto"/>
                <w:spacing w:val="-4"/>
                <w:sz w:val="21"/>
                <w:szCs w:val="21"/>
                <w:lang w:val="en-US" w:bidi="ar-SA"/>
              </w:rPr>
              <w:t>表4.</w:t>
            </w:r>
            <w:r>
              <w:rPr>
                <w:rFonts w:hint="eastAsia" w:ascii="Times New Roman" w:hAnsi="Times New Roman" w:cs="Times New Roman"/>
                <w:b/>
                <w:bCs/>
                <w:color w:val="auto"/>
                <w:spacing w:val="-4"/>
                <w:sz w:val="21"/>
                <w:szCs w:val="21"/>
                <w:lang w:val="en-US" w:eastAsia="zh-CN" w:bidi="ar-SA"/>
              </w:rPr>
              <w:t>9</w:t>
            </w:r>
            <w:r>
              <w:rPr>
                <w:rFonts w:hint="eastAsia" w:ascii="Times New Roman" w:hAnsi="Times New Roman" w:cs="Times New Roman"/>
                <w:b/>
                <w:bCs/>
                <w:color w:val="auto"/>
                <w:spacing w:val="-4"/>
                <w:sz w:val="21"/>
                <w:szCs w:val="21"/>
                <w:lang w:val="en-US" w:bidi="ar-SA"/>
              </w:rPr>
              <w:t xml:space="preserve"> 污染物产生情况一览表</w:t>
            </w:r>
          </w:p>
          <w:tbl>
            <w:tblPr>
              <w:tblStyle w:val="34"/>
              <w:tblW w:w="8729" w:type="dxa"/>
              <w:jc w:val="center"/>
              <w:tblLayout w:type="fixed"/>
              <w:tblCellMar>
                <w:top w:w="0" w:type="dxa"/>
                <w:left w:w="108" w:type="dxa"/>
                <w:bottom w:w="0" w:type="dxa"/>
                <w:right w:w="108" w:type="dxa"/>
              </w:tblCellMar>
            </w:tblPr>
            <w:tblGrid>
              <w:gridCol w:w="358"/>
              <w:gridCol w:w="1496"/>
              <w:gridCol w:w="913"/>
              <w:gridCol w:w="570"/>
              <w:gridCol w:w="915"/>
              <w:gridCol w:w="885"/>
              <w:gridCol w:w="690"/>
              <w:gridCol w:w="705"/>
              <w:gridCol w:w="615"/>
              <w:gridCol w:w="662"/>
              <w:gridCol w:w="920"/>
            </w:tblGrid>
            <w:tr w14:paraId="54C0DC97">
              <w:tblPrEx>
                <w:tblCellMar>
                  <w:top w:w="0" w:type="dxa"/>
                  <w:left w:w="108" w:type="dxa"/>
                  <w:bottom w:w="0" w:type="dxa"/>
                  <w:right w:w="108" w:type="dxa"/>
                </w:tblCellMar>
              </w:tblPrEx>
              <w:trPr>
                <w:trHeight w:val="57"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B6A8">
                  <w:pPr>
                    <w:widowControl/>
                    <w:ind w:left="-110" w:leftChars="-50" w:right="-110" w:rightChars="-50"/>
                    <w:jc w:val="center"/>
                    <w:textAlignment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序号</w:t>
                  </w:r>
                </w:p>
              </w:tc>
              <w:tc>
                <w:tcPr>
                  <w:tcW w:w="1496" w:type="dxa"/>
                  <w:vMerge w:val="restart"/>
                  <w:tcBorders>
                    <w:top w:val="single" w:color="000000" w:sz="8" w:space="0"/>
                    <w:left w:val="nil"/>
                    <w:bottom w:val="single" w:color="000000" w:sz="8" w:space="0"/>
                    <w:right w:val="single" w:color="000000" w:sz="8" w:space="0"/>
                  </w:tcBorders>
                  <w:shd w:val="clear" w:color="auto" w:fill="auto"/>
                  <w:vAlign w:val="center"/>
                </w:tcPr>
                <w:p w14:paraId="7EF93003">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污染源</w:t>
                  </w:r>
                </w:p>
              </w:tc>
              <w:tc>
                <w:tcPr>
                  <w:tcW w:w="9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E0AD9A7">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污染物</w:t>
                  </w:r>
                </w:p>
              </w:tc>
              <w:tc>
                <w:tcPr>
                  <w:tcW w:w="306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0A9A7FBC">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污染物产生</w:t>
                  </w:r>
                </w:p>
              </w:tc>
              <w:tc>
                <w:tcPr>
                  <w:tcW w:w="13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CA8E40">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治理措施</w:t>
                  </w:r>
                </w:p>
              </w:tc>
              <w:tc>
                <w:tcPr>
                  <w:tcW w:w="662" w:type="dxa"/>
                  <w:vMerge w:val="restart"/>
                  <w:tcBorders>
                    <w:top w:val="single" w:color="000000" w:sz="8" w:space="0"/>
                    <w:left w:val="single" w:color="000000" w:sz="8" w:space="0"/>
                    <w:bottom w:val="nil"/>
                    <w:right w:val="single" w:color="000000" w:sz="8" w:space="0"/>
                  </w:tcBorders>
                  <w:shd w:val="clear" w:color="auto" w:fill="auto"/>
                  <w:vAlign w:val="center"/>
                </w:tcPr>
                <w:p w14:paraId="1F5BE7E4">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排放量t/a</w:t>
                  </w:r>
                </w:p>
              </w:tc>
              <w:tc>
                <w:tcPr>
                  <w:tcW w:w="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294D24F">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排放去向</w:t>
                  </w:r>
                </w:p>
              </w:tc>
            </w:tr>
            <w:tr w14:paraId="6188D4E3">
              <w:tblPrEx>
                <w:tblCellMar>
                  <w:top w:w="0" w:type="dxa"/>
                  <w:left w:w="108" w:type="dxa"/>
                  <w:bottom w:w="0" w:type="dxa"/>
                  <w:right w:w="108" w:type="dxa"/>
                </w:tblCellMar>
              </w:tblPrEx>
              <w:trPr>
                <w:trHeight w:val="57"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E068">
                  <w:pPr>
                    <w:widowControl/>
                    <w:ind w:left="-110" w:leftChars="-50" w:right="-110" w:rightChars="-50"/>
                    <w:jc w:val="center"/>
                    <w:rPr>
                      <w:rFonts w:ascii="Times New Roman" w:hAnsi="Times New Roman" w:cs="Times New Roman"/>
                      <w:color w:val="auto"/>
                      <w:sz w:val="21"/>
                      <w:szCs w:val="21"/>
                    </w:rPr>
                  </w:pPr>
                </w:p>
              </w:tc>
              <w:tc>
                <w:tcPr>
                  <w:tcW w:w="1496" w:type="dxa"/>
                  <w:vMerge w:val="continue"/>
                  <w:tcBorders>
                    <w:top w:val="single" w:color="000000" w:sz="8" w:space="0"/>
                    <w:left w:val="nil"/>
                    <w:bottom w:val="single" w:color="000000" w:sz="8" w:space="0"/>
                    <w:right w:val="single" w:color="000000" w:sz="8" w:space="0"/>
                  </w:tcBorders>
                  <w:shd w:val="clear" w:color="auto" w:fill="auto"/>
                  <w:vAlign w:val="center"/>
                </w:tcPr>
                <w:p w14:paraId="670B9F4C">
                  <w:pPr>
                    <w:widowControl/>
                    <w:ind w:left="-110" w:leftChars="-50" w:right="-110" w:rightChars="-50"/>
                    <w:jc w:val="center"/>
                    <w:rPr>
                      <w:rFonts w:ascii="Times New Roman" w:hAnsi="Times New Roman" w:cs="Times New Roman"/>
                      <w:b/>
                      <w:bCs/>
                      <w:color w:val="auto"/>
                      <w:sz w:val="21"/>
                      <w:szCs w:val="21"/>
                    </w:rPr>
                  </w:pPr>
                </w:p>
              </w:tc>
              <w:tc>
                <w:tcPr>
                  <w:tcW w:w="913"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63860880">
                  <w:pPr>
                    <w:widowControl/>
                    <w:ind w:left="-110" w:leftChars="-50" w:right="-110" w:rightChars="-50"/>
                    <w:jc w:val="center"/>
                    <w:rPr>
                      <w:rFonts w:ascii="Times New Roman" w:hAnsi="Times New Roman" w:cs="Times New Roman"/>
                      <w:b/>
                      <w:bCs/>
                      <w:color w:val="auto"/>
                      <w:sz w:val="21"/>
                      <w:szCs w:val="21"/>
                    </w:rPr>
                  </w:pPr>
                </w:p>
              </w:tc>
              <w:tc>
                <w:tcPr>
                  <w:tcW w:w="570" w:type="dxa"/>
                  <w:tcBorders>
                    <w:top w:val="nil"/>
                    <w:left w:val="single" w:color="000000" w:sz="8" w:space="0"/>
                    <w:bottom w:val="single" w:color="000000" w:sz="4" w:space="0"/>
                    <w:right w:val="single" w:color="000000" w:sz="8" w:space="0"/>
                  </w:tcBorders>
                  <w:shd w:val="clear" w:color="auto" w:fill="auto"/>
                  <w:vAlign w:val="center"/>
                </w:tcPr>
                <w:p w14:paraId="4E99B611">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核算方法</w:t>
                  </w:r>
                </w:p>
              </w:tc>
              <w:tc>
                <w:tcPr>
                  <w:tcW w:w="915" w:type="dxa"/>
                  <w:tcBorders>
                    <w:top w:val="nil"/>
                    <w:left w:val="single" w:color="000000" w:sz="8" w:space="0"/>
                    <w:bottom w:val="single" w:color="000000" w:sz="8" w:space="0"/>
                    <w:right w:val="single" w:color="000000" w:sz="8" w:space="0"/>
                  </w:tcBorders>
                  <w:shd w:val="clear" w:color="auto" w:fill="auto"/>
                  <w:vAlign w:val="center"/>
                </w:tcPr>
                <w:p w14:paraId="0E4AD905">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产生废水量</w:t>
                  </w:r>
                  <w:r>
                    <w:rPr>
                      <w:rStyle w:val="88"/>
                      <w:rFonts w:hint="default" w:ascii="Times New Roman" w:hAnsi="Times New Roman" w:cs="Times New Roman"/>
                      <w:color w:val="auto"/>
                      <w:sz w:val="21"/>
                      <w:szCs w:val="21"/>
                      <w:lang w:val="en-US"/>
                    </w:rPr>
                    <w:t>m</w:t>
                  </w:r>
                  <w:r>
                    <w:rPr>
                      <w:rFonts w:ascii="Times New Roman" w:hAnsi="Times New Roman" w:cs="Times New Roman"/>
                      <w:b/>
                      <w:bCs/>
                      <w:color w:val="auto"/>
                      <w:sz w:val="21"/>
                      <w:szCs w:val="21"/>
                      <w:vertAlign w:val="superscript"/>
                      <w:lang w:val="en-US"/>
                    </w:rPr>
                    <w:t>3</w:t>
                  </w:r>
                  <w:r>
                    <w:rPr>
                      <w:rStyle w:val="88"/>
                      <w:rFonts w:hint="default" w:ascii="Times New Roman" w:hAnsi="Times New Roman" w:cs="Times New Roman"/>
                      <w:color w:val="auto"/>
                      <w:sz w:val="21"/>
                      <w:szCs w:val="21"/>
                      <w:lang w:val="en-US"/>
                    </w:rPr>
                    <w:t>/a</w:t>
                  </w:r>
                </w:p>
              </w:tc>
              <w:tc>
                <w:tcPr>
                  <w:tcW w:w="885" w:type="dxa"/>
                  <w:tcBorders>
                    <w:top w:val="nil"/>
                    <w:left w:val="single" w:color="000000" w:sz="8" w:space="0"/>
                    <w:bottom w:val="single" w:color="000000" w:sz="4" w:space="0"/>
                    <w:right w:val="single" w:color="000000" w:sz="8" w:space="0"/>
                  </w:tcBorders>
                  <w:shd w:val="clear" w:color="auto" w:fill="auto"/>
                  <w:vAlign w:val="center"/>
                </w:tcPr>
                <w:p w14:paraId="4CF17C76">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产生浓度</w:t>
                  </w:r>
                  <w:r>
                    <w:rPr>
                      <w:rStyle w:val="88"/>
                      <w:rFonts w:hint="default" w:ascii="Times New Roman" w:hAnsi="Times New Roman" w:cs="Times New Roman"/>
                      <w:color w:val="auto"/>
                      <w:sz w:val="21"/>
                      <w:szCs w:val="21"/>
                      <w:lang w:val="en-US"/>
                    </w:rPr>
                    <w:t>mg/L</w:t>
                  </w:r>
                </w:p>
              </w:tc>
              <w:tc>
                <w:tcPr>
                  <w:tcW w:w="690" w:type="dxa"/>
                  <w:tcBorders>
                    <w:top w:val="nil"/>
                    <w:left w:val="single" w:color="000000" w:sz="8" w:space="0"/>
                    <w:bottom w:val="single" w:color="000000" w:sz="4" w:space="0"/>
                    <w:right w:val="single" w:color="000000" w:sz="8" w:space="0"/>
                  </w:tcBorders>
                  <w:shd w:val="clear" w:color="auto" w:fill="auto"/>
                  <w:vAlign w:val="center"/>
                </w:tcPr>
                <w:p w14:paraId="4B71C087">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产生量</w:t>
                  </w:r>
                  <w:r>
                    <w:rPr>
                      <w:rStyle w:val="88"/>
                      <w:rFonts w:hint="default" w:ascii="Times New Roman" w:hAnsi="Times New Roman" w:cs="Times New Roman"/>
                      <w:color w:val="auto"/>
                      <w:sz w:val="21"/>
                      <w:szCs w:val="21"/>
                      <w:lang w:val="en-US"/>
                    </w:rPr>
                    <w:t>t/a</w:t>
                  </w:r>
                </w:p>
              </w:tc>
              <w:tc>
                <w:tcPr>
                  <w:tcW w:w="705" w:type="dxa"/>
                  <w:tcBorders>
                    <w:top w:val="single" w:color="000000" w:sz="8" w:space="0"/>
                    <w:left w:val="single" w:color="000000" w:sz="8" w:space="0"/>
                    <w:bottom w:val="single" w:color="000000" w:sz="4" w:space="0"/>
                    <w:right w:val="single" w:color="000000" w:sz="8" w:space="0"/>
                  </w:tcBorders>
                  <w:shd w:val="clear" w:color="auto" w:fill="auto"/>
                  <w:vAlign w:val="center"/>
                </w:tcPr>
                <w:p w14:paraId="4FAC3ECE">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工艺</w:t>
                  </w:r>
                </w:p>
              </w:tc>
              <w:tc>
                <w:tcPr>
                  <w:tcW w:w="615" w:type="dxa"/>
                  <w:tcBorders>
                    <w:top w:val="single" w:color="000000" w:sz="8" w:space="0"/>
                    <w:left w:val="single" w:color="000000" w:sz="8" w:space="0"/>
                    <w:bottom w:val="single" w:color="000000" w:sz="4" w:space="0"/>
                    <w:right w:val="single" w:color="000000" w:sz="8" w:space="0"/>
                  </w:tcBorders>
                  <w:shd w:val="clear" w:color="auto" w:fill="auto"/>
                  <w:vAlign w:val="center"/>
                </w:tcPr>
                <w:p w14:paraId="57950674">
                  <w:pPr>
                    <w:widowControl/>
                    <w:ind w:left="-110" w:leftChars="-50" w:right="-110" w:rightChars="-50"/>
                    <w:jc w:val="center"/>
                    <w:textAlignment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效率</w:t>
                  </w:r>
                </w:p>
                <w:p w14:paraId="6A2305E3">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w:t>
                  </w:r>
                </w:p>
              </w:tc>
              <w:tc>
                <w:tcPr>
                  <w:tcW w:w="662" w:type="dxa"/>
                  <w:vMerge w:val="continue"/>
                  <w:tcBorders>
                    <w:top w:val="single" w:color="000000" w:sz="8" w:space="0"/>
                    <w:left w:val="single" w:color="000000" w:sz="8" w:space="0"/>
                    <w:bottom w:val="nil"/>
                    <w:right w:val="single" w:color="000000" w:sz="8" w:space="0"/>
                  </w:tcBorders>
                  <w:shd w:val="clear" w:color="auto" w:fill="auto"/>
                  <w:vAlign w:val="center"/>
                </w:tcPr>
                <w:p w14:paraId="5A9ED606">
                  <w:pPr>
                    <w:widowControl/>
                    <w:ind w:left="-110" w:leftChars="-50" w:right="-110" w:rightChars="-50"/>
                    <w:jc w:val="center"/>
                    <w:rPr>
                      <w:rFonts w:ascii="Times New Roman" w:hAnsi="Times New Roman" w:cs="Times New Roman"/>
                      <w:b/>
                      <w:bCs/>
                      <w:color w:val="auto"/>
                      <w:sz w:val="21"/>
                      <w:szCs w:val="21"/>
                    </w:rPr>
                  </w:pPr>
                </w:p>
              </w:tc>
              <w:tc>
                <w:tcPr>
                  <w:tcW w:w="9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80BC15">
                  <w:pPr>
                    <w:widowControl/>
                    <w:ind w:left="-110" w:leftChars="-50" w:right="-110" w:rightChars="-50"/>
                    <w:jc w:val="center"/>
                    <w:rPr>
                      <w:rFonts w:ascii="Times New Roman" w:hAnsi="Times New Roman" w:cs="Times New Roman"/>
                      <w:b/>
                      <w:bCs/>
                      <w:color w:val="auto"/>
                      <w:sz w:val="21"/>
                      <w:szCs w:val="21"/>
                    </w:rPr>
                  </w:pPr>
                </w:p>
              </w:tc>
            </w:tr>
            <w:tr w14:paraId="000F591E">
              <w:tblPrEx>
                <w:tblCellMar>
                  <w:top w:w="0" w:type="dxa"/>
                  <w:left w:w="108" w:type="dxa"/>
                  <w:bottom w:w="0" w:type="dxa"/>
                  <w:right w:w="108" w:type="dxa"/>
                </w:tblCellMar>
              </w:tblPrEx>
              <w:trPr>
                <w:trHeight w:val="57"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B853">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p>
              </w:tc>
              <w:tc>
                <w:tcPr>
                  <w:tcW w:w="1496" w:type="dxa"/>
                  <w:vMerge w:val="restart"/>
                  <w:tcBorders>
                    <w:top w:val="single" w:color="000000" w:sz="4" w:space="0"/>
                    <w:left w:val="nil"/>
                    <w:bottom w:val="single" w:color="000000" w:sz="4" w:space="0"/>
                    <w:right w:val="single" w:color="000000" w:sz="4" w:space="0"/>
                  </w:tcBorders>
                  <w:shd w:val="clear" w:color="auto" w:fill="auto"/>
                  <w:vAlign w:val="center"/>
                </w:tcPr>
                <w:p w14:paraId="66A98AFD">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生活污水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D011">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COD</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EFBB4">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经验系数法</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2FF41">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14</w:t>
                  </w:r>
                  <w:r>
                    <w:rPr>
                      <w:rFonts w:ascii="Times New Roman" w:hAnsi="Times New Roman" w:cs="Times New Roman"/>
                      <w:color w:val="auto"/>
                      <w:sz w:val="21"/>
                      <w:szCs w:val="21"/>
                      <w:lang w:val="en-US"/>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DCCB">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300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EDDF">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0.0</w:t>
                  </w:r>
                  <w:r>
                    <w:rPr>
                      <w:rFonts w:hint="eastAsia" w:ascii="Times New Roman" w:hAnsi="Times New Roman" w:cs="Times New Roman"/>
                      <w:color w:val="auto"/>
                      <w:sz w:val="21"/>
                      <w:szCs w:val="21"/>
                      <w:lang w:val="en-US"/>
                    </w:rPr>
                    <w:t>444</w:t>
                  </w:r>
                  <w:r>
                    <w:rPr>
                      <w:rFonts w:ascii="Times New Roman" w:hAnsi="Times New Roman" w:cs="Times New Roman"/>
                      <w:color w:val="auto"/>
                      <w:sz w:val="21"/>
                      <w:szCs w:val="21"/>
                      <w:lang w:val="en-US"/>
                    </w:rPr>
                    <w:t xml:space="preserve"> </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39DF7">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68A2">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E413">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不外排</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A3EB3">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泼洒抑尘</w:t>
                  </w:r>
                </w:p>
              </w:tc>
            </w:tr>
            <w:tr w14:paraId="50F6F0E1">
              <w:tblPrEx>
                <w:tblCellMar>
                  <w:top w:w="0" w:type="dxa"/>
                  <w:left w:w="108" w:type="dxa"/>
                  <w:bottom w:w="0" w:type="dxa"/>
                  <w:right w:w="108" w:type="dxa"/>
                </w:tblCellMar>
              </w:tblPrEx>
              <w:trPr>
                <w:trHeight w:val="57"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E5E4">
                  <w:pPr>
                    <w:widowControl/>
                    <w:ind w:left="-110" w:leftChars="-50" w:right="-110" w:rightChars="-50"/>
                    <w:jc w:val="center"/>
                    <w:rPr>
                      <w:rFonts w:ascii="Times New Roman" w:hAnsi="Times New Roman" w:cs="Times New Roman"/>
                      <w:color w:val="auto"/>
                      <w:sz w:val="21"/>
                      <w:szCs w:val="21"/>
                    </w:rPr>
                  </w:pPr>
                </w:p>
              </w:tc>
              <w:tc>
                <w:tcPr>
                  <w:tcW w:w="1496" w:type="dxa"/>
                  <w:vMerge w:val="continue"/>
                  <w:tcBorders>
                    <w:top w:val="single" w:color="000000" w:sz="4" w:space="0"/>
                    <w:left w:val="nil"/>
                    <w:bottom w:val="single" w:color="000000" w:sz="4" w:space="0"/>
                    <w:right w:val="single" w:color="000000" w:sz="4" w:space="0"/>
                  </w:tcBorders>
                  <w:shd w:val="clear" w:color="auto" w:fill="auto"/>
                  <w:vAlign w:val="center"/>
                </w:tcPr>
                <w:p w14:paraId="488C76B1">
                  <w:pPr>
                    <w:widowControl/>
                    <w:ind w:left="-110" w:leftChars="-50" w:right="-110" w:rightChars="-50"/>
                    <w:jc w:val="center"/>
                    <w:rPr>
                      <w:rFonts w:ascii="Times New Roman" w:hAnsi="Times New Roman" w:cs="Times New Roman"/>
                      <w:color w:val="auto"/>
                      <w:sz w:val="21"/>
                      <w:szCs w:val="21"/>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17FA">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BOD</w:t>
                  </w:r>
                  <w:r>
                    <w:rPr>
                      <w:rFonts w:ascii="Times New Roman" w:hAnsi="Times New Roman" w:cs="Times New Roman"/>
                      <w:color w:val="auto"/>
                      <w:sz w:val="21"/>
                      <w:szCs w:val="21"/>
                      <w:vertAlign w:val="subscript"/>
                      <w:lang w:val="en-US"/>
                    </w:rPr>
                    <w:t>5</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AED20">
                  <w:pPr>
                    <w:widowControl/>
                    <w:ind w:left="-110" w:leftChars="-50" w:right="-110" w:rightChars="-50"/>
                    <w:jc w:val="center"/>
                    <w:rPr>
                      <w:rFonts w:ascii="Times New Roman" w:hAnsi="Times New Roman" w:cs="Times New Roman"/>
                      <w:color w:val="auto"/>
                      <w:sz w:val="21"/>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A1BBE">
                  <w:pPr>
                    <w:widowControl/>
                    <w:ind w:left="-110" w:leftChars="-50" w:right="-110" w:rightChars="-50"/>
                    <w:jc w:val="center"/>
                    <w:rPr>
                      <w:rFonts w:ascii="Times New Roman" w:hAnsi="Times New Roman" w:cs="Times New Roman"/>
                      <w:color w:val="auto"/>
                      <w:sz w:val="21"/>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33EF">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150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4E67">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0.0</w:t>
                  </w:r>
                  <w:r>
                    <w:rPr>
                      <w:rFonts w:hint="eastAsia" w:ascii="Times New Roman" w:hAnsi="Times New Roman" w:cs="Times New Roman"/>
                      <w:color w:val="auto"/>
                      <w:sz w:val="21"/>
                      <w:szCs w:val="21"/>
                      <w:lang w:val="en-US"/>
                    </w:rPr>
                    <w:t>222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4EE8B">
                  <w:pPr>
                    <w:widowControl/>
                    <w:ind w:left="-110" w:leftChars="-50" w:right="-110" w:rightChars="-50"/>
                    <w:jc w:val="center"/>
                    <w:rPr>
                      <w:rFonts w:ascii="Times New Roman" w:hAnsi="Times New Roman" w:cs="Times New Roman"/>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5E3F">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D461">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不外排</w:t>
                  </w: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949B6">
                  <w:pPr>
                    <w:widowControl/>
                    <w:ind w:left="-110" w:leftChars="-50" w:right="-110" w:rightChars="-50"/>
                    <w:jc w:val="center"/>
                    <w:rPr>
                      <w:rFonts w:ascii="Times New Roman" w:hAnsi="Times New Roman" w:cs="Times New Roman"/>
                      <w:color w:val="auto"/>
                      <w:sz w:val="21"/>
                      <w:szCs w:val="21"/>
                    </w:rPr>
                  </w:pPr>
                </w:p>
              </w:tc>
            </w:tr>
            <w:tr w14:paraId="23696931">
              <w:tblPrEx>
                <w:tblCellMar>
                  <w:top w:w="0" w:type="dxa"/>
                  <w:left w:w="108" w:type="dxa"/>
                  <w:bottom w:w="0" w:type="dxa"/>
                  <w:right w:w="108" w:type="dxa"/>
                </w:tblCellMar>
              </w:tblPrEx>
              <w:trPr>
                <w:trHeight w:val="90"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B178">
                  <w:pPr>
                    <w:widowControl/>
                    <w:ind w:left="-110" w:leftChars="-50" w:right="-110" w:rightChars="-50"/>
                    <w:jc w:val="center"/>
                    <w:rPr>
                      <w:rFonts w:ascii="Times New Roman" w:hAnsi="Times New Roman" w:cs="Times New Roman"/>
                      <w:color w:val="auto"/>
                      <w:sz w:val="21"/>
                      <w:szCs w:val="21"/>
                    </w:rPr>
                  </w:pPr>
                </w:p>
              </w:tc>
              <w:tc>
                <w:tcPr>
                  <w:tcW w:w="1496" w:type="dxa"/>
                  <w:vMerge w:val="continue"/>
                  <w:tcBorders>
                    <w:top w:val="single" w:color="000000" w:sz="4" w:space="0"/>
                    <w:left w:val="nil"/>
                    <w:bottom w:val="single" w:color="000000" w:sz="4" w:space="0"/>
                    <w:right w:val="single" w:color="000000" w:sz="4" w:space="0"/>
                  </w:tcBorders>
                  <w:shd w:val="clear" w:color="auto" w:fill="auto"/>
                  <w:vAlign w:val="center"/>
                </w:tcPr>
                <w:p w14:paraId="72DA095D">
                  <w:pPr>
                    <w:widowControl/>
                    <w:ind w:left="-110" w:leftChars="-50" w:right="-110" w:rightChars="-50"/>
                    <w:jc w:val="center"/>
                    <w:rPr>
                      <w:rFonts w:ascii="Times New Roman" w:hAnsi="Times New Roman" w:cs="Times New Roman"/>
                      <w:color w:val="auto"/>
                      <w:sz w:val="21"/>
                      <w:szCs w:val="21"/>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C824">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NH</w:t>
                  </w:r>
                  <w:r>
                    <w:rPr>
                      <w:rFonts w:ascii="Times New Roman" w:hAnsi="Times New Roman" w:cs="Times New Roman"/>
                      <w:color w:val="auto"/>
                      <w:sz w:val="21"/>
                      <w:szCs w:val="21"/>
                      <w:vertAlign w:val="subscript"/>
                      <w:lang w:val="en-US"/>
                    </w:rPr>
                    <w:t>3</w:t>
                  </w:r>
                  <w:r>
                    <w:rPr>
                      <w:rFonts w:ascii="Times New Roman" w:hAnsi="Times New Roman" w:cs="Times New Roman"/>
                      <w:color w:val="auto"/>
                      <w:sz w:val="21"/>
                      <w:szCs w:val="21"/>
                      <w:lang w:val="en-US"/>
                    </w:rPr>
                    <w:t>-N</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2712D">
                  <w:pPr>
                    <w:widowControl/>
                    <w:ind w:left="-110" w:leftChars="-50" w:right="-110" w:rightChars="-50"/>
                    <w:jc w:val="center"/>
                    <w:rPr>
                      <w:rFonts w:ascii="Times New Roman" w:hAnsi="Times New Roman" w:cs="Times New Roman"/>
                      <w:color w:val="auto"/>
                      <w:sz w:val="21"/>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EEF76">
                  <w:pPr>
                    <w:widowControl/>
                    <w:ind w:left="-110" w:leftChars="-50" w:right="-110" w:rightChars="-50"/>
                    <w:jc w:val="center"/>
                    <w:rPr>
                      <w:rFonts w:ascii="Times New Roman" w:hAnsi="Times New Roman" w:cs="Times New Roman"/>
                      <w:color w:val="auto"/>
                      <w:sz w:val="21"/>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6F09">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D6EE">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0.00</w:t>
                  </w:r>
                  <w:r>
                    <w:rPr>
                      <w:rFonts w:hint="eastAsia" w:ascii="Times New Roman" w:hAnsi="Times New Roman" w:cs="Times New Roman"/>
                      <w:color w:val="auto"/>
                      <w:sz w:val="21"/>
                      <w:szCs w:val="21"/>
                      <w:lang w:val="en-US"/>
                    </w:rPr>
                    <w:t>37</w:t>
                  </w:r>
                  <w:r>
                    <w:rPr>
                      <w:rFonts w:ascii="Times New Roman" w:hAnsi="Times New Roman" w:cs="Times New Roman"/>
                      <w:color w:val="auto"/>
                      <w:sz w:val="21"/>
                      <w:szCs w:val="21"/>
                      <w:lang w:val="en-US"/>
                    </w:rPr>
                    <w:t xml:space="preserve"> </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D0CA4">
                  <w:pPr>
                    <w:widowControl/>
                    <w:ind w:left="-110" w:leftChars="-50" w:right="-110" w:rightChars="-50"/>
                    <w:jc w:val="center"/>
                    <w:rPr>
                      <w:rFonts w:ascii="Times New Roman" w:hAnsi="Times New Roman" w:cs="Times New Roman"/>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2FF8">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4EA9">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不外排</w:t>
                  </w: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56F09">
                  <w:pPr>
                    <w:widowControl/>
                    <w:ind w:left="-110" w:leftChars="-50" w:right="-110" w:rightChars="-50"/>
                    <w:jc w:val="center"/>
                    <w:rPr>
                      <w:rFonts w:ascii="Times New Roman" w:hAnsi="Times New Roman" w:cs="Times New Roman"/>
                      <w:color w:val="auto"/>
                      <w:sz w:val="21"/>
                      <w:szCs w:val="21"/>
                    </w:rPr>
                  </w:pPr>
                </w:p>
              </w:tc>
            </w:tr>
            <w:tr w14:paraId="76790342">
              <w:tblPrEx>
                <w:tblCellMar>
                  <w:top w:w="0" w:type="dxa"/>
                  <w:left w:w="108" w:type="dxa"/>
                  <w:bottom w:w="0" w:type="dxa"/>
                  <w:right w:w="108" w:type="dxa"/>
                </w:tblCellMar>
              </w:tblPrEx>
              <w:trPr>
                <w:trHeight w:val="57"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2F30">
                  <w:pPr>
                    <w:widowControl/>
                    <w:ind w:left="-110" w:leftChars="-50" w:right="-110" w:rightChars="-50"/>
                    <w:jc w:val="center"/>
                    <w:rPr>
                      <w:rFonts w:ascii="Times New Roman" w:hAnsi="Times New Roman" w:cs="Times New Roman"/>
                      <w:color w:val="auto"/>
                      <w:sz w:val="21"/>
                      <w:szCs w:val="21"/>
                    </w:rPr>
                  </w:pPr>
                </w:p>
              </w:tc>
              <w:tc>
                <w:tcPr>
                  <w:tcW w:w="1496" w:type="dxa"/>
                  <w:vMerge w:val="continue"/>
                  <w:tcBorders>
                    <w:top w:val="single" w:color="000000" w:sz="4" w:space="0"/>
                    <w:left w:val="nil"/>
                    <w:bottom w:val="single" w:color="000000" w:sz="4" w:space="0"/>
                    <w:right w:val="single" w:color="000000" w:sz="4" w:space="0"/>
                  </w:tcBorders>
                  <w:shd w:val="clear" w:color="auto" w:fill="auto"/>
                  <w:vAlign w:val="center"/>
                </w:tcPr>
                <w:p w14:paraId="4DA2E15A">
                  <w:pPr>
                    <w:widowControl/>
                    <w:ind w:left="-110" w:leftChars="-50" w:right="-110" w:rightChars="-50"/>
                    <w:jc w:val="center"/>
                    <w:rPr>
                      <w:rFonts w:ascii="Times New Roman" w:hAnsi="Times New Roman" w:cs="Times New Roman"/>
                      <w:color w:val="auto"/>
                      <w:sz w:val="21"/>
                      <w:szCs w:val="21"/>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6988">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SS</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605A0">
                  <w:pPr>
                    <w:widowControl/>
                    <w:ind w:left="-110" w:leftChars="-50" w:right="-110" w:rightChars="-50"/>
                    <w:jc w:val="center"/>
                    <w:rPr>
                      <w:rFonts w:ascii="Times New Roman" w:hAnsi="Times New Roman" w:cs="Times New Roman"/>
                      <w:color w:val="auto"/>
                      <w:sz w:val="21"/>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F6829">
                  <w:pPr>
                    <w:widowControl/>
                    <w:ind w:left="-110" w:leftChars="-50" w:right="-110" w:rightChars="-50"/>
                    <w:jc w:val="center"/>
                    <w:rPr>
                      <w:rFonts w:ascii="Times New Roman" w:hAnsi="Times New Roman" w:cs="Times New Roman"/>
                      <w:color w:val="auto"/>
                      <w:sz w:val="21"/>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9BED">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240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EC38">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0.0</w:t>
                  </w:r>
                  <w:r>
                    <w:rPr>
                      <w:rFonts w:hint="eastAsia" w:ascii="Times New Roman" w:hAnsi="Times New Roman" w:cs="Times New Roman"/>
                      <w:color w:val="auto"/>
                      <w:sz w:val="21"/>
                      <w:szCs w:val="21"/>
                      <w:lang w:val="en-US"/>
                    </w:rPr>
                    <w:t>355</w:t>
                  </w:r>
                  <w:r>
                    <w:rPr>
                      <w:rFonts w:ascii="Times New Roman" w:hAnsi="Times New Roman" w:cs="Times New Roman"/>
                      <w:color w:val="auto"/>
                      <w:sz w:val="21"/>
                      <w:szCs w:val="21"/>
                      <w:lang w:val="en-US"/>
                    </w:rPr>
                    <w:t xml:space="preserve"> </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2E532">
                  <w:pPr>
                    <w:widowControl/>
                    <w:ind w:left="-110" w:leftChars="-50" w:right="-110" w:rightChars="-50"/>
                    <w:jc w:val="center"/>
                    <w:rPr>
                      <w:rFonts w:ascii="Times New Roman" w:hAnsi="Times New Roman" w:cs="Times New Roman"/>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0791">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0</w:t>
                  </w:r>
                  <w:r>
                    <w:rPr>
                      <w:rFonts w:ascii="Times New Roman" w:hAnsi="Times New Roman" w:cs="Times New Roman"/>
                      <w:color w:val="auto"/>
                      <w:sz w:val="21"/>
                      <w:szCs w:val="21"/>
                      <w:lang w:val="en-US"/>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3577">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不外排</w:t>
                  </w: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F74DB">
                  <w:pPr>
                    <w:widowControl/>
                    <w:ind w:left="-110" w:leftChars="-50" w:right="-110" w:rightChars="-50"/>
                    <w:jc w:val="center"/>
                    <w:rPr>
                      <w:rFonts w:ascii="Times New Roman" w:hAnsi="Times New Roman" w:cs="Times New Roman"/>
                      <w:color w:val="auto"/>
                      <w:sz w:val="21"/>
                      <w:szCs w:val="21"/>
                    </w:rPr>
                  </w:pPr>
                </w:p>
              </w:tc>
            </w:tr>
          </w:tbl>
          <w:p w14:paraId="7F1E99BD">
            <w:pPr>
              <w:autoSpaceDE/>
              <w:autoSpaceDN/>
              <w:adjustRightInd w:val="0"/>
              <w:snapToGrid w:val="0"/>
              <w:spacing w:line="400" w:lineRule="exact"/>
              <w:ind w:left="110" w:leftChars="50" w:firstLine="422" w:firstLineChars="200"/>
              <w:rPr>
                <w:rFonts w:ascii="Times New Roman" w:hAnsi="Times New Roman" w:cs="Times New Roman"/>
                <w:color w:val="auto"/>
                <w:kern w:val="2"/>
                <w:sz w:val="21"/>
                <w:szCs w:val="21"/>
                <w:lang w:val="en-US" w:bidi="ar-SA"/>
              </w:rPr>
            </w:pPr>
            <w:r>
              <w:rPr>
                <w:rFonts w:ascii="Times New Roman" w:hAnsi="Times New Roman" w:cs="Times New Roman"/>
                <w:b/>
                <w:bCs/>
                <w:color w:val="auto"/>
                <w:kern w:val="2"/>
                <w:sz w:val="21"/>
                <w:szCs w:val="21"/>
                <w:lang w:val="en-US" w:bidi="ar-SA"/>
              </w:rPr>
              <w:t>职工生活污水：</w:t>
            </w:r>
            <w:r>
              <w:rPr>
                <w:rFonts w:ascii="Times New Roman" w:hAnsi="Times New Roman" w:cs="Times New Roman"/>
                <w:color w:val="auto"/>
                <w:kern w:val="2"/>
                <w:sz w:val="21"/>
                <w:szCs w:val="21"/>
                <w:lang w:val="en-US" w:bidi="ar-SA"/>
              </w:rPr>
              <w:t>生活污水产生量为</w:t>
            </w:r>
            <w:r>
              <w:rPr>
                <w:rFonts w:hint="eastAsia" w:ascii="Times New Roman" w:hAnsi="Times New Roman" w:cs="Times New Roman"/>
                <w:color w:val="auto"/>
                <w:kern w:val="2"/>
                <w:sz w:val="21"/>
                <w:szCs w:val="21"/>
                <w:lang w:val="en-US" w:bidi="ar-SA"/>
              </w:rPr>
              <w:t>148</w:t>
            </w:r>
            <w:r>
              <w:rPr>
                <w:rFonts w:ascii="Times New Roman" w:hAnsi="Times New Roman" w:cs="Times New Roman"/>
                <w:color w:val="auto"/>
                <w:kern w:val="2"/>
                <w:sz w:val="21"/>
                <w:szCs w:val="21"/>
                <w:lang w:val="en-US" w:bidi="ar-SA"/>
              </w:rPr>
              <w:t>m</w:t>
            </w:r>
            <w:r>
              <w:rPr>
                <w:rFonts w:ascii="Times New Roman" w:hAnsi="Times New Roman" w:cs="Times New Roman"/>
                <w:color w:val="auto"/>
                <w:kern w:val="2"/>
                <w:sz w:val="21"/>
                <w:szCs w:val="21"/>
                <w:vertAlign w:val="superscript"/>
                <w:lang w:val="en-US" w:bidi="ar-SA"/>
              </w:rPr>
              <w:t>3</w:t>
            </w:r>
            <w:r>
              <w:rPr>
                <w:rFonts w:ascii="Times New Roman" w:hAnsi="Times New Roman" w:cs="Times New Roman"/>
                <w:color w:val="auto"/>
                <w:kern w:val="2"/>
                <w:sz w:val="21"/>
                <w:szCs w:val="21"/>
                <w:lang w:val="en-US" w:bidi="ar-SA"/>
              </w:rPr>
              <w:t>/a，职工生活污水用于厂区泼洒抑尘，厂区设防渗旱厕，定期清掏</w:t>
            </w:r>
            <w:r>
              <w:rPr>
                <w:rFonts w:hint="eastAsia" w:ascii="Times New Roman" w:hAnsi="Times New Roman" w:cs="Times New Roman"/>
                <w:color w:val="auto"/>
                <w:kern w:val="2"/>
                <w:sz w:val="21"/>
                <w:szCs w:val="21"/>
                <w:lang w:val="en-US" w:eastAsia="zh-CN" w:bidi="ar-SA"/>
              </w:rPr>
              <w:t>用作农肥</w:t>
            </w:r>
            <w:r>
              <w:rPr>
                <w:rFonts w:ascii="Times New Roman" w:hAnsi="Times New Roman" w:cs="Times New Roman"/>
                <w:color w:val="auto"/>
                <w:kern w:val="2"/>
                <w:sz w:val="21"/>
                <w:szCs w:val="21"/>
                <w:lang w:val="en-US" w:bidi="ar-SA"/>
              </w:rPr>
              <w:t>。</w:t>
            </w:r>
            <w:r>
              <w:rPr>
                <w:rFonts w:hint="eastAsia" w:ascii="Times New Roman" w:hAnsi="Times New Roman" w:cs="Times New Roman"/>
                <w:color w:val="auto"/>
                <w:kern w:val="2"/>
                <w:sz w:val="21"/>
                <w:szCs w:val="21"/>
                <w:lang w:val="en-US" w:bidi="ar-SA"/>
              </w:rPr>
              <w:t>不外排。</w:t>
            </w:r>
          </w:p>
          <w:p w14:paraId="2701A938">
            <w:pPr>
              <w:autoSpaceDE/>
              <w:autoSpaceDN/>
              <w:adjustRightInd w:val="0"/>
              <w:snapToGrid w:val="0"/>
              <w:spacing w:line="400" w:lineRule="exact"/>
              <w:ind w:left="110" w:leftChars="50" w:firstLine="422" w:firstLineChars="200"/>
              <w:rPr>
                <w:rFonts w:ascii="Times New Roman" w:hAnsi="Times New Roman" w:cs="Times New Roman"/>
                <w:b/>
                <w:bCs/>
                <w:color w:val="auto"/>
                <w:spacing w:val="-4"/>
                <w:sz w:val="21"/>
                <w:szCs w:val="21"/>
                <w:lang w:val="en-US" w:bidi="ar-SA"/>
              </w:rPr>
            </w:pPr>
            <w:r>
              <w:rPr>
                <w:rFonts w:hint="eastAsia" w:ascii="Times New Roman" w:hAnsi="Times New Roman" w:eastAsia="宋体" w:cs="Times New Roman"/>
                <w:b/>
                <w:bCs/>
                <w:color w:val="auto"/>
                <w:sz w:val="21"/>
                <w:szCs w:val="21"/>
                <w:highlight w:val="none"/>
                <w:lang w:val="en-US" w:eastAsia="zh-CN" w:bidi="ar-SA"/>
              </w:rPr>
              <w:t>2、</w:t>
            </w:r>
            <w:r>
              <w:rPr>
                <w:rFonts w:hint="eastAsia" w:ascii="Times New Roman" w:hAnsi="Times New Roman" w:cs="Times New Roman"/>
                <w:b/>
                <w:bCs/>
                <w:color w:val="auto"/>
                <w:spacing w:val="-4"/>
                <w:sz w:val="21"/>
                <w:szCs w:val="21"/>
                <w:lang w:val="en-US" w:bidi="ar-SA"/>
              </w:rPr>
              <w:t>水</w:t>
            </w:r>
            <w:r>
              <w:rPr>
                <w:rFonts w:ascii="Times New Roman" w:hAnsi="Times New Roman" w:cs="Times New Roman"/>
                <w:b/>
                <w:bCs/>
                <w:color w:val="auto"/>
                <w:spacing w:val="-4"/>
                <w:sz w:val="21"/>
                <w:szCs w:val="21"/>
                <w:lang w:val="en-US" w:bidi="ar-SA"/>
              </w:rPr>
              <w:t>环境</w:t>
            </w:r>
            <w:r>
              <w:rPr>
                <w:rFonts w:hint="eastAsia" w:ascii="Times New Roman" w:hAnsi="Times New Roman" w:cs="Times New Roman"/>
                <w:b/>
                <w:bCs/>
                <w:color w:val="auto"/>
                <w:spacing w:val="-4"/>
                <w:sz w:val="21"/>
                <w:szCs w:val="21"/>
                <w:lang w:val="en-US" w:bidi="ar-SA"/>
              </w:rPr>
              <w:t>环境</w:t>
            </w:r>
            <w:r>
              <w:rPr>
                <w:rFonts w:ascii="Times New Roman" w:hAnsi="Times New Roman" w:cs="Times New Roman"/>
                <w:b/>
                <w:bCs/>
                <w:color w:val="auto"/>
                <w:spacing w:val="-4"/>
                <w:sz w:val="21"/>
                <w:szCs w:val="21"/>
                <w:lang w:val="en-US" w:bidi="ar-SA"/>
              </w:rPr>
              <w:t>分析结论</w:t>
            </w:r>
          </w:p>
          <w:p w14:paraId="6597AB8E">
            <w:pPr>
              <w:autoSpaceDE/>
              <w:autoSpaceDN/>
              <w:adjustRightInd w:val="0"/>
              <w:snapToGrid w:val="0"/>
              <w:spacing w:line="400" w:lineRule="exact"/>
              <w:ind w:left="110" w:leftChars="50" w:firstLine="404" w:firstLineChars="200"/>
              <w:rPr>
                <w:rFonts w:hint="eastAsia" w:ascii="Times New Roman" w:hAnsi="Times New Roman" w:cs="Times New Roman"/>
                <w:color w:val="auto"/>
                <w:sz w:val="21"/>
                <w:szCs w:val="21"/>
                <w:lang w:val="en-US" w:eastAsia="zh-CN"/>
              </w:rPr>
            </w:pPr>
            <w:r>
              <w:rPr>
                <w:rFonts w:ascii="Times New Roman" w:hAnsi="Times New Roman" w:cs="Times New Roman"/>
                <w:color w:val="auto"/>
                <w:spacing w:val="-4"/>
                <w:sz w:val="21"/>
                <w:szCs w:val="21"/>
                <w:lang w:val="en-US" w:bidi="ar-SA"/>
              </w:rPr>
              <w:t>本项目</w:t>
            </w:r>
            <w:r>
              <w:rPr>
                <w:rFonts w:hint="eastAsia" w:ascii="Times New Roman" w:hAnsi="Times New Roman" w:cs="Times New Roman"/>
                <w:color w:val="auto"/>
                <w:spacing w:val="-4"/>
                <w:sz w:val="21"/>
                <w:szCs w:val="21"/>
                <w:lang w:val="en-US" w:eastAsia="zh-CN" w:bidi="ar-SA"/>
              </w:rPr>
              <w:t>无生产废水。</w:t>
            </w:r>
            <w:r>
              <w:rPr>
                <w:rFonts w:hint="eastAsia" w:ascii="Times New Roman" w:hAnsi="Times New Roman" w:cs="Times New Roman"/>
                <w:color w:val="auto"/>
                <w:sz w:val="21"/>
                <w:szCs w:val="21"/>
                <w:lang w:val="en-US" w:eastAsia="zh-CN"/>
              </w:rPr>
              <w:t>冷却水循环使用，不外排。</w:t>
            </w:r>
          </w:p>
          <w:p w14:paraId="45BF9A78">
            <w:pPr>
              <w:autoSpaceDE/>
              <w:autoSpaceDN/>
              <w:adjustRightInd w:val="0"/>
              <w:snapToGri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产生的废水只是职工生活污水，</w:t>
            </w:r>
            <w:r>
              <w:rPr>
                <w:rFonts w:ascii="Times New Roman" w:hAnsi="Times New Roman" w:cs="Times New Roman"/>
                <w:color w:val="auto"/>
                <w:kern w:val="2"/>
                <w:sz w:val="21"/>
                <w:szCs w:val="21"/>
                <w:lang w:val="en-US" w:bidi="ar-SA"/>
              </w:rPr>
              <w:t>职工生活污水用于厂区泼洒抑尘，厂区设防渗旱厕，定期清掏</w:t>
            </w:r>
            <w:r>
              <w:rPr>
                <w:rFonts w:hint="eastAsia" w:ascii="Times New Roman" w:hAnsi="Times New Roman" w:cs="Times New Roman"/>
                <w:color w:val="auto"/>
                <w:kern w:val="2"/>
                <w:sz w:val="21"/>
                <w:szCs w:val="21"/>
                <w:lang w:val="en-US" w:eastAsia="zh-CN" w:bidi="ar-SA"/>
              </w:rPr>
              <w:t>用作农肥</w:t>
            </w:r>
            <w:r>
              <w:rPr>
                <w:rFonts w:ascii="Times New Roman" w:hAnsi="Times New Roman" w:cs="Times New Roman"/>
                <w:color w:val="auto"/>
                <w:spacing w:val="-4"/>
                <w:sz w:val="21"/>
                <w:szCs w:val="21"/>
                <w:lang w:val="en-US" w:bidi="ar-SA"/>
              </w:rPr>
              <w:t>，</w:t>
            </w:r>
            <w:r>
              <w:rPr>
                <w:rFonts w:hint="eastAsia" w:ascii="Times New Roman" w:hAnsi="Times New Roman" w:cs="Times New Roman"/>
                <w:color w:val="auto"/>
                <w:kern w:val="2"/>
                <w:sz w:val="21"/>
                <w:szCs w:val="21"/>
                <w:lang w:val="en-US" w:bidi="ar-SA"/>
              </w:rPr>
              <w:t>不外排</w:t>
            </w:r>
            <w:r>
              <w:rPr>
                <w:rFonts w:ascii="Times New Roman" w:hAnsi="Times New Roman" w:cs="Times New Roman"/>
                <w:color w:val="auto"/>
                <w:kern w:val="2"/>
                <w:sz w:val="21"/>
                <w:szCs w:val="21"/>
                <w:lang w:val="en-US" w:bidi="ar-SA"/>
              </w:rPr>
              <w:t>。</w:t>
            </w:r>
            <w:r>
              <w:rPr>
                <w:rFonts w:ascii="Times New Roman" w:hAnsi="Times New Roman" w:cs="Times New Roman"/>
                <w:color w:val="auto"/>
                <w:spacing w:val="-4"/>
                <w:sz w:val="21"/>
                <w:szCs w:val="21"/>
                <w:lang w:val="en-US" w:bidi="ar-SA"/>
              </w:rPr>
              <w:t>不会对地表水环境产生影响</w:t>
            </w:r>
            <w:r>
              <w:rPr>
                <w:rFonts w:hint="eastAsia" w:ascii="Times New Roman" w:hAnsi="Times New Roman" w:cs="Times New Roman"/>
                <w:color w:val="auto"/>
                <w:spacing w:val="-4"/>
                <w:sz w:val="21"/>
                <w:szCs w:val="21"/>
                <w:lang w:val="en-US" w:bidi="ar-SA"/>
              </w:rPr>
              <w:t>。</w:t>
            </w:r>
          </w:p>
          <w:p w14:paraId="78F9161E">
            <w:pPr>
              <w:pStyle w:val="28"/>
              <w:keepNext w:val="0"/>
              <w:keepLines w:val="0"/>
              <w:pageBreakBefore w:val="0"/>
              <w:widowControl w:val="0"/>
              <w:kinsoku/>
              <w:wordWrap/>
              <w:overflowPunct/>
              <w:topLinePunct w:val="0"/>
              <w:autoSpaceDE/>
              <w:autoSpaceDN/>
              <w:bidi w:val="0"/>
              <w:adjustRightInd/>
              <w:snapToGrid/>
              <w:spacing w:before="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三、噪声</w:t>
            </w:r>
          </w:p>
          <w:p w14:paraId="183FCD08">
            <w:pPr>
              <w:pStyle w:val="2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80" w:firstLineChars="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1、噪声排放及治理</w:t>
            </w:r>
          </w:p>
          <w:p w14:paraId="01FE5454">
            <w:pPr>
              <w:pStyle w:val="2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8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w:t>
            </w:r>
            <w:r>
              <w:rPr>
                <w:rFonts w:hint="eastAsia" w:ascii="Times New Roman" w:hAnsi="Times New Roman" w:cs="Times New Roman"/>
                <w:color w:val="auto"/>
                <w:sz w:val="21"/>
                <w:szCs w:val="21"/>
                <w:lang w:val="en-US" w:eastAsia="zh-CN"/>
              </w:rPr>
              <w:t>无室外噪声源，</w:t>
            </w:r>
            <w:r>
              <w:rPr>
                <w:rFonts w:hint="default" w:ascii="Times New Roman" w:hAnsi="Times New Roman" w:cs="Times New Roman"/>
                <w:color w:val="auto"/>
                <w:sz w:val="21"/>
                <w:szCs w:val="21"/>
                <w:lang w:val="en-US" w:eastAsia="zh-CN"/>
              </w:rPr>
              <w:t>产生的噪声主要来源于</w:t>
            </w:r>
            <w:r>
              <w:rPr>
                <w:rFonts w:hint="eastAsia" w:ascii="Times New Roman" w:hAnsi="Times New Roman" w:cs="Times New Roman"/>
                <w:color w:val="auto"/>
                <w:sz w:val="21"/>
                <w:szCs w:val="21"/>
                <w:lang w:val="en-US" w:eastAsia="zh-CN"/>
              </w:rPr>
              <w:t>厂房内</w:t>
            </w:r>
            <w:r>
              <w:rPr>
                <w:rFonts w:hint="default" w:ascii="Times New Roman" w:hAnsi="Times New Roman" w:cs="Times New Roman"/>
                <w:color w:val="auto"/>
                <w:sz w:val="21"/>
                <w:szCs w:val="21"/>
                <w:lang w:val="en-US" w:eastAsia="zh-CN"/>
              </w:rPr>
              <w:t xml:space="preserve">各生产工序设备运行时产生的噪声，参考《环境噪声与振动控制工程技术导则》（HJ2034-2013）、《污染源源强核算技术指南 </w:t>
            </w:r>
            <w:r>
              <w:rPr>
                <w:rFonts w:hint="eastAsia" w:ascii="Times New Roman" w:hAnsi="Times New Roman" w:cs="Times New Roman"/>
                <w:color w:val="auto"/>
                <w:sz w:val="21"/>
                <w:szCs w:val="21"/>
                <w:lang w:val="en-US" w:eastAsia="zh-CN"/>
              </w:rPr>
              <w:t>准则</w:t>
            </w:r>
            <w:r>
              <w:rPr>
                <w:rFonts w:hint="default" w:ascii="Times New Roman" w:hAnsi="Times New Roman" w:cs="Times New Roman"/>
                <w:color w:val="auto"/>
                <w:sz w:val="21"/>
                <w:szCs w:val="21"/>
                <w:lang w:val="en-US" w:eastAsia="zh-CN"/>
              </w:rPr>
              <w:t xml:space="preserve">》（HJ </w:t>
            </w:r>
            <w:r>
              <w:rPr>
                <w:rFonts w:hint="eastAsia" w:ascii="Times New Roman" w:hAnsi="Times New Roman" w:cs="Times New Roman"/>
                <w:color w:val="auto"/>
                <w:sz w:val="21"/>
                <w:szCs w:val="21"/>
                <w:lang w:val="en-US" w:eastAsia="zh-CN"/>
              </w:rPr>
              <w:t>884</w:t>
            </w:r>
            <w:r>
              <w:rPr>
                <w:rFonts w:hint="default" w:ascii="Times New Roman" w:hAnsi="Times New Roman" w:cs="Times New Roman"/>
                <w:color w:val="auto"/>
                <w:sz w:val="21"/>
                <w:szCs w:val="21"/>
                <w:lang w:val="en-US" w:eastAsia="zh-CN"/>
              </w:rPr>
              <w:t>—20</w:t>
            </w:r>
            <w:r>
              <w:rPr>
                <w:rFonts w:hint="eastAsia" w:ascii="Times New Roman" w:hAnsi="Times New Roman" w:cs="Times New Roman"/>
                <w:color w:val="auto"/>
                <w:sz w:val="21"/>
                <w:szCs w:val="21"/>
                <w:lang w:val="en-US" w:eastAsia="zh-CN"/>
              </w:rPr>
              <w:t>18</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，类比同类项目相似设备声源源强，</w:t>
            </w:r>
            <w:r>
              <w:rPr>
                <w:rFonts w:hint="default" w:ascii="Times New Roman" w:hAnsi="Times New Roman" w:cs="Times New Roman"/>
                <w:color w:val="auto"/>
                <w:sz w:val="21"/>
                <w:szCs w:val="21"/>
                <w:lang w:val="en-US" w:eastAsia="zh-CN"/>
              </w:rPr>
              <w:t>结合本项目实际情况</w:t>
            </w:r>
            <w:r>
              <w:rPr>
                <w:rFonts w:hint="default" w:ascii="Times New Roman" w:hAnsi="Times New Roman" w:cs="Times New Roman"/>
                <w:color w:val="auto"/>
                <w:sz w:val="21"/>
                <w:szCs w:val="21"/>
                <w:lang w:val="en-US"/>
              </w:rPr>
              <w:t>，</w:t>
            </w:r>
            <w:r>
              <w:rPr>
                <w:rFonts w:hint="default" w:ascii="Times New Roman" w:hAnsi="Times New Roman" w:cs="Times New Roman"/>
                <w:color w:val="auto"/>
                <w:sz w:val="21"/>
                <w:szCs w:val="21"/>
                <w:lang w:val="en-US" w:eastAsia="zh-CN"/>
              </w:rPr>
              <w:t>各声源源强见下表。</w:t>
            </w:r>
          </w:p>
          <w:p w14:paraId="0190683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eastAsia" w:ascii="Times New Roman" w:hAnsi="Times New Roman" w:cs="Times New Roman"/>
                <w:color w:val="auto"/>
                <w:sz w:val="21"/>
                <w:szCs w:val="21"/>
                <w:lang w:eastAsia="zh-CN"/>
              </w:rPr>
            </w:pPr>
          </w:p>
          <w:p w14:paraId="3A7E9F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eastAsia" w:ascii="Times New Roman" w:hAnsi="Times New Roman" w:cs="Times New Roman"/>
                <w:color w:val="auto"/>
                <w:sz w:val="21"/>
                <w:szCs w:val="21"/>
                <w:lang w:eastAsia="zh-CN"/>
              </w:rPr>
            </w:pPr>
          </w:p>
          <w:p w14:paraId="223F69B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eastAsia" w:ascii="Times New Roman" w:hAnsi="Times New Roman" w:cs="Times New Roman"/>
                <w:color w:val="auto"/>
                <w:sz w:val="21"/>
                <w:szCs w:val="21"/>
                <w:lang w:eastAsia="zh-CN"/>
              </w:rPr>
            </w:pPr>
          </w:p>
          <w:p w14:paraId="389202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eastAsia" w:ascii="Times New Roman" w:hAnsi="Times New Roman" w:cs="Times New Roman"/>
                <w:color w:val="auto"/>
                <w:sz w:val="21"/>
                <w:szCs w:val="21"/>
                <w:lang w:eastAsia="zh-CN"/>
              </w:rPr>
            </w:pPr>
          </w:p>
          <w:p w14:paraId="66E2F7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eastAsia" w:ascii="Times New Roman" w:hAnsi="Times New Roman" w:cs="Times New Roman"/>
                <w:color w:val="auto"/>
                <w:sz w:val="21"/>
                <w:szCs w:val="21"/>
                <w:lang w:eastAsia="zh-CN"/>
              </w:rPr>
            </w:pPr>
          </w:p>
          <w:p w14:paraId="1DE39E3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eastAsia" w:ascii="Times New Roman" w:hAnsi="Times New Roman" w:cs="Times New Roman"/>
                <w:color w:val="auto"/>
                <w:sz w:val="21"/>
                <w:szCs w:val="21"/>
                <w:lang w:eastAsia="zh-CN"/>
              </w:rPr>
            </w:pPr>
          </w:p>
          <w:p w14:paraId="3713E9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eastAsia" w:ascii="Times New Roman" w:hAnsi="Times New Roman" w:cs="Times New Roman"/>
                <w:color w:val="auto"/>
                <w:sz w:val="21"/>
                <w:szCs w:val="21"/>
                <w:lang w:eastAsia="zh-CN"/>
              </w:rPr>
            </w:pPr>
          </w:p>
          <w:p w14:paraId="00D2E8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eastAsia" w:ascii="Times New Roman" w:hAnsi="Times New Roman" w:cs="Times New Roman"/>
                <w:color w:val="auto"/>
                <w:sz w:val="21"/>
                <w:szCs w:val="21"/>
                <w:lang w:eastAsia="zh-CN"/>
              </w:rPr>
            </w:pPr>
          </w:p>
          <w:p w14:paraId="3FFB96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eastAsia" w:ascii="Times New Roman" w:hAnsi="Times New Roman" w:cs="Times New Roman"/>
                <w:color w:val="auto"/>
                <w:sz w:val="21"/>
                <w:szCs w:val="21"/>
                <w:lang w:eastAsia="zh-CN"/>
              </w:rPr>
            </w:pPr>
          </w:p>
          <w:p w14:paraId="7F0A49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color w:val="auto"/>
                <w:sz w:val="21"/>
                <w:szCs w:val="21"/>
                <w:lang w:eastAsia="zh-CN"/>
              </w:rPr>
            </w:pPr>
          </w:p>
        </w:tc>
      </w:tr>
    </w:tbl>
    <w:p w14:paraId="446589BA">
      <w:pPr>
        <w:rPr>
          <w:rFonts w:hint="default" w:ascii="Times New Roman" w:hAnsi="Times New Roman" w:cs="Times New Roman"/>
          <w:color w:val="auto"/>
        </w:rPr>
        <w:sectPr>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tbl>
      <w:tblPr>
        <w:tblStyle w:val="35"/>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4417"/>
      </w:tblGrid>
      <w:tr w14:paraId="1E31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1" w:hRule="atLeast"/>
          <w:jc w:val="center"/>
        </w:trPr>
        <w:tc>
          <w:tcPr>
            <w:tcW w:w="471" w:type="dxa"/>
            <w:noWrap w:val="0"/>
            <w:vAlign w:val="top"/>
          </w:tcPr>
          <w:p w14:paraId="16A650A9">
            <w:pPr>
              <w:pStyle w:val="8"/>
              <w:jc w:val="both"/>
              <w:rPr>
                <w:rFonts w:hint="default" w:ascii="Times New Roman" w:hAnsi="Times New Roman" w:cs="Times New Roman"/>
                <w:color w:val="auto"/>
                <w:vertAlign w:val="baseline"/>
              </w:rPr>
            </w:pPr>
          </w:p>
        </w:tc>
        <w:tc>
          <w:tcPr>
            <w:tcW w:w="14417" w:type="dxa"/>
            <w:noWrap w:val="0"/>
            <w:vAlign w:val="top"/>
          </w:tcPr>
          <w:p w14:paraId="129B5195">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1" w:firstLineChars="1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w:t>
            </w:r>
            <w:r>
              <w:rPr>
                <w:rFonts w:hint="eastAsia" w:ascii="Times New Roman" w:hAnsi="Times New Roman" w:cs="Times New Roman"/>
                <w:b/>
                <w:bCs/>
                <w:color w:val="auto"/>
                <w:sz w:val="21"/>
                <w:szCs w:val="21"/>
                <w:lang w:val="en-US" w:eastAsia="zh-CN"/>
              </w:rPr>
              <w:t>10</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eastAsia="zh-CN"/>
              </w:rPr>
              <w:t>工业企业噪声源强调查清单</w:t>
            </w:r>
          </w:p>
          <w:tbl>
            <w:tblPr>
              <w:tblStyle w:val="34"/>
              <w:tblW w:w="13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
              <w:gridCol w:w="538"/>
              <w:gridCol w:w="1278"/>
              <w:gridCol w:w="838"/>
              <w:gridCol w:w="600"/>
              <w:gridCol w:w="427"/>
              <w:gridCol w:w="417"/>
              <w:gridCol w:w="448"/>
              <w:gridCol w:w="456"/>
              <w:gridCol w:w="442"/>
              <w:gridCol w:w="517"/>
              <w:gridCol w:w="435"/>
              <w:gridCol w:w="456"/>
              <w:gridCol w:w="442"/>
              <w:gridCol w:w="441"/>
              <w:gridCol w:w="563"/>
              <w:gridCol w:w="627"/>
              <w:gridCol w:w="427"/>
              <w:gridCol w:w="427"/>
              <w:gridCol w:w="442"/>
              <w:gridCol w:w="427"/>
              <w:gridCol w:w="378"/>
              <w:gridCol w:w="378"/>
              <w:gridCol w:w="396"/>
              <w:gridCol w:w="381"/>
              <w:gridCol w:w="579"/>
            </w:tblGrid>
            <w:tr w14:paraId="5D81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 w:type="dxa"/>
                  <w:vMerge w:val="restart"/>
                  <w:noWrap w:val="0"/>
                  <w:vAlign w:val="center"/>
                </w:tcPr>
                <w:p w14:paraId="7F9809E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bookmarkStart w:id="3" w:name="PT_6"/>
                  <w:r>
                    <w:rPr>
                      <w:rFonts w:hint="default" w:ascii="Times New Roman" w:hAnsi="Times New Roman" w:eastAsia="宋体" w:cs="Times New Roman"/>
                      <w:b/>
                      <w:color w:val="auto"/>
                      <w:sz w:val="21"/>
                      <w:szCs w:val="21"/>
                    </w:rPr>
                    <w:t>序号</w:t>
                  </w:r>
                </w:p>
              </w:tc>
              <w:tc>
                <w:tcPr>
                  <w:tcW w:w="538" w:type="dxa"/>
                  <w:vMerge w:val="restart"/>
                  <w:noWrap w:val="0"/>
                  <w:vAlign w:val="center"/>
                </w:tcPr>
                <w:p w14:paraId="17B1C12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建筑物名称</w:t>
                  </w:r>
                </w:p>
              </w:tc>
              <w:tc>
                <w:tcPr>
                  <w:tcW w:w="1278" w:type="dxa"/>
                  <w:vMerge w:val="restart"/>
                  <w:noWrap w:val="0"/>
                  <w:vAlign w:val="center"/>
                </w:tcPr>
                <w:p w14:paraId="3D2405A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838" w:type="dxa"/>
                  <w:noWrap w:val="0"/>
                  <w:vAlign w:val="center"/>
                </w:tcPr>
                <w:p w14:paraId="59F7B9A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声源源强</w:t>
                  </w:r>
                </w:p>
              </w:tc>
              <w:tc>
                <w:tcPr>
                  <w:tcW w:w="600" w:type="dxa"/>
                  <w:vMerge w:val="restart"/>
                  <w:noWrap w:val="0"/>
                  <w:vAlign w:val="center"/>
                </w:tcPr>
                <w:p w14:paraId="599CD57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声源控制措施</w:t>
                  </w:r>
                </w:p>
              </w:tc>
              <w:tc>
                <w:tcPr>
                  <w:tcW w:w="1292" w:type="dxa"/>
                  <w:gridSpan w:val="3"/>
                  <w:noWrap w:val="0"/>
                  <w:vAlign w:val="center"/>
                </w:tcPr>
                <w:p w14:paraId="22A4AA7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1850" w:type="dxa"/>
                  <w:gridSpan w:val="4"/>
                  <w:noWrap w:val="0"/>
                  <w:vAlign w:val="center"/>
                </w:tcPr>
                <w:p w14:paraId="007AC47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距室内边界距离/m</w:t>
                  </w:r>
                </w:p>
              </w:tc>
              <w:tc>
                <w:tcPr>
                  <w:tcW w:w="1902" w:type="dxa"/>
                  <w:gridSpan w:val="4"/>
                  <w:noWrap w:val="0"/>
                  <w:vAlign w:val="center"/>
                </w:tcPr>
                <w:p w14:paraId="61691B0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室内边界声级/dB(A)</w:t>
                  </w:r>
                </w:p>
              </w:tc>
              <w:tc>
                <w:tcPr>
                  <w:tcW w:w="627" w:type="dxa"/>
                  <w:vMerge w:val="restart"/>
                  <w:noWrap w:val="0"/>
                  <w:vAlign w:val="center"/>
                </w:tcPr>
                <w:p w14:paraId="39C85FA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运行时段</w:t>
                  </w:r>
                </w:p>
              </w:tc>
              <w:tc>
                <w:tcPr>
                  <w:tcW w:w="1723" w:type="dxa"/>
                  <w:gridSpan w:val="4"/>
                  <w:noWrap w:val="0"/>
                  <w:vAlign w:val="center"/>
                </w:tcPr>
                <w:p w14:paraId="579FF10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建筑物插入损失 / dB(A)</w:t>
                  </w:r>
                  <w:bookmarkStart w:id="4" w:name="PT_10"/>
                  <w:bookmarkEnd w:id="4"/>
                </w:p>
              </w:tc>
              <w:tc>
                <w:tcPr>
                  <w:tcW w:w="2112" w:type="dxa"/>
                  <w:gridSpan w:val="5"/>
                  <w:noWrap w:val="0"/>
                  <w:vAlign w:val="center"/>
                </w:tcPr>
                <w:p w14:paraId="6470F43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建筑物外噪声声压级/dB(A)</w:t>
                  </w:r>
                </w:p>
              </w:tc>
            </w:tr>
            <w:tr w14:paraId="25A8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54" w:type="dxa"/>
                  <w:vMerge w:val="continue"/>
                  <w:shd w:val="clear" w:color="auto" w:fill="FFFFFF"/>
                  <w:noWrap w:val="0"/>
                  <w:tcMar>
                    <w:top w:w="0" w:type="dxa"/>
                    <w:left w:w="0" w:type="dxa"/>
                    <w:bottom w:w="0" w:type="dxa"/>
                    <w:right w:w="0" w:type="dxa"/>
                  </w:tcMar>
                  <w:vAlign w:val="center"/>
                </w:tcPr>
                <w:p w14:paraId="29DC36E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538" w:type="dxa"/>
                  <w:vMerge w:val="continue"/>
                  <w:shd w:val="clear" w:color="auto" w:fill="FFFFFF"/>
                  <w:noWrap w:val="0"/>
                  <w:tcMar>
                    <w:top w:w="0" w:type="dxa"/>
                    <w:left w:w="0" w:type="dxa"/>
                    <w:bottom w:w="0" w:type="dxa"/>
                    <w:right w:w="0" w:type="dxa"/>
                  </w:tcMar>
                  <w:vAlign w:val="center"/>
                </w:tcPr>
                <w:p w14:paraId="19D7F56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1278" w:type="dxa"/>
                  <w:vMerge w:val="continue"/>
                  <w:shd w:val="clear" w:color="auto" w:fill="FFFFFF"/>
                  <w:noWrap w:val="0"/>
                  <w:tcMar>
                    <w:top w:w="0" w:type="dxa"/>
                    <w:left w:w="0" w:type="dxa"/>
                    <w:bottom w:w="0" w:type="dxa"/>
                    <w:right w:w="0" w:type="dxa"/>
                  </w:tcMar>
                  <w:vAlign w:val="center"/>
                </w:tcPr>
                <w:p w14:paraId="5DEBFF4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838" w:type="dxa"/>
                  <w:shd w:val="clear" w:color="auto" w:fill="FFFFFF"/>
                  <w:noWrap w:val="0"/>
                  <w:tcMar>
                    <w:top w:w="0" w:type="dxa"/>
                    <w:left w:w="0" w:type="dxa"/>
                    <w:bottom w:w="0" w:type="dxa"/>
                    <w:right w:w="0" w:type="dxa"/>
                  </w:tcMar>
                  <w:vAlign w:val="center"/>
                </w:tcPr>
                <w:p w14:paraId="48C2E27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声功率级/dB(A)</w:t>
                  </w:r>
                </w:p>
              </w:tc>
              <w:tc>
                <w:tcPr>
                  <w:tcW w:w="600" w:type="dxa"/>
                  <w:vMerge w:val="continue"/>
                  <w:shd w:val="clear" w:color="auto" w:fill="FFFFFF"/>
                  <w:noWrap w:val="0"/>
                  <w:tcMar>
                    <w:top w:w="0" w:type="dxa"/>
                    <w:left w:w="0" w:type="dxa"/>
                    <w:bottom w:w="0" w:type="dxa"/>
                    <w:right w:w="0" w:type="dxa"/>
                  </w:tcMar>
                  <w:vAlign w:val="center"/>
                </w:tcPr>
                <w:p w14:paraId="180B210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427" w:type="dxa"/>
                  <w:shd w:val="clear" w:color="auto" w:fill="FFFFFF"/>
                  <w:noWrap w:val="0"/>
                  <w:tcMar>
                    <w:top w:w="0" w:type="dxa"/>
                    <w:left w:w="0" w:type="dxa"/>
                    <w:bottom w:w="0" w:type="dxa"/>
                    <w:right w:w="0" w:type="dxa"/>
                  </w:tcMar>
                  <w:vAlign w:val="center"/>
                </w:tcPr>
                <w:p w14:paraId="082E2D9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417" w:type="dxa"/>
                  <w:shd w:val="clear" w:color="auto" w:fill="FFFFFF"/>
                  <w:noWrap w:val="0"/>
                  <w:tcMar>
                    <w:top w:w="0" w:type="dxa"/>
                    <w:left w:w="0" w:type="dxa"/>
                    <w:bottom w:w="0" w:type="dxa"/>
                    <w:right w:w="0" w:type="dxa"/>
                  </w:tcMar>
                  <w:vAlign w:val="center"/>
                </w:tcPr>
                <w:p w14:paraId="3B20ED9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448" w:type="dxa"/>
                  <w:shd w:val="clear" w:color="auto" w:fill="FFFFFF"/>
                  <w:noWrap w:val="0"/>
                  <w:tcMar>
                    <w:top w:w="0" w:type="dxa"/>
                    <w:left w:w="0" w:type="dxa"/>
                    <w:bottom w:w="0" w:type="dxa"/>
                    <w:right w:w="0" w:type="dxa"/>
                  </w:tcMar>
                  <w:vAlign w:val="center"/>
                </w:tcPr>
                <w:p w14:paraId="1509F84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456" w:type="dxa"/>
                  <w:shd w:val="clear" w:color="auto" w:fill="FFFFFF"/>
                  <w:noWrap w:val="0"/>
                  <w:tcMar>
                    <w:top w:w="0" w:type="dxa"/>
                    <w:left w:w="0" w:type="dxa"/>
                    <w:bottom w:w="0" w:type="dxa"/>
                    <w:right w:w="0" w:type="dxa"/>
                  </w:tcMar>
                  <w:vAlign w:val="center"/>
                </w:tcPr>
                <w:p w14:paraId="4480E3A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442" w:type="dxa"/>
                  <w:shd w:val="clear" w:color="auto" w:fill="FFFFFF"/>
                  <w:noWrap w:val="0"/>
                  <w:tcMar>
                    <w:top w:w="0" w:type="dxa"/>
                    <w:left w:w="0" w:type="dxa"/>
                    <w:bottom w:w="0" w:type="dxa"/>
                    <w:right w:w="0" w:type="dxa"/>
                  </w:tcMar>
                  <w:vAlign w:val="center"/>
                </w:tcPr>
                <w:p w14:paraId="4B38660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517" w:type="dxa"/>
                  <w:shd w:val="clear" w:color="auto" w:fill="FFFFFF"/>
                  <w:noWrap w:val="0"/>
                  <w:tcMar>
                    <w:top w:w="0" w:type="dxa"/>
                    <w:left w:w="0" w:type="dxa"/>
                    <w:bottom w:w="0" w:type="dxa"/>
                    <w:right w:w="0" w:type="dxa"/>
                  </w:tcMar>
                  <w:vAlign w:val="center"/>
                </w:tcPr>
                <w:p w14:paraId="19EDD7F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435" w:type="dxa"/>
                  <w:shd w:val="clear" w:color="auto" w:fill="FFFFFF"/>
                  <w:noWrap w:val="0"/>
                  <w:tcMar>
                    <w:top w:w="0" w:type="dxa"/>
                    <w:left w:w="0" w:type="dxa"/>
                    <w:bottom w:w="0" w:type="dxa"/>
                    <w:right w:w="0" w:type="dxa"/>
                  </w:tcMar>
                  <w:vAlign w:val="center"/>
                </w:tcPr>
                <w:p w14:paraId="6F8F90A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456" w:type="dxa"/>
                  <w:shd w:val="clear" w:color="auto" w:fill="FFFFFF"/>
                  <w:noWrap w:val="0"/>
                  <w:tcMar>
                    <w:top w:w="0" w:type="dxa"/>
                    <w:left w:w="0" w:type="dxa"/>
                    <w:bottom w:w="0" w:type="dxa"/>
                    <w:right w:w="0" w:type="dxa"/>
                  </w:tcMar>
                  <w:vAlign w:val="center"/>
                </w:tcPr>
                <w:p w14:paraId="5AF49CA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442" w:type="dxa"/>
                  <w:shd w:val="clear" w:color="auto" w:fill="FFFFFF"/>
                  <w:noWrap w:val="0"/>
                  <w:tcMar>
                    <w:top w:w="0" w:type="dxa"/>
                    <w:left w:w="0" w:type="dxa"/>
                    <w:bottom w:w="0" w:type="dxa"/>
                    <w:right w:w="0" w:type="dxa"/>
                  </w:tcMar>
                  <w:vAlign w:val="center"/>
                </w:tcPr>
                <w:p w14:paraId="1D28E93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441" w:type="dxa"/>
                  <w:shd w:val="clear" w:color="auto" w:fill="FFFFFF"/>
                  <w:noWrap w:val="0"/>
                  <w:tcMar>
                    <w:top w:w="0" w:type="dxa"/>
                    <w:left w:w="0" w:type="dxa"/>
                    <w:bottom w:w="0" w:type="dxa"/>
                    <w:right w:w="0" w:type="dxa"/>
                  </w:tcMar>
                  <w:vAlign w:val="center"/>
                </w:tcPr>
                <w:p w14:paraId="30335DF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563" w:type="dxa"/>
                  <w:shd w:val="clear" w:color="auto" w:fill="FFFFFF"/>
                  <w:noWrap w:val="0"/>
                  <w:tcMar>
                    <w:top w:w="0" w:type="dxa"/>
                    <w:left w:w="0" w:type="dxa"/>
                    <w:bottom w:w="0" w:type="dxa"/>
                    <w:right w:w="0" w:type="dxa"/>
                  </w:tcMar>
                  <w:vAlign w:val="center"/>
                </w:tcPr>
                <w:p w14:paraId="29B3E4D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627" w:type="dxa"/>
                  <w:vMerge w:val="continue"/>
                  <w:shd w:val="clear" w:color="auto" w:fill="FFFFFF"/>
                  <w:noWrap w:val="0"/>
                  <w:tcMar>
                    <w:top w:w="0" w:type="dxa"/>
                    <w:left w:w="0" w:type="dxa"/>
                    <w:bottom w:w="0" w:type="dxa"/>
                    <w:right w:w="0" w:type="dxa"/>
                  </w:tcMar>
                  <w:vAlign w:val="center"/>
                </w:tcPr>
                <w:p w14:paraId="08F817D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427" w:type="dxa"/>
                  <w:shd w:val="clear" w:color="auto" w:fill="FFFFFF"/>
                  <w:noWrap w:val="0"/>
                  <w:tcMar>
                    <w:top w:w="0" w:type="dxa"/>
                    <w:left w:w="0" w:type="dxa"/>
                    <w:bottom w:w="0" w:type="dxa"/>
                    <w:right w:w="0" w:type="dxa"/>
                  </w:tcMar>
                  <w:vAlign w:val="center"/>
                </w:tcPr>
                <w:p w14:paraId="7AC8674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427" w:type="dxa"/>
                  <w:shd w:val="clear" w:color="auto" w:fill="FFFFFF"/>
                  <w:noWrap w:val="0"/>
                  <w:tcMar>
                    <w:top w:w="0" w:type="dxa"/>
                    <w:left w:w="0" w:type="dxa"/>
                    <w:bottom w:w="0" w:type="dxa"/>
                    <w:right w:w="0" w:type="dxa"/>
                  </w:tcMar>
                  <w:vAlign w:val="center"/>
                </w:tcPr>
                <w:p w14:paraId="3C11DB2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442" w:type="dxa"/>
                  <w:shd w:val="clear" w:color="auto" w:fill="FFFFFF"/>
                  <w:noWrap w:val="0"/>
                  <w:tcMar>
                    <w:top w:w="0" w:type="dxa"/>
                    <w:left w:w="0" w:type="dxa"/>
                    <w:bottom w:w="0" w:type="dxa"/>
                    <w:right w:w="0" w:type="dxa"/>
                  </w:tcMar>
                  <w:vAlign w:val="center"/>
                </w:tcPr>
                <w:p w14:paraId="05FBE97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427" w:type="dxa"/>
                  <w:shd w:val="clear" w:color="auto" w:fill="FFFFFF"/>
                  <w:noWrap w:val="0"/>
                  <w:tcMar>
                    <w:top w:w="0" w:type="dxa"/>
                    <w:left w:w="0" w:type="dxa"/>
                    <w:bottom w:w="0" w:type="dxa"/>
                    <w:right w:w="0" w:type="dxa"/>
                  </w:tcMar>
                  <w:vAlign w:val="center"/>
                </w:tcPr>
                <w:p w14:paraId="2096DA7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378" w:type="dxa"/>
                  <w:shd w:val="clear" w:color="auto" w:fill="FFFFFF"/>
                  <w:noWrap w:val="0"/>
                  <w:tcMar>
                    <w:top w:w="0" w:type="dxa"/>
                    <w:left w:w="0" w:type="dxa"/>
                    <w:bottom w:w="0" w:type="dxa"/>
                    <w:right w:w="0" w:type="dxa"/>
                  </w:tcMar>
                  <w:vAlign w:val="center"/>
                </w:tcPr>
                <w:p w14:paraId="6512A55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378" w:type="dxa"/>
                  <w:shd w:val="clear" w:color="auto" w:fill="FFFFFF"/>
                  <w:noWrap w:val="0"/>
                  <w:tcMar>
                    <w:top w:w="0" w:type="dxa"/>
                    <w:left w:w="0" w:type="dxa"/>
                    <w:bottom w:w="0" w:type="dxa"/>
                    <w:right w:w="0" w:type="dxa"/>
                  </w:tcMar>
                  <w:vAlign w:val="center"/>
                </w:tcPr>
                <w:p w14:paraId="5A4FE3D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396" w:type="dxa"/>
                  <w:shd w:val="clear" w:color="auto" w:fill="FFFFFF"/>
                  <w:noWrap w:val="0"/>
                  <w:tcMar>
                    <w:top w:w="0" w:type="dxa"/>
                    <w:left w:w="0" w:type="dxa"/>
                    <w:bottom w:w="0" w:type="dxa"/>
                    <w:right w:w="0" w:type="dxa"/>
                  </w:tcMar>
                  <w:vAlign w:val="center"/>
                </w:tcPr>
                <w:p w14:paraId="4119EFA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381" w:type="dxa"/>
                  <w:shd w:val="clear" w:color="auto" w:fill="FFFFFF"/>
                  <w:noWrap w:val="0"/>
                  <w:tcMar>
                    <w:top w:w="0" w:type="dxa"/>
                    <w:left w:w="0" w:type="dxa"/>
                    <w:bottom w:w="0" w:type="dxa"/>
                    <w:right w:w="0" w:type="dxa"/>
                  </w:tcMar>
                  <w:vAlign w:val="center"/>
                </w:tcPr>
                <w:p w14:paraId="69C8DDD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579" w:type="dxa"/>
                  <w:shd w:val="clear" w:color="auto" w:fill="FFFFFF"/>
                  <w:noWrap w:val="0"/>
                  <w:tcMar>
                    <w:top w:w="0" w:type="dxa"/>
                    <w:left w:w="0" w:type="dxa"/>
                    <w:bottom w:w="0" w:type="dxa"/>
                    <w:right w:w="0" w:type="dxa"/>
                  </w:tcMar>
                  <w:vAlign w:val="center"/>
                </w:tcPr>
                <w:p w14:paraId="71B01A1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w:t>
                  </w:r>
                </w:p>
                <w:p w14:paraId="6D1C49F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外距离</w:t>
                  </w:r>
                </w:p>
              </w:tc>
            </w:tr>
            <w:tr w14:paraId="50F9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54" w:type="dxa"/>
                  <w:shd w:val="clear" w:color="auto" w:fill="FFFFFF"/>
                  <w:noWrap w:val="0"/>
                  <w:tcMar>
                    <w:top w:w="0" w:type="dxa"/>
                    <w:left w:w="0" w:type="dxa"/>
                    <w:bottom w:w="0" w:type="dxa"/>
                    <w:right w:w="0" w:type="dxa"/>
                  </w:tcMar>
                  <w:vAlign w:val="center"/>
                </w:tcPr>
                <w:p w14:paraId="41159DB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1</w:t>
                  </w:r>
                </w:p>
              </w:tc>
              <w:tc>
                <w:tcPr>
                  <w:tcW w:w="538" w:type="dxa"/>
                  <w:vMerge w:val="restart"/>
                  <w:shd w:val="clear" w:color="auto" w:fill="FFFFFF"/>
                  <w:noWrap w:val="0"/>
                  <w:tcMar>
                    <w:top w:w="0" w:type="dxa"/>
                    <w:left w:w="0" w:type="dxa"/>
                    <w:bottom w:w="0" w:type="dxa"/>
                    <w:right w:w="0" w:type="dxa"/>
                  </w:tcMar>
                  <w:vAlign w:val="center"/>
                </w:tcPr>
                <w:p w14:paraId="04E5C64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南部</w:t>
                  </w:r>
                </w:p>
                <w:p w14:paraId="1593271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color w:val="auto"/>
                      <w:sz w:val="21"/>
                      <w:szCs w:val="21"/>
                      <w:lang w:eastAsia="zh-CN"/>
                    </w:rPr>
                  </w:pPr>
                  <w:r>
                    <w:rPr>
                      <w:rFonts w:hint="eastAsia" w:ascii="Times New Roman" w:hAnsi="Times New Roman" w:eastAsia="宋体" w:cs="Times New Roman"/>
                      <w:b w:val="0"/>
                      <w:bCs/>
                      <w:color w:val="auto"/>
                      <w:sz w:val="21"/>
                      <w:szCs w:val="21"/>
                      <w:lang w:eastAsia="zh-CN"/>
                    </w:rPr>
                    <w:t>生产</w:t>
                  </w:r>
                </w:p>
                <w:p w14:paraId="288376C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车间</w:t>
                  </w:r>
                </w:p>
              </w:tc>
              <w:tc>
                <w:tcPr>
                  <w:tcW w:w="1278" w:type="dxa"/>
                  <w:shd w:val="clear" w:color="auto" w:fill="FFFFFF"/>
                  <w:noWrap w:val="0"/>
                  <w:tcMar>
                    <w:top w:w="0" w:type="dxa"/>
                    <w:left w:w="0" w:type="dxa"/>
                    <w:bottom w:w="0" w:type="dxa"/>
                    <w:right w:w="0" w:type="dxa"/>
                  </w:tcMar>
                  <w:vAlign w:val="center"/>
                </w:tcPr>
                <w:p w14:paraId="432561A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分散机,2台（按点声源组预测）</w:t>
                  </w:r>
                </w:p>
              </w:tc>
              <w:tc>
                <w:tcPr>
                  <w:tcW w:w="838" w:type="dxa"/>
                  <w:shd w:val="clear" w:color="auto" w:fill="FFFFFF"/>
                  <w:noWrap w:val="0"/>
                  <w:tcMar>
                    <w:top w:w="0" w:type="dxa"/>
                    <w:left w:w="0" w:type="dxa"/>
                    <w:bottom w:w="0" w:type="dxa"/>
                    <w:right w:w="0" w:type="dxa"/>
                  </w:tcMar>
                  <w:vAlign w:val="center"/>
                </w:tcPr>
                <w:p w14:paraId="6AB6C09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75（等效后：78.0)</w:t>
                  </w:r>
                </w:p>
              </w:tc>
              <w:tc>
                <w:tcPr>
                  <w:tcW w:w="600" w:type="dxa"/>
                  <w:vMerge w:val="restart"/>
                  <w:shd w:val="clear" w:color="auto" w:fill="FFFFFF"/>
                  <w:noWrap w:val="0"/>
                  <w:tcMar>
                    <w:top w:w="0" w:type="dxa"/>
                    <w:left w:w="0" w:type="dxa"/>
                    <w:bottom w:w="0" w:type="dxa"/>
                    <w:right w:w="0" w:type="dxa"/>
                  </w:tcMar>
                  <w:vAlign w:val="center"/>
                </w:tcPr>
                <w:p w14:paraId="5D38B8C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0"/>
                      <w:sz w:val="21"/>
                      <w:szCs w:val="20"/>
                      <w:lang w:eastAsia="zh-CN"/>
                    </w:rPr>
                    <w:t>选用</w:t>
                  </w:r>
                  <w:r>
                    <w:rPr>
                      <w:rFonts w:hint="default" w:ascii="Times New Roman" w:hAnsi="Times New Roman" w:eastAsia="宋体" w:cs="Times New Roman"/>
                      <w:color w:val="auto"/>
                      <w:kern w:val="0"/>
                      <w:sz w:val="21"/>
                      <w:szCs w:val="20"/>
                    </w:rPr>
                    <w:t>低噪设备、基础减震、隔声、距离衰减</w:t>
                  </w:r>
                  <w:r>
                    <w:rPr>
                      <w:rFonts w:hint="default" w:ascii="Times New Roman" w:hAnsi="Times New Roman" w:eastAsia="宋体" w:cs="Times New Roman"/>
                      <w:color w:val="auto"/>
                      <w:kern w:val="0"/>
                      <w:sz w:val="21"/>
                      <w:szCs w:val="20"/>
                      <w:lang w:eastAsia="zh-CN"/>
                    </w:rPr>
                    <w:t>等</w:t>
                  </w:r>
                </w:p>
              </w:tc>
              <w:tc>
                <w:tcPr>
                  <w:tcW w:w="427" w:type="dxa"/>
                  <w:shd w:val="clear" w:color="auto" w:fill="FFFFFF"/>
                  <w:noWrap w:val="0"/>
                  <w:tcMar>
                    <w:top w:w="0" w:type="dxa"/>
                    <w:left w:w="0" w:type="dxa"/>
                    <w:bottom w:w="0" w:type="dxa"/>
                    <w:right w:w="0" w:type="dxa"/>
                  </w:tcMar>
                  <w:vAlign w:val="center"/>
                </w:tcPr>
                <w:p w14:paraId="3699180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eastAsia="zh-CN"/>
                    </w:rPr>
                  </w:pPr>
                  <w:r>
                    <w:rPr>
                      <w:rFonts w:hint="default" w:ascii="Times New Roman" w:hAnsi="Times New Roman" w:eastAsia="Arial" w:cs="Times New Roman"/>
                      <w:color w:val="auto"/>
                      <w:sz w:val="21"/>
                      <w:szCs w:val="21"/>
                    </w:rPr>
                    <w:t>-14.6</w:t>
                  </w:r>
                </w:p>
              </w:tc>
              <w:tc>
                <w:tcPr>
                  <w:tcW w:w="417" w:type="dxa"/>
                  <w:shd w:val="clear" w:color="auto" w:fill="FFFFFF"/>
                  <w:noWrap w:val="0"/>
                  <w:tcMar>
                    <w:top w:w="0" w:type="dxa"/>
                    <w:left w:w="0" w:type="dxa"/>
                    <w:bottom w:w="0" w:type="dxa"/>
                    <w:right w:w="0" w:type="dxa"/>
                  </w:tcMar>
                  <w:vAlign w:val="center"/>
                </w:tcPr>
                <w:p w14:paraId="2E2E09E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-2.3</w:t>
                  </w:r>
                </w:p>
              </w:tc>
              <w:tc>
                <w:tcPr>
                  <w:tcW w:w="448" w:type="dxa"/>
                  <w:shd w:val="clear" w:color="auto" w:fill="FFFFFF"/>
                  <w:noWrap w:val="0"/>
                  <w:tcMar>
                    <w:top w:w="0" w:type="dxa"/>
                    <w:left w:w="0" w:type="dxa"/>
                    <w:bottom w:w="0" w:type="dxa"/>
                    <w:right w:w="0" w:type="dxa"/>
                  </w:tcMar>
                  <w:vAlign w:val="center"/>
                </w:tcPr>
                <w:p w14:paraId="68AD6C6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1.2</w:t>
                  </w:r>
                </w:p>
              </w:tc>
              <w:tc>
                <w:tcPr>
                  <w:tcW w:w="456" w:type="dxa"/>
                  <w:shd w:val="clear" w:color="auto" w:fill="FFFFFF"/>
                  <w:noWrap w:val="0"/>
                  <w:tcMar>
                    <w:top w:w="0" w:type="dxa"/>
                    <w:left w:w="0" w:type="dxa"/>
                    <w:bottom w:w="0" w:type="dxa"/>
                    <w:right w:w="0" w:type="dxa"/>
                  </w:tcMar>
                  <w:vAlign w:val="center"/>
                </w:tcPr>
                <w:p w14:paraId="263A6DF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eastAsia="zh-CN"/>
                    </w:rPr>
                  </w:pPr>
                  <w:r>
                    <w:rPr>
                      <w:rFonts w:hint="default" w:ascii="Times New Roman" w:hAnsi="Times New Roman" w:eastAsia="Arial" w:cs="Times New Roman"/>
                      <w:color w:val="auto"/>
                      <w:sz w:val="21"/>
                      <w:szCs w:val="21"/>
                    </w:rPr>
                    <w:t>20.1</w:t>
                  </w:r>
                </w:p>
              </w:tc>
              <w:tc>
                <w:tcPr>
                  <w:tcW w:w="442" w:type="dxa"/>
                  <w:shd w:val="clear" w:color="auto" w:fill="FFFFFF"/>
                  <w:noWrap w:val="0"/>
                  <w:tcMar>
                    <w:top w:w="0" w:type="dxa"/>
                    <w:left w:w="0" w:type="dxa"/>
                    <w:bottom w:w="0" w:type="dxa"/>
                    <w:right w:w="0" w:type="dxa"/>
                  </w:tcMar>
                  <w:vAlign w:val="center"/>
                </w:tcPr>
                <w:p w14:paraId="26553F1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9.3</w:t>
                  </w:r>
                </w:p>
              </w:tc>
              <w:tc>
                <w:tcPr>
                  <w:tcW w:w="517" w:type="dxa"/>
                  <w:shd w:val="clear" w:color="auto" w:fill="FFFFFF"/>
                  <w:noWrap w:val="0"/>
                  <w:tcMar>
                    <w:top w:w="0" w:type="dxa"/>
                    <w:left w:w="0" w:type="dxa"/>
                    <w:bottom w:w="0" w:type="dxa"/>
                    <w:right w:w="0" w:type="dxa"/>
                  </w:tcMar>
                  <w:vAlign w:val="center"/>
                </w:tcPr>
                <w:p w14:paraId="1EE858A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3.9</w:t>
                  </w:r>
                </w:p>
              </w:tc>
              <w:tc>
                <w:tcPr>
                  <w:tcW w:w="435" w:type="dxa"/>
                  <w:shd w:val="clear" w:color="auto" w:fill="FFFFFF"/>
                  <w:noWrap w:val="0"/>
                  <w:tcMar>
                    <w:top w:w="0" w:type="dxa"/>
                    <w:left w:w="0" w:type="dxa"/>
                    <w:bottom w:w="0" w:type="dxa"/>
                    <w:right w:w="0" w:type="dxa"/>
                  </w:tcMar>
                  <w:vAlign w:val="center"/>
                </w:tcPr>
                <w:p w14:paraId="524D70E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8.5</w:t>
                  </w:r>
                </w:p>
              </w:tc>
              <w:tc>
                <w:tcPr>
                  <w:tcW w:w="456" w:type="dxa"/>
                  <w:shd w:val="clear" w:color="auto" w:fill="FFFFFF"/>
                  <w:noWrap w:val="0"/>
                  <w:tcMar>
                    <w:top w:w="0" w:type="dxa"/>
                    <w:left w:w="0" w:type="dxa"/>
                    <w:bottom w:w="0" w:type="dxa"/>
                    <w:right w:w="0" w:type="dxa"/>
                  </w:tcMar>
                  <w:vAlign w:val="center"/>
                </w:tcPr>
                <w:p w14:paraId="0834A64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72.0</w:t>
                  </w:r>
                </w:p>
              </w:tc>
              <w:tc>
                <w:tcPr>
                  <w:tcW w:w="442" w:type="dxa"/>
                  <w:shd w:val="clear" w:color="auto" w:fill="FFFFFF"/>
                  <w:noWrap w:val="0"/>
                  <w:tcMar>
                    <w:top w:w="0" w:type="dxa"/>
                    <w:left w:w="0" w:type="dxa"/>
                    <w:bottom w:w="0" w:type="dxa"/>
                    <w:right w:w="0" w:type="dxa"/>
                  </w:tcMar>
                  <w:vAlign w:val="center"/>
                </w:tcPr>
                <w:p w14:paraId="462F52D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72.0</w:t>
                  </w:r>
                </w:p>
              </w:tc>
              <w:tc>
                <w:tcPr>
                  <w:tcW w:w="441" w:type="dxa"/>
                  <w:shd w:val="clear" w:color="auto" w:fill="FFFFFF"/>
                  <w:noWrap w:val="0"/>
                  <w:tcMar>
                    <w:top w:w="0" w:type="dxa"/>
                    <w:left w:w="0" w:type="dxa"/>
                    <w:bottom w:w="0" w:type="dxa"/>
                    <w:right w:w="0" w:type="dxa"/>
                  </w:tcMar>
                  <w:vAlign w:val="center"/>
                </w:tcPr>
                <w:p w14:paraId="79349E2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72.1</w:t>
                  </w:r>
                </w:p>
              </w:tc>
              <w:tc>
                <w:tcPr>
                  <w:tcW w:w="563" w:type="dxa"/>
                  <w:shd w:val="clear" w:color="auto" w:fill="FFFFFF"/>
                  <w:noWrap w:val="0"/>
                  <w:tcMar>
                    <w:top w:w="0" w:type="dxa"/>
                    <w:left w:w="0" w:type="dxa"/>
                    <w:bottom w:w="0" w:type="dxa"/>
                    <w:right w:w="0" w:type="dxa"/>
                  </w:tcMar>
                  <w:vAlign w:val="center"/>
                </w:tcPr>
                <w:p w14:paraId="255FB6A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72.0</w:t>
                  </w:r>
                </w:p>
              </w:tc>
              <w:tc>
                <w:tcPr>
                  <w:tcW w:w="627" w:type="dxa"/>
                  <w:vMerge w:val="restart"/>
                  <w:shd w:val="clear" w:color="auto" w:fill="FFFFFF"/>
                  <w:noWrap w:val="0"/>
                  <w:tcMar>
                    <w:top w:w="0" w:type="dxa"/>
                    <w:left w:w="0" w:type="dxa"/>
                    <w:bottom w:w="0" w:type="dxa"/>
                    <w:right w:w="0" w:type="dxa"/>
                  </w:tcMar>
                  <w:vAlign w:val="center"/>
                </w:tcPr>
                <w:p w14:paraId="7DD77A7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eastAsia" w:ascii="Times New Roman" w:hAnsi="Times New Roman" w:eastAsia="Arial" w:cs="Times New Roman"/>
                      <w:color w:val="auto"/>
                      <w:sz w:val="21"/>
                      <w:szCs w:val="21"/>
                      <w:lang w:val="en-US" w:eastAsia="zh-CN"/>
                    </w:rPr>
                    <w:t>8h</w:t>
                  </w:r>
                </w:p>
              </w:tc>
              <w:tc>
                <w:tcPr>
                  <w:tcW w:w="427" w:type="dxa"/>
                  <w:shd w:val="clear" w:color="auto" w:fill="FFFFFF"/>
                  <w:noWrap w:val="0"/>
                  <w:tcMar>
                    <w:top w:w="0" w:type="dxa"/>
                    <w:left w:w="0" w:type="dxa"/>
                    <w:bottom w:w="0" w:type="dxa"/>
                    <w:right w:w="0" w:type="dxa"/>
                  </w:tcMar>
                  <w:vAlign w:val="center"/>
                </w:tcPr>
                <w:p w14:paraId="02268F2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2123A7A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42" w:type="dxa"/>
                  <w:shd w:val="clear" w:color="auto" w:fill="FFFFFF"/>
                  <w:noWrap w:val="0"/>
                  <w:tcMar>
                    <w:top w:w="0" w:type="dxa"/>
                    <w:left w:w="0" w:type="dxa"/>
                    <w:bottom w:w="0" w:type="dxa"/>
                    <w:right w:w="0" w:type="dxa"/>
                  </w:tcMar>
                  <w:vAlign w:val="center"/>
                </w:tcPr>
                <w:p w14:paraId="42094D5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3B73EEC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378" w:type="dxa"/>
                  <w:shd w:val="clear" w:color="auto" w:fill="FFFFFF"/>
                  <w:noWrap w:val="0"/>
                  <w:tcMar>
                    <w:top w:w="0" w:type="dxa"/>
                    <w:left w:w="0" w:type="dxa"/>
                    <w:bottom w:w="0" w:type="dxa"/>
                    <w:right w:w="0" w:type="dxa"/>
                  </w:tcMar>
                  <w:vAlign w:val="center"/>
                </w:tcPr>
                <w:p w14:paraId="5CB0BA5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54.0</w:t>
                  </w:r>
                </w:p>
              </w:tc>
              <w:tc>
                <w:tcPr>
                  <w:tcW w:w="378" w:type="dxa"/>
                  <w:shd w:val="clear" w:color="auto" w:fill="FFFFFF"/>
                  <w:noWrap w:val="0"/>
                  <w:tcMar>
                    <w:top w:w="0" w:type="dxa"/>
                    <w:left w:w="0" w:type="dxa"/>
                    <w:bottom w:w="0" w:type="dxa"/>
                    <w:right w:w="0" w:type="dxa"/>
                  </w:tcMar>
                  <w:vAlign w:val="center"/>
                </w:tcPr>
                <w:p w14:paraId="57FDC37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54.0</w:t>
                  </w:r>
                </w:p>
              </w:tc>
              <w:tc>
                <w:tcPr>
                  <w:tcW w:w="396" w:type="dxa"/>
                  <w:shd w:val="clear" w:color="auto" w:fill="FFFFFF"/>
                  <w:noWrap w:val="0"/>
                  <w:tcMar>
                    <w:top w:w="0" w:type="dxa"/>
                    <w:left w:w="0" w:type="dxa"/>
                    <w:bottom w:w="0" w:type="dxa"/>
                    <w:right w:w="0" w:type="dxa"/>
                  </w:tcMar>
                  <w:vAlign w:val="center"/>
                </w:tcPr>
                <w:p w14:paraId="597D735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54.1</w:t>
                  </w:r>
                </w:p>
              </w:tc>
              <w:tc>
                <w:tcPr>
                  <w:tcW w:w="381" w:type="dxa"/>
                  <w:shd w:val="clear" w:color="auto" w:fill="FFFFFF"/>
                  <w:noWrap w:val="0"/>
                  <w:tcMar>
                    <w:top w:w="0" w:type="dxa"/>
                    <w:left w:w="0" w:type="dxa"/>
                    <w:bottom w:w="0" w:type="dxa"/>
                    <w:right w:w="0" w:type="dxa"/>
                  </w:tcMar>
                  <w:vAlign w:val="center"/>
                </w:tcPr>
                <w:p w14:paraId="4264F89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54.0</w:t>
                  </w:r>
                </w:p>
              </w:tc>
              <w:tc>
                <w:tcPr>
                  <w:tcW w:w="579" w:type="dxa"/>
                  <w:shd w:val="clear" w:color="auto" w:fill="FFFFFF"/>
                  <w:noWrap w:val="0"/>
                  <w:tcMar>
                    <w:top w:w="0" w:type="dxa"/>
                    <w:left w:w="0" w:type="dxa"/>
                    <w:bottom w:w="0" w:type="dxa"/>
                    <w:right w:w="0" w:type="dxa"/>
                  </w:tcMar>
                  <w:vAlign w:val="center"/>
                </w:tcPr>
                <w:p w14:paraId="39EDFE6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14:paraId="4740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54" w:type="dxa"/>
                  <w:shd w:val="clear" w:color="auto" w:fill="FFFFFF"/>
                  <w:noWrap w:val="0"/>
                  <w:tcMar>
                    <w:top w:w="0" w:type="dxa"/>
                    <w:left w:w="0" w:type="dxa"/>
                    <w:bottom w:w="0" w:type="dxa"/>
                    <w:right w:w="0" w:type="dxa"/>
                  </w:tcMar>
                  <w:vAlign w:val="center"/>
                </w:tcPr>
                <w:p w14:paraId="5FCC26F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Arial" w:cs="Times New Roman"/>
                      <w:color w:val="auto"/>
                      <w:sz w:val="21"/>
                      <w:szCs w:val="21"/>
                    </w:rPr>
                    <w:t>2</w:t>
                  </w:r>
                </w:p>
              </w:tc>
              <w:tc>
                <w:tcPr>
                  <w:tcW w:w="538" w:type="dxa"/>
                  <w:vMerge w:val="continue"/>
                  <w:shd w:val="clear" w:color="auto" w:fill="FFFFFF"/>
                  <w:noWrap w:val="0"/>
                  <w:tcMar>
                    <w:top w:w="0" w:type="dxa"/>
                    <w:left w:w="0" w:type="dxa"/>
                    <w:bottom w:w="0" w:type="dxa"/>
                    <w:right w:w="0" w:type="dxa"/>
                  </w:tcMar>
                  <w:vAlign w:val="center"/>
                </w:tcPr>
                <w:p w14:paraId="7777B69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eastAsia="zh-CN"/>
                    </w:rPr>
                  </w:pPr>
                </w:p>
              </w:tc>
              <w:tc>
                <w:tcPr>
                  <w:tcW w:w="1278" w:type="dxa"/>
                  <w:shd w:val="clear" w:color="auto" w:fill="FFFFFF"/>
                  <w:noWrap w:val="0"/>
                  <w:tcMar>
                    <w:top w:w="0" w:type="dxa"/>
                    <w:left w:w="0" w:type="dxa"/>
                    <w:bottom w:w="0" w:type="dxa"/>
                    <w:right w:w="0" w:type="dxa"/>
                  </w:tcMar>
                  <w:vAlign w:val="center"/>
                </w:tcPr>
                <w:p w14:paraId="1DADBA7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2t防尘搅拌罐,4台（按点声源组预测）</w:t>
                  </w:r>
                </w:p>
              </w:tc>
              <w:tc>
                <w:tcPr>
                  <w:tcW w:w="838" w:type="dxa"/>
                  <w:shd w:val="clear" w:color="auto" w:fill="FFFFFF"/>
                  <w:noWrap w:val="0"/>
                  <w:tcMar>
                    <w:top w:w="0" w:type="dxa"/>
                    <w:left w:w="0" w:type="dxa"/>
                    <w:bottom w:w="0" w:type="dxa"/>
                    <w:right w:w="0" w:type="dxa"/>
                  </w:tcMar>
                  <w:vAlign w:val="center"/>
                </w:tcPr>
                <w:p w14:paraId="0C5F2DA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75（等效后：81.0)</w:t>
                  </w:r>
                </w:p>
              </w:tc>
              <w:tc>
                <w:tcPr>
                  <w:tcW w:w="600" w:type="dxa"/>
                  <w:vMerge w:val="continue"/>
                  <w:shd w:val="clear" w:color="auto" w:fill="FFFFFF"/>
                  <w:noWrap w:val="0"/>
                  <w:tcMar>
                    <w:top w:w="0" w:type="dxa"/>
                    <w:left w:w="0" w:type="dxa"/>
                    <w:bottom w:w="0" w:type="dxa"/>
                    <w:right w:w="0" w:type="dxa"/>
                  </w:tcMar>
                  <w:vAlign w:val="center"/>
                </w:tcPr>
                <w:p w14:paraId="7DDCD06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p>
              </w:tc>
              <w:tc>
                <w:tcPr>
                  <w:tcW w:w="427" w:type="dxa"/>
                  <w:shd w:val="clear" w:color="auto" w:fill="FFFFFF"/>
                  <w:noWrap w:val="0"/>
                  <w:tcMar>
                    <w:top w:w="0" w:type="dxa"/>
                    <w:left w:w="0" w:type="dxa"/>
                    <w:bottom w:w="0" w:type="dxa"/>
                    <w:right w:w="0" w:type="dxa"/>
                  </w:tcMar>
                  <w:vAlign w:val="center"/>
                </w:tcPr>
                <w:p w14:paraId="6C5D30E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-12.4</w:t>
                  </w:r>
                </w:p>
              </w:tc>
              <w:tc>
                <w:tcPr>
                  <w:tcW w:w="417" w:type="dxa"/>
                  <w:shd w:val="clear" w:color="auto" w:fill="FFFFFF"/>
                  <w:noWrap w:val="0"/>
                  <w:tcMar>
                    <w:top w:w="0" w:type="dxa"/>
                    <w:left w:w="0" w:type="dxa"/>
                    <w:bottom w:w="0" w:type="dxa"/>
                    <w:right w:w="0" w:type="dxa"/>
                  </w:tcMar>
                  <w:vAlign w:val="center"/>
                </w:tcPr>
                <w:p w14:paraId="463136B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-6.1</w:t>
                  </w:r>
                </w:p>
              </w:tc>
              <w:tc>
                <w:tcPr>
                  <w:tcW w:w="448" w:type="dxa"/>
                  <w:shd w:val="clear" w:color="auto" w:fill="FFFFFF"/>
                  <w:noWrap w:val="0"/>
                  <w:tcMar>
                    <w:top w:w="0" w:type="dxa"/>
                    <w:left w:w="0" w:type="dxa"/>
                    <w:bottom w:w="0" w:type="dxa"/>
                    <w:right w:w="0" w:type="dxa"/>
                  </w:tcMar>
                  <w:vAlign w:val="center"/>
                </w:tcPr>
                <w:p w14:paraId="7ED1256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1.2</w:t>
                  </w:r>
                </w:p>
              </w:tc>
              <w:tc>
                <w:tcPr>
                  <w:tcW w:w="456" w:type="dxa"/>
                  <w:shd w:val="clear" w:color="auto" w:fill="FFFFFF"/>
                  <w:noWrap w:val="0"/>
                  <w:tcMar>
                    <w:top w:w="0" w:type="dxa"/>
                    <w:left w:w="0" w:type="dxa"/>
                    <w:bottom w:w="0" w:type="dxa"/>
                    <w:right w:w="0" w:type="dxa"/>
                  </w:tcMar>
                  <w:vAlign w:val="center"/>
                </w:tcPr>
                <w:p w14:paraId="2D4FE9E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16.6</w:t>
                  </w:r>
                </w:p>
              </w:tc>
              <w:tc>
                <w:tcPr>
                  <w:tcW w:w="442" w:type="dxa"/>
                  <w:shd w:val="clear" w:color="auto" w:fill="FFFFFF"/>
                  <w:noWrap w:val="0"/>
                  <w:tcMar>
                    <w:top w:w="0" w:type="dxa"/>
                    <w:left w:w="0" w:type="dxa"/>
                    <w:bottom w:w="0" w:type="dxa"/>
                    <w:right w:w="0" w:type="dxa"/>
                  </w:tcMar>
                  <w:vAlign w:val="center"/>
                </w:tcPr>
                <w:p w14:paraId="2784908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6.6</w:t>
                  </w:r>
                </w:p>
              </w:tc>
              <w:tc>
                <w:tcPr>
                  <w:tcW w:w="517" w:type="dxa"/>
                  <w:shd w:val="clear" w:color="auto" w:fill="FFFFFF"/>
                  <w:noWrap w:val="0"/>
                  <w:tcMar>
                    <w:top w:w="0" w:type="dxa"/>
                    <w:left w:w="0" w:type="dxa"/>
                    <w:bottom w:w="0" w:type="dxa"/>
                    <w:right w:w="0" w:type="dxa"/>
                  </w:tcMar>
                  <w:vAlign w:val="center"/>
                </w:tcPr>
                <w:p w14:paraId="12493D9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7.5</w:t>
                  </w:r>
                </w:p>
              </w:tc>
              <w:tc>
                <w:tcPr>
                  <w:tcW w:w="435" w:type="dxa"/>
                  <w:shd w:val="clear" w:color="auto" w:fill="FFFFFF"/>
                  <w:noWrap w:val="0"/>
                  <w:tcMar>
                    <w:top w:w="0" w:type="dxa"/>
                    <w:left w:w="0" w:type="dxa"/>
                    <w:bottom w:w="0" w:type="dxa"/>
                    <w:right w:w="0" w:type="dxa"/>
                  </w:tcMar>
                  <w:vAlign w:val="center"/>
                </w:tcPr>
                <w:p w14:paraId="19C7247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11.3</w:t>
                  </w:r>
                </w:p>
              </w:tc>
              <w:tc>
                <w:tcPr>
                  <w:tcW w:w="456" w:type="dxa"/>
                  <w:shd w:val="clear" w:color="auto" w:fill="FFFFFF"/>
                  <w:noWrap w:val="0"/>
                  <w:tcMar>
                    <w:top w:w="0" w:type="dxa"/>
                    <w:left w:w="0" w:type="dxa"/>
                    <w:bottom w:w="0" w:type="dxa"/>
                    <w:right w:w="0" w:type="dxa"/>
                  </w:tcMar>
                  <w:vAlign w:val="center"/>
                </w:tcPr>
                <w:p w14:paraId="0200BC5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75.0</w:t>
                  </w:r>
                </w:p>
              </w:tc>
              <w:tc>
                <w:tcPr>
                  <w:tcW w:w="442" w:type="dxa"/>
                  <w:shd w:val="clear" w:color="auto" w:fill="FFFFFF"/>
                  <w:noWrap w:val="0"/>
                  <w:tcMar>
                    <w:top w:w="0" w:type="dxa"/>
                    <w:left w:w="0" w:type="dxa"/>
                    <w:bottom w:w="0" w:type="dxa"/>
                    <w:right w:w="0" w:type="dxa"/>
                  </w:tcMar>
                  <w:vAlign w:val="center"/>
                </w:tcPr>
                <w:p w14:paraId="210B35D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75.0</w:t>
                  </w:r>
                </w:p>
              </w:tc>
              <w:tc>
                <w:tcPr>
                  <w:tcW w:w="441" w:type="dxa"/>
                  <w:shd w:val="clear" w:color="auto" w:fill="FFFFFF"/>
                  <w:noWrap w:val="0"/>
                  <w:tcMar>
                    <w:top w:w="0" w:type="dxa"/>
                    <w:left w:w="0" w:type="dxa"/>
                    <w:bottom w:w="0" w:type="dxa"/>
                    <w:right w:w="0" w:type="dxa"/>
                  </w:tcMar>
                  <w:vAlign w:val="center"/>
                </w:tcPr>
                <w:p w14:paraId="46FB2D9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75.0</w:t>
                  </w:r>
                </w:p>
              </w:tc>
              <w:tc>
                <w:tcPr>
                  <w:tcW w:w="563" w:type="dxa"/>
                  <w:shd w:val="clear" w:color="auto" w:fill="FFFFFF"/>
                  <w:noWrap w:val="0"/>
                  <w:tcMar>
                    <w:top w:w="0" w:type="dxa"/>
                    <w:left w:w="0" w:type="dxa"/>
                    <w:bottom w:w="0" w:type="dxa"/>
                    <w:right w:w="0" w:type="dxa"/>
                  </w:tcMar>
                  <w:vAlign w:val="center"/>
                </w:tcPr>
                <w:p w14:paraId="72A07ED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75.0</w:t>
                  </w:r>
                </w:p>
              </w:tc>
              <w:tc>
                <w:tcPr>
                  <w:tcW w:w="627" w:type="dxa"/>
                  <w:vMerge w:val="continue"/>
                  <w:shd w:val="clear" w:color="auto" w:fill="FFFFFF"/>
                  <w:noWrap w:val="0"/>
                  <w:tcMar>
                    <w:top w:w="0" w:type="dxa"/>
                    <w:left w:w="0" w:type="dxa"/>
                    <w:bottom w:w="0" w:type="dxa"/>
                    <w:right w:w="0" w:type="dxa"/>
                  </w:tcMar>
                  <w:vAlign w:val="center"/>
                </w:tcPr>
                <w:p w14:paraId="6AC4524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p>
              </w:tc>
              <w:tc>
                <w:tcPr>
                  <w:tcW w:w="427" w:type="dxa"/>
                  <w:shd w:val="clear" w:color="auto" w:fill="FFFFFF"/>
                  <w:noWrap w:val="0"/>
                  <w:tcMar>
                    <w:top w:w="0" w:type="dxa"/>
                    <w:left w:w="0" w:type="dxa"/>
                    <w:bottom w:w="0" w:type="dxa"/>
                    <w:right w:w="0" w:type="dxa"/>
                  </w:tcMar>
                  <w:vAlign w:val="center"/>
                </w:tcPr>
                <w:p w14:paraId="3523917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2F2A449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18.0</w:t>
                  </w:r>
                </w:p>
              </w:tc>
              <w:tc>
                <w:tcPr>
                  <w:tcW w:w="442" w:type="dxa"/>
                  <w:shd w:val="clear" w:color="auto" w:fill="FFFFFF"/>
                  <w:noWrap w:val="0"/>
                  <w:tcMar>
                    <w:top w:w="0" w:type="dxa"/>
                    <w:left w:w="0" w:type="dxa"/>
                    <w:bottom w:w="0" w:type="dxa"/>
                    <w:right w:w="0" w:type="dxa"/>
                  </w:tcMar>
                  <w:vAlign w:val="center"/>
                </w:tcPr>
                <w:p w14:paraId="720FDA3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3877BFE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18.0</w:t>
                  </w:r>
                </w:p>
              </w:tc>
              <w:tc>
                <w:tcPr>
                  <w:tcW w:w="378" w:type="dxa"/>
                  <w:shd w:val="clear" w:color="auto" w:fill="FFFFFF"/>
                  <w:noWrap w:val="0"/>
                  <w:tcMar>
                    <w:top w:w="0" w:type="dxa"/>
                    <w:left w:w="0" w:type="dxa"/>
                    <w:bottom w:w="0" w:type="dxa"/>
                    <w:right w:w="0" w:type="dxa"/>
                  </w:tcMar>
                  <w:vAlign w:val="center"/>
                </w:tcPr>
                <w:p w14:paraId="0E428B2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57.0</w:t>
                  </w:r>
                </w:p>
              </w:tc>
              <w:tc>
                <w:tcPr>
                  <w:tcW w:w="378" w:type="dxa"/>
                  <w:shd w:val="clear" w:color="auto" w:fill="FFFFFF"/>
                  <w:noWrap w:val="0"/>
                  <w:tcMar>
                    <w:top w:w="0" w:type="dxa"/>
                    <w:left w:w="0" w:type="dxa"/>
                    <w:bottom w:w="0" w:type="dxa"/>
                    <w:right w:w="0" w:type="dxa"/>
                  </w:tcMar>
                  <w:vAlign w:val="center"/>
                </w:tcPr>
                <w:p w14:paraId="295E294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57.0</w:t>
                  </w:r>
                </w:p>
              </w:tc>
              <w:tc>
                <w:tcPr>
                  <w:tcW w:w="396" w:type="dxa"/>
                  <w:shd w:val="clear" w:color="auto" w:fill="FFFFFF"/>
                  <w:noWrap w:val="0"/>
                  <w:tcMar>
                    <w:top w:w="0" w:type="dxa"/>
                    <w:left w:w="0" w:type="dxa"/>
                    <w:bottom w:w="0" w:type="dxa"/>
                    <w:right w:w="0" w:type="dxa"/>
                  </w:tcMar>
                  <w:vAlign w:val="center"/>
                </w:tcPr>
                <w:p w14:paraId="63FCD3B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57.0</w:t>
                  </w:r>
                </w:p>
              </w:tc>
              <w:tc>
                <w:tcPr>
                  <w:tcW w:w="381" w:type="dxa"/>
                  <w:shd w:val="clear" w:color="auto" w:fill="FFFFFF"/>
                  <w:noWrap w:val="0"/>
                  <w:tcMar>
                    <w:top w:w="0" w:type="dxa"/>
                    <w:left w:w="0" w:type="dxa"/>
                    <w:bottom w:w="0" w:type="dxa"/>
                    <w:right w:w="0" w:type="dxa"/>
                  </w:tcMar>
                  <w:vAlign w:val="center"/>
                </w:tcPr>
                <w:p w14:paraId="0D6B702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57.0</w:t>
                  </w:r>
                </w:p>
              </w:tc>
              <w:tc>
                <w:tcPr>
                  <w:tcW w:w="579" w:type="dxa"/>
                  <w:shd w:val="clear" w:color="auto" w:fill="FFFFFF"/>
                  <w:noWrap w:val="0"/>
                  <w:tcMar>
                    <w:top w:w="0" w:type="dxa"/>
                    <w:left w:w="0" w:type="dxa"/>
                    <w:bottom w:w="0" w:type="dxa"/>
                    <w:right w:w="0" w:type="dxa"/>
                  </w:tcMar>
                  <w:vAlign w:val="center"/>
                </w:tcPr>
                <w:p w14:paraId="34899F5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w:t>
                  </w:r>
                </w:p>
              </w:tc>
            </w:tr>
            <w:tr w14:paraId="6FF0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54" w:type="dxa"/>
                  <w:shd w:val="clear" w:color="auto" w:fill="FFFFFF"/>
                  <w:noWrap w:val="0"/>
                  <w:tcMar>
                    <w:top w:w="0" w:type="dxa"/>
                    <w:left w:w="0" w:type="dxa"/>
                    <w:bottom w:w="0" w:type="dxa"/>
                    <w:right w:w="0" w:type="dxa"/>
                  </w:tcMar>
                  <w:vAlign w:val="center"/>
                </w:tcPr>
                <w:p w14:paraId="476C186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Arial" w:cs="Times New Roman"/>
                      <w:color w:val="auto"/>
                      <w:sz w:val="21"/>
                      <w:szCs w:val="21"/>
                    </w:rPr>
                    <w:t>3</w:t>
                  </w:r>
                </w:p>
              </w:tc>
              <w:tc>
                <w:tcPr>
                  <w:tcW w:w="538" w:type="dxa"/>
                  <w:vMerge w:val="continue"/>
                  <w:shd w:val="clear" w:color="auto" w:fill="FFFFFF"/>
                  <w:noWrap w:val="0"/>
                  <w:tcMar>
                    <w:top w:w="0" w:type="dxa"/>
                    <w:left w:w="0" w:type="dxa"/>
                    <w:bottom w:w="0" w:type="dxa"/>
                    <w:right w:w="0" w:type="dxa"/>
                  </w:tcMar>
                  <w:vAlign w:val="center"/>
                </w:tcPr>
                <w:p w14:paraId="19FC551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eastAsia="zh-CN"/>
                    </w:rPr>
                  </w:pPr>
                </w:p>
              </w:tc>
              <w:tc>
                <w:tcPr>
                  <w:tcW w:w="1278" w:type="dxa"/>
                  <w:shd w:val="clear" w:color="auto" w:fill="FFFFFF"/>
                  <w:noWrap w:val="0"/>
                  <w:tcMar>
                    <w:top w:w="0" w:type="dxa"/>
                    <w:left w:w="0" w:type="dxa"/>
                    <w:bottom w:w="0" w:type="dxa"/>
                    <w:right w:w="0" w:type="dxa"/>
                  </w:tcMar>
                  <w:vAlign w:val="center"/>
                </w:tcPr>
                <w:p w14:paraId="0C48E61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1t防尘搅拌罐,6台（按点声源组预测）</w:t>
                  </w:r>
                </w:p>
              </w:tc>
              <w:tc>
                <w:tcPr>
                  <w:tcW w:w="838" w:type="dxa"/>
                  <w:shd w:val="clear" w:color="auto" w:fill="FFFFFF"/>
                  <w:noWrap w:val="0"/>
                  <w:tcMar>
                    <w:top w:w="0" w:type="dxa"/>
                    <w:left w:w="0" w:type="dxa"/>
                    <w:bottom w:w="0" w:type="dxa"/>
                    <w:right w:w="0" w:type="dxa"/>
                  </w:tcMar>
                  <w:vAlign w:val="center"/>
                </w:tcPr>
                <w:p w14:paraId="6FE13DB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75（等效后：82.8)</w:t>
                  </w:r>
                </w:p>
              </w:tc>
              <w:tc>
                <w:tcPr>
                  <w:tcW w:w="600" w:type="dxa"/>
                  <w:vMerge w:val="continue"/>
                  <w:shd w:val="clear" w:color="auto" w:fill="FFFFFF"/>
                  <w:noWrap w:val="0"/>
                  <w:tcMar>
                    <w:top w:w="0" w:type="dxa"/>
                    <w:left w:w="0" w:type="dxa"/>
                    <w:bottom w:w="0" w:type="dxa"/>
                    <w:right w:w="0" w:type="dxa"/>
                  </w:tcMar>
                  <w:vAlign w:val="center"/>
                </w:tcPr>
                <w:p w14:paraId="1F13E6C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p>
              </w:tc>
              <w:tc>
                <w:tcPr>
                  <w:tcW w:w="427" w:type="dxa"/>
                  <w:shd w:val="clear" w:color="auto" w:fill="FFFFFF"/>
                  <w:noWrap w:val="0"/>
                  <w:tcMar>
                    <w:top w:w="0" w:type="dxa"/>
                    <w:left w:w="0" w:type="dxa"/>
                    <w:bottom w:w="0" w:type="dxa"/>
                    <w:right w:w="0" w:type="dxa"/>
                  </w:tcMar>
                  <w:vAlign w:val="center"/>
                </w:tcPr>
                <w:p w14:paraId="6B29B22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-9.9</w:t>
                  </w:r>
                </w:p>
              </w:tc>
              <w:tc>
                <w:tcPr>
                  <w:tcW w:w="417" w:type="dxa"/>
                  <w:shd w:val="clear" w:color="auto" w:fill="FFFFFF"/>
                  <w:noWrap w:val="0"/>
                  <w:tcMar>
                    <w:top w:w="0" w:type="dxa"/>
                    <w:left w:w="0" w:type="dxa"/>
                    <w:bottom w:w="0" w:type="dxa"/>
                    <w:right w:w="0" w:type="dxa"/>
                  </w:tcMar>
                  <w:vAlign w:val="center"/>
                </w:tcPr>
                <w:p w14:paraId="3E33074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0.5</w:t>
                  </w:r>
                </w:p>
              </w:tc>
              <w:tc>
                <w:tcPr>
                  <w:tcW w:w="448" w:type="dxa"/>
                  <w:shd w:val="clear" w:color="auto" w:fill="FFFFFF"/>
                  <w:noWrap w:val="0"/>
                  <w:tcMar>
                    <w:top w:w="0" w:type="dxa"/>
                    <w:left w:w="0" w:type="dxa"/>
                    <w:bottom w:w="0" w:type="dxa"/>
                    <w:right w:w="0" w:type="dxa"/>
                  </w:tcMar>
                  <w:vAlign w:val="center"/>
                </w:tcPr>
                <w:p w14:paraId="66CDCE7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1.2</w:t>
                  </w:r>
                </w:p>
              </w:tc>
              <w:tc>
                <w:tcPr>
                  <w:tcW w:w="456" w:type="dxa"/>
                  <w:shd w:val="clear" w:color="auto" w:fill="FFFFFF"/>
                  <w:noWrap w:val="0"/>
                  <w:tcMar>
                    <w:top w:w="0" w:type="dxa"/>
                    <w:left w:w="0" w:type="dxa"/>
                    <w:bottom w:w="0" w:type="dxa"/>
                    <w:right w:w="0" w:type="dxa"/>
                  </w:tcMar>
                  <w:vAlign w:val="center"/>
                </w:tcPr>
                <w:p w14:paraId="26721AB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16.9</w:t>
                  </w:r>
                </w:p>
              </w:tc>
              <w:tc>
                <w:tcPr>
                  <w:tcW w:w="442" w:type="dxa"/>
                  <w:shd w:val="clear" w:color="auto" w:fill="FFFFFF"/>
                  <w:noWrap w:val="0"/>
                  <w:tcMar>
                    <w:top w:w="0" w:type="dxa"/>
                    <w:left w:w="0" w:type="dxa"/>
                    <w:bottom w:w="0" w:type="dxa"/>
                    <w:right w:w="0" w:type="dxa"/>
                  </w:tcMar>
                  <w:vAlign w:val="center"/>
                </w:tcPr>
                <w:p w14:paraId="35D3485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13.7</w:t>
                  </w:r>
                </w:p>
              </w:tc>
              <w:tc>
                <w:tcPr>
                  <w:tcW w:w="517" w:type="dxa"/>
                  <w:shd w:val="clear" w:color="auto" w:fill="FFFFFF"/>
                  <w:noWrap w:val="0"/>
                  <w:tcMar>
                    <w:top w:w="0" w:type="dxa"/>
                    <w:left w:w="0" w:type="dxa"/>
                    <w:bottom w:w="0" w:type="dxa"/>
                    <w:right w:w="0" w:type="dxa"/>
                  </w:tcMar>
                  <w:vAlign w:val="center"/>
                </w:tcPr>
                <w:p w14:paraId="51B98CD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7.0</w:t>
                  </w:r>
                </w:p>
              </w:tc>
              <w:tc>
                <w:tcPr>
                  <w:tcW w:w="435" w:type="dxa"/>
                  <w:shd w:val="clear" w:color="auto" w:fill="FFFFFF"/>
                  <w:noWrap w:val="0"/>
                  <w:tcMar>
                    <w:top w:w="0" w:type="dxa"/>
                    <w:left w:w="0" w:type="dxa"/>
                    <w:bottom w:w="0" w:type="dxa"/>
                    <w:right w:w="0" w:type="dxa"/>
                  </w:tcMar>
                  <w:vAlign w:val="center"/>
                </w:tcPr>
                <w:p w14:paraId="44F62B1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4.2</w:t>
                  </w:r>
                </w:p>
              </w:tc>
              <w:tc>
                <w:tcPr>
                  <w:tcW w:w="456" w:type="dxa"/>
                  <w:shd w:val="clear" w:color="auto" w:fill="FFFFFF"/>
                  <w:noWrap w:val="0"/>
                  <w:tcMar>
                    <w:top w:w="0" w:type="dxa"/>
                    <w:left w:w="0" w:type="dxa"/>
                    <w:bottom w:w="0" w:type="dxa"/>
                    <w:right w:w="0" w:type="dxa"/>
                  </w:tcMar>
                  <w:vAlign w:val="center"/>
                </w:tcPr>
                <w:p w14:paraId="1F850E1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76.8</w:t>
                  </w:r>
                </w:p>
              </w:tc>
              <w:tc>
                <w:tcPr>
                  <w:tcW w:w="442" w:type="dxa"/>
                  <w:shd w:val="clear" w:color="auto" w:fill="FFFFFF"/>
                  <w:noWrap w:val="0"/>
                  <w:tcMar>
                    <w:top w:w="0" w:type="dxa"/>
                    <w:left w:w="0" w:type="dxa"/>
                    <w:bottom w:w="0" w:type="dxa"/>
                    <w:right w:w="0" w:type="dxa"/>
                  </w:tcMar>
                  <w:vAlign w:val="center"/>
                </w:tcPr>
                <w:p w14:paraId="2BACCF3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76.8</w:t>
                  </w:r>
                </w:p>
              </w:tc>
              <w:tc>
                <w:tcPr>
                  <w:tcW w:w="441" w:type="dxa"/>
                  <w:shd w:val="clear" w:color="auto" w:fill="FFFFFF"/>
                  <w:noWrap w:val="0"/>
                  <w:tcMar>
                    <w:top w:w="0" w:type="dxa"/>
                    <w:left w:w="0" w:type="dxa"/>
                    <w:bottom w:w="0" w:type="dxa"/>
                    <w:right w:w="0" w:type="dxa"/>
                  </w:tcMar>
                  <w:vAlign w:val="center"/>
                </w:tcPr>
                <w:p w14:paraId="48D3BBA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76.8</w:t>
                  </w:r>
                </w:p>
              </w:tc>
              <w:tc>
                <w:tcPr>
                  <w:tcW w:w="563" w:type="dxa"/>
                  <w:shd w:val="clear" w:color="auto" w:fill="FFFFFF"/>
                  <w:noWrap w:val="0"/>
                  <w:tcMar>
                    <w:top w:w="0" w:type="dxa"/>
                    <w:left w:w="0" w:type="dxa"/>
                    <w:bottom w:w="0" w:type="dxa"/>
                    <w:right w:w="0" w:type="dxa"/>
                  </w:tcMar>
                  <w:vAlign w:val="center"/>
                </w:tcPr>
                <w:p w14:paraId="77E81B8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76.8</w:t>
                  </w:r>
                </w:p>
              </w:tc>
              <w:tc>
                <w:tcPr>
                  <w:tcW w:w="627" w:type="dxa"/>
                  <w:vMerge w:val="continue"/>
                  <w:shd w:val="clear" w:color="auto" w:fill="FFFFFF"/>
                  <w:noWrap w:val="0"/>
                  <w:tcMar>
                    <w:top w:w="0" w:type="dxa"/>
                    <w:left w:w="0" w:type="dxa"/>
                    <w:bottom w:w="0" w:type="dxa"/>
                    <w:right w:w="0" w:type="dxa"/>
                  </w:tcMar>
                  <w:vAlign w:val="center"/>
                </w:tcPr>
                <w:p w14:paraId="7B5B43B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p>
              </w:tc>
              <w:tc>
                <w:tcPr>
                  <w:tcW w:w="427" w:type="dxa"/>
                  <w:shd w:val="clear" w:color="auto" w:fill="FFFFFF"/>
                  <w:noWrap w:val="0"/>
                  <w:tcMar>
                    <w:top w:w="0" w:type="dxa"/>
                    <w:left w:w="0" w:type="dxa"/>
                    <w:bottom w:w="0" w:type="dxa"/>
                    <w:right w:w="0" w:type="dxa"/>
                  </w:tcMar>
                  <w:vAlign w:val="center"/>
                </w:tcPr>
                <w:p w14:paraId="066A369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0303D99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18.0</w:t>
                  </w:r>
                </w:p>
              </w:tc>
              <w:tc>
                <w:tcPr>
                  <w:tcW w:w="442" w:type="dxa"/>
                  <w:shd w:val="clear" w:color="auto" w:fill="FFFFFF"/>
                  <w:noWrap w:val="0"/>
                  <w:tcMar>
                    <w:top w:w="0" w:type="dxa"/>
                    <w:left w:w="0" w:type="dxa"/>
                    <w:bottom w:w="0" w:type="dxa"/>
                    <w:right w:w="0" w:type="dxa"/>
                  </w:tcMar>
                  <w:vAlign w:val="center"/>
                </w:tcPr>
                <w:p w14:paraId="31EEAF3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6C3B8E6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18.0</w:t>
                  </w:r>
                </w:p>
              </w:tc>
              <w:tc>
                <w:tcPr>
                  <w:tcW w:w="378" w:type="dxa"/>
                  <w:shd w:val="clear" w:color="auto" w:fill="FFFFFF"/>
                  <w:noWrap w:val="0"/>
                  <w:tcMar>
                    <w:top w:w="0" w:type="dxa"/>
                    <w:left w:w="0" w:type="dxa"/>
                    <w:bottom w:w="0" w:type="dxa"/>
                    <w:right w:w="0" w:type="dxa"/>
                  </w:tcMar>
                  <w:vAlign w:val="center"/>
                </w:tcPr>
                <w:p w14:paraId="4239B18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58.8</w:t>
                  </w:r>
                </w:p>
              </w:tc>
              <w:tc>
                <w:tcPr>
                  <w:tcW w:w="378" w:type="dxa"/>
                  <w:shd w:val="clear" w:color="auto" w:fill="FFFFFF"/>
                  <w:noWrap w:val="0"/>
                  <w:tcMar>
                    <w:top w:w="0" w:type="dxa"/>
                    <w:left w:w="0" w:type="dxa"/>
                    <w:bottom w:w="0" w:type="dxa"/>
                    <w:right w:w="0" w:type="dxa"/>
                  </w:tcMar>
                  <w:vAlign w:val="center"/>
                </w:tcPr>
                <w:p w14:paraId="61014A1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58.8</w:t>
                  </w:r>
                </w:p>
              </w:tc>
              <w:tc>
                <w:tcPr>
                  <w:tcW w:w="396" w:type="dxa"/>
                  <w:shd w:val="clear" w:color="auto" w:fill="FFFFFF"/>
                  <w:noWrap w:val="0"/>
                  <w:tcMar>
                    <w:top w:w="0" w:type="dxa"/>
                    <w:left w:w="0" w:type="dxa"/>
                    <w:bottom w:w="0" w:type="dxa"/>
                    <w:right w:w="0" w:type="dxa"/>
                  </w:tcMar>
                  <w:vAlign w:val="center"/>
                </w:tcPr>
                <w:p w14:paraId="2841B29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58.8</w:t>
                  </w:r>
                </w:p>
              </w:tc>
              <w:tc>
                <w:tcPr>
                  <w:tcW w:w="381" w:type="dxa"/>
                  <w:shd w:val="clear" w:color="auto" w:fill="FFFFFF"/>
                  <w:noWrap w:val="0"/>
                  <w:tcMar>
                    <w:top w:w="0" w:type="dxa"/>
                    <w:left w:w="0" w:type="dxa"/>
                    <w:bottom w:w="0" w:type="dxa"/>
                    <w:right w:w="0" w:type="dxa"/>
                  </w:tcMar>
                  <w:vAlign w:val="center"/>
                </w:tcPr>
                <w:p w14:paraId="089A0F6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58.8</w:t>
                  </w:r>
                </w:p>
              </w:tc>
              <w:tc>
                <w:tcPr>
                  <w:tcW w:w="579" w:type="dxa"/>
                  <w:shd w:val="clear" w:color="auto" w:fill="FFFFFF"/>
                  <w:noWrap w:val="0"/>
                  <w:tcMar>
                    <w:top w:w="0" w:type="dxa"/>
                    <w:left w:w="0" w:type="dxa"/>
                    <w:bottom w:w="0" w:type="dxa"/>
                    <w:right w:w="0" w:type="dxa"/>
                  </w:tcMar>
                  <w:vAlign w:val="center"/>
                </w:tcPr>
                <w:p w14:paraId="67728E4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w:t>
                  </w:r>
                </w:p>
              </w:tc>
            </w:tr>
            <w:tr w14:paraId="4992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54" w:type="dxa"/>
                  <w:shd w:val="clear" w:color="auto" w:fill="FFFFFF"/>
                  <w:noWrap w:val="0"/>
                  <w:tcMar>
                    <w:top w:w="0" w:type="dxa"/>
                    <w:left w:w="0" w:type="dxa"/>
                    <w:bottom w:w="0" w:type="dxa"/>
                    <w:right w:w="0" w:type="dxa"/>
                  </w:tcMar>
                  <w:vAlign w:val="center"/>
                </w:tcPr>
                <w:p w14:paraId="211A03B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Arial" w:cs="Times New Roman"/>
                      <w:color w:val="auto"/>
                      <w:sz w:val="21"/>
                      <w:szCs w:val="21"/>
                    </w:rPr>
                    <w:t>4</w:t>
                  </w:r>
                </w:p>
              </w:tc>
              <w:tc>
                <w:tcPr>
                  <w:tcW w:w="538" w:type="dxa"/>
                  <w:vMerge w:val="continue"/>
                  <w:shd w:val="clear" w:color="auto" w:fill="FFFFFF"/>
                  <w:noWrap w:val="0"/>
                  <w:tcMar>
                    <w:top w:w="0" w:type="dxa"/>
                    <w:left w:w="0" w:type="dxa"/>
                    <w:bottom w:w="0" w:type="dxa"/>
                    <w:right w:w="0" w:type="dxa"/>
                  </w:tcMar>
                  <w:vAlign w:val="center"/>
                </w:tcPr>
                <w:p w14:paraId="49F36A5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eastAsia="zh-CN"/>
                    </w:rPr>
                  </w:pPr>
                </w:p>
              </w:tc>
              <w:tc>
                <w:tcPr>
                  <w:tcW w:w="1278" w:type="dxa"/>
                  <w:shd w:val="clear" w:color="auto" w:fill="FFFFFF"/>
                  <w:noWrap w:val="0"/>
                  <w:tcMar>
                    <w:top w:w="0" w:type="dxa"/>
                    <w:left w:w="0" w:type="dxa"/>
                    <w:bottom w:w="0" w:type="dxa"/>
                    <w:right w:w="0" w:type="dxa"/>
                  </w:tcMar>
                  <w:vAlign w:val="center"/>
                </w:tcPr>
                <w:p w14:paraId="40FCB9A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挤出机,3台（按点声源组预测）</w:t>
                  </w:r>
                </w:p>
              </w:tc>
              <w:tc>
                <w:tcPr>
                  <w:tcW w:w="838" w:type="dxa"/>
                  <w:shd w:val="clear" w:color="auto" w:fill="FFFFFF"/>
                  <w:noWrap w:val="0"/>
                  <w:tcMar>
                    <w:top w:w="0" w:type="dxa"/>
                    <w:left w:w="0" w:type="dxa"/>
                    <w:bottom w:w="0" w:type="dxa"/>
                    <w:right w:w="0" w:type="dxa"/>
                  </w:tcMar>
                  <w:vAlign w:val="center"/>
                </w:tcPr>
                <w:p w14:paraId="3A79A36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75（等效后：79.8)</w:t>
                  </w:r>
                </w:p>
              </w:tc>
              <w:tc>
                <w:tcPr>
                  <w:tcW w:w="600" w:type="dxa"/>
                  <w:vMerge w:val="continue"/>
                  <w:shd w:val="clear" w:color="auto" w:fill="FFFFFF"/>
                  <w:noWrap w:val="0"/>
                  <w:tcMar>
                    <w:top w:w="0" w:type="dxa"/>
                    <w:left w:w="0" w:type="dxa"/>
                    <w:bottom w:w="0" w:type="dxa"/>
                    <w:right w:w="0" w:type="dxa"/>
                  </w:tcMar>
                  <w:vAlign w:val="center"/>
                </w:tcPr>
                <w:p w14:paraId="12A0E76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p>
              </w:tc>
              <w:tc>
                <w:tcPr>
                  <w:tcW w:w="427" w:type="dxa"/>
                  <w:shd w:val="clear" w:color="auto" w:fill="FFFFFF"/>
                  <w:noWrap w:val="0"/>
                  <w:tcMar>
                    <w:top w:w="0" w:type="dxa"/>
                    <w:left w:w="0" w:type="dxa"/>
                    <w:bottom w:w="0" w:type="dxa"/>
                    <w:right w:w="0" w:type="dxa"/>
                  </w:tcMar>
                  <w:vAlign w:val="center"/>
                </w:tcPr>
                <w:p w14:paraId="0C52D9B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-8.5</w:t>
                  </w:r>
                </w:p>
              </w:tc>
              <w:tc>
                <w:tcPr>
                  <w:tcW w:w="417" w:type="dxa"/>
                  <w:shd w:val="clear" w:color="auto" w:fill="FFFFFF"/>
                  <w:noWrap w:val="0"/>
                  <w:tcMar>
                    <w:top w:w="0" w:type="dxa"/>
                    <w:left w:w="0" w:type="dxa"/>
                    <w:bottom w:w="0" w:type="dxa"/>
                    <w:right w:w="0" w:type="dxa"/>
                  </w:tcMar>
                  <w:vAlign w:val="center"/>
                </w:tcPr>
                <w:p w14:paraId="26F11AE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eastAsia="zh-CN"/>
                    </w:rPr>
                  </w:pPr>
                  <w:r>
                    <w:rPr>
                      <w:rFonts w:hint="default" w:ascii="Times New Roman" w:hAnsi="Times New Roman" w:eastAsia="Arial" w:cs="Times New Roman"/>
                      <w:color w:val="auto"/>
                      <w:sz w:val="21"/>
                      <w:szCs w:val="21"/>
                    </w:rPr>
                    <w:t>-5.1</w:t>
                  </w:r>
                </w:p>
              </w:tc>
              <w:tc>
                <w:tcPr>
                  <w:tcW w:w="448" w:type="dxa"/>
                  <w:shd w:val="clear" w:color="auto" w:fill="FFFFFF"/>
                  <w:noWrap w:val="0"/>
                  <w:tcMar>
                    <w:top w:w="0" w:type="dxa"/>
                    <w:left w:w="0" w:type="dxa"/>
                    <w:bottom w:w="0" w:type="dxa"/>
                    <w:right w:w="0" w:type="dxa"/>
                  </w:tcMar>
                  <w:vAlign w:val="center"/>
                </w:tcPr>
                <w:p w14:paraId="501E77E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1.2</w:t>
                  </w:r>
                </w:p>
              </w:tc>
              <w:tc>
                <w:tcPr>
                  <w:tcW w:w="456" w:type="dxa"/>
                  <w:shd w:val="clear" w:color="auto" w:fill="FFFFFF"/>
                  <w:noWrap w:val="0"/>
                  <w:tcMar>
                    <w:top w:w="0" w:type="dxa"/>
                    <w:left w:w="0" w:type="dxa"/>
                    <w:bottom w:w="0" w:type="dxa"/>
                    <w:right w:w="0" w:type="dxa"/>
                  </w:tcMar>
                  <w:vAlign w:val="center"/>
                </w:tcPr>
                <w:p w14:paraId="379046B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13.4</w:t>
                  </w:r>
                </w:p>
              </w:tc>
              <w:tc>
                <w:tcPr>
                  <w:tcW w:w="442" w:type="dxa"/>
                  <w:shd w:val="clear" w:color="auto" w:fill="FFFFFF"/>
                  <w:noWrap w:val="0"/>
                  <w:tcMar>
                    <w:top w:w="0" w:type="dxa"/>
                    <w:left w:w="0" w:type="dxa"/>
                    <w:bottom w:w="0" w:type="dxa"/>
                    <w:right w:w="0" w:type="dxa"/>
                  </w:tcMar>
                  <w:vAlign w:val="center"/>
                </w:tcPr>
                <w:p w14:paraId="5CC0DC7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9.0</w:t>
                  </w:r>
                </w:p>
              </w:tc>
              <w:tc>
                <w:tcPr>
                  <w:tcW w:w="517" w:type="dxa"/>
                  <w:shd w:val="clear" w:color="auto" w:fill="FFFFFF"/>
                  <w:noWrap w:val="0"/>
                  <w:tcMar>
                    <w:top w:w="0" w:type="dxa"/>
                    <w:left w:w="0" w:type="dxa"/>
                    <w:bottom w:w="0" w:type="dxa"/>
                    <w:right w:w="0" w:type="dxa"/>
                  </w:tcMar>
                  <w:vAlign w:val="center"/>
                </w:tcPr>
                <w:p w14:paraId="0EC161D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10.6</w:t>
                  </w:r>
                </w:p>
              </w:tc>
              <w:tc>
                <w:tcPr>
                  <w:tcW w:w="435" w:type="dxa"/>
                  <w:shd w:val="clear" w:color="auto" w:fill="FFFFFF"/>
                  <w:noWrap w:val="0"/>
                  <w:tcMar>
                    <w:top w:w="0" w:type="dxa"/>
                    <w:left w:w="0" w:type="dxa"/>
                    <w:bottom w:w="0" w:type="dxa"/>
                    <w:right w:w="0" w:type="dxa"/>
                  </w:tcMar>
                  <w:vAlign w:val="center"/>
                </w:tcPr>
                <w:p w14:paraId="6657211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8.9</w:t>
                  </w:r>
                </w:p>
              </w:tc>
              <w:tc>
                <w:tcPr>
                  <w:tcW w:w="456" w:type="dxa"/>
                  <w:shd w:val="clear" w:color="auto" w:fill="FFFFFF"/>
                  <w:noWrap w:val="0"/>
                  <w:tcMar>
                    <w:top w:w="0" w:type="dxa"/>
                    <w:left w:w="0" w:type="dxa"/>
                    <w:bottom w:w="0" w:type="dxa"/>
                    <w:right w:w="0" w:type="dxa"/>
                  </w:tcMar>
                  <w:vAlign w:val="center"/>
                </w:tcPr>
                <w:p w14:paraId="060D28D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73.8</w:t>
                  </w:r>
                </w:p>
              </w:tc>
              <w:tc>
                <w:tcPr>
                  <w:tcW w:w="442" w:type="dxa"/>
                  <w:shd w:val="clear" w:color="auto" w:fill="FFFFFF"/>
                  <w:noWrap w:val="0"/>
                  <w:tcMar>
                    <w:top w:w="0" w:type="dxa"/>
                    <w:left w:w="0" w:type="dxa"/>
                    <w:bottom w:w="0" w:type="dxa"/>
                    <w:right w:w="0" w:type="dxa"/>
                  </w:tcMar>
                  <w:vAlign w:val="center"/>
                </w:tcPr>
                <w:p w14:paraId="706C0D9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73.8</w:t>
                  </w:r>
                </w:p>
              </w:tc>
              <w:tc>
                <w:tcPr>
                  <w:tcW w:w="441" w:type="dxa"/>
                  <w:shd w:val="clear" w:color="auto" w:fill="FFFFFF"/>
                  <w:noWrap w:val="0"/>
                  <w:tcMar>
                    <w:top w:w="0" w:type="dxa"/>
                    <w:left w:w="0" w:type="dxa"/>
                    <w:bottom w:w="0" w:type="dxa"/>
                    <w:right w:w="0" w:type="dxa"/>
                  </w:tcMar>
                  <w:vAlign w:val="center"/>
                </w:tcPr>
                <w:p w14:paraId="29F615A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73.8</w:t>
                  </w:r>
                </w:p>
              </w:tc>
              <w:tc>
                <w:tcPr>
                  <w:tcW w:w="563" w:type="dxa"/>
                  <w:shd w:val="clear" w:color="auto" w:fill="FFFFFF"/>
                  <w:noWrap w:val="0"/>
                  <w:tcMar>
                    <w:top w:w="0" w:type="dxa"/>
                    <w:left w:w="0" w:type="dxa"/>
                    <w:bottom w:w="0" w:type="dxa"/>
                    <w:right w:w="0" w:type="dxa"/>
                  </w:tcMar>
                  <w:vAlign w:val="center"/>
                </w:tcPr>
                <w:p w14:paraId="7BEB389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73.8</w:t>
                  </w:r>
                </w:p>
              </w:tc>
              <w:tc>
                <w:tcPr>
                  <w:tcW w:w="627" w:type="dxa"/>
                  <w:vMerge w:val="continue"/>
                  <w:shd w:val="clear" w:color="auto" w:fill="FFFFFF"/>
                  <w:noWrap w:val="0"/>
                  <w:tcMar>
                    <w:top w:w="0" w:type="dxa"/>
                    <w:left w:w="0" w:type="dxa"/>
                    <w:bottom w:w="0" w:type="dxa"/>
                    <w:right w:w="0" w:type="dxa"/>
                  </w:tcMar>
                  <w:vAlign w:val="center"/>
                </w:tcPr>
                <w:p w14:paraId="316F44F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p>
              </w:tc>
              <w:tc>
                <w:tcPr>
                  <w:tcW w:w="427" w:type="dxa"/>
                  <w:shd w:val="clear" w:color="auto" w:fill="FFFFFF"/>
                  <w:noWrap w:val="0"/>
                  <w:tcMar>
                    <w:top w:w="0" w:type="dxa"/>
                    <w:left w:w="0" w:type="dxa"/>
                    <w:bottom w:w="0" w:type="dxa"/>
                    <w:right w:w="0" w:type="dxa"/>
                  </w:tcMar>
                  <w:vAlign w:val="center"/>
                </w:tcPr>
                <w:p w14:paraId="2026C1B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69E1836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42" w:type="dxa"/>
                  <w:shd w:val="clear" w:color="auto" w:fill="FFFFFF"/>
                  <w:noWrap w:val="0"/>
                  <w:tcMar>
                    <w:top w:w="0" w:type="dxa"/>
                    <w:left w:w="0" w:type="dxa"/>
                    <w:bottom w:w="0" w:type="dxa"/>
                    <w:right w:w="0" w:type="dxa"/>
                  </w:tcMar>
                  <w:vAlign w:val="center"/>
                </w:tcPr>
                <w:p w14:paraId="2B8DDD4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4F738CB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378" w:type="dxa"/>
                  <w:shd w:val="clear" w:color="auto" w:fill="FFFFFF"/>
                  <w:noWrap w:val="0"/>
                  <w:tcMar>
                    <w:top w:w="0" w:type="dxa"/>
                    <w:left w:w="0" w:type="dxa"/>
                    <w:bottom w:w="0" w:type="dxa"/>
                    <w:right w:w="0" w:type="dxa"/>
                  </w:tcMar>
                  <w:vAlign w:val="center"/>
                </w:tcPr>
                <w:p w14:paraId="1587CFC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55.8</w:t>
                  </w:r>
                </w:p>
              </w:tc>
              <w:tc>
                <w:tcPr>
                  <w:tcW w:w="378" w:type="dxa"/>
                  <w:shd w:val="clear" w:color="auto" w:fill="FFFFFF"/>
                  <w:noWrap w:val="0"/>
                  <w:tcMar>
                    <w:top w:w="0" w:type="dxa"/>
                    <w:left w:w="0" w:type="dxa"/>
                    <w:bottom w:w="0" w:type="dxa"/>
                    <w:right w:w="0" w:type="dxa"/>
                  </w:tcMar>
                  <w:vAlign w:val="center"/>
                </w:tcPr>
                <w:p w14:paraId="1CF89B2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55.8</w:t>
                  </w:r>
                </w:p>
              </w:tc>
              <w:tc>
                <w:tcPr>
                  <w:tcW w:w="396" w:type="dxa"/>
                  <w:shd w:val="clear" w:color="auto" w:fill="FFFFFF"/>
                  <w:noWrap w:val="0"/>
                  <w:tcMar>
                    <w:top w:w="0" w:type="dxa"/>
                    <w:left w:w="0" w:type="dxa"/>
                    <w:bottom w:w="0" w:type="dxa"/>
                    <w:right w:w="0" w:type="dxa"/>
                  </w:tcMar>
                  <w:vAlign w:val="center"/>
                </w:tcPr>
                <w:p w14:paraId="76EA93A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55.8</w:t>
                  </w:r>
                </w:p>
              </w:tc>
              <w:tc>
                <w:tcPr>
                  <w:tcW w:w="381" w:type="dxa"/>
                  <w:shd w:val="clear" w:color="auto" w:fill="FFFFFF"/>
                  <w:noWrap w:val="0"/>
                  <w:tcMar>
                    <w:top w:w="0" w:type="dxa"/>
                    <w:left w:w="0" w:type="dxa"/>
                    <w:bottom w:w="0" w:type="dxa"/>
                    <w:right w:w="0" w:type="dxa"/>
                  </w:tcMar>
                  <w:vAlign w:val="center"/>
                </w:tcPr>
                <w:p w14:paraId="1E7CD0B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55.8</w:t>
                  </w:r>
                </w:p>
              </w:tc>
              <w:tc>
                <w:tcPr>
                  <w:tcW w:w="579" w:type="dxa"/>
                  <w:shd w:val="clear" w:color="auto" w:fill="FFFFFF"/>
                  <w:noWrap w:val="0"/>
                  <w:tcMar>
                    <w:top w:w="0" w:type="dxa"/>
                    <w:left w:w="0" w:type="dxa"/>
                    <w:bottom w:w="0" w:type="dxa"/>
                    <w:right w:w="0" w:type="dxa"/>
                  </w:tcMar>
                  <w:vAlign w:val="center"/>
                </w:tcPr>
                <w:p w14:paraId="0F34940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14:paraId="27D8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54" w:type="dxa"/>
                  <w:shd w:val="clear" w:color="auto" w:fill="FFFFFF"/>
                  <w:noWrap w:val="0"/>
                  <w:tcMar>
                    <w:top w:w="0" w:type="dxa"/>
                    <w:left w:w="0" w:type="dxa"/>
                    <w:bottom w:w="0" w:type="dxa"/>
                    <w:right w:w="0" w:type="dxa"/>
                  </w:tcMar>
                  <w:vAlign w:val="center"/>
                </w:tcPr>
                <w:p w14:paraId="165395B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Arial" w:cs="Times New Roman"/>
                      <w:color w:val="auto"/>
                      <w:sz w:val="21"/>
                      <w:szCs w:val="21"/>
                    </w:rPr>
                    <w:t>5</w:t>
                  </w:r>
                </w:p>
              </w:tc>
              <w:tc>
                <w:tcPr>
                  <w:tcW w:w="538" w:type="dxa"/>
                  <w:vMerge w:val="continue"/>
                  <w:shd w:val="clear" w:color="auto" w:fill="FFFFFF"/>
                  <w:noWrap w:val="0"/>
                  <w:tcMar>
                    <w:top w:w="0" w:type="dxa"/>
                    <w:left w:w="0" w:type="dxa"/>
                    <w:bottom w:w="0" w:type="dxa"/>
                    <w:right w:w="0" w:type="dxa"/>
                  </w:tcMar>
                  <w:vAlign w:val="center"/>
                </w:tcPr>
                <w:p w14:paraId="10D9C66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eastAsia="zh-CN"/>
                    </w:rPr>
                  </w:pPr>
                </w:p>
              </w:tc>
              <w:tc>
                <w:tcPr>
                  <w:tcW w:w="1278" w:type="dxa"/>
                  <w:shd w:val="clear" w:color="auto" w:fill="FFFFFF"/>
                  <w:noWrap w:val="0"/>
                  <w:tcMar>
                    <w:top w:w="0" w:type="dxa"/>
                    <w:left w:w="0" w:type="dxa"/>
                    <w:bottom w:w="0" w:type="dxa"/>
                    <w:right w:w="0" w:type="dxa"/>
                  </w:tcMar>
                  <w:vAlign w:val="center"/>
                </w:tcPr>
                <w:p w14:paraId="1D4BF3A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灌装机,15台（按点声源组预测）</w:t>
                  </w:r>
                </w:p>
              </w:tc>
              <w:tc>
                <w:tcPr>
                  <w:tcW w:w="838" w:type="dxa"/>
                  <w:shd w:val="clear" w:color="auto" w:fill="FFFFFF"/>
                  <w:noWrap w:val="0"/>
                  <w:tcMar>
                    <w:top w:w="0" w:type="dxa"/>
                    <w:left w:w="0" w:type="dxa"/>
                    <w:bottom w:w="0" w:type="dxa"/>
                    <w:right w:w="0" w:type="dxa"/>
                  </w:tcMar>
                  <w:vAlign w:val="center"/>
                </w:tcPr>
                <w:p w14:paraId="6003681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65（等效后：76.8)</w:t>
                  </w:r>
                </w:p>
              </w:tc>
              <w:tc>
                <w:tcPr>
                  <w:tcW w:w="600" w:type="dxa"/>
                  <w:vMerge w:val="continue"/>
                  <w:shd w:val="clear" w:color="auto" w:fill="FFFFFF"/>
                  <w:noWrap w:val="0"/>
                  <w:tcMar>
                    <w:top w:w="0" w:type="dxa"/>
                    <w:left w:w="0" w:type="dxa"/>
                    <w:bottom w:w="0" w:type="dxa"/>
                    <w:right w:w="0" w:type="dxa"/>
                  </w:tcMar>
                  <w:vAlign w:val="center"/>
                </w:tcPr>
                <w:p w14:paraId="03A0EEE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p>
              </w:tc>
              <w:tc>
                <w:tcPr>
                  <w:tcW w:w="427" w:type="dxa"/>
                  <w:shd w:val="clear" w:color="auto" w:fill="FFFFFF"/>
                  <w:noWrap w:val="0"/>
                  <w:tcMar>
                    <w:top w:w="0" w:type="dxa"/>
                    <w:left w:w="0" w:type="dxa"/>
                    <w:bottom w:w="0" w:type="dxa"/>
                    <w:right w:w="0" w:type="dxa"/>
                  </w:tcMar>
                  <w:vAlign w:val="center"/>
                </w:tcPr>
                <w:p w14:paraId="001C0F3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-3.2</w:t>
                  </w:r>
                </w:p>
              </w:tc>
              <w:tc>
                <w:tcPr>
                  <w:tcW w:w="417" w:type="dxa"/>
                  <w:shd w:val="clear" w:color="auto" w:fill="FFFFFF"/>
                  <w:noWrap w:val="0"/>
                  <w:tcMar>
                    <w:top w:w="0" w:type="dxa"/>
                    <w:left w:w="0" w:type="dxa"/>
                    <w:bottom w:w="0" w:type="dxa"/>
                    <w:right w:w="0" w:type="dxa"/>
                  </w:tcMar>
                  <w:vAlign w:val="center"/>
                </w:tcPr>
                <w:p w14:paraId="1BC8F57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-6.9</w:t>
                  </w:r>
                </w:p>
              </w:tc>
              <w:tc>
                <w:tcPr>
                  <w:tcW w:w="448" w:type="dxa"/>
                  <w:shd w:val="clear" w:color="auto" w:fill="FFFFFF"/>
                  <w:noWrap w:val="0"/>
                  <w:tcMar>
                    <w:top w:w="0" w:type="dxa"/>
                    <w:left w:w="0" w:type="dxa"/>
                    <w:bottom w:w="0" w:type="dxa"/>
                    <w:right w:w="0" w:type="dxa"/>
                  </w:tcMar>
                  <w:vAlign w:val="center"/>
                </w:tcPr>
                <w:p w14:paraId="2DAF832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1.2</w:t>
                  </w:r>
                </w:p>
              </w:tc>
              <w:tc>
                <w:tcPr>
                  <w:tcW w:w="456" w:type="dxa"/>
                  <w:shd w:val="clear" w:color="auto" w:fill="FFFFFF"/>
                  <w:noWrap w:val="0"/>
                  <w:tcMar>
                    <w:top w:w="0" w:type="dxa"/>
                    <w:left w:w="0" w:type="dxa"/>
                    <w:bottom w:w="0" w:type="dxa"/>
                    <w:right w:w="0" w:type="dxa"/>
                  </w:tcMar>
                  <w:vAlign w:val="center"/>
                </w:tcPr>
                <w:p w14:paraId="22B991D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7.8</w:t>
                  </w:r>
                </w:p>
              </w:tc>
              <w:tc>
                <w:tcPr>
                  <w:tcW w:w="442" w:type="dxa"/>
                  <w:shd w:val="clear" w:color="auto" w:fill="FFFFFF"/>
                  <w:noWrap w:val="0"/>
                  <w:tcMar>
                    <w:top w:w="0" w:type="dxa"/>
                    <w:left w:w="0" w:type="dxa"/>
                    <w:bottom w:w="0" w:type="dxa"/>
                    <w:right w:w="0" w:type="dxa"/>
                  </w:tcMar>
                  <w:vAlign w:val="center"/>
                </w:tcPr>
                <w:p w14:paraId="68A84E9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9.3</w:t>
                  </w:r>
                </w:p>
              </w:tc>
              <w:tc>
                <w:tcPr>
                  <w:tcW w:w="517" w:type="dxa"/>
                  <w:shd w:val="clear" w:color="auto" w:fill="FFFFFF"/>
                  <w:noWrap w:val="0"/>
                  <w:tcMar>
                    <w:top w:w="0" w:type="dxa"/>
                    <w:left w:w="0" w:type="dxa"/>
                    <w:bottom w:w="0" w:type="dxa"/>
                    <w:right w:w="0" w:type="dxa"/>
                  </w:tcMar>
                  <w:vAlign w:val="center"/>
                </w:tcPr>
                <w:p w14:paraId="75BBB2C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16.2</w:t>
                  </w:r>
                </w:p>
              </w:tc>
              <w:tc>
                <w:tcPr>
                  <w:tcW w:w="435" w:type="dxa"/>
                  <w:shd w:val="clear" w:color="auto" w:fill="FFFFFF"/>
                  <w:noWrap w:val="0"/>
                  <w:tcMar>
                    <w:top w:w="0" w:type="dxa"/>
                    <w:left w:w="0" w:type="dxa"/>
                    <w:bottom w:w="0" w:type="dxa"/>
                    <w:right w:w="0" w:type="dxa"/>
                  </w:tcMar>
                  <w:vAlign w:val="center"/>
                </w:tcPr>
                <w:p w14:paraId="6EC4BB6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8.6</w:t>
                  </w:r>
                </w:p>
              </w:tc>
              <w:tc>
                <w:tcPr>
                  <w:tcW w:w="456" w:type="dxa"/>
                  <w:shd w:val="clear" w:color="auto" w:fill="FFFFFF"/>
                  <w:noWrap w:val="0"/>
                  <w:tcMar>
                    <w:top w:w="0" w:type="dxa"/>
                    <w:left w:w="0" w:type="dxa"/>
                    <w:bottom w:w="0" w:type="dxa"/>
                    <w:right w:w="0" w:type="dxa"/>
                  </w:tcMar>
                  <w:vAlign w:val="center"/>
                </w:tcPr>
                <w:p w14:paraId="4695326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70.8</w:t>
                  </w:r>
                </w:p>
              </w:tc>
              <w:tc>
                <w:tcPr>
                  <w:tcW w:w="442" w:type="dxa"/>
                  <w:shd w:val="clear" w:color="auto" w:fill="FFFFFF"/>
                  <w:noWrap w:val="0"/>
                  <w:tcMar>
                    <w:top w:w="0" w:type="dxa"/>
                    <w:left w:w="0" w:type="dxa"/>
                    <w:bottom w:w="0" w:type="dxa"/>
                    <w:right w:w="0" w:type="dxa"/>
                  </w:tcMar>
                  <w:vAlign w:val="center"/>
                </w:tcPr>
                <w:p w14:paraId="5D7DF65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70.8</w:t>
                  </w:r>
                </w:p>
              </w:tc>
              <w:tc>
                <w:tcPr>
                  <w:tcW w:w="441" w:type="dxa"/>
                  <w:shd w:val="clear" w:color="auto" w:fill="FFFFFF"/>
                  <w:noWrap w:val="0"/>
                  <w:tcMar>
                    <w:top w:w="0" w:type="dxa"/>
                    <w:left w:w="0" w:type="dxa"/>
                    <w:bottom w:w="0" w:type="dxa"/>
                    <w:right w:w="0" w:type="dxa"/>
                  </w:tcMar>
                  <w:vAlign w:val="center"/>
                </w:tcPr>
                <w:p w14:paraId="201FE1A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70.8</w:t>
                  </w:r>
                </w:p>
              </w:tc>
              <w:tc>
                <w:tcPr>
                  <w:tcW w:w="563" w:type="dxa"/>
                  <w:shd w:val="clear" w:color="auto" w:fill="FFFFFF"/>
                  <w:noWrap w:val="0"/>
                  <w:tcMar>
                    <w:top w:w="0" w:type="dxa"/>
                    <w:left w:w="0" w:type="dxa"/>
                    <w:bottom w:w="0" w:type="dxa"/>
                    <w:right w:w="0" w:type="dxa"/>
                  </w:tcMar>
                  <w:vAlign w:val="center"/>
                </w:tcPr>
                <w:p w14:paraId="48454F4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70.8</w:t>
                  </w:r>
                </w:p>
              </w:tc>
              <w:tc>
                <w:tcPr>
                  <w:tcW w:w="627" w:type="dxa"/>
                  <w:vMerge w:val="continue"/>
                  <w:shd w:val="clear" w:color="auto" w:fill="FFFFFF"/>
                  <w:noWrap w:val="0"/>
                  <w:tcMar>
                    <w:top w:w="0" w:type="dxa"/>
                    <w:left w:w="0" w:type="dxa"/>
                    <w:bottom w:w="0" w:type="dxa"/>
                    <w:right w:w="0" w:type="dxa"/>
                  </w:tcMar>
                  <w:vAlign w:val="center"/>
                </w:tcPr>
                <w:p w14:paraId="4DF8FC5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p>
              </w:tc>
              <w:tc>
                <w:tcPr>
                  <w:tcW w:w="427" w:type="dxa"/>
                  <w:shd w:val="clear" w:color="auto" w:fill="FFFFFF"/>
                  <w:noWrap w:val="0"/>
                  <w:tcMar>
                    <w:top w:w="0" w:type="dxa"/>
                    <w:left w:w="0" w:type="dxa"/>
                    <w:bottom w:w="0" w:type="dxa"/>
                    <w:right w:w="0" w:type="dxa"/>
                  </w:tcMar>
                  <w:vAlign w:val="center"/>
                </w:tcPr>
                <w:p w14:paraId="009B4F3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6D71C5F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42" w:type="dxa"/>
                  <w:shd w:val="clear" w:color="auto" w:fill="FFFFFF"/>
                  <w:noWrap w:val="0"/>
                  <w:tcMar>
                    <w:top w:w="0" w:type="dxa"/>
                    <w:left w:w="0" w:type="dxa"/>
                    <w:bottom w:w="0" w:type="dxa"/>
                    <w:right w:w="0" w:type="dxa"/>
                  </w:tcMar>
                  <w:vAlign w:val="center"/>
                </w:tcPr>
                <w:p w14:paraId="627C6B7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2A89596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378" w:type="dxa"/>
                  <w:shd w:val="clear" w:color="auto" w:fill="FFFFFF"/>
                  <w:noWrap w:val="0"/>
                  <w:tcMar>
                    <w:top w:w="0" w:type="dxa"/>
                    <w:left w:w="0" w:type="dxa"/>
                    <w:bottom w:w="0" w:type="dxa"/>
                    <w:right w:w="0" w:type="dxa"/>
                  </w:tcMar>
                  <w:vAlign w:val="center"/>
                </w:tcPr>
                <w:p w14:paraId="1C8228F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52.8</w:t>
                  </w:r>
                </w:p>
              </w:tc>
              <w:tc>
                <w:tcPr>
                  <w:tcW w:w="378" w:type="dxa"/>
                  <w:shd w:val="clear" w:color="auto" w:fill="FFFFFF"/>
                  <w:noWrap w:val="0"/>
                  <w:tcMar>
                    <w:top w:w="0" w:type="dxa"/>
                    <w:left w:w="0" w:type="dxa"/>
                    <w:bottom w:w="0" w:type="dxa"/>
                    <w:right w:w="0" w:type="dxa"/>
                  </w:tcMar>
                  <w:vAlign w:val="center"/>
                </w:tcPr>
                <w:p w14:paraId="57306DF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52.8</w:t>
                  </w:r>
                </w:p>
              </w:tc>
              <w:tc>
                <w:tcPr>
                  <w:tcW w:w="396" w:type="dxa"/>
                  <w:shd w:val="clear" w:color="auto" w:fill="FFFFFF"/>
                  <w:noWrap w:val="0"/>
                  <w:tcMar>
                    <w:top w:w="0" w:type="dxa"/>
                    <w:left w:w="0" w:type="dxa"/>
                    <w:bottom w:w="0" w:type="dxa"/>
                    <w:right w:w="0" w:type="dxa"/>
                  </w:tcMar>
                  <w:vAlign w:val="center"/>
                </w:tcPr>
                <w:p w14:paraId="1DC30EC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52.8</w:t>
                  </w:r>
                </w:p>
              </w:tc>
              <w:tc>
                <w:tcPr>
                  <w:tcW w:w="381" w:type="dxa"/>
                  <w:shd w:val="clear" w:color="auto" w:fill="FFFFFF"/>
                  <w:noWrap w:val="0"/>
                  <w:tcMar>
                    <w:top w:w="0" w:type="dxa"/>
                    <w:left w:w="0" w:type="dxa"/>
                    <w:bottom w:w="0" w:type="dxa"/>
                    <w:right w:w="0" w:type="dxa"/>
                  </w:tcMar>
                  <w:vAlign w:val="center"/>
                </w:tcPr>
                <w:p w14:paraId="0B20745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52.8</w:t>
                  </w:r>
                </w:p>
              </w:tc>
              <w:tc>
                <w:tcPr>
                  <w:tcW w:w="579" w:type="dxa"/>
                  <w:shd w:val="clear" w:color="auto" w:fill="FFFFFF"/>
                  <w:noWrap w:val="0"/>
                  <w:tcMar>
                    <w:top w:w="0" w:type="dxa"/>
                    <w:left w:w="0" w:type="dxa"/>
                    <w:bottom w:w="0" w:type="dxa"/>
                    <w:right w:w="0" w:type="dxa"/>
                  </w:tcMar>
                  <w:vAlign w:val="center"/>
                </w:tcPr>
                <w:p w14:paraId="1C3BAFC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14:paraId="66B3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54" w:type="dxa"/>
                  <w:shd w:val="clear" w:color="auto" w:fill="FFFFFF"/>
                  <w:noWrap w:val="0"/>
                  <w:tcMar>
                    <w:top w:w="0" w:type="dxa"/>
                    <w:left w:w="0" w:type="dxa"/>
                    <w:bottom w:w="0" w:type="dxa"/>
                    <w:right w:w="0" w:type="dxa"/>
                  </w:tcMar>
                  <w:vAlign w:val="center"/>
                </w:tcPr>
                <w:p w14:paraId="18EDA9C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Arial" w:cs="Times New Roman"/>
                      <w:color w:val="auto"/>
                      <w:sz w:val="21"/>
                      <w:szCs w:val="21"/>
                    </w:rPr>
                    <w:t>6</w:t>
                  </w:r>
                </w:p>
              </w:tc>
              <w:tc>
                <w:tcPr>
                  <w:tcW w:w="538" w:type="dxa"/>
                  <w:vMerge w:val="continue"/>
                  <w:shd w:val="clear" w:color="auto" w:fill="FFFFFF"/>
                  <w:noWrap w:val="0"/>
                  <w:tcMar>
                    <w:top w:w="0" w:type="dxa"/>
                    <w:left w:w="0" w:type="dxa"/>
                    <w:bottom w:w="0" w:type="dxa"/>
                    <w:right w:w="0" w:type="dxa"/>
                  </w:tcMar>
                  <w:vAlign w:val="center"/>
                </w:tcPr>
                <w:p w14:paraId="358487E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eastAsia="zh-CN"/>
                    </w:rPr>
                  </w:pPr>
                </w:p>
              </w:tc>
              <w:tc>
                <w:tcPr>
                  <w:tcW w:w="1278" w:type="dxa"/>
                  <w:shd w:val="clear" w:color="auto" w:fill="FFFFFF"/>
                  <w:noWrap w:val="0"/>
                  <w:tcMar>
                    <w:top w:w="0" w:type="dxa"/>
                    <w:left w:w="0" w:type="dxa"/>
                    <w:bottom w:w="0" w:type="dxa"/>
                    <w:right w:w="0" w:type="dxa"/>
                  </w:tcMar>
                  <w:vAlign w:val="center"/>
                </w:tcPr>
                <w:p w14:paraId="7F1ED50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纸箱包膜机</w:t>
                  </w:r>
                </w:p>
              </w:tc>
              <w:tc>
                <w:tcPr>
                  <w:tcW w:w="838" w:type="dxa"/>
                  <w:shd w:val="clear" w:color="auto" w:fill="FFFFFF"/>
                  <w:noWrap w:val="0"/>
                  <w:tcMar>
                    <w:top w:w="0" w:type="dxa"/>
                    <w:left w:w="0" w:type="dxa"/>
                    <w:bottom w:w="0" w:type="dxa"/>
                    <w:right w:w="0" w:type="dxa"/>
                  </w:tcMar>
                  <w:vAlign w:val="center"/>
                </w:tcPr>
                <w:p w14:paraId="374DB9E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65</w:t>
                  </w:r>
                </w:p>
              </w:tc>
              <w:tc>
                <w:tcPr>
                  <w:tcW w:w="600" w:type="dxa"/>
                  <w:vMerge w:val="continue"/>
                  <w:shd w:val="clear" w:color="auto" w:fill="FFFFFF"/>
                  <w:noWrap w:val="0"/>
                  <w:tcMar>
                    <w:top w:w="0" w:type="dxa"/>
                    <w:left w:w="0" w:type="dxa"/>
                    <w:bottom w:w="0" w:type="dxa"/>
                    <w:right w:w="0" w:type="dxa"/>
                  </w:tcMar>
                  <w:vAlign w:val="center"/>
                </w:tcPr>
                <w:p w14:paraId="1D1C740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p>
              </w:tc>
              <w:tc>
                <w:tcPr>
                  <w:tcW w:w="427" w:type="dxa"/>
                  <w:shd w:val="clear" w:color="auto" w:fill="FFFFFF"/>
                  <w:noWrap w:val="0"/>
                  <w:tcMar>
                    <w:top w:w="0" w:type="dxa"/>
                    <w:left w:w="0" w:type="dxa"/>
                    <w:bottom w:w="0" w:type="dxa"/>
                    <w:right w:w="0" w:type="dxa"/>
                  </w:tcMar>
                  <w:vAlign w:val="center"/>
                </w:tcPr>
                <w:p w14:paraId="09F4294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-1.3</w:t>
                  </w:r>
                </w:p>
              </w:tc>
              <w:tc>
                <w:tcPr>
                  <w:tcW w:w="417" w:type="dxa"/>
                  <w:shd w:val="clear" w:color="auto" w:fill="FFFFFF"/>
                  <w:noWrap w:val="0"/>
                  <w:tcMar>
                    <w:top w:w="0" w:type="dxa"/>
                    <w:left w:w="0" w:type="dxa"/>
                    <w:bottom w:w="0" w:type="dxa"/>
                    <w:right w:w="0" w:type="dxa"/>
                  </w:tcMar>
                  <w:vAlign w:val="center"/>
                </w:tcPr>
                <w:p w14:paraId="4F4362E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-13.7</w:t>
                  </w:r>
                </w:p>
              </w:tc>
              <w:tc>
                <w:tcPr>
                  <w:tcW w:w="448" w:type="dxa"/>
                  <w:shd w:val="clear" w:color="auto" w:fill="FFFFFF"/>
                  <w:noWrap w:val="0"/>
                  <w:tcMar>
                    <w:top w:w="0" w:type="dxa"/>
                    <w:left w:w="0" w:type="dxa"/>
                    <w:bottom w:w="0" w:type="dxa"/>
                    <w:right w:w="0" w:type="dxa"/>
                  </w:tcMar>
                  <w:vAlign w:val="center"/>
                </w:tcPr>
                <w:p w14:paraId="1B9DD8F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1.2</w:t>
                  </w:r>
                </w:p>
              </w:tc>
              <w:tc>
                <w:tcPr>
                  <w:tcW w:w="456" w:type="dxa"/>
                  <w:shd w:val="clear" w:color="auto" w:fill="FFFFFF"/>
                  <w:noWrap w:val="0"/>
                  <w:tcMar>
                    <w:top w:w="0" w:type="dxa"/>
                    <w:left w:w="0" w:type="dxa"/>
                    <w:bottom w:w="0" w:type="dxa"/>
                    <w:right w:w="0" w:type="dxa"/>
                  </w:tcMar>
                  <w:vAlign w:val="center"/>
                </w:tcPr>
                <w:p w14:paraId="1D868B6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3.4</w:t>
                  </w:r>
                </w:p>
              </w:tc>
              <w:tc>
                <w:tcPr>
                  <w:tcW w:w="442" w:type="dxa"/>
                  <w:shd w:val="clear" w:color="auto" w:fill="FFFFFF"/>
                  <w:noWrap w:val="0"/>
                  <w:tcMar>
                    <w:top w:w="0" w:type="dxa"/>
                    <w:left w:w="0" w:type="dxa"/>
                    <w:bottom w:w="0" w:type="dxa"/>
                    <w:right w:w="0" w:type="dxa"/>
                  </w:tcMar>
                  <w:vAlign w:val="center"/>
                </w:tcPr>
                <w:p w14:paraId="04CB0CE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3.7</w:t>
                  </w:r>
                </w:p>
              </w:tc>
              <w:tc>
                <w:tcPr>
                  <w:tcW w:w="517" w:type="dxa"/>
                  <w:shd w:val="clear" w:color="auto" w:fill="FFFFFF"/>
                  <w:noWrap w:val="0"/>
                  <w:tcMar>
                    <w:top w:w="0" w:type="dxa"/>
                    <w:left w:w="0" w:type="dxa"/>
                    <w:bottom w:w="0" w:type="dxa"/>
                    <w:right w:w="0" w:type="dxa"/>
                  </w:tcMar>
                  <w:vAlign w:val="center"/>
                </w:tcPr>
                <w:p w14:paraId="12CA67E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20.8</w:t>
                  </w:r>
                </w:p>
              </w:tc>
              <w:tc>
                <w:tcPr>
                  <w:tcW w:w="435" w:type="dxa"/>
                  <w:shd w:val="clear" w:color="auto" w:fill="FFFFFF"/>
                  <w:noWrap w:val="0"/>
                  <w:tcMar>
                    <w:top w:w="0" w:type="dxa"/>
                    <w:left w:w="0" w:type="dxa"/>
                    <w:bottom w:w="0" w:type="dxa"/>
                    <w:right w:w="0" w:type="dxa"/>
                  </w:tcMar>
                  <w:vAlign w:val="center"/>
                </w:tcPr>
                <w:p w14:paraId="7135846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14.2</w:t>
                  </w:r>
                </w:p>
              </w:tc>
              <w:tc>
                <w:tcPr>
                  <w:tcW w:w="456" w:type="dxa"/>
                  <w:shd w:val="clear" w:color="auto" w:fill="FFFFFF"/>
                  <w:noWrap w:val="0"/>
                  <w:tcMar>
                    <w:top w:w="0" w:type="dxa"/>
                    <w:left w:w="0" w:type="dxa"/>
                    <w:bottom w:w="0" w:type="dxa"/>
                    <w:right w:w="0" w:type="dxa"/>
                  </w:tcMar>
                  <w:vAlign w:val="center"/>
                </w:tcPr>
                <w:p w14:paraId="5E4882B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59.1</w:t>
                  </w:r>
                </w:p>
              </w:tc>
              <w:tc>
                <w:tcPr>
                  <w:tcW w:w="442" w:type="dxa"/>
                  <w:shd w:val="clear" w:color="auto" w:fill="FFFFFF"/>
                  <w:noWrap w:val="0"/>
                  <w:tcMar>
                    <w:top w:w="0" w:type="dxa"/>
                    <w:left w:w="0" w:type="dxa"/>
                    <w:bottom w:w="0" w:type="dxa"/>
                    <w:right w:w="0" w:type="dxa"/>
                  </w:tcMar>
                  <w:vAlign w:val="center"/>
                </w:tcPr>
                <w:p w14:paraId="7A484F0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59.1</w:t>
                  </w:r>
                </w:p>
              </w:tc>
              <w:tc>
                <w:tcPr>
                  <w:tcW w:w="441" w:type="dxa"/>
                  <w:shd w:val="clear" w:color="auto" w:fill="FFFFFF"/>
                  <w:noWrap w:val="0"/>
                  <w:tcMar>
                    <w:top w:w="0" w:type="dxa"/>
                    <w:left w:w="0" w:type="dxa"/>
                    <w:bottom w:w="0" w:type="dxa"/>
                    <w:right w:w="0" w:type="dxa"/>
                  </w:tcMar>
                  <w:vAlign w:val="center"/>
                </w:tcPr>
                <w:p w14:paraId="7DCA7BD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59.0</w:t>
                  </w:r>
                </w:p>
              </w:tc>
              <w:tc>
                <w:tcPr>
                  <w:tcW w:w="563" w:type="dxa"/>
                  <w:shd w:val="clear" w:color="auto" w:fill="FFFFFF"/>
                  <w:noWrap w:val="0"/>
                  <w:tcMar>
                    <w:top w:w="0" w:type="dxa"/>
                    <w:left w:w="0" w:type="dxa"/>
                    <w:bottom w:w="0" w:type="dxa"/>
                    <w:right w:w="0" w:type="dxa"/>
                  </w:tcMar>
                  <w:vAlign w:val="center"/>
                </w:tcPr>
                <w:p w14:paraId="5F25C0B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59.0</w:t>
                  </w:r>
                </w:p>
              </w:tc>
              <w:tc>
                <w:tcPr>
                  <w:tcW w:w="627" w:type="dxa"/>
                  <w:vMerge w:val="continue"/>
                  <w:shd w:val="clear" w:color="auto" w:fill="FFFFFF"/>
                  <w:noWrap w:val="0"/>
                  <w:tcMar>
                    <w:top w:w="0" w:type="dxa"/>
                    <w:left w:w="0" w:type="dxa"/>
                    <w:bottom w:w="0" w:type="dxa"/>
                    <w:right w:w="0" w:type="dxa"/>
                  </w:tcMar>
                  <w:vAlign w:val="center"/>
                </w:tcPr>
                <w:p w14:paraId="61F41D8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p>
              </w:tc>
              <w:tc>
                <w:tcPr>
                  <w:tcW w:w="427" w:type="dxa"/>
                  <w:shd w:val="clear" w:color="auto" w:fill="FFFFFF"/>
                  <w:noWrap w:val="0"/>
                  <w:tcMar>
                    <w:top w:w="0" w:type="dxa"/>
                    <w:left w:w="0" w:type="dxa"/>
                    <w:bottom w:w="0" w:type="dxa"/>
                    <w:right w:w="0" w:type="dxa"/>
                  </w:tcMar>
                  <w:vAlign w:val="center"/>
                </w:tcPr>
                <w:p w14:paraId="2F7BBAC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3179113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42" w:type="dxa"/>
                  <w:shd w:val="clear" w:color="auto" w:fill="FFFFFF"/>
                  <w:noWrap w:val="0"/>
                  <w:tcMar>
                    <w:top w:w="0" w:type="dxa"/>
                    <w:left w:w="0" w:type="dxa"/>
                    <w:bottom w:w="0" w:type="dxa"/>
                    <w:right w:w="0" w:type="dxa"/>
                  </w:tcMar>
                  <w:vAlign w:val="center"/>
                </w:tcPr>
                <w:p w14:paraId="24D06D8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7A7E782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378" w:type="dxa"/>
                  <w:shd w:val="clear" w:color="auto" w:fill="FFFFFF"/>
                  <w:noWrap w:val="0"/>
                  <w:tcMar>
                    <w:top w:w="0" w:type="dxa"/>
                    <w:left w:w="0" w:type="dxa"/>
                    <w:bottom w:w="0" w:type="dxa"/>
                    <w:right w:w="0" w:type="dxa"/>
                  </w:tcMar>
                  <w:vAlign w:val="center"/>
                </w:tcPr>
                <w:p w14:paraId="05F6843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41.1</w:t>
                  </w:r>
                </w:p>
              </w:tc>
              <w:tc>
                <w:tcPr>
                  <w:tcW w:w="378" w:type="dxa"/>
                  <w:shd w:val="clear" w:color="auto" w:fill="FFFFFF"/>
                  <w:noWrap w:val="0"/>
                  <w:tcMar>
                    <w:top w:w="0" w:type="dxa"/>
                    <w:left w:w="0" w:type="dxa"/>
                    <w:bottom w:w="0" w:type="dxa"/>
                    <w:right w:w="0" w:type="dxa"/>
                  </w:tcMar>
                  <w:vAlign w:val="center"/>
                </w:tcPr>
                <w:p w14:paraId="358875A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41.1</w:t>
                  </w:r>
                </w:p>
              </w:tc>
              <w:tc>
                <w:tcPr>
                  <w:tcW w:w="396" w:type="dxa"/>
                  <w:shd w:val="clear" w:color="auto" w:fill="FFFFFF"/>
                  <w:noWrap w:val="0"/>
                  <w:tcMar>
                    <w:top w:w="0" w:type="dxa"/>
                    <w:left w:w="0" w:type="dxa"/>
                    <w:bottom w:w="0" w:type="dxa"/>
                    <w:right w:w="0" w:type="dxa"/>
                  </w:tcMar>
                  <w:vAlign w:val="center"/>
                </w:tcPr>
                <w:p w14:paraId="17821C2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41.0</w:t>
                  </w:r>
                </w:p>
              </w:tc>
              <w:tc>
                <w:tcPr>
                  <w:tcW w:w="381" w:type="dxa"/>
                  <w:shd w:val="clear" w:color="auto" w:fill="FFFFFF"/>
                  <w:noWrap w:val="0"/>
                  <w:tcMar>
                    <w:top w:w="0" w:type="dxa"/>
                    <w:left w:w="0" w:type="dxa"/>
                    <w:bottom w:w="0" w:type="dxa"/>
                    <w:right w:w="0" w:type="dxa"/>
                  </w:tcMar>
                  <w:vAlign w:val="center"/>
                </w:tcPr>
                <w:p w14:paraId="2E48728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41.0</w:t>
                  </w:r>
                </w:p>
              </w:tc>
              <w:tc>
                <w:tcPr>
                  <w:tcW w:w="579" w:type="dxa"/>
                  <w:shd w:val="clear" w:color="auto" w:fill="FFFFFF"/>
                  <w:noWrap w:val="0"/>
                  <w:tcMar>
                    <w:top w:w="0" w:type="dxa"/>
                    <w:left w:w="0" w:type="dxa"/>
                    <w:bottom w:w="0" w:type="dxa"/>
                    <w:right w:w="0" w:type="dxa"/>
                  </w:tcMar>
                  <w:vAlign w:val="center"/>
                </w:tcPr>
                <w:p w14:paraId="6D4E428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14:paraId="6041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54" w:type="dxa"/>
                  <w:shd w:val="clear" w:color="auto" w:fill="FFFFFF"/>
                  <w:noWrap w:val="0"/>
                  <w:tcMar>
                    <w:top w:w="0" w:type="dxa"/>
                    <w:left w:w="0" w:type="dxa"/>
                    <w:bottom w:w="0" w:type="dxa"/>
                    <w:right w:w="0" w:type="dxa"/>
                  </w:tcMar>
                  <w:vAlign w:val="center"/>
                </w:tcPr>
                <w:p w14:paraId="5051182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Arial" w:cs="Times New Roman"/>
                      <w:color w:val="auto"/>
                      <w:kern w:val="2"/>
                      <w:sz w:val="21"/>
                      <w:szCs w:val="21"/>
                      <w:lang w:val="en-US" w:eastAsia="zh-CN" w:bidi="ar-SA"/>
                    </w:rPr>
                  </w:pPr>
                  <w:r>
                    <w:rPr>
                      <w:rFonts w:hint="default" w:ascii="Times New Roman" w:hAnsi="Times New Roman" w:eastAsia="Arial" w:cs="Times New Roman"/>
                      <w:color w:val="auto"/>
                      <w:sz w:val="21"/>
                      <w:szCs w:val="21"/>
                    </w:rPr>
                    <w:t>7</w:t>
                  </w:r>
                </w:p>
              </w:tc>
              <w:tc>
                <w:tcPr>
                  <w:tcW w:w="538" w:type="dxa"/>
                  <w:vMerge w:val="continue"/>
                  <w:shd w:val="clear" w:color="auto" w:fill="FFFFFF"/>
                  <w:noWrap w:val="0"/>
                  <w:tcMar>
                    <w:top w:w="0" w:type="dxa"/>
                    <w:left w:w="0" w:type="dxa"/>
                    <w:bottom w:w="0" w:type="dxa"/>
                    <w:right w:w="0" w:type="dxa"/>
                  </w:tcMar>
                  <w:vAlign w:val="center"/>
                </w:tcPr>
                <w:p w14:paraId="1305A6A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1278" w:type="dxa"/>
                  <w:shd w:val="clear" w:color="auto" w:fill="FFFFFF"/>
                  <w:noWrap w:val="0"/>
                  <w:tcMar>
                    <w:top w:w="0" w:type="dxa"/>
                    <w:left w:w="0" w:type="dxa"/>
                    <w:bottom w:w="0" w:type="dxa"/>
                    <w:right w:w="0" w:type="dxa"/>
                  </w:tcMar>
                  <w:vAlign w:val="center"/>
                </w:tcPr>
                <w:p w14:paraId="300E233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喷码机,2台（按点声源组预测）</w:t>
                  </w:r>
                </w:p>
              </w:tc>
              <w:tc>
                <w:tcPr>
                  <w:tcW w:w="838" w:type="dxa"/>
                  <w:shd w:val="clear" w:color="auto" w:fill="FFFFFF"/>
                  <w:noWrap w:val="0"/>
                  <w:tcMar>
                    <w:top w:w="0" w:type="dxa"/>
                    <w:left w:w="0" w:type="dxa"/>
                    <w:bottom w:w="0" w:type="dxa"/>
                    <w:right w:w="0" w:type="dxa"/>
                  </w:tcMar>
                  <w:vAlign w:val="center"/>
                </w:tcPr>
                <w:p w14:paraId="52242C8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60（等效后：63.0)</w:t>
                  </w:r>
                </w:p>
              </w:tc>
              <w:tc>
                <w:tcPr>
                  <w:tcW w:w="600" w:type="dxa"/>
                  <w:vMerge w:val="continue"/>
                  <w:shd w:val="clear" w:color="auto" w:fill="FFFFFF"/>
                  <w:noWrap w:val="0"/>
                  <w:tcMar>
                    <w:top w:w="0" w:type="dxa"/>
                    <w:left w:w="0" w:type="dxa"/>
                    <w:bottom w:w="0" w:type="dxa"/>
                    <w:right w:w="0" w:type="dxa"/>
                  </w:tcMar>
                  <w:vAlign w:val="center"/>
                </w:tcPr>
                <w:p w14:paraId="01DEE69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427" w:type="dxa"/>
                  <w:shd w:val="clear" w:color="auto" w:fill="FFFFFF"/>
                  <w:noWrap w:val="0"/>
                  <w:tcMar>
                    <w:top w:w="0" w:type="dxa"/>
                    <w:left w:w="0" w:type="dxa"/>
                    <w:bottom w:w="0" w:type="dxa"/>
                    <w:right w:w="0" w:type="dxa"/>
                  </w:tcMar>
                  <w:vAlign w:val="center"/>
                </w:tcPr>
                <w:p w14:paraId="461BEA2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-0.4</w:t>
                  </w:r>
                </w:p>
              </w:tc>
              <w:tc>
                <w:tcPr>
                  <w:tcW w:w="417" w:type="dxa"/>
                  <w:shd w:val="clear" w:color="auto" w:fill="FFFFFF"/>
                  <w:noWrap w:val="0"/>
                  <w:tcMar>
                    <w:top w:w="0" w:type="dxa"/>
                    <w:left w:w="0" w:type="dxa"/>
                    <w:bottom w:w="0" w:type="dxa"/>
                    <w:right w:w="0" w:type="dxa"/>
                  </w:tcMar>
                  <w:vAlign w:val="center"/>
                </w:tcPr>
                <w:p w14:paraId="0D505B6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-10.3</w:t>
                  </w:r>
                </w:p>
              </w:tc>
              <w:tc>
                <w:tcPr>
                  <w:tcW w:w="448" w:type="dxa"/>
                  <w:shd w:val="clear" w:color="auto" w:fill="FFFFFF"/>
                  <w:noWrap w:val="0"/>
                  <w:tcMar>
                    <w:top w:w="0" w:type="dxa"/>
                    <w:left w:w="0" w:type="dxa"/>
                    <w:bottom w:w="0" w:type="dxa"/>
                    <w:right w:w="0" w:type="dxa"/>
                  </w:tcMar>
                  <w:vAlign w:val="center"/>
                </w:tcPr>
                <w:p w14:paraId="4D25B00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1.2</w:t>
                  </w:r>
                </w:p>
              </w:tc>
              <w:tc>
                <w:tcPr>
                  <w:tcW w:w="456" w:type="dxa"/>
                  <w:shd w:val="clear" w:color="auto" w:fill="FFFFFF"/>
                  <w:noWrap w:val="0"/>
                  <w:tcMar>
                    <w:top w:w="0" w:type="dxa"/>
                    <w:left w:w="0" w:type="dxa"/>
                    <w:bottom w:w="0" w:type="dxa"/>
                    <w:right w:w="0" w:type="dxa"/>
                  </w:tcMar>
                  <w:vAlign w:val="center"/>
                </w:tcPr>
                <w:p w14:paraId="44BD369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3.9</w:t>
                  </w:r>
                </w:p>
              </w:tc>
              <w:tc>
                <w:tcPr>
                  <w:tcW w:w="442" w:type="dxa"/>
                  <w:shd w:val="clear" w:color="auto" w:fill="FFFFFF"/>
                  <w:noWrap w:val="0"/>
                  <w:tcMar>
                    <w:top w:w="0" w:type="dxa"/>
                    <w:left w:w="0" w:type="dxa"/>
                    <w:bottom w:w="0" w:type="dxa"/>
                    <w:right w:w="0" w:type="dxa"/>
                  </w:tcMar>
                  <w:vAlign w:val="center"/>
                </w:tcPr>
                <w:p w14:paraId="2591FB4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7.2</w:t>
                  </w:r>
                </w:p>
              </w:tc>
              <w:tc>
                <w:tcPr>
                  <w:tcW w:w="517" w:type="dxa"/>
                  <w:shd w:val="clear" w:color="auto" w:fill="FFFFFF"/>
                  <w:noWrap w:val="0"/>
                  <w:tcMar>
                    <w:top w:w="0" w:type="dxa"/>
                    <w:left w:w="0" w:type="dxa"/>
                    <w:bottom w:w="0" w:type="dxa"/>
                    <w:right w:w="0" w:type="dxa"/>
                  </w:tcMar>
                  <w:vAlign w:val="center"/>
                </w:tcPr>
                <w:p w14:paraId="458D94C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20.2</w:t>
                  </w:r>
                </w:p>
              </w:tc>
              <w:tc>
                <w:tcPr>
                  <w:tcW w:w="435" w:type="dxa"/>
                  <w:shd w:val="clear" w:color="auto" w:fill="FFFFFF"/>
                  <w:noWrap w:val="0"/>
                  <w:tcMar>
                    <w:top w:w="0" w:type="dxa"/>
                    <w:left w:w="0" w:type="dxa"/>
                    <w:bottom w:w="0" w:type="dxa"/>
                    <w:right w:w="0" w:type="dxa"/>
                  </w:tcMar>
                  <w:vAlign w:val="center"/>
                </w:tcPr>
                <w:p w14:paraId="4A64C22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10.7</w:t>
                  </w:r>
                </w:p>
              </w:tc>
              <w:tc>
                <w:tcPr>
                  <w:tcW w:w="456" w:type="dxa"/>
                  <w:shd w:val="clear" w:color="auto" w:fill="FFFFFF"/>
                  <w:noWrap w:val="0"/>
                  <w:tcMar>
                    <w:top w:w="0" w:type="dxa"/>
                    <w:left w:w="0" w:type="dxa"/>
                    <w:bottom w:w="0" w:type="dxa"/>
                    <w:right w:w="0" w:type="dxa"/>
                  </w:tcMar>
                  <w:vAlign w:val="center"/>
                </w:tcPr>
                <w:p w14:paraId="672DB36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57.1</w:t>
                  </w:r>
                </w:p>
              </w:tc>
              <w:tc>
                <w:tcPr>
                  <w:tcW w:w="442" w:type="dxa"/>
                  <w:shd w:val="clear" w:color="auto" w:fill="FFFFFF"/>
                  <w:noWrap w:val="0"/>
                  <w:tcMar>
                    <w:top w:w="0" w:type="dxa"/>
                    <w:left w:w="0" w:type="dxa"/>
                    <w:bottom w:w="0" w:type="dxa"/>
                    <w:right w:w="0" w:type="dxa"/>
                  </w:tcMar>
                  <w:vAlign w:val="center"/>
                </w:tcPr>
                <w:p w14:paraId="7B94C6D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57.0</w:t>
                  </w:r>
                </w:p>
              </w:tc>
              <w:tc>
                <w:tcPr>
                  <w:tcW w:w="441" w:type="dxa"/>
                  <w:shd w:val="clear" w:color="auto" w:fill="FFFFFF"/>
                  <w:noWrap w:val="0"/>
                  <w:tcMar>
                    <w:top w:w="0" w:type="dxa"/>
                    <w:left w:w="0" w:type="dxa"/>
                    <w:bottom w:w="0" w:type="dxa"/>
                    <w:right w:w="0" w:type="dxa"/>
                  </w:tcMar>
                  <w:vAlign w:val="center"/>
                </w:tcPr>
                <w:p w14:paraId="6FE82BD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57.0</w:t>
                  </w:r>
                </w:p>
              </w:tc>
              <w:tc>
                <w:tcPr>
                  <w:tcW w:w="563" w:type="dxa"/>
                  <w:shd w:val="clear" w:color="auto" w:fill="FFFFFF"/>
                  <w:noWrap w:val="0"/>
                  <w:tcMar>
                    <w:top w:w="0" w:type="dxa"/>
                    <w:left w:w="0" w:type="dxa"/>
                    <w:bottom w:w="0" w:type="dxa"/>
                    <w:right w:w="0" w:type="dxa"/>
                  </w:tcMar>
                  <w:vAlign w:val="center"/>
                </w:tcPr>
                <w:p w14:paraId="1E574A1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57.0</w:t>
                  </w:r>
                </w:p>
              </w:tc>
              <w:tc>
                <w:tcPr>
                  <w:tcW w:w="627" w:type="dxa"/>
                  <w:vMerge w:val="continue"/>
                  <w:shd w:val="clear" w:color="auto" w:fill="FFFFFF"/>
                  <w:noWrap w:val="0"/>
                  <w:tcMar>
                    <w:top w:w="0" w:type="dxa"/>
                    <w:left w:w="0" w:type="dxa"/>
                    <w:bottom w:w="0" w:type="dxa"/>
                    <w:right w:w="0" w:type="dxa"/>
                  </w:tcMar>
                  <w:vAlign w:val="center"/>
                </w:tcPr>
                <w:p w14:paraId="116CA4F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p>
              </w:tc>
              <w:tc>
                <w:tcPr>
                  <w:tcW w:w="427" w:type="dxa"/>
                  <w:shd w:val="clear" w:color="auto" w:fill="FFFFFF"/>
                  <w:noWrap w:val="0"/>
                  <w:tcMar>
                    <w:top w:w="0" w:type="dxa"/>
                    <w:left w:w="0" w:type="dxa"/>
                    <w:bottom w:w="0" w:type="dxa"/>
                    <w:right w:w="0" w:type="dxa"/>
                  </w:tcMar>
                  <w:vAlign w:val="center"/>
                </w:tcPr>
                <w:p w14:paraId="6A6739C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6A6FCE4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42" w:type="dxa"/>
                  <w:shd w:val="clear" w:color="auto" w:fill="FFFFFF"/>
                  <w:noWrap w:val="0"/>
                  <w:tcMar>
                    <w:top w:w="0" w:type="dxa"/>
                    <w:left w:w="0" w:type="dxa"/>
                    <w:bottom w:w="0" w:type="dxa"/>
                    <w:right w:w="0" w:type="dxa"/>
                  </w:tcMar>
                  <w:vAlign w:val="center"/>
                </w:tcPr>
                <w:p w14:paraId="0A21A95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43ED18E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378" w:type="dxa"/>
                  <w:shd w:val="clear" w:color="auto" w:fill="FFFFFF"/>
                  <w:noWrap w:val="0"/>
                  <w:tcMar>
                    <w:top w:w="0" w:type="dxa"/>
                    <w:left w:w="0" w:type="dxa"/>
                    <w:bottom w:w="0" w:type="dxa"/>
                    <w:right w:w="0" w:type="dxa"/>
                  </w:tcMar>
                  <w:vAlign w:val="center"/>
                </w:tcPr>
                <w:p w14:paraId="46AFBD7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39.1</w:t>
                  </w:r>
                </w:p>
              </w:tc>
              <w:tc>
                <w:tcPr>
                  <w:tcW w:w="378" w:type="dxa"/>
                  <w:shd w:val="clear" w:color="auto" w:fill="FFFFFF"/>
                  <w:noWrap w:val="0"/>
                  <w:tcMar>
                    <w:top w:w="0" w:type="dxa"/>
                    <w:left w:w="0" w:type="dxa"/>
                    <w:bottom w:w="0" w:type="dxa"/>
                    <w:right w:w="0" w:type="dxa"/>
                  </w:tcMar>
                  <w:vAlign w:val="center"/>
                </w:tcPr>
                <w:p w14:paraId="341A36C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39.0</w:t>
                  </w:r>
                </w:p>
              </w:tc>
              <w:tc>
                <w:tcPr>
                  <w:tcW w:w="396" w:type="dxa"/>
                  <w:shd w:val="clear" w:color="auto" w:fill="FFFFFF"/>
                  <w:noWrap w:val="0"/>
                  <w:tcMar>
                    <w:top w:w="0" w:type="dxa"/>
                    <w:left w:w="0" w:type="dxa"/>
                    <w:bottom w:w="0" w:type="dxa"/>
                    <w:right w:w="0" w:type="dxa"/>
                  </w:tcMar>
                  <w:vAlign w:val="center"/>
                </w:tcPr>
                <w:p w14:paraId="28E6970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39.0</w:t>
                  </w:r>
                </w:p>
              </w:tc>
              <w:tc>
                <w:tcPr>
                  <w:tcW w:w="381" w:type="dxa"/>
                  <w:shd w:val="clear" w:color="auto" w:fill="FFFFFF"/>
                  <w:noWrap w:val="0"/>
                  <w:tcMar>
                    <w:top w:w="0" w:type="dxa"/>
                    <w:left w:w="0" w:type="dxa"/>
                    <w:bottom w:w="0" w:type="dxa"/>
                    <w:right w:w="0" w:type="dxa"/>
                  </w:tcMar>
                  <w:vAlign w:val="center"/>
                </w:tcPr>
                <w:p w14:paraId="1A5DD80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39.0</w:t>
                  </w:r>
                </w:p>
              </w:tc>
              <w:tc>
                <w:tcPr>
                  <w:tcW w:w="579" w:type="dxa"/>
                  <w:shd w:val="clear" w:color="auto" w:fill="FFFFFF"/>
                  <w:noWrap w:val="0"/>
                  <w:tcMar>
                    <w:top w:w="0" w:type="dxa"/>
                    <w:left w:w="0" w:type="dxa"/>
                    <w:bottom w:w="0" w:type="dxa"/>
                    <w:right w:w="0" w:type="dxa"/>
                  </w:tcMar>
                  <w:vAlign w:val="center"/>
                </w:tcPr>
                <w:p w14:paraId="79AF408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14:paraId="6A44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54" w:type="dxa"/>
                  <w:shd w:val="clear" w:color="auto" w:fill="FFFFFF"/>
                  <w:noWrap w:val="0"/>
                  <w:tcMar>
                    <w:top w:w="0" w:type="dxa"/>
                    <w:left w:w="0" w:type="dxa"/>
                    <w:bottom w:w="0" w:type="dxa"/>
                    <w:right w:w="0" w:type="dxa"/>
                  </w:tcMar>
                  <w:vAlign w:val="center"/>
                </w:tcPr>
                <w:p w14:paraId="0421356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Arial" w:cs="Times New Roman"/>
                      <w:color w:val="auto"/>
                      <w:sz w:val="21"/>
                      <w:szCs w:val="21"/>
                    </w:rPr>
                    <w:t>8</w:t>
                  </w:r>
                </w:p>
              </w:tc>
              <w:tc>
                <w:tcPr>
                  <w:tcW w:w="538" w:type="dxa"/>
                  <w:vMerge w:val="continue"/>
                  <w:shd w:val="clear" w:color="auto" w:fill="FFFFFF"/>
                  <w:noWrap w:val="0"/>
                  <w:tcMar>
                    <w:top w:w="0" w:type="dxa"/>
                    <w:left w:w="0" w:type="dxa"/>
                    <w:bottom w:w="0" w:type="dxa"/>
                    <w:right w:w="0" w:type="dxa"/>
                  </w:tcMar>
                  <w:vAlign w:val="center"/>
                </w:tcPr>
                <w:p w14:paraId="2A6E3FE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1278" w:type="dxa"/>
                  <w:shd w:val="clear" w:color="auto" w:fill="FFFFFF"/>
                  <w:noWrap w:val="0"/>
                  <w:tcMar>
                    <w:top w:w="0" w:type="dxa"/>
                    <w:left w:w="0" w:type="dxa"/>
                    <w:bottom w:w="0" w:type="dxa"/>
                    <w:right w:w="0" w:type="dxa"/>
                  </w:tcMar>
                  <w:vAlign w:val="center"/>
                </w:tcPr>
                <w:p w14:paraId="2242669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转印机,5台（按点声源组预测）</w:t>
                  </w:r>
                </w:p>
              </w:tc>
              <w:tc>
                <w:tcPr>
                  <w:tcW w:w="838" w:type="dxa"/>
                  <w:shd w:val="clear" w:color="auto" w:fill="FFFFFF"/>
                  <w:noWrap w:val="0"/>
                  <w:tcMar>
                    <w:top w:w="0" w:type="dxa"/>
                    <w:left w:w="0" w:type="dxa"/>
                    <w:bottom w:w="0" w:type="dxa"/>
                    <w:right w:w="0" w:type="dxa"/>
                  </w:tcMar>
                  <w:vAlign w:val="center"/>
                </w:tcPr>
                <w:p w14:paraId="76FC12E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60（等效后：67.0)</w:t>
                  </w:r>
                </w:p>
              </w:tc>
              <w:tc>
                <w:tcPr>
                  <w:tcW w:w="600" w:type="dxa"/>
                  <w:vMerge w:val="continue"/>
                  <w:shd w:val="clear" w:color="auto" w:fill="FFFFFF"/>
                  <w:noWrap w:val="0"/>
                  <w:tcMar>
                    <w:top w:w="0" w:type="dxa"/>
                    <w:left w:w="0" w:type="dxa"/>
                    <w:bottom w:w="0" w:type="dxa"/>
                    <w:right w:w="0" w:type="dxa"/>
                  </w:tcMar>
                  <w:vAlign w:val="center"/>
                </w:tcPr>
                <w:p w14:paraId="59CA1C3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427" w:type="dxa"/>
                  <w:shd w:val="clear" w:color="auto" w:fill="FFFFFF"/>
                  <w:noWrap w:val="0"/>
                  <w:tcMar>
                    <w:top w:w="0" w:type="dxa"/>
                    <w:left w:w="0" w:type="dxa"/>
                    <w:bottom w:w="0" w:type="dxa"/>
                    <w:right w:w="0" w:type="dxa"/>
                  </w:tcMar>
                  <w:vAlign w:val="center"/>
                </w:tcPr>
                <w:p w14:paraId="32328E5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eastAsia="zh-CN"/>
                    </w:rPr>
                  </w:pPr>
                  <w:r>
                    <w:rPr>
                      <w:rFonts w:hint="default" w:ascii="Times New Roman" w:hAnsi="Times New Roman" w:eastAsia="Arial" w:cs="Times New Roman"/>
                      <w:color w:val="auto"/>
                      <w:sz w:val="21"/>
                      <w:szCs w:val="21"/>
                    </w:rPr>
                    <w:t>1.6</w:t>
                  </w:r>
                </w:p>
              </w:tc>
              <w:tc>
                <w:tcPr>
                  <w:tcW w:w="417" w:type="dxa"/>
                  <w:shd w:val="clear" w:color="auto" w:fill="FFFFFF"/>
                  <w:noWrap w:val="0"/>
                  <w:tcMar>
                    <w:top w:w="0" w:type="dxa"/>
                    <w:left w:w="0" w:type="dxa"/>
                    <w:bottom w:w="0" w:type="dxa"/>
                    <w:right w:w="0" w:type="dxa"/>
                  </w:tcMar>
                  <w:vAlign w:val="center"/>
                </w:tcPr>
                <w:p w14:paraId="6DB6453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-4.9</w:t>
                  </w:r>
                </w:p>
              </w:tc>
              <w:tc>
                <w:tcPr>
                  <w:tcW w:w="448" w:type="dxa"/>
                  <w:shd w:val="clear" w:color="auto" w:fill="FFFFFF"/>
                  <w:noWrap w:val="0"/>
                  <w:tcMar>
                    <w:top w:w="0" w:type="dxa"/>
                    <w:left w:w="0" w:type="dxa"/>
                    <w:bottom w:w="0" w:type="dxa"/>
                    <w:right w:w="0" w:type="dxa"/>
                  </w:tcMar>
                  <w:vAlign w:val="center"/>
                </w:tcPr>
                <w:p w14:paraId="3F80886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1.2</w:t>
                  </w:r>
                </w:p>
              </w:tc>
              <w:tc>
                <w:tcPr>
                  <w:tcW w:w="456" w:type="dxa"/>
                  <w:shd w:val="clear" w:color="auto" w:fill="FFFFFF"/>
                  <w:noWrap w:val="0"/>
                  <w:tcMar>
                    <w:top w:w="0" w:type="dxa"/>
                    <w:left w:w="0" w:type="dxa"/>
                    <w:bottom w:w="0" w:type="dxa"/>
                    <w:right w:w="0" w:type="dxa"/>
                  </w:tcMar>
                  <w:vAlign w:val="center"/>
                </w:tcPr>
                <w:p w14:paraId="66CA214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eastAsia="zh-CN"/>
                    </w:rPr>
                  </w:pPr>
                  <w:r>
                    <w:rPr>
                      <w:rFonts w:hint="default" w:ascii="Times New Roman" w:hAnsi="Times New Roman" w:eastAsia="Arial" w:cs="Times New Roman"/>
                      <w:color w:val="auto"/>
                      <w:sz w:val="21"/>
                      <w:szCs w:val="21"/>
                    </w:rPr>
                    <w:t>4.2</w:t>
                  </w:r>
                </w:p>
              </w:tc>
              <w:tc>
                <w:tcPr>
                  <w:tcW w:w="442" w:type="dxa"/>
                  <w:shd w:val="clear" w:color="auto" w:fill="FFFFFF"/>
                  <w:noWrap w:val="0"/>
                  <w:tcMar>
                    <w:top w:w="0" w:type="dxa"/>
                    <w:left w:w="0" w:type="dxa"/>
                    <w:bottom w:w="0" w:type="dxa"/>
                    <w:right w:w="0" w:type="dxa"/>
                  </w:tcMar>
                  <w:vAlign w:val="center"/>
                </w:tcPr>
                <w:p w14:paraId="542C7E4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13.0</w:t>
                  </w:r>
                </w:p>
              </w:tc>
              <w:tc>
                <w:tcPr>
                  <w:tcW w:w="517" w:type="dxa"/>
                  <w:shd w:val="clear" w:color="auto" w:fill="FFFFFF"/>
                  <w:noWrap w:val="0"/>
                  <w:tcMar>
                    <w:top w:w="0" w:type="dxa"/>
                    <w:left w:w="0" w:type="dxa"/>
                    <w:bottom w:w="0" w:type="dxa"/>
                    <w:right w:w="0" w:type="dxa"/>
                  </w:tcMar>
                  <w:vAlign w:val="center"/>
                </w:tcPr>
                <w:p w14:paraId="171532A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19.7</w:t>
                  </w:r>
                </w:p>
              </w:tc>
              <w:tc>
                <w:tcPr>
                  <w:tcW w:w="435" w:type="dxa"/>
                  <w:shd w:val="clear" w:color="auto" w:fill="FFFFFF"/>
                  <w:noWrap w:val="0"/>
                  <w:tcMar>
                    <w:top w:w="0" w:type="dxa"/>
                    <w:left w:w="0" w:type="dxa"/>
                    <w:bottom w:w="0" w:type="dxa"/>
                    <w:right w:w="0" w:type="dxa"/>
                  </w:tcMar>
                  <w:vAlign w:val="center"/>
                </w:tcPr>
                <w:p w14:paraId="236C440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4.9</w:t>
                  </w:r>
                </w:p>
              </w:tc>
              <w:tc>
                <w:tcPr>
                  <w:tcW w:w="456" w:type="dxa"/>
                  <w:shd w:val="clear" w:color="auto" w:fill="FFFFFF"/>
                  <w:noWrap w:val="0"/>
                  <w:tcMar>
                    <w:top w:w="0" w:type="dxa"/>
                    <w:left w:w="0" w:type="dxa"/>
                    <w:bottom w:w="0" w:type="dxa"/>
                    <w:right w:w="0" w:type="dxa"/>
                  </w:tcMar>
                  <w:vAlign w:val="center"/>
                </w:tcPr>
                <w:p w14:paraId="07DC7FD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61.0</w:t>
                  </w:r>
                </w:p>
              </w:tc>
              <w:tc>
                <w:tcPr>
                  <w:tcW w:w="442" w:type="dxa"/>
                  <w:shd w:val="clear" w:color="auto" w:fill="FFFFFF"/>
                  <w:noWrap w:val="0"/>
                  <w:tcMar>
                    <w:top w:w="0" w:type="dxa"/>
                    <w:left w:w="0" w:type="dxa"/>
                    <w:bottom w:w="0" w:type="dxa"/>
                    <w:right w:w="0" w:type="dxa"/>
                  </w:tcMar>
                  <w:vAlign w:val="center"/>
                </w:tcPr>
                <w:p w14:paraId="32A7920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61.0</w:t>
                  </w:r>
                </w:p>
              </w:tc>
              <w:tc>
                <w:tcPr>
                  <w:tcW w:w="441" w:type="dxa"/>
                  <w:shd w:val="clear" w:color="auto" w:fill="FFFFFF"/>
                  <w:noWrap w:val="0"/>
                  <w:tcMar>
                    <w:top w:w="0" w:type="dxa"/>
                    <w:left w:w="0" w:type="dxa"/>
                    <w:bottom w:w="0" w:type="dxa"/>
                    <w:right w:w="0" w:type="dxa"/>
                  </w:tcMar>
                  <w:vAlign w:val="center"/>
                </w:tcPr>
                <w:p w14:paraId="1EA239D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61.0</w:t>
                  </w:r>
                </w:p>
              </w:tc>
              <w:tc>
                <w:tcPr>
                  <w:tcW w:w="563" w:type="dxa"/>
                  <w:shd w:val="clear" w:color="auto" w:fill="FFFFFF"/>
                  <w:noWrap w:val="0"/>
                  <w:tcMar>
                    <w:top w:w="0" w:type="dxa"/>
                    <w:left w:w="0" w:type="dxa"/>
                    <w:bottom w:w="0" w:type="dxa"/>
                    <w:right w:w="0" w:type="dxa"/>
                  </w:tcMar>
                  <w:vAlign w:val="center"/>
                </w:tcPr>
                <w:p w14:paraId="66BAA8C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61.0</w:t>
                  </w:r>
                </w:p>
              </w:tc>
              <w:tc>
                <w:tcPr>
                  <w:tcW w:w="627" w:type="dxa"/>
                  <w:vMerge w:val="continue"/>
                  <w:shd w:val="clear" w:color="auto" w:fill="FFFFFF"/>
                  <w:noWrap w:val="0"/>
                  <w:tcMar>
                    <w:top w:w="0" w:type="dxa"/>
                    <w:left w:w="0" w:type="dxa"/>
                    <w:bottom w:w="0" w:type="dxa"/>
                    <w:right w:w="0" w:type="dxa"/>
                  </w:tcMar>
                  <w:vAlign w:val="center"/>
                </w:tcPr>
                <w:p w14:paraId="1A74ABC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p>
              </w:tc>
              <w:tc>
                <w:tcPr>
                  <w:tcW w:w="427" w:type="dxa"/>
                  <w:shd w:val="clear" w:color="auto" w:fill="FFFFFF"/>
                  <w:noWrap w:val="0"/>
                  <w:tcMar>
                    <w:top w:w="0" w:type="dxa"/>
                    <w:left w:w="0" w:type="dxa"/>
                    <w:bottom w:w="0" w:type="dxa"/>
                    <w:right w:w="0" w:type="dxa"/>
                  </w:tcMar>
                  <w:vAlign w:val="center"/>
                </w:tcPr>
                <w:p w14:paraId="62EEB8B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2996548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42" w:type="dxa"/>
                  <w:shd w:val="clear" w:color="auto" w:fill="FFFFFF"/>
                  <w:noWrap w:val="0"/>
                  <w:tcMar>
                    <w:top w:w="0" w:type="dxa"/>
                    <w:left w:w="0" w:type="dxa"/>
                    <w:bottom w:w="0" w:type="dxa"/>
                    <w:right w:w="0" w:type="dxa"/>
                  </w:tcMar>
                  <w:vAlign w:val="center"/>
                </w:tcPr>
                <w:p w14:paraId="5726148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392046C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378" w:type="dxa"/>
                  <w:shd w:val="clear" w:color="auto" w:fill="FFFFFF"/>
                  <w:noWrap w:val="0"/>
                  <w:tcMar>
                    <w:top w:w="0" w:type="dxa"/>
                    <w:left w:w="0" w:type="dxa"/>
                    <w:bottom w:w="0" w:type="dxa"/>
                    <w:right w:w="0" w:type="dxa"/>
                  </w:tcMar>
                  <w:vAlign w:val="center"/>
                </w:tcPr>
                <w:p w14:paraId="54DF9CF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43.0</w:t>
                  </w:r>
                </w:p>
              </w:tc>
              <w:tc>
                <w:tcPr>
                  <w:tcW w:w="378" w:type="dxa"/>
                  <w:shd w:val="clear" w:color="auto" w:fill="FFFFFF"/>
                  <w:noWrap w:val="0"/>
                  <w:tcMar>
                    <w:top w:w="0" w:type="dxa"/>
                    <w:left w:w="0" w:type="dxa"/>
                    <w:bottom w:w="0" w:type="dxa"/>
                    <w:right w:w="0" w:type="dxa"/>
                  </w:tcMar>
                  <w:vAlign w:val="center"/>
                </w:tcPr>
                <w:p w14:paraId="14E5793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43.0</w:t>
                  </w:r>
                </w:p>
              </w:tc>
              <w:tc>
                <w:tcPr>
                  <w:tcW w:w="396" w:type="dxa"/>
                  <w:shd w:val="clear" w:color="auto" w:fill="FFFFFF"/>
                  <w:noWrap w:val="0"/>
                  <w:tcMar>
                    <w:top w:w="0" w:type="dxa"/>
                    <w:left w:w="0" w:type="dxa"/>
                    <w:bottom w:w="0" w:type="dxa"/>
                    <w:right w:w="0" w:type="dxa"/>
                  </w:tcMar>
                  <w:vAlign w:val="center"/>
                </w:tcPr>
                <w:p w14:paraId="37A84DE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43.0</w:t>
                  </w:r>
                </w:p>
              </w:tc>
              <w:tc>
                <w:tcPr>
                  <w:tcW w:w="381" w:type="dxa"/>
                  <w:shd w:val="clear" w:color="auto" w:fill="FFFFFF"/>
                  <w:noWrap w:val="0"/>
                  <w:tcMar>
                    <w:top w:w="0" w:type="dxa"/>
                    <w:left w:w="0" w:type="dxa"/>
                    <w:bottom w:w="0" w:type="dxa"/>
                    <w:right w:w="0" w:type="dxa"/>
                  </w:tcMar>
                  <w:vAlign w:val="center"/>
                </w:tcPr>
                <w:p w14:paraId="713D7BA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43.0</w:t>
                  </w:r>
                </w:p>
              </w:tc>
              <w:tc>
                <w:tcPr>
                  <w:tcW w:w="579" w:type="dxa"/>
                  <w:shd w:val="clear" w:color="auto" w:fill="FFFFFF"/>
                  <w:noWrap w:val="0"/>
                  <w:tcMar>
                    <w:top w:w="0" w:type="dxa"/>
                    <w:left w:w="0" w:type="dxa"/>
                    <w:bottom w:w="0" w:type="dxa"/>
                    <w:right w:w="0" w:type="dxa"/>
                  </w:tcMar>
                  <w:vAlign w:val="center"/>
                </w:tcPr>
                <w:p w14:paraId="6B2CE9C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14:paraId="4919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54" w:type="dxa"/>
                  <w:shd w:val="clear" w:color="auto" w:fill="FFFFFF"/>
                  <w:noWrap w:val="0"/>
                  <w:tcMar>
                    <w:top w:w="0" w:type="dxa"/>
                    <w:left w:w="0" w:type="dxa"/>
                    <w:bottom w:w="0" w:type="dxa"/>
                    <w:right w:w="0" w:type="dxa"/>
                  </w:tcMar>
                  <w:vAlign w:val="center"/>
                </w:tcPr>
                <w:p w14:paraId="3F8378C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Arial" w:cs="Times New Roman"/>
                      <w:color w:val="auto"/>
                      <w:sz w:val="21"/>
                      <w:szCs w:val="21"/>
                    </w:rPr>
                    <w:t>9</w:t>
                  </w:r>
                </w:p>
              </w:tc>
              <w:tc>
                <w:tcPr>
                  <w:tcW w:w="538" w:type="dxa"/>
                  <w:vMerge w:val="continue"/>
                  <w:shd w:val="clear" w:color="auto" w:fill="FFFFFF"/>
                  <w:noWrap w:val="0"/>
                  <w:tcMar>
                    <w:top w:w="0" w:type="dxa"/>
                    <w:left w:w="0" w:type="dxa"/>
                    <w:bottom w:w="0" w:type="dxa"/>
                    <w:right w:w="0" w:type="dxa"/>
                  </w:tcMar>
                  <w:vAlign w:val="center"/>
                </w:tcPr>
                <w:p w14:paraId="2A3B139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1278" w:type="dxa"/>
                  <w:shd w:val="clear" w:color="auto" w:fill="FFFFFF"/>
                  <w:noWrap w:val="0"/>
                  <w:tcMar>
                    <w:top w:w="0" w:type="dxa"/>
                    <w:left w:w="0" w:type="dxa"/>
                    <w:bottom w:w="0" w:type="dxa"/>
                    <w:right w:w="0" w:type="dxa"/>
                  </w:tcMar>
                  <w:vAlign w:val="center"/>
                </w:tcPr>
                <w:p w14:paraId="4F765FA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空压机,2台（按点声源组预测）</w:t>
                  </w:r>
                </w:p>
              </w:tc>
              <w:tc>
                <w:tcPr>
                  <w:tcW w:w="838" w:type="dxa"/>
                  <w:shd w:val="clear" w:color="auto" w:fill="FFFFFF"/>
                  <w:noWrap w:val="0"/>
                  <w:tcMar>
                    <w:top w:w="0" w:type="dxa"/>
                    <w:left w:w="0" w:type="dxa"/>
                    <w:bottom w:w="0" w:type="dxa"/>
                    <w:right w:w="0" w:type="dxa"/>
                  </w:tcMar>
                  <w:vAlign w:val="center"/>
                </w:tcPr>
                <w:p w14:paraId="388418A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80（等效后：83.0)</w:t>
                  </w:r>
                </w:p>
              </w:tc>
              <w:tc>
                <w:tcPr>
                  <w:tcW w:w="600" w:type="dxa"/>
                  <w:vMerge w:val="continue"/>
                  <w:shd w:val="clear" w:color="auto" w:fill="FFFFFF"/>
                  <w:noWrap w:val="0"/>
                  <w:tcMar>
                    <w:top w:w="0" w:type="dxa"/>
                    <w:left w:w="0" w:type="dxa"/>
                    <w:bottom w:w="0" w:type="dxa"/>
                    <w:right w:w="0" w:type="dxa"/>
                  </w:tcMar>
                  <w:vAlign w:val="center"/>
                </w:tcPr>
                <w:p w14:paraId="586A309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427" w:type="dxa"/>
                  <w:shd w:val="clear" w:color="auto" w:fill="FFFFFF"/>
                  <w:noWrap w:val="0"/>
                  <w:tcMar>
                    <w:top w:w="0" w:type="dxa"/>
                    <w:left w:w="0" w:type="dxa"/>
                    <w:bottom w:w="0" w:type="dxa"/>
                    <w:right w:w="0" w:type="dxa"/>
                  </w:tcMar>
                  <w:vAlign w:val="center"/>
                </w:tcPr>
                <w:p w14:paraId="759F5C7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eastAsia="zh-CN"/>
                    </w:rPr>
                  </w:pPr>
                  <w:r>
                    <w:rPr>
                      <w:rFonts w:hint="default" w:ascii="Times New Roman" w:hAnsi="Times New Roman" w:eastAsia="Arial" w:cs="Times New Roman"/>
                      <w:color w:val="auto"/>
                      <w:sz w:val="21"/>
                      <w:szCs w:val="21"/>
                    </w:rPr>
                    <w:t>-4.3</w:t>
                  </w:r>
                </w:p>
              </w:tc>
              <w:tc>
                <w:tcPr>
                  <w:tcW w:w="417" w:type="dxa"/>
                  <w:shd w:val="clear" w:color="auto" w:fill="FFFFFF"/>
                  <w:noWrap w:val="0"/>
                  <w:tcMar>
                    <w:top w:w="0" w:type="dxa"/>
                    <w:left w:w="0" w:type="dxa"/>
                    <w:bottom w:w="0" w:type="dxa"/>
                    <w:right w:w="0" w:type="dxa"/>
                  </w:tcMar>
                  <w:vAlign w:val="center"/>
                </w:tcPr>
                <w:p w14:paraId="1428855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-2.5</w:t>
                  </w:r>
                </w:p>
              </w:tc>
              <w:tc>
                <w:tcPr>
                  <w:tcW w:w="448" w:type="dxa"/>
                  <w:shd w:val="clear" w:color="auto" w:fill="FFFFFF"/>
                  <w:noWrap w:val="0"/>
                  <w:tcMar>
                    <w:top w:w="0" w:type="dxa"/>
                    <w:left w:w="0" w:type="dxa"/>
                    <w:bottom w:w="0" w:type="dxa"/>
                    <w:right w:w="0" w:type="dxa"/>
                  </w:tcMar>
                  <w:vAlign w:val="center"/>
                </w:tcPr>
                <w:p w14:paraId="141092D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1.2</w:t>
                  </w:r>
                </w:p>
              </w:tc>
              <w:tc>
                <w:tcPr>
                  <w:tcW w:w="456" w:type="dxa"/>
                  <w:shd w:val="clear" w:color="auto" w:fill="FFFFFF"/>
                  <w:noWrap w:val="0"/>
                  <w:tcMar>
                    <w:top w:w="0" w:type="dxa"/>
                    <w:left w:w="0" w:type="dxa"/>
                    <w:bottom w:w="0" w:type="dxa"/>
                    <w:right w:w="0" w:type="dxa"/>
                  </w:tcMar>
                  <w:vAlign w:val="center"/>
                </w:tcPr>
                <w:p w14:paraId="6A6D956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eastAsia="zh-CN"/>
                    </w:rPr>
                  </w:pPr>
                  <w:r>
                    <w:rPr>
                      <w:rFonts w:hint="default" w:ascii="Times New Roman" w:hAnsi="Times New Roman" w:eastAsia="Arial" w:cs="Times New Roman"/>
                      <w:color w:val="auto"/>
                      <w:sz w:val="21"/>
                      <w:szCs w:val="21"/>
                    </w:rPr>
                    <w:t>10.6</w:t>
                  </w:r>
                </w:p>
              </w:tc>
              <w:tc>
                <w:tcPr>
                  <w:tcW w:w="442" w:type="dxa"/>
                  <w:shd w:val="clear" w:color="auto" w:fill="FFFFFF"/>
                  <w:noWrap w:val="0"/>
                  <w:tcMar>
                    <w:top w:w="0" w:type="dxa"/>
                    <w:left w:w="0" w:type="dxa"/>
                    <w:bottom w:w="0" w:type="dxa"/>
                    <w:right w:w="0" w:type="dxa"/>
                  </w:tcMar>
                  <w:vAlign w:val="center"/>
                </w:tcPr>
                <w:p w14:paraId="65A3A7C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13.0</w:t>
                  </w:r>
                </w:p>
              </w:tc>
              <w:tc>
                <w:tcPr>
                  <w:tcW w:w="517" w:type="dxa"/>
                  <w:shd w:val="clear" w:color="auto" w:fill="FFFFFF"/>
                  <w:noWrap w:val="0"/>
                  <w:tcMar>
                    <w:top w:w="0" w:type="dxa"/>
                    <w:left w:w="0" w:type="dxa"/>
                    <w:bottom w:w="0" w:type="dxa"/>
                    <w:right w:w="0" w:type="dxa"/>
                  </w:tcMar>
                  <w:vAlign w:val="center"/>
                </w:tcPr>
                <w:p w14:paraId="5311DC8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13.3</w:t>
                  </w:r>
                </w:p>
              </w:tc>
              <w:tc>
                <w:tcPr>
                  <w:tcW w:w="435" w:type="dxa"/>
                  <w:shd w:val="clear" w:color="auto" w:fill="FFFFFF"/>
                  <w:noWrap w:val="0"/>
                  <w:tcMar>
                    <w:top w:w="0" w:type="dxa"/>
                    <w:left w:w="0" w:type="dxa"/>
                    <w:bottom w:w="0" w:type="dxa"/>
                    <w:right w:w="0" w:type="dxa"/>
                  </w:tcMar>
                  <w:vAlign w:val="center"/>
                </w:tcPr>
                <w:p w14:paraId="06F785D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4.9</w:t>
                  </w:r>
                </w:p>
              </w:tc>
              <w:tc>
                <w:tcPr>
                  <w:tcW w:w="456" w:type="dxa"/>
                  <w:shd w:val="clear" w:color="auto" w:fill="FFFFFF"/>
                  <w:noWrap w:val="0"/>
                  <w:tcMar>
                    <w:top w:w="0" w:type="dxa"/>
                    <w:left w:w="0" w:type="dxa"/>
                    <w:bottom w:w="0" w:type="dxa"/>
                    <w:right w:w="0" w:type="dxa"/>
                  </w:tcMar>
                  <w:vAlign w:val="center"/>
                </w:tcPr>
                <w:p w14:paraId="4A89AD8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77.0</w:t>
                  </w:r>
                </w:p>
              </w:tc>
              <w:tc>
                <w:tcPr>
                  <w:tcW w:w="442" w:type="dxa"/>
                  <w:shd w:val="clear" w:color="auto" w:fill="FFFFFF"/>
                  <w:noWrap w:val="0"/>
                  <w:tcMar>
                    <w:top w:w="0" w:type="dxa"/>
                    <w:left w:w="0" w:type="dxa"/>
                    <w:bottom w:w="0" w:type="dxa"/>
                    <w:right w:w="0" w:type="dxa"/>
                  </w:tcMar>
                  <w:vAlign w:val="center"/>
                </w:tcPr>
                <w:p w14:paraId="5ED323A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77.0</w:t>
                  </w:r>
                </w:p>
              </w:tc>
              <w:tc>
                <w:tcPr>
                  <w:tcW w:w="441" w:type="dxa"/>
                  <w:shd w:val="clear" w:color="auto" w:fill="FFFFFF"/>
                  <w:noWrap w:val="0"/>
                  <w:tcMar>
                    <w:top w:w="0" w:type="dxa"/>
                    <w:left w:w="0" w:type="dxa"/>
                    <w:bottom w:w="0" w:type="dxa"/>
                    <w:right w:w="0" w:type="dxa"/>
                  </w:tcMar>
                  <w:vAlign w:val="center"/>
                </w:tcPr>
                <w:p w14:paraId="4E30664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77.0</w:t>
                  </w:r>
                </w:p>
              </w:tc>
              <w:tc>
                <w:tcPr>
                  <w:tcW w:w="563" w:type="dxa"/>
                  <w:shd w:val="clear" w:color="auto" w:fill="FFFFFF"/>
                  <w:noWrap w:val="0"/>
                  <w:tcMar>
                    <w:top w:w="0" w:type="dxa"/>
                    <w:left w:w="0" w:type="dxa"/>
                    <w:bottom w:w="0" w:type="dxa"/>
                    <w:right w:w="0" w:type="dxa"/>
                  </w:tcMar>
                  <w:vAlign w:val="center"/>
                </w:tcPr>
                <w:p w14:paraId="4E634B4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77.0</w:t>
                  </w:r>
                </w:p>
              </w:tc>
              <w:tc>
                <w:tcPr>
                  <w:tcW w:w="627" w:type="dxa"/>
                  <w:vMerge w:val="continue"/>
                  <w:shd w:val="clear" w:color="auto" w:fill="FFFFFF"/>
                  <w:noWrap w:val="0"/>
                  <w:tcMar>
                    <w:top w:w="0" w:type="dxa"/>
                    <w:left w:w="0" w:type="dxa"/>
                    <w:bottom w:w="0" w:type="dxa"/>
                    <w:right w:w="0" w:type="dxa"/>
                  </w:tcMar>
                  <w:vAlign w:val="center"/>
                </w:tcPr>
                <w:p w14:paraId="0F6B362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p>
              </w:tc>
              <w:tc>
                <w:tcPr>
                  <w:tcW w:w="427" w:type="dxa"/>
                  <w:shd w:val="clear" w:color="auto" w:fill="FFFFFF"/>
                  <w:noWrap w:val="0"/>
                  <w:tcMar>
                    <w:top w:w="0" w:type="dxa"/>
                    <w:left w:w="0" w:type="dxa"/>
                    <w:bottom w:w="0" w:type="dxa"/>
                    <w:right w:w="0" w:type="dxa"/>
                  </w:tcMar>
                  <w:vAlign w:val="center"/>
                </w:tcPr>
                <w:p w14:paraId="30D659E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652BF9E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42" w:type="dxa"/>
                  <w:shd w:val="clear" w:color="auto" w:fill="FFFFFF"/>
                  <w:noWrap w:val="0"/>
                  <w:tcMar>
                    <w:top w:w="0" w:type="dxa"/>
                    <w:left w:w="0" w:type="dxa"/>
                    <w:bottom w:w="0" w:type="dxa"/>
                    <w:right w:w="0" w:type="dxa"/>
                  </w:tcMar>
                  <w:vAlign w:val="center"/>
                </w:tcPr>
                <w:p w14:paraId="6C7FEB4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3B08ED3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378" w:type="dxa"/>
                  <w:shd w:val="clear" w:color="auto" w:fill="FFFFFF"/>
                  <w:noWrap w:val="0"/>
                  <w:tcMar>
                    <w:top w:w="0" w:type="dxa"/>
                    <w:left w:w="0" w:type="dxa"/>
                    <w:bottom w:w="0" w:type="dxa"/>
                    <w:right w:w="0" w:type="dxa"/>
                  </w:tcMar>
                  <w:vAlign w:val="center"/>
                </w:tcPr>
                <w:p w14:paraId="776BCFF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59.0</w:t>
                  </w:r>
                </w:p>
              </w:tc>
              <w:tc>
                <w:tcPr>
                  <w:tcW w:w="378" w:type="dxa"/>
                  <w:shd w:val="clear" w:color="auto" w:fill="FFFFFF"/>
                  <w:noWrap w:val="0"/>
                  <w:tcMar>
                    <w:top w:w="0" w:type="dxa"/>
                    <w:left w:w="0" w:type="dxa"/>
                    <w:bottom w:w="0" w:type="dxa"/>
                    <w:right w:w="0" w:type="dxa"/>
                  </w:tcMar>
                  <w:vAlign w:val="center"/>
                </w:tcPr>
                <w:p w14:paraId="005A2DE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59.0</w:t>
                  </w:r>
                </w:p>
              </w:tc>
              <w:tc>
                <w:tcPr>
                  <w:tcW w:w="396" w:type="dxa"/>
                  <w:shd w:val="clear" w:color="auto" w:fill="FFFFFF"/>
                  <w:noWrap w:val="0"/>
                  <w:tcMar>
                    <w:top w:w="0" w:type="dxa"/>
                    <w:left w:w="0" w:type="dxa"/>
                    <w:bottom w:w="0" w:type="dxa"/>
                    <w:right w:w="0" w:type="dxa"/>
                  </w:tcMar>
                  <w:vAlign w:val="center"/>
                </w:tcPr>
                <w:p w14:paraId="4CFE61C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59.0</w:t>
                  </w:r>
                </w:p>
              </w:tc>
              <w:tc>
                <w:tcPr>
                  <w:tcW w:w="381" w:type="dxa"/>
                  <w:shd w:val="clear" w:color="auto" w:fill="FFFFFF"/>
                  <w:noWrap w:val="0"/>
                  <w:tcMar>
                    <w:top w:w="0" w:type="dxa"/>
                    <w:left w:w="0" w:type="dxa"/>
                    <w:bottom w:w="0" w:type="dxa"/>
                    <w:right w:w="0" w:type="dxa"/>
                  </w:tcMar>
                  <w:vAlign w:val="center"/>
                </w:tcPr>
                <w:p w14:paraId="6699002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59.0</w:t>
                  </w:r>
                </w:p>
              </w:tc>
              <w:tc>
                <w:tcPr>
                  <w:tcW w:w="579" w:type="dxa"/>
                  <w:shd w:val="clear" w:color="auto" w:fill="FFFFFF"/>
                  <w:noWrap w:val="0"/>
                  <w:tcMar>
                    <w:top w:w="0" w:type="dxa"/>
                    <w:left w:w="0" w:type="dxa"/>
                    <w:bottom w:w="0" w:type="dxa"/>
                    <w:right w:w="0" w:type="dxa"/>
                  </w:tcMar>
                  <w:vAlign w:val="center"/>
                </w:tcPr>
                <w:p w14:paraId="559232F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14:paraId="5971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54" w:type="dxa"/>
                  <w:shd w:val="clear" w:color="auto" w:fill="FFFFFF"/>
                  <w:noWrap w:val="0"/>
                  <w:tcMar>
                    <w:top w:w="0" w:type="dxa"/>
                    <w:left w:w="0" w:type="dxa"/>
                    <w:bottom w:w="0" w:type="dxa"/>
                    <w:right w:w="0" w:type="dxa"/>
                  </w:tcMar>
                  <w:vAlign w:val="center"/>
                </w:tcPr>
                <w:p w14:paraId="07FE689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Arial" w:cs="Times New Roman"/>
                      <w:color w:val="auto"/>
                      <w:sz w:val="21"/>
                      <w:szCs w:val="21"/>
                    </w:rPr>
                    <w:t>10</w:t>
                  </w:r>
                </w:p>
              </w:tc>
              <w:tc>
                <w:tcPr>
                  <w:tcW w:w="538" w:type="dxa"/>
                  <w:vMerge w:val="continue"/>
                  <w:shd w:val="clear" w:color="auto" w:fill="FFFFFF"/>
                  <w:noWrap w:val="0"/>
                  <w:tcMar>
                    <w:top w:w="0" w:type="dxa"/>
                    <w:left w:w="0" w:type="dxa"/>
                    <w:bottom w:w="0" w:type="dxa"/>
                    <w:right w:w="0" w:type="dxa"/>
                  </w:tcMar>
                  <w:vAlign w:val="center"/>
                </w:tcPr>
                <w:p w14:paraId="0506291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1278" w:type="dxa"/>
                  <w:shd w:val="clear" w:color="auto" w:fill="FFFFFF"/>
                  <w:noWrap w:val="0"/>
                  <w:tcMar>
                    <w:top w:w="0" w:type="dxa"/>
                    <w:left w:w="0" w:type="dxa"/>
                    <w:bottom w:w="0" w:type="dxa"/>
                    <w:right w:w="0" w:type="dxa"/>
                  </w:tcMar>
                  <w:vAlign w:val="center"/>
                </w:tcPr>
                <w:p w14:paraId="18EE528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液压机,2台（按点声源组预测）</w:t>
                  </w:r>
                </w:p>
              </w:tc>
              <w:tc>
                <w:tcPr>
                  <w:tcW w:w="838" w:type="dxa"/>
                  <w:shd w:val="clear" w:color="auto" w:fill="FFFFFF"/>
                  <w:noWrap w:val="0"/>
                  <w:tcMar>
                    <w:top w:w="0" w:type="dxa"/>
                    <w:left w:w="0" w:type="dxa"/>
                    <w:bottom w:w="0" w:type="dxa"/>
                    <w:right w:w="0" w:type="dxa"/>
                  </w:tcMar>
                  <w:vAlign w:val="center"/>
                </w:tcPr>
                <w:p w14:paraId="58093F7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80（等效后：83.0)</w:t>
                  </w:r>
                </w:p>
              </w:tc>
              <w:tc>
                <w:tcPr>
                  <w:tcW w:w="600" w:type="dxa"/>
                  <w:vMerge w:val="continue"/>
                  <w:shd w:val="clear" w:color="auto" w:fill="FFFFFF"/>
                  <w:noWrap w:val="0"/>
                  <w:tcMar>
                    <w:top w:w="0" w:type="dxa"/>
                    <w:left w:w="0" w:type="dxa"/>
                    <w:bottom w:w="0" w:type="dxa"/>
                    <w:right w:w="0" w:type="dxa"/>
                  </w:tcMar>
                  <w:vAlign w:val="center"/>
                </w:tcPr>
                <w:p w14:paraId="0C085D7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427" w:type="dxa"/>
                  <w:shd w:val="clear" w:color="auto" w:fill="FFFFFF"/>
                  <w:noWrap w:val="0"/>
                  <w:tcMar>
                    <w:top w:w="0" w:type="dxa"/>
                    <w:left w:w="0" w:type="dxa"/>
                    <w:bottom w:w="0" w:type="dxa"/>
                    <w:right w:w="0" w:type="dxa"/>
                  </w:tcMar>
                  <w:vAlign w:val="center"/>
                </w:tcPr>
                <w:p w14:paraId="3646AEB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eastAsia="zh-CN"/>
                    </w:rPr>
                  </w:pPr>
                  <w:r>
                    <w:rPr>
                      <w:rFonts w:hint="default" w:ascii="Times New Roman" w:hAnsi="Times New Roman" w:eastAsia="Arial" w:cs="Times New Roman"/>
                      <w:color w:val="auto"/>
                      <w:sz w:val="21"/>
                      <w:szCs w:val="21"/>
                    </w:rPr>
                    <w:t>-7.5</w:t>
                  </w:r>
                </w:p>
              </w:tc>
              <w:tc>
                <w:tcPr>
                  <w:tcW w:w="417" w:type="dxa"/>
                  <w:shd w:val="clear" w:color="auto" w:fill="FFFFFF"/>
                  <w:noWrap w:val="0"/>
                  <w:tcMar>
                    <w:top w:w="0" w:type="dxa"/>
                    <w:left w:w="0" w:type="dxa"/>
                    <w:bottom w:w="0" w:type="dxa"/>
                    <w:right w:w="0" w:type="dxa"/>
                  </w:tcMar>
                  <w:vAlign w:val="center"/>
                </w:tcPr>
                <w:p w14:paraId="2545CB4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-10.2</w:t>
                  </w:r>
                </w:p>
              </w:tc>
              <w:tc>
                <w:tcPr>
                  <w:tcW w:w="448" w:type="dxa"/>
                  <w:shd w:val="clear" w:color="auto" w:fill="FFFFFF"/>
                  <w:noWrap w:val="0"/>
                  <w:tcMar>
                    <w:top w:w="0" w:type="dxa"/>
                    <w:left w:w="0" w:type="dxa"/>
                    <w:bottom w:w="0" w:type="dxa"/>
                    <w:right w:w="0" w:type="dxa"/>
                  </w:tcMar>
                  <w:vAlign w:val="center"/>
                </w:tcPr>
                <w:p w14:paraId="390290D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1.2</w:t>
                  </w:r>
                </w:p>
              </w:tc>
              <w:tc>
                <w:tcPr>
                  <w:tcW w:w="456" w:type="dxa"/>
                  <w:shd w:val="clear" w:color="auto" w:fill="FFFFFF"/>
                  <w:noWrap w:val="0"/>
                  <w:tcMar>
                    <w:top w:w="0" w:type="dxa"/>
                    <w:left w:w="0" w:type="dxa"/>
                    <w:bottom w:w="0" w:type="dxa"/>
                    <w:right w:w="0" w:type="dxa"/>
                  </w:tcMar>
                  <w:vAlign w:val="center"/>
                </w:tcPr>
                <w:p w14:paraId="0798CC8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eastAsia" w:ascii="Times New Roman" w:hAnsi="Times New Roman" w:eastAsia="Arial" w:cs="Times New Roman"/>
                      <w:color w:val="auto"/>
                      <w:sz w:val="21"/>
                      <w:szCs w:val="21"/>
                      <w:lang w:eastAsia="zh-CN"/>
                    </w:rPr>
                  </w:pPr>
                  <w:r>
                    <w:rPr>
                      <w:rFonts w:hint="default" w:ascii="Times New Roman" w:hAnsi="Times New Roman" w:eastAsia="Arial" w:cs="Times New Roman"/>
                      <w:color w:val="auto"/>
                      <w:sz w:val="21"/>
                      <w:szCs w:val="21"/>
                    </w:rPr>
                    <w:t>10.5</w:t>
                  </w:r>
                </w:p>
              </w:tc>
              <w:tc>
                <w:tcPr>
                  <w:tcW w:w="442" w:type="dxa"/>
                  <w:shd w:val="clear" w:color="auto" w:fill="FFFFFF"/>
                  <w:noWrap w:val="0"/>
                  <w:tcMar>
                    <w:top w:w="0" w:type="dxa"/>
                    <w:left w:w="0" w:type="dxa"/>
                    <w:bottom w:w="0" w:type="dxa"/>
                    <w:right w:w="0" w:type="dxa"/>
                  </w:tcMar>
                  <w:vAlign w:val="center"/>
                </w:tcPr>
                <w:p w14:paraId="6A4252F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4.6</w:t>
                  </w:r>
                </w:p>
              </w:tc>
              <w:tc>
                <w:tcPr>
                  <w:tcW w:w="517" w:type="dxa"/>
                  <w:shd w:val="clear" w:color="auto" w:fill="FFFFFF"/>
                  <w:noWrap w:val="0"/>
                  <w:tcMar>
                    <w:top w:w="0" w:type="dxa"/>
                    <w:left w:w="0" w:type="dxa"/>
                    <w:bottom w:w="0" w:type="dxa"/>
                    <w:right w:w="0" w:type="dxa"/>
                  </w:tcMar>
                  <w:vAlign w:val="center"/>
                </w:tcPr>
                <w:p w14:paraId="126A700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13.7</w:t>
                  </w:r>
                </w:p>
              </w:tc>
              <w:tc>
                <w:tcPr>
                  <w:tcW w:w="435" w:type="dxa"/>
                  <w:shd w:val="clear" w:color="auto" w:fill="FFFFFF"/>
                  <w:noWrap w:val="0"/>
                  <w:tcMar>
                    <w:top w:w="0" w:type="dxa"/>
                    <w:left w:w="0" w:type="dxa"/>
                    <w:bottom w:w="0" w:type="dxa"/>
                    <w:right w:w="0" w:type="dxa"/>
                  </w:tcMar>
                  <w:vAlign w:val="center"/>
                </w:tcPr>
                <w:p w14:paraId="379A9C6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13.2</w:t>
                  </w:r>
                </w:p>
              </w:tc>
              <w:tc>
                <w:tcPr>
                  <w:tcW w:w="456" w:type="dxa"/>
                  <w:shd w:val="clear" w:color="auto" w:fill="FFFFFF"/>
                  <w:noWrap w:val="0"/>
                  <w:tcMar>
                    <w:top w:w="0" w:type="dxa"/>
                    <w:left w:w="0" w:type="dxa"/>
                    <w:bottom w:w="0" w:type="dxa"/>
                    <w:right w:w="0" w:type="dxa"/>
                  </w:tcMar>
                  <w:vAlign w:val="center"/>
                </w:tcPr>
                <w:p w14:paraId="1333EA1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77.0</w:t>
                  </w:r>
                </w:p>
              </w:tc>
              <w:tc>
                <w:tcPr>
                  <w:tcW w:w="442" w:type="dxa"/>
                  <w:shd w:val="clear" w:color="auto" w:fill="FFFFFF"/>
                  <w:noWrap w:val="0"/>
                  <w:tcMar>
                    <w:top w:w="0" w:type="dxa"/>
                    <w:left w:w="0" w:type="dxa"/>
                    <w:bottom w:w="0" w:type="dxa"/>
                    <w:right w:w="0" w:type="dxa"/>
                  </w:tcMar>
                  <w:vAlign w:val="center"/>
                </w:tcPr>
                <w:p w14:paraId="499546A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77.0</w:t>
                  </w:r>
                </w:p>
              </w:tc>
              <w:tc>
                <w:tcPr>
                  <w:tcW w:w="441" w:type="dxa"/>
                  <w:shd w:val="clear" w:color="auto" w:fill="FFFFFF"/>
                  <w:noWrap w:val="0"/>
                  <w:tcMar>
                    <w:top w:w="0" w:type="dxa"/>
                    <w:left w:w="0" w:type="dxa"/>
                    <w:bottom w:w="0" w:type="dxa"/>
                    <w:right w:w="0" w:type="dxa"/>
                  </w:tcMar>
                  <w:vAlign w:val="center"/>
                </w:tcPr>
                <w:p w14:paraId="66EE0DA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77.0</w:t>
                  </w:r>
                </w:p>
              </w:tc>
              <w:tc>
                <w:tcPr>
                  <w:tcW w:w="563" w:type="dxa"/>
                  <w:shd w:val="clear" w:color="auto" w:fill="FFFFFF"/>
                  <w:noWrap w:val="0"/>
                  <w:tcMar>
                    <w:top w:w="0" w:type="dxa"/>
                    <w:left w:w="0" w:type="dxa"/>
                    <w:bottom w:w="0" w:type="dxa"/>
                    <w:right w:w="0" w:type="dxa"/>
                  </w:tcMar>
                  <w:vAlign w:val="center"/>
                </w:tcPr>
                <w:p w14:paraId="414C311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77.0</w:t>
                  </w:r>
                </w:p>
              </w:tc>
              <w:tc>
                <w:tcPr>
                  <w:tcW w:w="627" w:type="dxa"/>
                  <w:vMerge w:val="continue"/>
                  <w:shd w:val="clear" w:color="auto" w:fill="FFFFFF"/>
                  <w:noWrap w:val="0"/>
                  <w:tcMar>
                    <w:top w:w="0" w:type="dxa"/>
                    <w:left w:w="0" w:type="dxa"/>
                    <w:bottom w:w="0" w:type="dxa"/>
                    <w:right w:w="0" w:type="dxa"/>
                  </w:tcMar>
                  <w:vAlign w:val="center"/>
                </w:tcPr>
                <w:p w14:paraId="1B35CD2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lang w:val="en-US" w:eastAsia="zh-CN"/>
                    </w:rPr>
                  </w:pPr>
                </w:p>
              </w:tc>
              <w:tc>
                <w:tcPr>
                  <w:tcW w:w="427" w:type="dxa"/>
                  <w:shd w:val="clear" w:color="auto" w:fill="FFFFFF"/>
                  <w:noWrap w:val="0"/>
                  <w:tcMar>
                    <w:top w:w="0" w:type="dxa"/>
                    <w:left w:w="0" w:type="dxa"/>
                    <w:bottom w:w="0" w:type="dxa"/>
                    <w:right w:w="0" w:type="dxa"/>
                  </w:tcMar>
                  <w:vAlign w:val="center"/>
                </w:tcPr>
                <w:p w14:paraId="28967FD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525E24D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42" w:type="dxa"/>
                  <w:shd w:val="clear" w:color="auto" w:fill="FFFFFF"/>
                  <w:noWrap w:val="0"/>
                  <w:tcMar>
                    <w:top w:w="0" w:type="dxa"/>
                    <w:left w:w="0" w:type="dxa"/>
                    <w:bottom w:w="0" w:type="dxa"/>
                    <w:right w:w="0" w:type="dxa"/>
                  </w:tcMar>
                  <w:vAlign w:val="center"/>
                </w:tcPr>
                <w:p w14:paraId="0FFE098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5DB99FE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378" w:type="dxa"/>
                  <w:shd w:val="clear" w:color="auto" w:fill="FFFFFF"/>
                  <w:noWrap w:val="0"/>
                  <w:tcMar>
                    <w:top w:w="0" w:type="dxa"/>
                    <w:left w:w="0" w:type="dxa"/>
                    <w:bottom w:w="0" w:type="dxa"/>
                    <w:right w:w="0" w:type="dxa"/>
                  </w:tcMar>
                  <w:vAlign w:val="center"/>
                </w:tcPr>
                <w:p w14:paraId="7908FB2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59.0</w:t>
                  </w:r>
                </w:p>
              </w:tc>
              <w:tc>
                <w:tcPr>
                  <w:tcW w:w="378" w:type="dxa"/>
                  <w:shd w:val="clear" w:color="auto" w:fill="FFFFFF"/>
                  <w:noWrap w:val="0"/>
                  <w:tcMar>
                    <w:top w:w="0" w:type="dxa"/>
                    <w:left w:w="0" w:type="dxa"/>
                    <w:bottom w:w="0" w:type="dxa"/>
                    <w:right w:w="0" w:type="dxa"/>
                  </w:tcMar>
                  <w:vAlign w:val="center"/>
                </w:tcPr>
                <w:p w14:paraId="21C69C8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59.0</w:t>
                  </w:r>
                </w:p>
              </w:tc>
              <w:tc>
                <w:tcPr>
                  <w:tcW w:w="396" w:type="dxa"/>
                  <w:shd w:val="clear" w:color="auto" w:fill="FFFFFF"/>
                  <w:noWrap w:val="0"/>
                  <w:tcMar>
                    <w:top w:w="0" w:type="dxa"/>
                    <w:left w:w="0" w:type="dxa"/>
                    <w:bottom w:w="0" w:type="dxa"/>
                    <w:right w:w="0" w:type="dxa"/>
                  </w:tcMar>
                  <w:vAlign w:val="center"/>
                </w:tcPr>
                <w:p w14:paraId="0A4A1B1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59.0</w:t>
                  </w:r>
                </w:p>
              </w:tc>
              <w:tc>
                <w:tcPr>
                  <w:tcW w:w="381" w:type="dxa"/>
                  <w:shd w:val="clear" w:color="auto" w:fill="FFFFFF"/>
                  <w:noWrap w:val="0"/>
                  <w:tcMar>
                    <w:top w:w="0" w:type="dxa"/>
                    <w:left w:w="0" w:type="dxa"/>
                    <w:bottom w:w="0" w:type="dxa"/>
                    <w:right w:w="0" w:type="dxa"/>
                  </w:tcMar>
                  <w:vAlign w:val="center"/>
                </w:tcPr>
                <w:p w14:paraId="43025D4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59.0</w:t>
                  </w:r>
                </w:p>
              </w:tc>
              <w:tc>
                <w:tcPr>
                  <w:tcW w:w="579" w:type="dxa"/>
                  <w:shd w:val="clear" w:color="auto" w:fill="FFFFFF"/>
                  <w:noWrap w:val="0"/>
                  <w:tcMar>
                    <w:top w:w="0" w:type="dxa"/>
                    <w:left w:w="0" w:type="dxa"/>
                    <w:bottom w:w="0" w:type="dxa"/>
                    <w:right w:w="0" w:type="dxa"/>
                  </w:tcMar>
                  <w:vAlign w:val="center"/>
                </w:tcPr>
                <w:p w14:paraId="4C6AB98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14:paraId="33DB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54" w:type="dxa"/>
                  <w:shd w:val="clear" w:color="auto" w:fill="FFFFFF"/>
                  <w:noWrap w:val="0"/>
                  <w:tcMar>
                    <w:top w:w="0" w:type="dxa"/>
                    <w:left w:w="0" w:type="dxa"/>
                    <w:bottom w:w="0" w:type="dxa"/>
                    <w:right w:w="0" w:type="dxa"/>
                  </w:tcMar>
                  <w:vAlign w:val="center"/>
                </w:tcPr>
                <w:p w14:paraId="076BABF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Arial" w:cs="Times New Roman"/>
                      <w:color w:val="auto"/>
                      <w:sz w:val="21"/>
                      <w:szCs w:val="21"/>
                    </w:rPr>
                    <w:t>11</w:t>
                  </w:r>
                </w:p>
              </w:tc>
              <w:tc>
                <w:tcPr>
                  <w:tcW w:w="538" w:type="dxa"/>
                  <w:vMerge w:val="continue"/>
                  <w:shd w:val="clear" w:color="auto" w:fill="FFFFFF"/>
                  <w:noWrap w:val="0"/>
                  <w:tcMar>
                    <w:top w:w="0" w:type="dxa"/>
                    <w:left w:w="0" w:type="dxa"/>
                    <w:bottom w:w="0" w:type="dxa"/>
                    <w:right w:w="0" w:type="dxa"/>
                  </w:tcMar>
                  <w:vAlign w:val="center"/>
                </w:tcPr>
                <w:p w14:paraId="3BD6953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1278" w:type="dxa"/>
                  <w:shd w:val="clear" w:color="auto" w:fill="FFFFFF"/>
                  <w:noWrap w:val="0"/>
                  <w:tcMar>
                    <w:top w:w="0" w:type="dxa"/>
                    <w:left w:w="0" w:type="dxa"/>
                    <w:bottom w:w="0" w:type="dxa"/>
                    <w:right w:w="0" w:type="dxa"/>
                  </w:tcMar>
                  <w:vAlign w:val="center"/>
                </w:tcPr>
                <w:p w14:paraId="4D731A9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Arial" w:cs="Times New Roman"/>
                      <w:color w:val="auto"/>
                      <w:sz w:val="21"/>
                      <w:szCs w:val="21"/>
                      <w:lang w:val="en-US" w:eastAsia="zh-CN"/>
                    </w:rPr>
                  </w:pPr>
                  <w:r>
                    <w:rPr>
                      <w:rFonts w:hint="default" w:ascii="Times New Roman" w:hAnsi="Times New Roman" w:eastAsia="Arial" w:cs="Times New Roman"/>
                      <w:color w:val="auto"/>
                      <w:sz w:val="21"/>
                      <w:szCs w:val="21"/>
                    </w:rPr>
                    <w:t>风机</w:t>
                  </w:r>
                </w:p>
              </w:tc>
              <w:tc>
                <w:tcPr>
                  <w:tcW w:w="838" w:type="dxa"/>
                  <w:shd w:val="clear" w:color="auto" w:fill="FFFFFF"/>
                  <w:noWrap w:val="0"/>
                  <w:tcMar>
                    <w:top w:w="0" w:type="dxa"/>
                    <w:left w:w="0" w:type="dxa"/>
                    <w:bottom w:w="0" w:type="dxa"/>
                    <w:right w:w="0" w:type="dxa"/>
                  </w:tcMar>
                  <w:vAlign w:val="center"/>
                </w:tcPr>
                <w:p w14:paraId="2BD520E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85</w:t>
                  </w:r>
                </w:p>
              </w:tc>
              <w:tc>
                <w:tcPr>
                  <w:tcW w:w="600" w:type="dxa"/>
                  <w:vMerge w:val="continue"/>
                  <w:shd w:val="clear" w:color="auto" w:fill="FFFFFF"/>
                  <w:noWrap w:val="0"/>
                  <w:tcMar>
                    <w:top w:w="0" w:type="dxa"/>
                    <w:left w:w="0" w:type="dxa"/>
                    <w:bottom w:w="0" w:type="dxa"/>
                    <w:right w:w="0" w:type="dxa"/>
                  </w:tcMar>
                  <w:vAlign w:val="center"/>
                </w:tcPr>
                <w:p w14:paraId="5D4A97F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427" w:type="dxa"/>
                  <w:shd w:val="clear" w:color="auto" w:fill="FFFFFF"/>
                  <w:noWrap w:val="0"/>
                  <w:tcMar>
                    <w:top w:w="0" w:type="dxa"/>
                    <w:left w:w="0" w:type="dxa"/>
                    <w:bottom w:w="0" w:type="dxa"/>
                    <w:right w:w="0" w:type="dxa"/>
                  </w:tcMar>
                  <w:vAlign w:val="center"/>
                </w:tcPr>
                <w:p w14:paraId="52AFB64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-14.3</w:t>
                  </w:r>
                </w:p>
              </w:tc>
              <w:tc>
                <w:tcPr>
                  <w:tcW w:w="417" w:type="dxa"/>
                  <w:shd w:val="clear" w:color="auto" w:fill="FFFFFF"/>
                  <w:noWrap w:val="0"/>
                  <w:tcMar>
                    <w:top w:w="0" w:type="dxa"/>
                    <w:left w:w="0" w:type="dxa"/>
                    <w:bottom w:w="0" w:type="dxa"/>
                    <w:right w:w="0" w:type="dxa"/>
                  </w:tcMar>
                  <w:vAlign w:val="center"/>
                </w:tcPr>
                <w:p w14:paraId="2DFF57B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-9.8</w:t>
                  </w:r>
                </w:p>
              </w:tc>
              <w:tc>
                <w:tcPr>
                  <w:tcW w:w="448" w:type="dxa"/>
                  <w:shd w:val="clear" w:color="auto" w:fill="FFFFFF"/>
                  <w:noWrap w:val="0"/>
                  <w:tcMar>
                    <w:top w:w="0" w:type="dxa"/>
                    <w:left w:w="0" w:type="dxa"/>
                    <w:bottom w:w="0" w:type="dxa"/>
                    <w:right w:w="0" w:type="dxa"/>
                  </w:tcMar>
                  <w:vAlign w:val="center"/>
                </w:tcPr>
                <w:p w14:paraId="3679D6C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1.2</w:t>
                  </w:r>
                </w:p>
              </w:tc>
              <w:tc>
                <w:tcPr>
                  <w:tcW w:w="456" w:type="dxa"/>
                  <w:shd w:val="clear" w:color="auto" w:fill="FFFFFF"/>
                  <w:noWrap w:val="0"/>
                  <w:tcMar>
                    <w:top w:w="0" w:type="dxa"/>
                    <w:left w:w="0" w:type="dxa"/>
                    <w:bottom w:w="0" w:type="dxa"/>
                    <w:right w:w="0" w:type="dxa"/>
                  </w:tcMar>
                  <w:vAlign w:val="center"/>
                </w:tcPr>
                <w:p w14:paraId="3F38395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16.9</w:t>
                  </w:r>
                </w:p>
              </w:tc>
              <w:tc>
                <w:tcPr>
                  <w:tcW w:w="442" w:type="dxa"/>
                  <w:shd w:val="clear" w:color="auto" w:fill="FFFFFF"/>
                  <w:noWrap w:val="0"/>
                  <w:tcMar>
                    <w:top w:w="0" w:type="dxa"/>
                    <w:left w:w="0" w:type="dxa"/>
                    <w:bottom w:w="0" w:type="dxa"/>
                    <w:right w:w="0" w:type="dxa"/>
                  </w:tcMar>
                  <w:vAlign w:val="center"/>
                </w:tcPr>
                <w:p w14:paraId="799D1C2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2.5</w:t>
                  </w:r>
                </w:p>
              </w:tc>
              <w:tc>
                <w:tcPr>
                  <w:tcW w:w="517" w:type="dxa"/>
                  <w:shd w:val="clear" w:color="auto" w:fill="FFFFFF"/>
                  <w:noWrap w:val="0"/>
                  <w:tcMar>
                    <w:top w:w="0" w:type="dxa"/>
                    <w:left w:w="0" w:type="dxa"/>
                    <w:bottom w:w="0" w:type="dxa"/>
                    <w:right w:w="0" w:type="dxa"/>
                  </w:tcMar>
                  <w:vAlign w:val="center"/>
                </w:tcPr>
                <w:p w14:paraId="48EEECC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7.4</w:t>
                  </w:r>
                </w:p>
              </w:tc>
              <w:tc>
                <w:tcPr>
                  <w:tcW w:w="435" w:type="dxa"/>
                  <w:shd w:val="clear" w:color="auto" w:fill="FFFFFF"/>
                  <w:noWrap w:val="0"/>
                  <w:tcMar>
                    <w:top w:w="0" w:type="dxa"/>
                    <w:left w:w="0" w:type="dxa"/>
                    <w:bottom w:w="0" w:type="dxa"/>
                    <w:right w:w="0" w:type="dxa"/>
                  </w:tcMar>
                  <w:vAlign w:val="center"/>
                </w:tcPr>
                <w:p w14:paraId="3FBDBB6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15.4</w:t>
                  </w:r>
                </w:p>
              </w:tc>
              <w:tc>
                <w:tcPr>
                  <w:tcW w:w="456" w:type="dxa"/>
                  <w:shd w:val="clear" w:color="auto" w:fill="FFFFFF"/>
                  <w:noWrap w:val="0"/>
                  <w:tcMar>
                    <w:top w:w="0" w:type="dxa"/>
                    <w:left w:w="0" w:type="dxa"/>
                    <w:bottom w:w="0" w:type="dxa"/>
                    <w:right w:w="0" w:type="dxa"/>
                  </w:tcMar>
                  <w:vAlign w:val="center"/>
                </w:tcPr>
                <w:p w14:paraId="311F9DB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79.0</w:t>
                  </w:r>
                </w:p>
              </w:tc>
              <w:tc>
                <w:tcPr>
                  <w:tcW w:w="442" w:type="dxa"/>
                  <w:shd w:val="clear" w:color="auto" w:fill="FFFFFF"/>
                  <w:noWrap w:val="0"/>
                  <w:tcMar>
                    <w:top w:w="0" w:type="dxa"/>
                    <w:left w:w="0" w:type="dxa"/>
                    <w:bottom w:w="0" w:type="dxa"/>
                    <w:right w:w="0" w:type="dxa"/>
                  </w:tcMar>
                  <w:vAlign w:val="center"/>
                </w:tcPr>
                <w:p w14:paraId="34593A1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79.2</w:t>
                  </w:r>
                </w:p>
              </w:tc>
              <w:tc>
                <w:tcPr>
                  <w:tcW w:w="441" w:type="dxa"/>
                  <w:shd w:val="clear" w:color="auto" w:fill="FFFFFF"/>
                  <w:noWrap w:val="0"/>
                  <w:tcMar>
                    <w:top w:w="0" w:type="dxa"/>
                    <w:left w:w="0" w:type="dxa"/>
                    <w:bottom w:w="0" w:type="dxa"/>
                    <w:right w:w="0" w:type="dxa"/>
                  </w:tcMar>
                  <w:vAlign w:val="center"/>
                </w:tcPr>
                <w:p w14:paraId="5BF78EF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79.0</w:t>
                  </w:r>
                </w:p>
              </w:tc>
              <w:tc>
                <w:tcPr>
                  <w:tcW w:w="563" w:type="dxa"/>
                  <w:shd w:val="clear" w:color="auto" w:fill="FFFFFF"/>
                  <w:noWrap w:val="0"/>
                  <w:tcMar>
                    <w:top w:w="0" w:type="dxa"/>
                    <w:left w:w="0" w:type="dxa"/>
                    <w:bottom w:w="0" w:type="dxa"/>
                    <w:right w:w="0" w:type="dxa"/>
                  </w:tcMar>
                  <w:vAlign w:val="center"/>
                </w:tcPr>
                <w:p w14:paraId="1EF8151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79.0</w:t>
                  </w:r>
                </w:p>
              </w:tc>
              <w:tc>
                <w:tcPr>
                  <w:tcW w:w="627" w:type="dxa"/>
                  <w:vMerge w:val="continue"/>
                  <w:shd w:val="clear" w:color="auto" w:fill="FFFFFF"/>
                  <w:noWrap w:val="0"/>
                  <w:tcMar>
                    <w:top w:w="0" w:type="dxa"/>
                    <w:left w:w="0" w:type="dxa"/>
                    <w:bottom w:w="0" w:type="dxa"/>
                    <w:right w:w="0" w:type="dxa"/>
                  </w:tcMar>
                  <w:vAlign w:val="center"/>
                </w:tcPr>
                <w:p w14:paraId="47B30A0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p>
              </w:tc>
              <w:tc>
                <w:tcPr>
                  <w:tcW w:w="427" w:type="dxa"/>
                  <w:shd w:val="clear" w:color="auto" w:fill="FFFFFF"/>
                  <w:noWrap w:val="0"/>
                  <w:tcMar>
                    <w:top w:w="0" w:type="dxa"/>
                    <w:left w:w="0" w:type="dxa"/>
                    <w:bottom w:w="0" w:type="dxa"/>
                    <w:right w:w="0" w:type="dxa"/>
                  </w:tcMar>
                  <w:vAlign w:val="center"/>
                </w:tcPr>
                <w:p w14:paraId="5DB871F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6060782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42" w:type="dxa"/>
                  <w:shd w:val="clear" w:color="auto" w:fill="FFFFFF"/>
                  <w:noWrap w:val="0"/>
                  <w:tcMar>
                    <w:top w:w="0" w:type="dxa"/>
                    <w:left w:w="0" w:type="dxa"/>
                    <w:bottom w:w="0" w:type="dxa"/>
                    <w:right w:w="0" w:type="dxa"/>
                  </w:tcMar>
                  <w:vAlign w:val="center"/>
                </w:tcPr>
                <w:p w14:paraId="01F4AE9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7EA5283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378" w:type="dxa"/>
                  <w:shd w:val="clear" w:color="auto" w:fill="FFFFFF"/>
                  <w:noWrap w:val="0"/>
                  <w:tcMar>
                    <w:top w:w="0" w:type="dxa"/>
                    <w:left w:w="0" w:type="dxa"/>
                    <w:bottom w:w="0" w:type="dxa"/>
                    <w:right w:w="0" w:type="dxa"/>
                  </w:tcMar>
                  <w:vAlign w:val="center"/>
                </w:tcPr>
                <w:p w14:paraId="77E04F9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61.0</w:t>
                  </w:r>
                </w:p>
              </w:tc>
              <w:tc>
                <w:tcPr>
                  <w:tcW w:w="378" w:type="dxa"/>
                  <w:shd w:val="clear" w:color="auto" w:fill="FFFFFF"/>
                  <w:noWrap w:val="0"/>
                  <w:tcMar>
                    <w:top w:w="0" w:type="dxa"/>
                    <w:left w:w="0" w:type="dxa"/>
                    <w:bottom w:w="0" w:type="dxa"/>
                    <w:right w:w="0" w:type="dxa"/>
                  </w:tcMar>
                  <w:vAlign w:val="center"/>
                </w:tcPr>
                <w:p w14:paraId="66D21AD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61.2</w:t>
                  </w:r>
                </w:p>
              </w:tc>
              <w:tc>
                <w:tcPr>
                  <w:tcW w:w="396" w:type="dxa"/>
                  <w:shd w:val="clear" w:color="auto" w:fill="FFFFFF"/>
                  <w:noWrap w:val="0"/>
                  <w:tcMar>
                    <w:top w:w="0" w:type="dxa"/>
                    <w:left w:w="0" w:type="dxa"/>
                    <w:bottom w:w="0" w:type="dxa"/>
                    <w:right w:w="0" w:type="dxa"/>
                  </w:tcMar>
                  <w:vAlign w:val="center"/>
                </w:tcPr>
                <w:p w14:paraId="5CA0321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61.0</w:t>
                  </w:r>
                </w:p>
              </w:tc>
              <w:tc>
                <w:tcPr>
                  <w:tcW w:w="381" w:type="dxa"/>
                  <w:shd w:val="clear" w:color="auto" w:fill="FFFFFF"/>
                  <w:noWrap w:val="0"/>
                  <w:tcMar>
                    <w:top w:w="0" w:type="dxa"/>
                    <w:left w:w="0" w:type="dxa"/>
                    <w:bottom w:w="0" w:type="dxa"/>
                    <w:right w:w="0" w:type="dxa"/>
                  </w:tcMar>
                  <w:vAlign w:val="center"/>
                </w:tcPr>
                <w:p w14:paraId="57B5BA2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61.0</w:t>
                  </w:r>
                </w:p>
              </w:tc>
              <w:tc>
                <w:tcPr>
                  <w:tcW w:w="579" w:type="dxa"/>
                  <w:shd w:val="clear" w:color="auto" w:fill="FFFFFF"/>
                  <w:noWrap w:val="0"/>
                  <w:tcMar>
                    <w:top w:w="0" w:type="dxa"/>
                    <w:left w:w="0" w:type="dxa"/>
                    <w:bottom w:w="0" w:type="dxa"/>
                    <w:right w:w="0" w:type="dxa"/>
                  </w:tcMar>
                  <w:vAlign w:val="center"/>
                </w:tcPr>
                <w:p w14:paraId="620706D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14:paraId="7E4C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54" w:type="dxa"/>
                  <w:shd w:val="clear" w:color="auto" w:fill="FFFFFF"/>
                  <w:noWrap w:val="0"/>
                  <w:tcMar>
                    <w:top w:w="0" w:type="dxa"/>
                    <w:left w:w="0" w:type="dxa"/>
                    <w:bottom w:w="0" w:type="dxa"/>
                    <w:right w:w="0" w:type="dxa"/>
                  </w:tcMar>
                  <w:vAlign w:val="center"/>
                </w:tcPr>
                <w:p w14:paraId="6FAB2CB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38" w:type="dxa"/>
                  <w:vMerge w:val="continue"/>
                  <w:shd w:val="clear" w:color="auto" w:fill="FFFFFF"/>
                  <w:noWrap w:val="0"/>
                  <w:tcMar>
                    <w:top w:w="0" w:type="dxa"/>
                    <w:left w:w="0" w:type="dxa"/>
                    <w:bottom w:w="0" w:type="dxa"/>
                    <w:right w:w="0" w:type="dxa"/>
                  </w:tcMar>
                  <w:vAlign w:val="center"/>
                </w:tcPr>
                <w:p w14:paraId="29E6517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1278" w:type="dxa"/>
                  <w:shd w:val="clear" w:color="auto" w:fill="FFFFFF"/>
                  <w:noWrap w:val="0"/>
                  <w:tcMar>
                    <w:top w:w="0" w:type="dxa"/>
                    <w:left w:w="0" w:type="dxa"/>
                    <w:bottom w:w="0" w:type="dxa"/>
                    <w:right w:w="0" w:type="dxa"/>
                  </w:tcMar>
                  <w:vAlign w:val="center"/>
                </w:tcPr>
                <w:p w14:paraId="58EF812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Arial" w:cs="Times New Roman"/>
                      <w:color w:val="auto"/>
                      <w:sz w:val="21"/>
                      <w:szCs w:val="21"/>
                    </w:rPr>
                  </w:pPr>
                  <w:r>
                    <w:rPr>
                      <w:rFonts w:ascii="Arial" w:hAnsi="Arial" w:eastAsia="Arial" w:cs="Arial"/>
                      <w:color w:val="auto"/>
                      <w:sz w:val="20"/>
                    </w:rPr>
                    <w:t>水泵</w:t>
                  </w:r>
                </w:p>
              </w:tc>
              <w:tc>
                <w:tcPr>
                  <w:tcW w:w="838" w:type="dxa"/>
                  <w:shd w:val="clear" w:color="auto" w:fill="FFFFFF"/>
                  <w:noWrap w:val="0"/>
                  <w:tcMar>
                    <w:top w:w="0" w:type="dxa"/>
                    <w:left w:w="0" w:type="dxa"/>
                    <w:bottom w:w="0" w:type="dxa"/>
                    <w:right w:w="0" w:type="dxa"/>
                  </w:tcMar>
                  <w:vAlign w:val="center"/>
                </w:tcPr>
                <w:p w14:paraId="778A0D5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75</w:t>
                  </w:r>
                </w:p>
              </w:tc>
              <w:tc>
                <w:tcPr>
                  <w:tcW w:w="600" w:type="dxa"/>
                  <w:vMerge w:val="continue"/>
                  <w:shd w:val="clear" w:color="auto" w:fill="FFFFFF"/>
                  <w:noWrap w:val="0"/>
                  <w:tcMar>
                    <w:top w:w="0" w:type="dxa"/>
                    <w:left w:w="0" w:type="dxa"/>
                    <w:bottom w:w="0" w:type="dxa"/>
                    <w:right w:w="0" w:type="dxa"/>
                  </w:tcMar>
                  <w:vAlign w:val="center"/>
                </w:tcPr>
                <w:p w14:paraId="635B5E1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427" w:type="dxa"/>
                  <w:shd w:val="clear" w:color="auto" w:fill="FFFFFF"/>
                  <w:noWrap w:val="0"/>
                  <w:tcMar>
                    <w:top w:w="0" w:type="dxa"/>
                    <w:left w:w="0" w:type="dxa"/>
                    <w:bottom w:w="0" w:type="dxa"/>
                    <w:right w:w="0" w:type="dxa"/>
                  </w:tcMar>
                  <w:vAlign w:val="center"/>
                </w:tcPr>
                <w:p w14:paraId="076A1CD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-6.5</w:t>
                  </w:r>
                </w:p>
              </w:tc>
              <w:tc>
                <w:tcPr>
                  <w:tcW w:w="417" w:type="dxa"/>
                  <w:shd w:val="clear" w:color="auto" w:fill="FFFFFF"/>
                  <w:noWrap w:val="0"/>
                  <w:tcMar>
                    <w:top w:w="0" w:type="dxa"/>
                    <w:left w:w="0" w:type="dxa"/>
                    <w:bottom w:w="0" w:type="dxa"/>
                    <w:right w:w="0" w:type="dxa"/>
                  </w:tcMar>
                  <w:vAlign w:val="center"/>
                </w:tcPr>
                <w:p w14:paraId="116C7CE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w:t>
                  </w:r>
                </w:p>
              </w:tc>
              <w:tc>
                <w:tcPr>
                  <w:tcW w:w="448" w:type="dxa"/>
                  <w:shd w:val="clear" w:color="auto" w:fill="FFFFFF"/>
                  <w:noWrap w:val="0"/>
                  <w:tcMar>
                    <w:top w:w="0" w:type="dxa"/>
                    <w:left w:w="0" w:type="dxa"/>
                    <w:bottom w:w="0" w:type="dxa"/>
                    <w:right w:w="0" w:type="dxa"/>
                  </w:tcMar>
                  <w:vAlign w:val="center"/>
                </w:tcPr>
                <w:p w14:paraId="36480DB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-1.5</w:t>
                  </w:r>
                </w:p>
              </w:tc>
              <w:tc>
                <w:tcPr>
                  <w:tcW w:w="456" w:type="dxa"/>
                  <w:shd w:val="clear" w:color="auto" w:fill="FFFFFF"/>
                  <w:noWrap w:val="0"/>
                  <w:tcMar>
                    <w:top w:w="0" w:type="dxa"/>
                    <w:left w:w="0" w:type="dxa"/>
                    <w:bottom w:w="0" w:type="dxa"/>
                    <w:right w:w="0" w:type="dxa"/>
                  </w:tcMar>
                  <w:vAlign w:val="center"/>
                </w:tcPr>
                <w:p w14:paraId="170C1D2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14.7</w:t>
                  </w:r>
                </w:p>
              </w:tc>
              <w:tc>
                <w:tcPr>
                  <w:tcW w:w="442" w:type="dxa"/>
                  <w:shd w:val="clear" w:color="auto" w:fill="FFFFFF"/>
                  <w:noWrap w:val="0"/>
                  <w:tcMar>
                    <w:top w:w="0" w:type="dxa"/>
                    <w:left w:w="0" w:type="dxa"/>
                    <w:bottom w:w="0" w:type="dxa"/>
                    <w:right w:w="0" w:type="dxa"/>
                  </w:tcMar>
                  <w:vAlign w:val="center"/>
                </w:tcPr>
                <w:p w14:paraId="0EADF44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17.2</w:t>
                  </w:r>
                </w:p>
              </w:tc>
              <w:tc>
                <w:tcPr>
                  <w:tcW w:w="517" w:type="dxa"/>
                  <w:shd w:val="clear" w:color="auto" w:fill="FFFFFF"/>
                  <w:noWrap w:val="0"/>
                  <w:tcMar>
                    <w:top w:w="0" w:type="dxa"/>
                    <w:left w:w="0" w:type="dxa"/>
                    <w:bottom w:w="0" w:type="dxa"/>
                    <w:right w:w="0" w:type="dxa"/>
                  </w:tcMar>
                  <w:vAlign w:val="center"/>
                </w:tcPr>
                <w:p w14:paraId="516E5C8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9.0</w:t>
                  </w:r>
                </w:p>
              </w:tc>
              <w:tc>
                <w:tcPr>
                  <w:tcW w:w="435" w:type="dxa"/>
                  <w:shd w:val="clear" w:color="auto" w:fill="FFFFFF"/>
                  <w:noWrap w:val="0"/>
                  <w:tcMar>
                    <w:top w:w="0" w:type="dxa"/>
                    <w:left w:w="0" w:type="dxa"/>
                    <w:bottom w:w="0" w:type="dxa"/>
                    <w:right w:w="0" w:type="dxa"/>
                  </w:tcMar>
                  <w:vAlign w:val="center"/>
                </w:tcPr>
                <w:p w14:paraId="1DC66BA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0.6</w:t>
                  </w:r>
                </w:p>
              </w:tc>
              <w:tc>
                <w:tcPr>
                  <w:tcW w:w="456" w:type="dxa"/>
                  <w:shd w:val="clear" w:color="auto" w:fill="FFFFFF"/>
                  <w:noWrap w:val="0"/>
                  <w:tcMar>
                    <w:top w:w="0" w:type="dxa"/>
                    <w:left w:w="0" w:type="dxa"/>
                    <w:bottom w:w="0" w:type="dxa"/>
                    <w:right w:w="0" w:type="dxa"/>
                  </w:tcMar>
                  <w:vAlign w:val="center"/>
                </w:tcPr>
                <w:p w14:paraId="12A468B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69.0</w:t>
                  </w:r>
                </w:p>
              </w:tc>
              <w:tc>
                <w:tcPr>
                  <w:tcW w:w="442" w:type="dxa"/>
                  <w:shd w:val="clear" w:color="auto" w:fill="FFFFFF"/>
                  <w:noWrap w:val="0"/>
                  <w:tcMar>
                    <w:top w:w="0" w:type="dxa"/>
                    <w:left w:w="0" w:type="dxa"/>
                    <w:bottom w:w="0" w:type="dxa"/>
                    <w:right w:w="0" w:type="dxa"/>
                  </w:tcMar>
                  <w:vAlign w:val="center"/>
                </w:tcPr>
                <w:p w14:paraId="49446C7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69.0</w:t>
                  </w:r>
                </w:p>
              </w:tc>
              <w:tc>
                <w:tcPr>
                  <w:tcW w:w="441" w:type="dxa"/>
                  <w:shd w:val="clear" w:color="auto" w:fill="FFFFFF"/>
                  <w:noWrap w:val="0"/>
                  <w:tcMar>
                    <w:top w:w="0" w:type="dxa"/>
                    <w:left w:w="0" w:type="dxa"/>
                    <w:bottom w:w="0" w:type="dxa"/>
                    <w:right w:w="0" w:type="dxa"/>
                  </w:tcMar>
                  <w:vAlign w:val="center"/>
                </w:tcPr>
                <w:p w14:paraId="493E93A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69.0</w:t>
                  </w:r>
                </w:p>
              </w:tc>
              <w:tc>
                <w:tcPr>
                  <w:tcW w:w="563" w:type="dxa"/>
                  <w:shd w:val="clear" w:color="auto" w:fill="FFFFFF"/>
                  <w:noWrap w:val="0"/>
                  <w:tcMar>
                    <w:top w:w="0" w:type="dxa"/>
                    <w:left w:w="0" w:type="dxa"/>
                    <w:bottom w:w="0" w:type="dxa"/>
                    <w:right w:w="0" w:type="dxa"/>
                  </w:tcMar>
                  <w:vAlign w:val="center"/>
                </w:tcPr>
                <w:p w14:paraId="1A6174A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71.7</w:t>
                  </w:r>
                </w:p>
              </w:tc>
              <w:tc>
                <w:tcPr>
                  <w:tcW w:w="627" w:type="dxa"/>
                  <w:vMerge w:val="continue"/>
                  <w:shd w:val="clear" w:color="auto" w:fill="FFFFFF"/>
                  <w:noWrap w:val="0"/>
                  <w:tcMar>
                    <w:top w:w="0" w:type="dxa"/>
                    <w:left w:w="0" w:type="dxa"/>
                    <w:bottom w:w="0" w:type="dxa"/>
                    <w:right w:w="0" w:type="dxa"/>
                  </w:tcMar>
                  <w:vAlign w:val="center"/>
                </w:tcPr>
                <w:p w14:paraId="7737FF5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p>
              </w:tc>
              <w:tc>
                <w:tcPr>
                  <w:tcW w:w="427" w:type="dxa"/>
                  <w:shd w:val="clear" w:color="auto" w:fill="FFFFFF"/>
                  <w:noWrap w:val="0"/>
                  <w:tcMar>
                    <w:top w:w="0" w:type="dxa"/>
                    <w:left w:w="0" w:type="dxa"/>
                    <w:bottom w:w="0" w:type="dxa"/>
                    <w:right w:w="0" w:type="dxa"/>
                  </w:tcMar>
                  <w:vAlign w:val="center"/>
                </w:tcPr>
                <w:p w14:paraId="18FA70A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509A379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42" w:type="dxa"/>
                  <w:shd w:val="clear" w:color="auto" w:fill="FFFFFF"/>
                  <w:noWrap w:val="0"/>
                  <w:tcMar>
                    <w:top w:w="0" w:type="dxa"/>
                    <w:left w:w="0" w:type="dxa"/>
                    <w:bottom w:w="0" w:type="dxa"/>
                    <w:right w:w="0" w:type="dxa"/>
                  </w:tcMar>
                  <w:vAlign w:val="center"/>
                </w:tcPr>
                <w:p w14:paraId="3F90652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427" w:type="dxa"/>
                  <w:shd w:val="clear" w:color="auto" w:fill="FFFFFF"/>
                  <w:noWrap w:val="0"/>
                  <w:tcMar>
                    <w:top w:w="0" w:type="dxa"/>
                    <w:left w:w="0" w:type="dxa"/>
                    <w:bottom w:w="0" w:type="dxa"/>
                    <w:right w:w="0" w:type="dxa"/>
                  </w:tcMar>
                  <w:vAlign w:val="center"/>
                </w:tcPr>
                <w:p w14:paraId="47AF3BE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18.0</w:t>
                  </w:r>
                </w:p>
              </w:tc>
              <w:tc>
                <w:tcPr>
                  <w:tcW w:w="378" w:type="dxa"/>
                  <w:shd w:val="clear" w:color="auto" w:fill="FFFFFF"/>
                  <w:noWrap w:val="0"/>
                  <w:tcMar>
                    <w:top w:w="0" w:type="dxa"/>
                    <w:left w:w="0" w:type="dxa"/>
                    <w:bottom w:w="0" w:type="dxa"/>
                    <w:right w:w="0" w:type="dxa"/>
                  </w:tcMar>
                  <w:vAlign w:val="center"/>
                </w:tcPr>
                <w:p w14:paraId="03903B3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51.0</w:t>
                  </w:r>
                </w:p>
              </w:tc>
              <w:tc>
                <w:tcPr>
                  <w:tcW w:w="378" w:type="dxa"/>
                  <w:shd w:val="clear" w:color="auto" w:fill="FFFFFF"/>
                  <w:noWrap w:val="0"/>
                  <w:tcMar>
                    <w:top w:w="0" w:type="dxa"/>
                    <w:left w:w="0" w:type="dxa"/>
                    <w:bottom w:w="0" w:type="dxa"/>
                    <w:right w:w="0" w:type="dxa"/>
                  </w:tcMar>
                  <w:vAlign w:val="center"/>
                </w:tcPr>
                <w:p w14:paraId="4573569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51.0</w:t>
                  </w:r>
                </w:p>
              </w:tc>
              <w:tc>
                <w:tcPr>
                  <w:tcW w:w="396" w:type="dxa"/>
                  <w:shd w:val="clear" w:color="auto" w:fill="FFFFFF"/>
                  <w:noWrap w:val="0"/>
                  <w:tcMar>
                    <w:top w:w="0" w:type="dxa"/>
                    <w:left w:w="0" w:type="dxa"/>
                    <w:bottom w:w="0" w:type="dxa"/>
                    <w:right w:w="0" w:type="dxa"/>
                  </w:tcMar>
                  <w:vAlign w:val="center"/>
                </w:tcPr>
                <w:p w14:paraId="452C0D6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51.0</w:t>
                  </w:r>
                </w:p>
              </w:tc>
              <w:tc>
                <w:tcPr>
                  <w:tcW w:w="381" w:type="dxa"/>
                  <w:shd w:val="clear" w:color="auto" w:fill="FFFFFF"/>
                  <w:noWrap w:val="0"/>
                  <w:tcMar>
                    <w:top w:w="0" w:type="dxa"/>
                    <w:left w:w="0" w:type="dxa"/>
                    <w:bottom w:w="0" w:type="dxa"/>
                    <w:right w:w="0" w:type="dxa"/>
                  </w:tcMar>
                  <w:vAlign w:val="center"/>
                </w:tcPr>
                <w:p w14:paraId="063CAC8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53.7</w:t>
                  </w:r>
                </w:p>
              </w:tc>
              <w:tc>
                <w:tcPr>
                  <w:tcW w:w="579" w:type="dxa"/>
                  <w:shd w:val="clear" w:color="auto" w:fill="FFFFFF"/>
                  <w:noWrap w:val="0"/>
                  <w:tcMar>
                    <w:top w:w="0" w:type="dxa"/>
                    <w:left w:w="0" w:type="dxa"/>
                    <w:bottom w:w="0" w:type="dxa"/>
                    <w:right w:w="0" w:type="dxa"/>
                  </w:tcMar>
                  <w:vAlign w:val="center"/>
                </w:tcPr>
                <w:p w14:paraId="0E7CEE7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bookmarkEnd w:id="3"/>
          </w:tbl>
          <w:p w14:paraId="6C783392">
            <w:pPr>
              <w:keepNext w:val="0"/>
              <w:keepLines w:val="0"/>
              <w:suppressLineNumbers w:val="0"/>
              <w:spacing w:beforeAutospacing="0" w:afterAutospacing="0"/>
              <w:ind w:firstLine="420" w:firstLineChars="200"/>
              <w:jc w:val="both"/>
              <w:rPr>
                <w:rFonts w:hint="default" w:ascii="Times New Roman" w:hAnsi="Times New Roman" w:cs="Times New Roman"/>
                <w:color w:val="auto"/>
                <w:sz w:val="21"/>
                <w:szCs w:val="21"/>
                <w:lang w:val="en-US"/>
              </w:rPr>
            </w:pPr>
            <w:r>
              <w:rPr>
                <w:rFonts w:hint="default" w:ascii="Times New Roman" w:hAnsi="Times New Roman" w:eastAsia="宋体" w:cs="Times New Roman"/>
                <w:b w:val="0"/>
                <w:bCs/>
                <w:color w:val="auto"/>
                <w:sz w:val="21"/>
                <w:szCs w:val="21"/>
                <w:lang w:val="en-US" w:eastAsia="zh-CN"/>
              </w:rPr>
              <w:t>表中坐标以厂界中心（</w:t>
            </w:r>
            <w:bookmarkStart w:id="5" w:name="PO_7"/>
            <w:r>
              <w:rPr>
                <w:rFonts w:hint="default" w:ascii="Times New Roman" w:hAnsi="Times New Roman" w:eastAsia="宋体" w:cs="Times New Roman"/>
                <w:b w:val="0"/>
                <w:bCs/>
                <w:color w:val="auto"/>
                <w:sz w:val="21"/>
                <w:szCs w:val="21"/>
                <w:lang w:val="en-US" w:eastAsia="zh-CN"/>
              </w:rPr>
              <w:t>114.</w:t>
            </w:r>
            <w:bookmarkEnd w:id="5"/>
            <w:r>
              <w:rPr>
                <w:rFonts w:hint="default" w:ascii="Times New Roman" w:hAnsi="Times New Roman" w:eastAsia="宋体" w:cs="Times New Roman"/>
                <w:b w:val="0"/>
                <w:bCs/>
                <w:color w:val="auto"/>
                <w:sz w:val="21"/>
                <w:szCs w:val="21"/>
                <w:lang w:val="en-US" w:eastAsia="zh-CN"/>
              </w:rPr>
              <w:t>754928,36.144462）为坐标原点，正东向为X轴正方向，正北向为Y轴正方向</w:t>
            </w:r>
            <w:r>
              <w:rPr>
                <w:rFonts w:hint="eastAsia" w:ascii="Times New Roman" w:hAnsi="Times New Roman" w:eastAsia="宋体" w:cs="Times New Roman"/>
                <w:b w:val="0"/>
                <w:bCs/>
                <w:color w:val="auto"/>
                <w:sz w:val="21"/>
                <w:szCs w:val="21"/>
                <w:lang w:val="en-US" w:eastAsia="zh-CN"/>
              </w:rPr>
              <w:t>。</w:t>
            </w:r>
          </w:p>
          <w:p w14:paraId="543E1C43">
            <w:pPr>
              <w:pStyle w:val="28"/>
              <w:autoSpaceDE/>
              <w:autoSpaceDN/>
              <w:spacing w:line="400" w:lineRule="exact"/>
              <w:ind w:left="110" w:leftChars="50" w:firstLine="422"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拟采取的噪声污染防治措施：</w:t>
            </w:r>
          </w:p>
          <w:p w14:paraId="522192AF">
            <w:pPr>
              <w:pStyle w:val="28"/>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（1）合理布局：在满足工艺和安全生产前提下，尽量将噪声设备集中安排，增大主要噪声源与厂界的距离，并保持厂房密闭，以减小对厂界的影响；</w:t>
            </w:r>
          </w:p>
          <w:p w14:paraId="07444C0C">
            <w:pPr>
              <w:pStyle w:val="28"/>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（2）选用低噪声设备：充分选用先进的低噪声设备，从声源上降低设备本身噪声；</w:t>
            </w:r>
          </w:p>
          <w:p w14:paraId="746052BF">
            <w:pPr>
              <w:pStyle w:val="28"/>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（3）加强设备的维护：确保设备处于良好的运转状态，杜绝因设备不正常运转时产生的高噪声现象；</w:t>
            </w:r>
          </w:p>
          <w:p w14:paraId="6C75BB17">
            <w:pPr>
              <w:pStyle w:val="28"/>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（4）对生产设备经常保持润滑，合理布置强噪声源，设置基础减震，安装消声器等。</w:t>
            </w:r>
          </w:p>
          <w:p w14:paraId="1EFE259C">
            <w:pPr>
              <w:autoSpaceDE/>
              <w:autoSpaceDN/>
              <w:spacing w:line="400" w:lineRule="exact"/>
              <w:ind w:left="110" w:leftChars="50" w:right="110" w:rightChars="50" w:firstLine="422" w:firstLineChars="200"/>
              <w:jc w:val="both"/>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2、声环境影响评价</w:t>
            </w:r>
          </w:p>
          <w:p w14:paraId="424B232F">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（1）预测内容</w:t>
            </w:r>
          </w:p>
          <w:p w14:paraId="0B43FADC">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依据《环境影响的评价技术导则声环境》（</w:t>
            </w:r>
            <w:r>
              <w:rPr>
                <w:rFonts w:hint="eastAsia" w:ascii="Times New Roman" w:hAnsi="Times New Roman" w:cs="Times New Roman"/>
                <w:color w:val="auto"/>
                <w:sz w:val="21"/>
                <w:szCs w:val="21"/>
              </w:rPr>
              <w:t>HJ 2.4—2021</w:t>
            </w:r>
            <w:r>
              <w:rPr>
                <w:rFonts w:ascii="Times New Roman" w:hAnsi="Times New Roman" w:cs="Times New Roman"/>
                <w:color w:val="auto"/>
                <w:sz w:val="21"/>
                <w:szCs w:val="21"/>
              </w:rPr>
              <w:t>）中推荐的预测模式分别计算各声源对厂界的贡献值。</w:t>
            </w:r>
          </w:p>
          <w:p w14:paraId="1BB7D9B3">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（2）预测模式</w:t>
            </w:r>
          </w:p>
          <w:p w14:paraId="7BBE2EDD">
            <w:pPr>
              <w:pStyle w:val="2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Times New Roman" w:hAnsi="Times New Roman" w:cs="Courier New"/>
                <w:color w:val="auto"/>
                <w:kern w:val="0"/>
                <w:sz w:val="21"/>
                <w:szCs w:val="21"/>
              </w:rPr>
            </w:pPr>
            <w:r>
              <w:rPr>
                <w:rFonts w:hint="eastAsia" w:ascii="Times New Roman" w:hAnsi="Times New Roman" w:cs="Courier New"/>
                <w:color w:val="auto"/>
                <w:kern w:val="2"/>
                <w:sz w:val="21"/>
                <w:szCs w:val="21"/>
                <w:lang w:bidi="ar"/>
              </w:rPr>
              <w:t>声源位于室内，室内声源可采用等效室外声源声功率级法进行计算。设靠近开口处（或窗户）室内、室外某倍频带的声压级或</w:t>
            </w:r>
            <w:r>
              <w:rPr>
                <w:rFonts w:ascii="Times New Roman" w:hAnsi="Times New Roman" w:cs="Courier New"/>
                <w:color w:val="auto"/>
                <w:kern w:val="2"/>
                <w:sz w:val="21"/>
                <w:szCs w:val="21"/>
                <w:lang w:bidi="ar"/>
              </w:rPr>
              <w:t>A</w:t>
            </w:r>
            <w:r>
              <w:rPr>
                <w:rFonts w:hint="eastAsia" w:ascii="Times New Roman" w:hAnsi="Times New Roman" w:cs="Courier New"/>
                <w:color w:val="auto"/>
                <w:kern w:val="2"/>
                <w:sz w:val="21"/>
                <w:szCs w:val="21"/>
                <w:lang w:bidi="ar"/>
              </w:rPr>
              <w:t>声级分别为</w:t>
            </w:r>
            <w:r>
              <w:rPr>
                <w:rFonts w:ascii="Times New Roman" w:hAnsi="Times New Roman" w:cs="Courier New"/>
                <w:color w:val="auto"/>
                <w:kern w:val="2"/>
                <w:sz w:val="21"/>
                <w:szCs w:val="21"/>
                <w:lang w:bidi="ar"/>
              </w:rPr>
              <w:t>L</w:t>
            </w:r>
            <w:r>
              <w:rPr>
                <w:rFonts w:ascii="Times New Roman" w:hAnsi="Times New Roman" w:cs="Courier New"/>
                <w:color w:val="auto"/>
                <w:kern w:val="2"/>
                <w:sz w:val="21"/>
                <w:szCs w:val="21"/>
                <w:vertAlign w:val="subscript"/>
                <w:lang w:bidi="ar"/>
              </w:rPr>
              <w:t>p1</w:t>
            </w:r>
            <w:r>
              <w:rPr>
                <w:rFonts w:hint="eastAsia" w:ascii="Times New Roman" w:hAnsi="Times New Roman" w:cs="Courier New"/>
                <w:color w:val="auto"/>
                <w:kern w:val="2"/>
                <w:sz w:val="21"/>
                <w:szCs w:val="21"/>
                <w:lang w:bidi="ar"/>
              </w:rPr>
              <w:t>和</w:t>
            </w:r>
            <w:r>
              <w:rPr>
                <w:rFonts w:ascii="Times New Roman" w:hAnsi="Times New Roman" w:cs="Courier New"/>
                <w:color w:val="auto"/>
                <w:kern w:val="2"/>
                <w:sz w:val="21"/>
                <w:szCs w:val="21"/>
                <w:lang w:bidi="ar"/>
              </w:rPr>
              <w:t>L</w:t>
            </w:r>
            <w:r>
              <w:rPr>
                <w:rFonts w:ascii="Times New Roman" w:hAnsi="Times New Roman" w:cs="Courier New"/>
                <w:color w:val="auto"/>
                <w:kern w:val="2"/>
                <w:sz w:val="21"/>
                <w:szCs w:val="21"/>
                <w:vertAlign w:val="subscript"/>
                <w:lang w:bidi="ar"/>
              </w:rPr>
              <w:t>p2</w:t>
            </w:r>
            <w:r>
              <w:rPr>
                <w:rFonts w:hint="eastAsia" w:ascii="Times New Roman" w:hAnsi="Times New Roman" w:cs="Courier New"/>
                <w:color w:val="auto"/>
                <w:kern w:val="2"/>
                <w:sz w:val="21"/>
                <w:szCs w:val="21"/>
                <w:lang w:bidi="ar"/>
              </w:rPr>
              <w:t>。若声源所在室内声场为近似扩散声场，则室外的倍频带声压级可按下式近似求出：</w:t>
            </w:r>
          </w:p>
          <w:p w14:paraId="129A1599">
            <w:pPr>
              <w:autoSpaceDE/>
              <w:autoSpaceDN/>
              <w:adjustRightInd w:val="0"/>
              <w:snapToGrid w:val="0"/>
              <w:spacing w:line="360" w:lineRule="auto"/>
              <w:ind w:firstLine="420" w:firstLineChars="200"/>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p2</w:t>
            </w: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p1</w:t>
            </w:r>
            <w:r>
              <w:rPr>
                <w:rFonts w:ascii="Times New Roman" w:hAnsi="Times New Roman" w:cs="Times New Roman"/>
                <w:color w:val="auto"/>
                <w:kern w:val="2"/>
                <w:sz w:val="21"/>
                <w:szCs w:val="21"/>
                <w:lang w:val="en-US" w:bidi="ar"/>
              </w:rPr>
              <w:t>-</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TL+6</w:t>
            </w:r>
            <w:r>
              <w:rPr>
                <w:rFonts w:hint="eastAsia" w:ascii="Times New Roman" w:hAnsi="Times New Roman" w:cs="Times New Roman"/>
                <w:color w:val="auto"/>
                <w:kern w:val="2"/>
                <w:sz w:val="21"/>
                <w:szCs w:val="21"/>
                <w:lang w:val="en-US" w:eastAsia="zh-CN" w:bidi="ar"/>
              </w:rPr>
              <w:t>）</w:t>
            </w:r>
          </w:p>
          <w:p w14:paraId="6ED909A2">
            <w:pPr>
              <w:autoSpaceDE/>
              <w:autoSpaceDN/>
              <w:adjustRightInd w:val="0"/>
              <w:snapToGrid w:val="0"/>
              <w:spacing w:line="360" w:lineRule="auto"/>
              <w:ind w:firstLine="420" w:firstLineChars="200"/>
              <w:jc w:val="both"/>
              <w:rPr>
                <w:rFonts w:hint="eastAsia" w:ascii="Times New Roman" w:hAnsi="Times New Roman" w:cs="宋体"/>
                <w:color w:val="auto"/>
                <w:kern w:val="2"/>
                <w:sz w:val="21"/>
                <w:szCs w:val="21"/>
                <w:lang w:val="en-US" w:bidi="ar"/>
              </w:rPr>
            </w:pPr>
            <w:r>
              <w:rPr>
                <w:rFonts w:hint="eastAsia" w:ascii="Times New Roman" w:hAnsi="Times New Roman" w:cs="宋体"/>
                <w:color w:val="auto"/>
                <w:kern w:val="2"/>
                <w:sz w:val="21"/>
                <w:szCs w:val="21"/>
                <w:lang w:val="en-US" w:bidi="ar"/>
              </w:rPr>
              <w:t>式中：</w:t>
            </w:r>
          </w:p>
          <w:p w14:paraId="4BDFE01E">
            <w:pPr>
              <w:autoSpaceDE/>
              <w:autoSpaceDN/>
              <w:adjustRightInd w:val="0"/>
              <w:snapToGrid w:val="0"/>
              <w:spacing w:line="360" w:lineRule="auto"/>
              <w:ind w:firstLine="420" w:firstLineChars="200"/>
              <w:jc w:val="both"/>
              <w:rPr>
                <w:rFonts w:hint="eastAsia" w:ascii="Times New Roman" w:hAnsi="Times New Roman" w:cs="宋体"/>
                <w:color w:val="auto"/>
                <w:kern w:val="2"/>
                <w:sz w:val="21"/>
                <w:szCs w:val="21"/>
                <w:lang w:val="en-US" w:bidi="ar"/>
              </w:rPr>
            </w:pP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p1</w:t>
            </w:r>
            <w:r>
              <w:rPr>
                <w:rFonts w:ascii="Times New Roman" w:hAnsi="Times New Roman" w:cs="Times New Roman"/>
                <w:color w:val="auto"/>
                <w:kern w:val="2"/>
                <w:sz w:val="21"/>
                <w:szCs w:val="21"/>
                <w:lang w:val="en-US" w:bidi="ar"/>
              </w:rPr>
              <w:t>--</w:t>
            </w:r>
            <w:r>
              <w:rPr>
                <w:rFonts w:hint="eastAsia" w:ascii="Times New Roman" w:hAnsi="Times New Roman" w:cs="宋体"/>
                <w:color w:val="auto"/>
                <w:kern w:val="2"/>
                <w:sz w:val="21"/>
                <w:szCs w:val="21"/>
                <w:lang w:val="en-US" w:bidi="ar"/>
              </w:rPr>
              <w:t>靠近开口处（或窗户）室内某倍频带的声压级或</w:t>
            </w:r>
            <w:r>
              <w:rPr>
                <w:rFonts w:ascii="Times New Roman" w:hAnsi="Times New Roman" w:cs="Times New Roman"/>
                <w:color w:val="auto"/>
                <w:kern w:val="2"/>
                <w:sz w:val="21"/>
                <w:szCs w:val="21"/>
                <w:lang w:val="en-US" w:bidi="ar"/>
              </w:rPr>
              <w:t>A</w:t>
            </w:r>
            <w:r>
              <w:rPr>
                <w:rFonts w:hint="eastAsia" w:ascii="Times New Roman" w:hAnsi="Times New Roman" w:cs="宋体"/>
                <w:color w:val="auto"/>
                <w:kern w:val="2"/>
                <w:sz w:val="21"/>
                <w:szCs w:val="21"/>
                <w:lang w:val="en-US" w:bidi="ar"/>
              </w:rPr>
              <w:t>声级，</w:t>
            </w:r>
            <w:r>
              <w:rPr>
                <w:rFonts w:ascii="Times New Roman" w:hAnsi="Times New Roman" w:cs="Times New Roman"/>
                <w:color w:val="auto"/>
                <w:kern w:val="2"/>
                <w:sz w:val="21"/>
                <w:szCs w:val="21"/>
                <w:lang w:val="en-US" w:bidi="ar"/>
              </w:rPr>
              <w:t>dB</w:t>
            </w:r>
            <w:r>
              <w:rPr>
                <w:rFonts w:hint="eastAsia" w:ascii="Times New Roman" w:hAnsi="Times New Roman" w:cs="宋体"/>
                <w:color w:val="auto"/>
                <w:kern w:val="2"/>
                <w:sz w:val="21"/>
                <w:szCs w:val="21"/>
                <w:lang w:val="en-US" w:bidi="ar"/>
              </w:rPr>
              <w:t>；</w:t>
            </w:r>
          </w:p>
          <w:p w14:paraId="434D8A48">
            <w:pPr>
              <w:autoSpaceDE/>
              <w:autoSpaceDN/>
              <w:adjustRightInd w:val="0"/>
              <w:snapToGrid w:val="0"/>
              <w:spacing w:line="360" w:lineRule="auto"/>
              <w:ind w:firstLine="420" w:firstLineChars="200"/>
              <w:jc w:val="both"/>
              <w:rPr>
                <w:rFonts w:hint="eastAsia" w:ascii="Times New Roman" w:hAnsi="Times New Roman" w:cs="宋体"/>
                <w:color w:val="auto"/>
                <w:kern w:val="2"/>
                <w:sz w:val="21"/>
                <w:szCs w:val="21"/>
                <w:lang w:val="en-US" w:bidi="ar"/>
              </w:rPr>
            </w:pP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p2</w:t>
            </w:r>
            <w:r>
              <w:rPr>
                <w:rFonts w:ascii="Times New Roman" w:hAnsi="Times New Roman" w:cs="Times New Roman"/>
                <w:color w:val="auto"/>
                <w:kern w:val="2"/>
                <w:sz w:val="21"/>
                <w:szCs w:val="21"/>
                <w:lang w:val="en-US" w:bidi="ar"/>
              </w:rPr>
              <w:t>--</w:t>
            </w:r>
            <w:r>
              <w:rPr>
                <w:rFonts w:hint="eastAsia" w:ascii="Times New Roman" w:hAnsi="Times New Roman" w:cs="宋体"/>
                <w:color w:val="auto"/>
                <w:kern w:val="2"/>
                <w:sz w:val="21"/>
                <w:szCs w:val="21"/>
                <w:lang w:val="en-US" w:bidi="ar"/>
              </w:rPr>
              <w:t>靠近开口处（或窗户）室外某倍频带的声压级或</w:t>
            </w:r>
            <w:r>
              <w:rPr>
                <w:rFonts w:ascii="Times New Roman" w:hAnsi="Times New Roman" w:cs="Times New Roman"/>
                <w:color w:val="auto"/>
                <w:kern w:val="2"/>
                <w:sz w:val="21"/>
                <w:szCs w:val="21"/>
                <w:lang w:val="en-US" w:bidi="ar"/>
              </w:rPr>
              <w:t>A</w:t>
            </w:r>
            <w:r>
              <w:rPr>
                <w:rFonts w:hint="eastAsia" w:ascii="Times New Roman" w:hAnsi="Times New Roman" w:cs="宋体"/>
                <w:color w:val="auto"/>
                <w:kern w:val="2"/>
                <w:sz w:val="21"/>
                <w:szCs w:val="21"/>
                <w:lang w:val="en-US" w:bidi="ar"/>
              </w:rPr>
              <w:t>声级，</w:t>
            </w:r>
            <w:r>
              <w:rPr>
                <w:rFonts w:ascii="Times New Roman" w:hAnsi="Times New Roman" w:cs="Times New Roman"/>
                <w:color w:val="auto"/>
                <w:kern w:val="2"/>
                <w:sz w:val="21"/>
                <w:szCs w:val="21"/>
                <w:lang w:val="en-US" w:bidi="ar"/>
              </w:rPr>
              <w:t>dB</w:t>
            </w:r>
            <w:r>
              <w:rPr>
                <w:rFonts w:hint="eastAsia" w:ascii="Times New Roman" w:hAnsi="Times New Roman" w:cs="宋体"/>
                <w:color w:val="auto"/>
                <w:kern w:val="2"/>
                <w:sz w:val="21"/>
                <w:szCs w:val="21"/>
                <w:lang w:val="en-US" w:bidi="ar"/>
              </w:rPr>
              <w:t>；</w:t>
            </w:r>
          </w:p>
          <w:p w14:paraId="078F5FCF">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TL--</w:t>
            </w:r>
            <w:r>
              <w:rPr>
                <w:rFonts w:hint="eastAsia" w:ascii="Times New Roman" w:hAnsi="Times New Roman" w:cs="宋体"/>
                <w:color w:val="auto"/>
                <w:kern w:val="2"/>
                <w:sz w:val="21"/>
                <w:szCs w:val="21"/>
                <w:lang w:val="en-US" w:bidi="ar"/>
              </w:rPr>
              <w:t>隔墙（或窗户）倍频带或</w:t>
            </w:r>
            <w:r>
              <w:rPr>
                <w:rFonts w:ascii="Times New Roman" w:hAnsi="Times New Roman" w:cs="Times New Roman"/>
                <w:color w:val="auto"/>
                <w:kern w:val="2"/>
                <w:sz w:val="21"/>
                <w:szCs w:val="21"/>
                <w:lang w:val="en-US" w:bidi="ar"/>
              </w:rPr>
              <w:t>A</w:t>
            </w:r>
            <w:r>
              <w:rPr>
                <w:rFonts w:hint="eastAsia" w:ascii="Times New Roman" w:hAnsi="Times New Roman" w:cs="宋体"/>
                <w:color w:val="auto"/>
                <w:kern w:val="2"/>
                <w:sz w:val="21"/>
                <w:szCs w:val="21"/>
                <w:lang w:val="en-US" w:bidi="ar"/>
              </w:rPr>
              <w:t>声级的隔声量，</w:t>
            </w:r>
            <w:r>
              <w:rPr>
                <w:rFonts w:ascii="Times New Roman" w:hAnsi="Times New Roman" w:cs="Times New Roman"/>
                <w:color w:val="auto"/>
                <w:kern w:val="2"/>
                <w:sz w:val="21"/>
                <w:szCs w:val="21"/>
                <w:lang w:val="en-US" w:bidi="ar"/>
              </w:rPr>
              <w:t>dB</w:t>
            </w:r>
            <w:r>
              <w:rPr>
                <w:rFonts w:hint="eastAsia" w:ascii="Times New Roman" w:hAnsi="Times New Roman" w:cs="宋体"/>
                <w:color w:val="auto"/>
                <w:kern w:val="2"/>
                <w:sz w:val="21"/>
                <w:szCs w:val="21"/>
                <w:lang w:val="en-US" w:bidi="ar"/>
              </w:rPr>
              <w:t>。</w:t>
            </w:r>
          </w:p>
          <w:p w14:paraId="51847F91">
            <w:pPr>
              <w:widowControl w:val="0"/>
              <w:adjustRightInd w:val="0"/>
              <w:snapToGrid w:val="0"/>
              <w:spacing w:before="0" w:beforeAutospacing="0" w:after="0" w:afterAutospacing="0" w:line="360" w:lineRule="auto"/>
              <w:ind w:firstLine="420" w:firstLineChars="200"/>
              <w:jc w:val="both"/>
              <w:rPr>
                <w:rFonts w:hint="default" w:ascii="Times New Roman" w:hAnsi="Times New Roman" w:cs="Times New Roman"/>
                <w:color w:val="auto"/>
                <w:vertAlign w:val="baseline"/>
              </w:rPr>
            </w:pPr>
            <w:r>
              <w:rPr>
                <w:rFonts w:hint="eastAsia" w:ascii="Times New Roman" w:hAnsi="Times New Roman" w:eastAsia="宋体" w:cs="Courier New"/>
                <w:color w:val="auto"/>
                <w:kern w:val="2"/>
                <w:sz w:val="21"/>
                <w:szCs w:val="21"/>
                <w:lang w:val="en-US" w:eastAsia="zh-CN" w:bidi="ar"/>
              </w:rPr>
              <w:t>也可按下式计算某一室内声源靠近围护结构处产生的倍频带声压级或</w:t>
            </w:r>
            <w:r>
              <w:rPr>
                <w:rFonts w:ascii="Times New Roman" w:hAnsi="Times New Roman" w:eastAsia="宋体" w:cs="Courier New"/>
                <w:color w:val="auto"/>
                <w:kern w:val="2"/>
                <w:sz w:val="21"/>
                <w:szCs w:val="21"/>
                <w:lang w:val="en-US" w:eastAsia="zh-CN" w:bidi="ar"/>
              </w:rPr>
              <w:t>A</w:t>
            </w:r>
            <w:r>
              <w:rPr>
                <w:rFonts w:hint="eastAsia" w:ascii="Times New Roman" w:hAnsi="Times New Roman" w:eastAsia="宋体" w:cs="Courier New"/>
                <w:color w:val="auto"/>
                <w:kern w:val="2"/>
                <w:sz w:val="21"/>
                <w:szCs w:val="21"/>
                <w:lang w:val="en-US" w:eastAsia="zh-CN" w:bidi="ar"/>
              </w:rPr>
              <w:t>声级：</w:t>
            </w:r>
          </w:p>
        </w:tc>
      </w:tr>
    </w:tbl>
    <w:p w14:paraId="79C254E1">
      <w:pPr>
        <w:pStyle w:val="8"/>
        <w:rPr>
          <w:rFonts w:hint="default"/>
          <w:color w:val="auto"/>
        </w:rPr>
        <w:sectPr>
          <w:pgSz w:w="16850" w:h="11910" w:orient="landscape"/>
          <w:pgMar w:top="1340" w:right="1600" w:bottom="1320" w:left="1565" w:header="0" w:footer="817" w:gutter="0"/>
          <w:pgBorders>
            <w:top w:val="none" w:sz="0" w:space="0"/>
            <w:left w:val="none" w:sz="0" w:space="0"/>
            <w:bottom w:val="none" w:sz="0" w:space="0"/>
            <w:right w:val="none" w:sz="0" w:space="0"/>
          </w:pgBorders>
          <w:pgNumType w:fmt="decimal"/>
          <w:cols w:space="720" w:num="1"/>
        </w:sectPr>
      </w:pPr>
    </w:p>
    <w:tbl>
      <w:tblPr>
        <w:tblStyle w:val="34"/>
        <w:tblW w:w="55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8"/>
        <w:gridCol w:w="9965"/>
      </w:tblGrid>
      <w:tr w14:paraId="788F6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596" w:hRule="atLeast"/>
          <w:jc w:val="center"/>
        </w:trPr>
        <w:tc>
          <w:tcPr>
            <w:tcW w:w="415" w:type="dxa"/>
            <w:noWrap w:val="0"/>
            <w:tcMar>
              <w:left w:w="28" w:type="dxa"/>
              <w:right w:w="28" w:type="dxa"/>
            </w:tcMar>
            <w:vAlign w:val="center"/>
          </w:tcPr>
          <w:p w14:paraId="3607FA53">
            <w:pPr>
              <w:adjustRightInd w:val="0"/>
              <w:snapToGrid w:val="0"/>
              <w:jc w:val="center"/>
              <w:rPr>
                <w:rFonts w:hint="default" w:ascii="Times New Roman" w:hAnsi="Times New Roman" w:cs="Times New Roman"/>
                <w:b/>
                <w:bCs/>
                <w:color w:val="auto"/>
                <w:sz w:val="24"/>
              </w:rPr>
            </w:pPr>
          </w:p>
        </w:tc>
        <w:tc>
          <w:tcPr>
            <w:tcW w:w="9452" w:type="dxa"/>
            <w:noWrap w:val="0"/>
            <w:vAlign w:val="center"/>
          </w:tcPr>
          <w:p w14:paraId="70280195">
            <w:pPr>
              <w:autoSpaceDE/>
              <w:autoSpaceDN/>
              <w:adjustRightInd w:val="0"/>
              <w:snapToGrid w:val="0"/>
              <w:spacing w:line="360" w:lineRule="auto"/>
              <w:ind w:firstLine="360" w:firstLineChars="20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18"/>
                <w:szCs w:val="21"/>
                <w:lang w:val="en-US" w:bidi="ar-SA"/>
              </w:rPr>
              <mc:AlternateContent>
                <mc:Choice Requires="wpc">
                  <w:drawing>
                    <wp:inline distT="0" distB="0" distL="114300" distR="114300">
                      <wp:extent cx="2098040" cy="527050"/>
                      <wp:effectExtent l="0" t="0" r="0" b="0"/>
                      <wp:docPr id="510" name="画布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1" name="直接连接符 481"/>
                              <wps:cNvCnPr/>
                              <wps:spPr>
                                <a:xfrm>
                                  <a:off x="1332865" y="242570"/>
                                  <a:ext cx="311785" cy="0"/>
                                </a:xfrm>
                                <a:prstGeom prst="line">
                                  <a:avLst/>
                                </a:prstGeom>
                                <a:ln w="6350" cap="flat" cmpd="sng">
                                  <a:solidFill>
                                    <a:srgbClr val="000000"/>
                                  </a:solidFill>
                                  <a:prstDash val="solid"/>
                                  <a:headEnd type="none" w="med" len="med"/>
                                  <a:tailEnd type="none" w="med" len="med"/>
                                </a:ln>
                              </wps:spPr>
                              <wps:bodyPr upright="1"/>
                            </wps:wsp>
                            <wps:wsp>
                              <wps:cNvPr id="482" name="直接连接符 482"/>
                              <wps:cNvCnPr/>
                              <wps:spPr>
                                <a:xfrm>
                                  <a:off x="1799590" y="242570"/>
                                  <a:ext cx="118110" cy="0"/>
                                </a:xfrm>
                                <a:prstGeom prst="line">
                                  <a:avLst/>
                                </a:prstGeom>
                                <a:ln w="6350" cap="flat" cmpd="sng">
                                  <a:solidFill>
                                    <a:srgbClr val="000000"/>
                                  </a:solidFill>
                                  <a:prstDash val="solid"/>
                                  <a:headEnd type="none" w="med" len="med"/>
                                  <a:tailEnd type="none" w="med" len="med"/>
                                </a:ln>
                              </wps:spPr>
                              <wps:bodyPr upright="1"/>
                            </wps:wsp>
                            <wps:wsp>
                              <wps:cNvPr id="483" name="矩形 483"/>
                              <wps:cNvSpPr/>
                              <wps:spPr>
                                <a:xfrm>
                                  <a:off x="1936750" y="189865"/>
                                  <a:ext cx="58420" cy="186690"/>
                                </a:xfrm>
                                <a:prstGeom prst="rect">
                                  <a:avLst/>
                                </a:prstGeom>
                                <a:noFill/>
                                <a:ln>
                                  <a:noFill/>
                                </a:ln>
                              </wps:spPr>
                              <wps:txbx>
                                <w:txbxContent>
                                  <w:p w14:paraId="3FAB2A05">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84" name="矩形 484"/>
                              <wps:cNvSpPr/>
                              <wps:spPr>
                                <a:xfrm>
                                  <a:off x="1936750" y="115570"/>
                                  <a:ext cx="58420" cy="186690"/>
                                </a:xfrm>
                                <a:prstGeom prst="rect">
                                  <a:avLst/>
                                </a:prstGeom>
                                <a:noFill/>
                                <a:ln>
                                  <a:noFill/>
                                </a:ln>
                              </wps:spPr>
                              <wps:txbx>
                                <w:txbxContent>
                                  <w:p w14:paraId="1270B066">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85" name="矩形 485"/>
                              <wps:cNvSpPr/>
                              <wps:spPr>
                                <a:xfrm>
                                  <a:off x="1936750" y="288290"/>
                                  <a:ext cx="58420" cy="186690"/>
                                </a:xfrm>
                                <a:prstGeom prst="rect">
                                  <a:avLst/>
                                </a:prstGeom>
                                <a:noFill/>
                                <a:ln>
                                  <a:noFill/>
                                </a:ln>
                              </wps:spPr>
                              <wps:txbx>
                                <w:txbxContent>
                                  <w:p w14:paraId="51E9D32A">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86" name="矩形 486"/>
                              <wps:cNvSpPr/>
                              <wps:spPr>
                                <a:xfrm>
                                  <a:off x="1936750" y="17780"/>
                                  <a:ext cx="58420" cy="186690"/>
                                </a:xfrm>
                                <a:prstGeom prst="rect">
                                  <a:avLst/>
                                </a:prstGeom>
                                <a:noFill/>
                                <a:ln>
                                  <a:noFill/>
                                </a:ln>
                              </wps:spPr>
                              <wps:txbx>
                                <w:txbxContent>
                                  <w:p w14:paraId="3F366B11">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87" name="矩形 487"/>
                              <wps:cNvSpPr/>
                              <wps:spPr>
                                <a:xfrm>
                                  <a:off x="1254125" y="189865"/>
                                  <a:ext cx="58420" cy="186690"/>
                                </a:xfrm>
                                <a:prstGeom prst="rect">
                                  <a:avLst/>
                                </a:prstGeom>
                                <a:noFill/>
                                <a:ln>
                                  <a:noFill/>
                                </a:ln>
                              </wps:spPr>
                              <wps:txbx>
                                <w:txbxContent>
                                  <w:p w14:paraId="51AD8CA7">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88" name="矩形 488"/>
                              <wps:cNvSpPr/>
                              <wps:spPr>
                                <a:xfrm>
                                  <a:off x="1254125" y="115570"/>
                                  <a:ext cx="58420" cy="186690"/>
                                </a:xfrm>
                                <a:prstGeom prst="rect">
                                  <a:avLst/>
                                </a:prstGeom>
                                <a:noFill/>
                                <a:ln>
                                  <a:noFill/>
                                </a:ln>
                              </wps:spPr>
                              <wps:txbx>
                                <w:txbxContent>
                                  <w:p w14:paraId="1621696E">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89" name="矩形 489"/>
                              <wps:cNvSpPr/>
                              <wps:spPr>
                                <a:xfrm>
                                  <a:off x="1254125" y="288290"/>
                                  <a:ext cx="58420" cy="186690"/>
                                </a:xfrm>
                                <a:prstGeom prst="rect">
                                  <a:avLst/>
                                </a:prstGeom>
                                <a:noFill/>
                                <a:ln>
                                  <a:noFill/>
                                </a:ln>
                              </wps:spPr>
                              <wps:txbx>
                                <w:txbxContent>
                                  <w:p w14:paraId="307A4299">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90" name="矩形 490"/>
                              <wps:cNvSpPr/>
                              <wps:spPr>
                                <a:xfrm>
                                  <a:off x="1254125" y="17780"/>
                                  <a:ext cx="58420" cy="186690"/>
                                </a:xfrm>
                                <a:prstGeom prst="rect">
                                  <a:avLst/>
                                </a:prstGeom>
                                <a:noFill/>
                                <a:ln>
                                  <a:noFill/>
                                </a:ln>
                              </wps:spPr>
                              <wps:txbx>
                                <w:txbxContent>
                                  <w:p w14:paraId="0E45CC3B">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91" name="矩形 491"/>
                              <wps:cNvSpPr/>
                              <wps:spPr>
                                <a:xfrm>
                                  <a:off x="1680210" y="126365"/>
                                  <a:ext cx="83185" cy="186690"/>
                                </a:xfrm>
                                <a:prstGeom prst="rect">
                                  <a:avLst/>
                                </a:prstGeom>
                                <a:noFill/>
                                <a:ln>
                                  <a:noFill/>
                                </a:ln>
                              </wps:spPr>
                              <wps:txbx>
                                <w:txbxContent>
                                  <w:p w14:paraId="34F48E81">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92" name="矩形 492"/>
                              <wps:cNvSpPr/>
                              <wps:spPr>
                                <a:xfrm>
                                  <a:off x="741045" y="137160"/>
                                  <a:ext cx="83185" cy="186690"/>
                                </a:xfrm>
                                <a:prstGeom prst="rect">
                                  <a:avLst/>
                                </a:prstGeom>
                                <a:noFill/>
                                <a:ln>
                                  <a:noFill/>
                                </a:ln>
                              </wps:spPr>
                              <wps:txbx>
                                <w:txbxContent>
                                  <w:p w14:paraId="6DD793C3">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93" name="矩形 493"/>
                              <wps:cNvSpPr/>
                              <wps:spPr>
                                <a:xfrm>
                                  <a:off x="346075" y="126365"/>
                                  <a:ext cx="83185" cy="186690"/>
                                </a:xfrm>
                                <a:prstGeom prst="rect">
                                  <a:avLst/>
                                </a:prstGeom>
                                <a:noFill/>
                                <a:ln>
                                  <a:noFill/>
                                </a:ln>
                              </wps:spPr>
                              <wps:txbx>
                                <w:txbxContent>
                                  <w:p w14:paraId="0B803E3F">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94" name="矩形 494"/>
                              <wps:cNvSpPr/>
                              <wps:spPr>
                                <a:xfrm>
                                  <a:off x="1814830" y="264160"/>
                                  <a:ext cx="92710" cy="175260"/>
                                </a:xfrm>
                                <a:prstGeom prst="rect">
                                  <a:avLst/>
                                </a:prstGeom>
                                <a:noFill/>
                                <a:ln>
                                  <a:noFill/>
                                </a:ln>
                              </wps:spPr>
                              <wps:txbx>
                                <w:txbxContent>
                                  <w:p w14:paraId="0E8486ED">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R</w:t>
                                    </w:r>
                                  </w:p>
                                </w:txbxContent>
                              </wps:txbx>
                              <wps:bodyPr wrap="none" lIns="0" tIns="0" rIns="0" bIns="0" upright="1">
                                <a:spAutoFit/>
                              </wps:bodyPr>
                            </wps:wsp>
                            <wps:wsp>
                              <wps:cNvPr id="495" name="矩形 495"/>
                              <wps:cNvSpPr/>
                              <wps:spPr>
                                <a:xfrm>
                                  <a:off x="1492885" y="266700"/>
                                  <a:ext cx="59055" cy="175260"/>
                                </a:xfrm>
                                <a:prstGeom prst="rect">
                                  <a:avLst/>
                                </a:prstGeom>
                                <a:noFill/>
                                <a:ln>
                                  <a:noFill/>
                                </a:ln>
                              </wps:spPr>
                              <wps:txbx>
                                <w:txbxContent>
                                  <w:p w14:paraId="4C531C1E">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r</w:t>
                                    </w:r>
                                  </w:p>
                                </w:txbxContent>
                              </wps:txbx>
                              <wps:bodyPr wrap="none" lIns="0" tIns="0" rIns="0" bIns="0" upright="1">
                                <a:spAutoFit/>
                              </wps:bodyPr>
                            </wps:wsp>
                            <wps:wsp>
                              <wps:cNvPr id="496" name="矩形 496"/>
                              <wps:cNvSpPr/>
                              <wps:spPr>
                                <a:xfrm>
                                  <a:off x="1431290" y="47625"/>
                                  <a:ext cx="109855" cy="175260"/>
                                </a:xfrm>
                                <a:prstGeom prst="rect">
                                  <a:avLst/>
                                </a:prstGeom>
                                <a:noFill/>
                                <a:ln>
                                  <a:noFill/>
                                </a:ln>
                              </wps:spPr>
                              <wps:txbx>
                                <w:txbxContent>
                                  <w:p w14:paraId="7A3E89EC">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Q</w:t>
                                    </w:r>
                                  </w:p>
                                </w:txbxContent>
                              </wps:txbx>
                              <wps:bodyPr wrap="none" lIns="0" tIns="0" rIns="0" bIns="0" upright="1">
                                <a:spAutoFit/>
                              </wps:bodyPr>
                            </wps:wsp>
                            <wps:wsp>
                              <wps:cNvPr id="497" name="矩形 497"/>
                              <wps:cNvSpPr/>
                              <wps:spPr>
                                <a:xfrm>
                                  <a:off x="474345" y="144145"/>
                                  <a:ext cx="84455" cy="175260"/>
                                </a:xfrm>
                                <a:prstGeom prst="rect">
                                  <a:avLst/>
                                </a:prstGeom>
                                <a:noFill/>
                                <a:ln>
                                  <a:noFill/>
                                </a:ln>
                              </wps:spPr>
                              <wps:txbx>
                                <w:txbxContent>
                                  <w:p w14:paraId="7473C7B1">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wps:txbx>
                              <wps:bodyPr wrap="none" lIns="0" tIns="0" rIns="0" bIns="0" upright="1">
                                <a:spAutoFit/>
                              </wps:bodyPr>
                            </wps:wsp>
                            <wps:wsp>
                              <wps:cNvPr id="501" name="矩形 501"/>
                              <wps:cNvSpPr/>
                              <wps:spPr>
                                <a:xfrm>
                                  <a:off x="27940" y="144145"/>
                                  <a:ext cx="84455" cy="175260"/>
                                </a:xfrm>
                                <a:prstGeom prst="rect">
                                  <a:avLst/>
                                </a:prstGeom>
                                <a:noFill/>
                                <a:ln>
                                  <a:noFill/>
                                </a:ln>
                              </wps:spPr>
                              <wps:txbx>
                                <w:txbxContent>
                                  <w:p w14:paraId="5EB6AA92">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wps:txbx>
                              <wps:bodyPr wrap="none" lIns="0" tIns="0" rIns="0" bIns="0" upright="1">
                                <a:spAutoFit/>
                              </wps:bodyPr>
                            </wps:wsp>
                            <wps:wsp>
                              <wps:cNvPr id="502" name="矩形 502"/>
                              <wps:cNvSpPr/>
                              <wps:spPr>
                                <a:xfrm>
                                  <a:off x="561340" y="239395"/>
                                  <a:ext cx="59055" cy="102235"/>
                                </a:xfrm>
                                <a:prstGeom prst="rect">
                                  <a:avLst/>
                                </a:prstGeom>
                                <a:noFill/>
                                <a:ln>
                                  <a:noFill/>
                                </a:ln>
                              </wps:spPr>
                              <wps:txbx>
                                <w:txbxContent>
                                  <w:p w14:paraId="00DD0464">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w</w:t>
                                    </w:r>
                                  </w:p>
                                </w:txbxContent>
                              </wps:txbx>
                              <wps:bodyPr wrap="none" lIns="0" tIns="0" rIns="0" bIns="0" upright="1">
                                <a:spAutoFit/>
                              </wps:bodyPr>
                            </wps:wsp>
                            <wps:wsp>
                              <wps:cNvPr id="503" name="矩形 503"/>
                              <wps:cNvSpPr/>
                              <wps:spPr>
                                <a:xfrm>
                                  <a:off x="111760" y="239395"/>
                                  <a:ext cx="90805" cy="153035"/>
                                </a:xfrm>
                                <a:prstGeom prst="rect">
                                  <a:avLst/>
                                </a:prstGeom>
                                <a:noFill/>
                                <a:ln>
                                  <a:noFill/>
                                </a:ln>
                              </wps:spPr>
                              <wps:txbx>
                                <w:txbxContent>
                                  <w:p w14:paraId="010E22DB">
                                    <w:pPr>
                                      <w:autoSpaceDE/>
                                      <w:autoSpaceDN/>
                                      <w:jc w:val="both"/>
                                      <w:rPr>
                                        <w:rFonts w:ascii="Times New Roman" w:hAnsi="Times New Roman" w:cs="Times New Roman"/>
                                        <w:kern w:val="2"/>
                                        <w:sz w:val="21"/>
                                        <w:szCs w:val="24"/>
                                        <w:vertAlign w:val="subscript"/>
                                        <w:lang w:val="en-US" w:bidi="ar-SA"/>
                                      </w:rPr>
                                    </w:pPr>
                                    <w:r>
                                      <w:rPr>
                                        <w:rFonts w:ascii="Times New Roman" w:hAnsi="Times New Roman" w:cs="Times New Roman"/>
                                        <w:kern w:val="2"/>
                                        <w:sz w:val="21"/>
                                        <w:szCs w:val="24"/>
                                        <w:vertAlign w:val="subscript"/>
                                        <w:lang w:val="en-US" w:bidi="ar"/>
                                      </w:rPr>
                                      <w:t>P1</w:t>
                                    </w:r>
                                  </w:p>
                                </w:txbxContent>
                              </wps:txbx>
                              <wps:bodyPr wrap="none" lIns="0" tIns="0" rIns="0" bIns="0" upright="1">
                                <a:spAutoFit/>
                              </wps:bodyPr>
                            </wps:wsp>
                            <wps:wsp>
                              <wps:cNvPr id="504" name="矩形 504"/>
                              <wps:cNvSpPr/>
                              <wps:spPr>
                                <a:xfrm>
                                  <a:off x="1823085" y="47625"/>
                                  <a:ext cx="76200" cy="175260"/>
                                </a:xfrm>
                                <a:prstGeom prst="rect">
                                  <a:avLst/>
                                </a:prstGeom>
                                <a:noFill/>
                                <a:ln>
                                  <a:noFill/>
                                </a:ln>
                              </wps:spPr>
                              <wps:txbx>
                                <w:txbxContent>
                                  <w:p w14:paraId="1285425F">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4</w:t>
                                    </w:r>
                                  </w:p>
                                </w:txbxContent>
                              </wps:txbx>
                              <wps:bodyPr wrap="none" lIns="0" tIns="0" rIns="0" bIns="0" upright="1">
                                <a:spAutoFit/>
                              </wps:bodyPr>
                            </wps:wsp>
                            <wps:wsp>
                              <wps:cNvPr id="505" name="矩形 505"/>
                              <wps:cNvSpPr/>
                              <wps:spPr>
                                <a:xfrm>
                                  <a:off x="1343025" y="266700"/>
                                  <a:ext cx="76200" cy="175260"/>
                                </a:xfrm>
                                <a:prstGeom prst="rect">
                                  <a:avLst/>
                                </a:prstGeom>
                                <a:noFill/>
                                <a:ln>
                                  <a:noFill/>
                                </a:ln>
                              </wps:spPr>
                              <wps:txbx>
                                <w:txbxContent>
                                  <w:p w14:paraId="41C2A857">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4</w:t>
                                    </w:r>
                                  </w:p>
                                </w:txbxContent>
                              </wps:txbx>
                              <wps:bodyPr wrap="none" lIns="0" tIns="0" rIns="0" bIns="0" upright="1">
                                <a:spAutoFit/>
                              </wps:bodyPr>
                            </wps:wsp>
                            <wps:wsp>
                              <wps:cNvPr id="506" name="矩形 506"/>
                              <wps:cNvSpPr/>
                              <wps:spPr>
                                <a:xfrm>
                                  <a:off x="1134745" y="144145"/>
                                  <a:ext cx="118110" cy="175260"/>
                                </a:xfrm>
                                <a:prstGeom prst="rect">
                                  <a:avLst/>
                                </a:prstGeom>
                                <a:noFill/>
                                <a:ln>
                                  <a:noFill/>
                                </a:ln>
                              </wps:spPr>
                              <wps:txbx>
                                <w:txbxContent>
                                  <w:p w14:paraId="3269D31E">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lg</w:t>
                                    </w:r>
                                  </w:p>
                                </w:txbxContent>
                              </wps:txbx>
                              <wps:bodyPr wrap="none" lIns="0" tIns="0" rIns="0" bIns="0" upright="1">
                                <a:spAutoFit/>
                              </wps:bodyPr>
                            </wps:wsp>
                            <wps:wsp>
                              <wps:cNvPr id="507" name="矩形 507"/>
                              <wps:cNvSpPr/>
                              <wps:spPr>
                                <a:xfrm>
                                  <a:off x="965835" y="144145"/>
                                  <a:ext cx="152400" cy="175260"/>
                                </a:xfrm>
                                <a:prstGeom prst="rect">
                                  <a:avLst/>
                                </a:prstGeom>
                                <a:noFill/>
                                <a:ln>
                                  <a:noFill/>
                                </a:ln>
                              </wps:spPr>
                              <wps:txbx>
                                <w:txbxContent>
                                  <w:p w14:paraId="32446191">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10</w:t>
                                    </w:r>
                                  </w:p>
                                </w:txbxContent>
                              </wps:txbx>
                              <wps:bodyPr wrap="none" lIns="0" tIns="0" rIns="0" bIns="0" upright="1">
                                <a:spAutoFit/>
                              </wps:bodyPr>
                            </wps:wsp>
                            <wps:wsp>
                              <wps:cNvPr id="508" name="矩形 508"/>
                              <wps:cNvSpPr/>
                              <wps:spPr>
                                <a:xfrm>
                                  <a:off x="1572895" y="254635"/>
                                  <a:ext cx="44450" cy="102235"/>
                                </a:xfrm>
                                <a:prstGeom prst="rect">
                                  <a:avLst/>
                                </a:prstGeom>
                                <a:noFill/>
                                <a:ln>
                                  <a:noFill/>
                                </a:ln>
                              </wps:spPr>
                              <wps:txbx>
                                <w:txbxContent>
                                  <w:p w14:paraId="5DA7A7E6">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14"/>
                                        <w:szCs w:val="14"/>
                                        <w:lang w:val="en-US" w:bidi="ar"/>
                                      </w:rPr>
                                      <w:t>2</w:t>
                                    </w:r>
                                  </w:p>
                                </w:txbxContent>
                              </wps:txbx>
                              <wps:bodyPr wrap="none" lIns="0" tIns="0" rIns="0" bIns="0" upright="1">
                                <a:spAutoFit/>
                              </wps:bodyPr>
                            </wps:wsp>
                            <wps:wsp>
                              <wps:cNvPr id="509" name="矩形 509"/>
                              <wps:cNvSpPr/>
                              <wps:spPr>
                                <a:xfrm>
                                  <a:off x="1409700" y="248920"/>
                                  <a:ext cx="83820" cy="186690"/>
                                </a:xfrm>
                                <a:prstGeom prst="rect">
                                  <a:avLst/>
                                </a:prstGeom>
                                <a:noFill/>
                                <a:ln>
                                  <a:noFill/>
                                </a:ln>
                              </wps:spPr>
                              <wps:txbx>
                                <w:txbxContent>
                                  <w:p w14:paraId="41A2A888">
                                    <w:pPr>
                                      <w:autoSpaceDE/>
                                      <w:autoSpaceDN/>
                                      <w:jc w:val="both"/>
                                      <w:rPr>
                                        <w:rFonts w:ascii="Times New Roman" w:hAnsi="Times New Roman" w:cs="Times New Roman"/>
                                        <w:kern w:val="2"/>
                                        <w:sz w:val="21"/>
                                        <w:szCs w:val="24"/>
                                        <w:lang w:val="en-US" w:bidi="ar-SA"/>
                                      </w:rPr>
                                    </w:pPr>
                                    <w:r>
                                      <w:rPr>
                                        <w:rFonts w:ascii="Symbol" w:hAnsi="Symbol" w:cs="Symbol"/>
                                        <w:i/>
                                        <w:iCs/>
                                        <w:color w:val="000000"/>
                                        <w:kern w:val="0"/>
                                        <w:sz w:val="24"/>
                                        <w:szCs w:val="24"/>
                                        <w:lang w:val="en-US" w:bidi="ar"/>
                                      </w:rPr>
                                      <w:t></w:t>
                                    </w:r>
                                  </w:p>
                                </w:txbxContent>
                              </wps:txbx>
                              <wps:bodyPr wrap="none" lIns="0" tIns="0" rIns="0" bIns="0" upright="1">
                                <a:spAutoFit/>
                              </wps:bodyPr>
                            </wps:wsp>
                          </wpc:wpc>
                        </a:graphicData>
                      </a:graphic>
                    </wp:inline>
                  </w:drawing>
                </mc:Choice>
                <mc:Fallback>
                  <w:pict>
                    <v:group id="_x0000_s1026" o:spid="_x0000_s1026" o:spt="203" style="height:41.5pt;width:165.2pt;" coordsize="2098040,527050" editas="canvas" o:gfxdata="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">
                      <o:lock v:ext="edit" aspectratio="f"/>
                      <v:shape id="_x0000_s1026" o:spid="_x0000_s1026" style="position:absolute;left:0;top:0;height:527050;width:2098040;" filled="f" stroked="f" coordsize="21600,21600" o:gfxdata="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">
                        <v:fill on="f" focussize="0,0"/>
                        <v:stroke on="f"/>
                        <v:imagedata o:title=""/>
                        <o:lock v:ext="edit" aspectratio="t"/>
                      </v:shape>
                      <v:line id="_x0000_s1026" o:spid="_x0000_s1026" o:spt="20" style="position:absolute;left:1332865;top:242570;height:0;width:311785;" filled="f" stroked="t" coordsize="21600,21600" o:gfxdata="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swsYdIAAAAEAQAADwAAAAAAAAABACAAAAAiAAAAZHJzL2Rvd25y&#10;ZXYueG1sUEsBAhQAFAAAAAgAh07iQGR4zr0EAgAA8gMAAA4AAAAAAAAAAQAgAAAAIQEAAGRycy9l&#10;Mm9Eb2MueG1sUEsFBgAAAAAGAAYAWQEAAJcFAAAAAA==&#10;">
                        <v:fill on="f" focussize="0,0"/>
                        <v:stroke weight="0.5pt" color="#000000" joinstyle="round"/>
                        <v:imagedata o:title=""/>
                        <o:lock v:ext="edit" aspectratio="f"/>
                      </v:line>
                      <v:line id="_x0000_s1026" o:spid="_x0000_s1026" o:spt="20" style="position:absolute;left:1799590;top:242570;height:0;width:118110;" filled="f" stroked="t" coordsize="21600,21600" o:gfxdata="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zCxh0gAAAAQBAAAPAAAAAAAAAAEAIAAAACIAAABkcnMvZG93bnJl&#10;di54bWxQSwECFAAUAAAACACHTuJA9btxugMCAADyAwAADgAAAAAAAAABACAAAAAhAQAAZHJzL2Uy&#10;b0RvYy54bWxQSwUGAAAAAAYABgBZAQAAlgUAAAAA&#10;">
                        <v:fill on="f" focussize="0,0"/>
                        <v:stroke weight="0.5pt" color="#000000" joinstyle="round"/>
                        <v:imagedata o:title=""/>
                        <o:lock v:ext="edit" aspectratio="f"/>
                      </v:line>
                      <v:rect id="_x0000_s1026" o:spid="_x0000_s1026" o:spt="1" style="position:absolute;left:1936750;top:189865;height:186690;width:5842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Op2Y0gAAAAQBAAAPAAAAAAAAAAEAIAAAACIAAABkcnMv&#10;ZG93bnJldi54bWxQSwECFAAUAAAACACHTuJAoHLZ0NABAACYAwAADgAAAAAAAAABACAAAAAhAQAA&#10;ZHJzL2Uyb0RvYy54bWxQSwUGAAAAAAYABgBZAQAAYwUAAAAA&#10;">
                        <v:fill on="f" focussize="0,0"/>
                        <v:stroke on="f"/>
                        <v:imagedata o:title=""/>
                        <o:lock v:ext="edit" aspectratio="f"/>
                        <v:textbox inset="0mm,0mm,0mm,0mm" style="mso-fit-shape-to-text:t;">
                          <w:txbxContent>
                            <w:p w14:paraId="3FAB2A05">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1936750;top:115570;height:186690;width:5842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k6nZjSAAAABAEAAA8AAAAAAAAAAQAgAAAAIgAAAGRycy9k&#10;b3ducmV2LnhtbFBLAQIUABQAAAAIAIdO4kBsX/2qzwEAAJgDAAAOAAAAAAAAAAEAIAAAACEBAABk&#10;cnMvZTJvRG9jLnhtbFBLBQYAAAAABgAGAFkBAABiBQAAAAA=&#10;">
                        <v:fill on="f" focussize="0,0"/>
                        <v:stroke on="f"/>
                        <v:imagedata o:title=""/>
                        <o:lock v:ext="edit" aspectratio="f"/>
                        <v:textbox inset="0mm,0mm,0mm,0mm" style="mso-fit-shape-to-text:t;">
                          <w:txbxContent>
                            <w:p w14:paraId="1270B066">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1936750;top:288290;height:186690;width:5842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Op2Y0gAAAAQBAAAPAAAAAAAAAAEAIAAAACIAAABkcnMv&#10;ZG93bnJldi54bWxQSwECFAAUAAAACACHTuJA6d38QtABAACYAwAADgAAAAAAAAABACAAAAAhAQAA&#10;ZHJzL2Uyb0RvYy54bWxQSwUGAAAAAAYABgBZAQAAYwUAAAAA&#10;">
                        <v:fill on="f" focussize="0,0"/>
                        <v:stroke on="f"/>
                        <v:imagedata o:title=""/>
                        <o:lock v:ext="edit" aspectratio="f"/>
                        <v:textbox inset="0mm,0mm,0mm,0mm" style="mso-fit-shape-to-text:t;">
                          <w:txbxContent>
                            <w:p w14:paraId="51E9D32A">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1936750;top:17780;height:186690;width:5842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qdmNIAAAAEAQAADwAAAAAAAAABACAAAAAiAAAAZHJzL2Rv&#10;d25yZXYueG1sUEsBAhQAFAAAAAgAh07iQOToMbzOAQAAlwMAAA4AAAAAAAAAAQAgAAAAIQEAAGRy&#10;cy9lMm9Eb2MueG1sUEsFBgAAAAAGAAYAWQEAAGEFAAAAAA==&#10;">
                        <v:fill on="f" focussize="0,0"/>
                        <v:stroke on="f"/>
                        <v:imagedata o:title=""/>
                        <o:lock v:ext="edit" aspectratio="f"/>
                        <v:textbox inset="0mm,0mm,0mm,0mm" style="mso-fit-shape-to-text:t;">
                          <w:txbxContent>
                            <w:p w14:paraId="3F366B11">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1254125;top:189865;height:186690;width:5842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k6nZjSAAAABAEAAA8AAAAAAAAAAQAgAAAAIgAAAGRycy9k&#10;b3ducmV2LnhtbFBLAQIUABQAAAAIAIdO4kBr7vMtzwEAAJgDAAAOAAAAAAAAAAEAIAAAACEBAABk&#10;cnMvZTJvRG9jLnhtbFBLBQYAAAAABgAGAFkBAABiBQAAAAA=&#10;">
                        <v:fill on="f" focussize="0,0"/>
                        <v:stroke on="f"/>
                        <v:imagedata o:title=""/>
                        <o:lock v:ext="edit" aspectratio="f"/>
                        <v:textbox inset="0mm,0mm,0mm,0mm" style="mso-fit-shape-to-text:t;">
                          <w:txbxContent>
                            <w:p w14:paraId="51AD8CA7">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1254125;top:115570;height:186690;width:5842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k6nZjSAAAABAEAAA8AAAAAAAAAAQAgAAAAIgAAAGRycy9k&#10;b3ducmV2LnhtbFBLAQIUABQAAAAIAIdO4kC62yRYzwEAAJgDAAAOAAAAAAAAAAEAIAAAACEBAABk&#10;cnMvZTJvRG9jLnhtbFBLBQYAAAAABgAGAFkBAABiBQAAAAA=&#10;">
                        <v:fill on="f" focussize="0,0"/>
                        <v:stroke on="f"/>
                        <v:imagedata o:title=""/>
                        <o:lock v:ext="edit" aspectratio="f"/>
                        <v:textbox inset="0mm,0mm,0mm,0mm" style="mso-fit-shape-to-text:t;">
                          <w:txbxContent>
                            <w:p w14:paraId="1621696E">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1254125;top:288290;height:186690;width:5842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k6nZjSAAAABAEAAA8AAAAAAAAAAQAgAAAAIgAAAGRycy9k&#10;b3ducmV2LnhtbFBLAQIUABQAAAAIAIdO4kA/WSWwzwEAAJgDAAAOAAAAAAAAAAEAIAAAACEBAABk&#10;cnMvZTJvRG9jLnhtbFBLBQYAAAAABgAGAFkBAABiBQAAAAA=&#10;">
                        <v:fill on="f" focussize="0,0"/>
                        <v:stroke on="f"/>
                        <v:imagedata o:title=""/>
                        <o:lock v:ext="edit" aspectratio="f"/>
                        <v:textbox inset="0mm,0mm,0mm,0mm" style="mso-fit-shape-to-text:t;">
                          <w:txbxContent>
                            <w:p w14:paraId="307A4299">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1254125;top:17780;height:186690;width:5842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5Op2Y0gAAAAQBAAAPAAAAAAAAAAEAIAAAACIAAABkcnMvZG93&#10;bnJldi54bWxQSwECFAAUAAAACACHTuJA15JYac0BAACXAwAADgAAAAAAAAABACAAAAAhAQAAZHJz&#10;L2Uyb0RvYy54bWxQSwUGAAAAAAYABgBZAQAAYAUAAAAA&#10;">
                        <v:fill on="f" focussize="0,0"/>
                        <v:stroke on="f"/>
                        <v:imagedata o:title=""/>
                        <o:lock v:ext="edit" aspectratio="f"/>
                        <v:textbox inset="0mm,0mm,0mm,0mm" style="mso-fit-shape-to-text:t;">
                          <w:txbxContent>
                            <w:p w14:paraId="0E45CC3B">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1680210;top:126365;height:186690;width:83185;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Op2Y0gAAAAQBAAAPAAAAAAAAAAEAIAAAACIAAABkcnMv&#10;ZG93bnJldi54bWxQSwECFAAUAAAACACHTuJArPwAi9ABAACYAwAADgAAAAAAAAABACAAAAAhAQAA&#10;ZHJzL2Uyb0RvYy54bWxQSwUGAAAAAAYABgBZAQAAYwUAAAAA&#10;">
                        <v:fill on="f" focussize="0,0"/>
                        <v:stroke on="f"/>
                        <v:imagedata o:title=""/>
                        <o:lock v:ext="edit" aspectratio="f"/>
                        <v:textbox inset="0mm,0mm,0mm,0mm" style="mso-fit-shape-to-text:t;">
                          <w:txbxContent>
                            <w:p w14:paraId="34F48E81">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741045;top:137160;height:186690;width:83185;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Op2Y0gAAAAQBAAAPAAAAAAAAAAEAIAAAACIAAABkcnMv&#10;ZG93bnJldi54bWxQSwECFAAUAAAACACHTuJAki7AzdABAACXAwAADgAAAAAAAAABACAAAAAhAQAA&#10;ZHJzL2Uyb0RvYy54bWxQSwUGAAAAAAYABgBZAQAAYwUAAAAA&#10;">
                        <v:fill on="f" focussize="0,0"/>
                        <v:stroke on="f"/>
                        <v:imagedata o:title=""/>
                        <o:lock v:ext="edit" aspectratio="f"/>
                        <v:textbox inset="0mm,0mm,0mm,0mm" style="mso-fit-shape-to-text:t;">
                          <w:txbxContent>
                            <w:p w14:paraId="6DD793C3">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346075;top:126365;height:186690;width:83185;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qdmNIAAAAEAQAADwAAAAAAAAABACAAAAAiAAAAZHJz&#10;L2Rvd25yZXYueG1sUEsBAhQAFAAAAAgAh07iQFK1T/fRAQAAlwMAAA4AAAAAAAAAAQAgAAAAIQEA&#10;AGRycy9lMm9Eb2MueG1sUEsFBgAAAAAGAAYAWQEAAGQFAAAAAA==&#10;">
                        <v:fill on="f" focussize="0,0"/>
                        <v:stroke on="f"/>
                        <v:imagedata o:title=""/>
                        <o:lock v:ext="edit" aspectratio="f"/>
                        <v:textbox inset="0mm,0mm,0mm,0mm" style="mso-fit-shape-to-text:t;">
                          <w:txbxContent>
                            <w:p w14:paraId="0B803E3F">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1814830;top:264160;height:175260;width:9271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Op2Y0gAAAAQBAAAPAAAAAAAAAAEAIAAAACIAAABkcnMv&#10;ZG93bnJldi54bWxQSwECFAAUAAAACACHTuJA0dx1n9ABAACYAwAADgAAAAAAAAABACAAAAAhAQAA&#10;ZHJzL2Uyb0RvYy54bWxQSwUGAAAAAAYABgBZAQAAYwUAAAAA&#10;">
                        <v:fill on="f" focussize="0,0"/>
                        <v:stroke on="f"/>
                        <v:imagedata o:title=""/>
                        <o:lock v:ext="edit" aspectratio="f"/>
                        <v:textbox inset="0mm,0mm,0mm,0mm" style="mso-fit-shape-to-text:t;">
                          <w:txbxContent>
                            <w:p w14:paraId="0E8486ED">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R</w:t>
                              </w:r>
                            </w:p>
                          </w:txbxContent>
                        </v:textbox>
                      </v:rect>
                      <v:rect id="_x0000_s1026" o:spid="_x0000_s1026" o:spt="1" style="position:absolute;left:1492885;top:266700;height:175260;width:59055;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Op2Y0gAAAAQBAAAPAAAAAAAAAAEAIAAAACIAAABkcnMv&#10;ZG93bnJldi54bWxQSwECFAAUAAAACACHTuJA7w1UjtABAACYAwAADgAAAAAAAAABACAAAAAhAQAA&#10;ZHJzL2Uyb0RvYy54bWxQSwUGAAAAAAYABgBZAQAAYwUAAAAA&#10;">
                        <v:fill on="f" focussize="0,0"/>
                        <v:stroke on="f"/>
                        <v:imagedata o:title=""/>
                        <o:lock v:ext="edit" aspectratio="f"/>
                        <v:textbox inset="0mm,0mm,0mm,0mm" style="mso-fit-shape-to-text:t;">
                          <w:txbxContent>
                            <w:p w14:paraId="4C531C1E">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r</w:t>
                              </w:r>
                            </w:p>
                          </w:txbxContent>
                        </v:textbox>
                      </v:rect>
                      <v:rect id="_x0000_s1026" o:spid="_x0000_s1026" o:spt="1" style="position:absolute;left:1431290;top:47625;height:175260;width:109855;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Op2Y0gAAAAQBAAAPAAAAAAAAAAEAIAAAACIAAABkcnMv&#10;ZG93bnJldi54bWxQSwECFAAUAAAACACHTuJA/rweQNABAACYAwAADgAAAAAAAAABACAAAAAhAQAA&#10;ZHJzL2Uyb0RvYy54bWxQSwUGAAAAAAYABgBZAQAAYwUAAAAA&#10;">
                        <v:fill on="f" focussize="0,0"/>
                        <v:stroke on="f"/>
                        <v:imagedata o:title=""/>
                        <o:lock v:ext="edit" aspectratio="f"/>
                        <v:textbox inset="0mm,0mm,0mm,0mm" style="mso-fit-shape-to-text:t;">
                          <w:txbxContent>
                            <w:p w14:paraId="7A3E89EC">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Q</w:t>
                              </w:r>
                            </w:p>
                          </w:txbxContent>
                        </v:textbox>
                      </v:rect>
                      <v:rect id="_x0000_s1026" o:spid="_x0000_s1026" o:spt="1" style="position:absolute;left:474345;top:144145;height:175260;width:84455;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k6nZjSAAAABAEAAA8AAAAAAAAAAQAgAAAAIgAAAGRycy9k&#10;b3ducmV2LnhtbFBLAQIUABQAAAAIAIdO4kCDmP34zwEAAJcDAAAOAAAAAAAAAAEAIAAAACEBAABk&#10;cnMvZTJvRG9jLnhtbFBLBQYAAAAABgAGAFkBAABiBQAAAAA=&#10;">
                        <v:fill on="f" focussize="0,0"/>
                        <v:stroke on="f"/>
                        <v:imagedata o:title=""/>
                        <o:lock v:ext="edit" aspectratio="f"/>
                        <v:textbox inset="0mm,0mm,0mm,0mm" style="mso-fit-shape-to-text:t;">
                          <w:txbxContent>
                            <w:p w14:paraId="7473C7B1">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v:textbox>
                      </v:rect>
                      <v:rect id="_x0000_s1026" o:spid="_x0000_s1026" o:spt="1" style="position:absolute;left:27940;top:144145;height:175260;width:84455;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Op2Y0gAAAAQBAAAPAAAAAAAAAAEAIAAAACIAAABkcnMv&#10;ZG93bnJldi54bWxQSwECFAAUAAAACACHTuJA1aX0JdABAACWAwAADgAAAAAAAAABACAAAAAhAQAA&#10;ZHJzL2Uyb0RvYy54bWxQSwUGAAAAAAYABgBZAQAAYwUAAAAA&#10;">
                        <v:fill on="f" focussize="0,0"/>
                        <v:stroke on="f"/>
                        <v:imagedata o:title=""/>
                        <o:lock v:ext="edit" aspectratio="f"/>
                        <v:textbox inset="0mm,0mm,0mm,0mm" style="mso-fit-shape-to-text:t;">
                          <w:txbxContent>
                            <w:p w14:paraId="5EB6AA92">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v:textbox>
                      </v:rect>
                      <v:rect id="_x0000_s1026" o:spid="_x0000_s1026" o:spt="1" style="position:absolute;left:561340;top:239395;height:102235;width:59055;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k6nZjSAAAABAEAAA8AAAAAAAAAAQAgAAAAIgAAAGRycy9k&#10;b3ducmV2LnhtbFBLAQIUABQAAAAIAIdO4kCp/RmszwEAAJcDAAAOAAAAAAAAAAEAIAAAACEBAABk&#10;cnMvZTJvRG9jLnhtbFBLBQYAAAAABgAGAFkBAABiBQAAAAA=&#10;">
                        <v:fill on="f" focussize="0,0"/>
                        <v:stroke on="f"/>
                        <v:imagedata o:title=""/>
                        <o:lock v:ext="edit" aspectratio="f"/>
                        <v:textbox inset="0mm,0mm,0mm,0mm" style="mso-fit-shape-to-text:t;">
                          <w:txbxContent>
                            <w:p w14:paraId="00DD0464">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w</w:t>
                              </w:r>
                            </w:p>
                          </w:txbxContent>
                        </v:textbox>
                      </v:rect>
                      <v:rect id="_x0000_s1026" o:spid="_x0000_s1026" o:spt="1" style="position:absolute;left:111760;top:239395;height:153035;width:90805;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qdmNIAAAAEAQAADwAAAAAAAAABACAAAAAiAAAAZHJz&#10;L2Rvd25yZXYueG1sUEsBAhQAFAAAAAgAh07iQF/b5k/RAQAAlwMAAA4AAAAAAAAAAQAgAAAAIQEA&#10;AGRycy9lMm9Eb2MueG1sUEsFBgAAAAAGAAYAWQEAAGQFAAAAAA==&#10;">
                        <v:fill on="f" focussize="0,0"/>
                        <v:stroke on="f"/>
                        <v:imagedata o:title=""/>
                        <o:lock v:ext="edit" aspectratio="f"/>
                        <v:textbox inset="0mm,0mm,0mm,0mm" style="mso-fit-shape-to-text:t;">
                          <w:txbxContent>
                            <w:p w14:paraId="010E22DB">
                              <w:pPr>
                                <w:autoSpaceDE/>
                                <w:autoSpaceDN/>
                                <w:jc w:val="both"/>
                                <w:rPr>
                                  <w:rFonts w:ascii="Times New Roman" w:hAnsi="Times New Roman" w:cs="Times New Roman"/>
                                  <w:kern w:val="2"/>
                                  <w:sz w:val="21"/>
                                  <w:szCs w:val="24"/>
                                  <w:vertAlign w:val="subscript"/>
                                  <w:lang w:val="en-US" w:bidi="ar-SA"/>
                                </w:rPr>
                              </w:pPr>
                              <w:r>
                                <w:rPr>
                                  <w:rFonts w:ascii="Times New Roman" w:hAnsi="Times New Roman" w:cs="Times New Roman"/>
                                  <w:kern w:val="2"/>
                                  <w:sz w:val="21"/>
                                  <w:szCs w:val="24"/>
                                  <w:vertAlign w:val="subscript"/>
                                  <w:lang w:val="en-US" w:bidi="ar"/>
                                </w:rPr>
                                <w:t>P1</w:t>
                              </w:r>
                            </w:p>
                          </w:txbxContent>
                        </v:textbox>
                      </v:rect>
                      <v:rect id="_x0000_s1026" o:spid="_x0000_s1026" o:spt="1" style="position:absolute;left:1823085;top:47625;height:175260;width:7620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Op2Y0gAAAAQBAAAPAAAAAAAAAAEAIAAAACIAAABkcnMv&#10;ZG93bnJldi54bWxQSwECFAAUAAAACACHTuJA0zr8etABAACXAwAADgAAAAAAAAABACAAAAAhAQAA&#10;ZHJzL2Uyb0RvYy54bWxQSwUGAAAAAAYABgBZAQAAYwUAAAAA&#10;">
                        <v:fill on="f" focussize="0,0"/>
                        <v:stroke on="f"/>
                        <v:imagedata o:title=""/>
                        <o:lock v:ext="edit" aspectratio="f"/>
                        <v:textbox inset="0mm,0mm,0mm,0mm" style="mso-fit-shape-to-text:t;">
                          <w:txbxContent>
                            <w:p w14:paraId="1285425F">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4</w:t>
                              </w:r>
                            </w:p>
                          </w:txbxContent>
                        </v:textbox>
                      </v:rect>
                      <v:rect id="_x0000_s1026" o:spid="_x0000_s1026" o:spt="1" style="position:absolute;left:1343025;top:266700;height:175260;width:7620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Op2Y0gAAAAQBAAAPAAAAAAAAAAEAIAAAACIAAABkcnMv&#10;ZG93bnJldi54bWxQSwECFAAUAAAACACHTuJASIFk/9ABAACYAwAADgAAAAAAAAABACAAAAAhAQAA&#10;ZHJzL2Uyb0RvYy54bWxQSwUGAAAAAAYABgBZAQAAYwUAAAAA&#10;">
                        <v:fill on="f" focussize="0,0"/>
                        <v:stroke on="f"/>
                        <v:imagedata o:title=""/>
                        <o:lock v:ext="edit" aspectratio="f"/>
                        <v:textbox inset="0mm,0mm,0mm,0mm" style="mso-fit-shape-to-text:t;">
                          <w:txbxContent>
                            <w:p w14:paraId="41C2A857">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4</w:t>
                              </w:r>
                            </w:p>
                          </w:txbxContent>
                        </v:textbox>
                      </v:rect>
                      <v:rect id="_x0000_s1026" o:spid="_x0000_s1026" o:spt="1" style="position:absolute;left:1134745;top:144145;height:175260;width:11811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k6nZjSAAAABAEAAA8AAAAAAAAAAQAgAAAAIgAAAGRycy9k&#10;b3ducmV2LnhtbFBLAQIUABQAAAAIAIdO4kC6huf2zwEAAJkDAAAOAAAAAAAAAAEAIAAAACEBAABk&#10;cnMvZTJvRG9jLnhtbFBLBQYAAAAABgAGAFkBAABiBQAAAAA=&#10;">
                        <v:fill on="f" focussize="0,0"/>
                        <v:stroke on="f"/>
                        <v:imagedata o:title=""/>
                        <o:lock v:ext="edit" aspectratio="f"/>
                        <v:textbox inset="0mm,0mm,0mm,0mm" style="mso-fit-shape-to-text:t;">
                          <w:txbxContent>
                            <w:p w14:paraId="3269D31E">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lg</w:t>
                              </w:r>
                            </w:p>
                          </w:txbxContent>
                        </v:textbox>
                      </v:rect>
                      <v:rect id="_x0000_s1026" o:spid="_x0000_s1026" o:spt="1" style="position:absolute;left:965835;top:144145;height:175260;width:15240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qdmNIAAAAEAQAADwAAAAAAAAABACAAAAAiAAAAZHJz&#10;L2Rvd25yZXYueG1sUEsBAhQAFAAAAAgAh07iQAdlQurRAQAAmAMAAA4AAAAAAAAAAQAgAAAAIQEA&#10;AGRycy9lMm9Eb2MueG1sUEsFBgAAAAAGAAYAWQEAAGQFAAAAAA==&#10;">
                        <v:fill on="f" focussize="0,0"/>
                        <v:stroke on="f"/>
                        <v:imagedata o:title=""/>
                        <o:lock v:ext="edit" aspectratio="f"/>
                        <v:textbox inset="0mm,0mm,0mm,0mm" style="mso-fit-shape-to-text:t;">
                          <w:txbxContent>
                            <w:p w14:paraId="32446191">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10</w:t>
                              </w:r>
                            </w:p>
                          </w:txbxContent>
                        </v:textbox>
                      </v:rect>
                      <v:rect id="_x0000_s1026" o:spid="_x0000_s1026" o:spt="1" style="position:absolute;left:1572895;top:254635;height:102235;width:4445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qdmNIAAAAEAQAADwAAAAAAAAABACAAAAAiAAAAZHJz&#10;L2Rvd25yZXYueG1sUEsBAhQAFAAAAAgAh07iQOcm/unRAQAAmAMAAA4AAAAAAAAAAQAgAAAAIQEA&#10;AGRycy9lMm9Eb2MueG1sUEsFBgAAAAAGAAYAWQEAAGQFAAAAAA==&#10;">
                        <v:fill on="f" focussize="0,0"/>
                        <v:stroke on="f"/>
                        <v:imagedata o:title=""/>
                        <o:lock v:ext="edit" aspectratio="f"/>
                        <v:textbox inset="0mm,0mm,0mm,0mm" style="mso-fit-shape-to-text:t;">
                          <w:txbxContent>
                            <w:p w14:paraId="5DA7A7E6">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14"/>
                                  <w:szCs w:val="14"/>
                                  <w:lang w:val="en-US" w:bidi="ar"/>
                                </w:rPr>
                                <w:t>2</w:t>
                              </w:r>
                            </w:p>
                          </w:txbxContent>
                        </v:textbox>
                      </v:rect>
                      <v:rect id="_x0000_s1026" o:spid="_x0000_s1026" o:spt="1" style="position:absolute;left:1409700;top:248920;height:186690;width:83820;mso-wrap-style:none;" filled="f" stroked="f" coordsize="21600,21600" o:gfxdata="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Op2Y0gAAAAQBAAAPAAAAAAAAAAEAIAAAACIAAABkcnMv&#10;ZG93bnJldi54bWxQSwECFAAUAAAACACHTuJAnT0yxNABAACYAwAADgAAAAAAAAABACAAAAAhAQAA&#10;ZHJzL2Uyb0RvYy54bWxQSwUGAAAAAAYABgBZAQAAYwUAAAAA&#10;">
                        <v:fill on="f" focussize="0,0"/>
                        <v:stroke on="f"/>
                        <v:imagedata o:title=""/>
                        <o:lock v:ext="edit" aspectratio="f"/>
                        <v:textbox inset="0mm,0mm,0mm,0mm" style="mso-fit-shape-to-text:t;">
                          <w:txbxContent>
                            <w:p w14:paraId="41A2A888">
                              <w:pPr>
                                <w:autoSpaceDE/>
                                <w:autoSpaceDN/>
                                <w:jc w:val="both"/>
                                <w:rPr>
                                  <w:rFonts w:ascii="Times New Roman" w:hAnsi="Times New Roman" w:cs="Times New Roman"/>
                                  <w:kern w:val="2"/>
                                  <w:sz w:val="21"/>
                                  <w:szCs w:val="24"/>
                                  <w:lang w:val="en-US" w:bidi="ar-SA"/>
                                </w:rPr>
                              </w:pPr>
                              <w:r>
                                <w:rPr>
                                  <w:rFonts w:ascii="Symbol" w:hAnsi="Symbol" w:cs="Symbol"/>
                                  <w:i/>
                                  <w:iCs/>
                                  <w:color w:val="000000"/>
                                  <w:kern w:val="0"/>
                                  <w:sz w:val="24"/>
                                  <w:szCs w:val="24"/>
                                  <w:lang w:val="en-US" w:bidi="ar"/>
                                </w:rPr>
                                <w:t></w:t>
                              </w:r>
                            </w:p>
                          </w:txbxContent>
                        </v:textbox>
                      </v:rect>
                      <w10:wrap type="none"/>
                      <w10:anchorlock/>
                    </v:group>
                  </w:pict>
                </mc:Fallback>
              </mc:AlternateContent>
            </w:r>
          </w:p>
          <w:p w14:paraId="2755819A">
            <w:pPr>
              <w:autoSpaceDE/>
              <w:autoSpaceDN/>
              <w:adjustRightInd w:val="0"/>
              <w:snapToGrid w:val="0"/>
              <w:spacing w:line="360" w:lineRule="auto"/>
              <w:ind w:firstLine="420" w:firstLineChars="200"/>
              <w:jc w:val="both"/>
              <w:rPr>
                <w:rFonts w:hint="eastAsia" w:ascii="Times New Roman" w:hAnsi="Times New Roman" w:cs="宋体"/>
                <w:color w:val="auto"/>
                <w:kern w:val="2"/>
                <w:sz w:val="21"/>
                <w:szCs w:val="21"/>
                <w:lang w:val="en-US" w:bidi="ar"/>
              </w:rPr>
            </w:pPr>
            <w:r>
              <w:rPr>
                <w:rFonts w:hint="eastAsia" w:ascii="Times New Roman" w:hAnsi="Times New Roman" w:cs="宋体"/>
                <w:color w:val="auto"/>
                <w:kern w:val="2"/>
                <w:sz w:val="21"/>
                <w:szCs w:val="21"/>
                <w:lang w:val="en-US" w:bidi="ar"/>
              </w:rPr>
              <w:t>式中：</w:t>
            </w:r>
          </w:p>
          <w:p w14:paraId="684A2600">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p1</w:t>
            </w:r>
            <w:r>
              <w:rPr>
                <w:rFonts w:ascii="Times New Roman" w:hAnsi="Times New Roman" w:cs="Times New Roman"/>
                <w:color w:val="auto"/>
                <w:kern w:val="2"/>
                <w:sz w:val="21"/>
                <w:szCs w:val="21"/>
                <w:lang w:val="en-US" w:bidi="ar"/>
              </w:rPr>
              <w:t>--</w:t>
            </w:r>
            <w:r>
              <w:rPr>
                <w:rFonts w:hint="eastAsia" w:ascii="Times New Roman" w:hAnsi="Times New Roman" w:cs="宋体"/>
                <w:color w:val="auto"/>
                <w:kern w:val="2"/>
                <w:sz w:val="21"/>
                <w:szCs w:val="21"/>
                <w:lang w:val="en-US" w:bidi="ar"/>
              </w:rPr>
              <w:t>靠近开口处（或窗户）室内某倍频带的声压级或</w:t>
            </w:r>
            <w:r>
              <w:rPr>
                <w:rFonts w:ascii="Times New Roman" w:hAnsi="Times New Roman" w:cs="Times New Roman"/>
                <w:color w:val="auto"/>
                <w:kern w:val="2"/>
                <w:sz w:val="21"/>
                <w:szCs w:val="21"/>
                <w:lang w:val="en-US" w:bidi="ar"/>
              </w:rPr>
              <w:t>A</w:t>
            </w:r>
            <w:r>
              <w:rPr>
                <w:rFonts w:hint="eastAsia" w:ascii="Times New Roman" w:hAnsi="Times New Roman" w:cs="宋体"/>
                <w:color w:val="auto"/>
                <w:kern w:val="2"/>
                <w:sz w:val="21"/>
                <w:szCs w:val="21"/>
                <w:lang w:val="en-US" w:bidi="ar"/>
              </w:rPr>
              <w:t>声级，</w:t>
            </w:r>
            <w:r>
              <w:rPr>
                <w:rFonts w:ascii="Times New Roman" w:hAnsi="Times New Roman" w:cs="Times New Roman"/>
                <w:color w:val="auto"/>
                <w:kern w:val="2"/>
                <w:sz w:val="21"/>
                <w:szCs w:val="21"/>
                <w:lang w:val="en-US" w:bidi="ar"/>
              </w:rPr>
              <w:t>dB</w:t>
            </w:r>
            <w:r>
              <w:rPr>
                <w:rFonts w:hint="eastAsia" w:ascii="Times New Roman" w:hAnsi="Times New Roman" w:cs="宋体"/>
                <w:color w:val="auto"/>
                <w:kern w:val="2"/>
                <w:sz w:val="21"/>
                <w:szCs w:val="21"/>
                <w:lang w:val="en-US" w:bidi="ar"/>
              </w:rPr>
              <w:t>；</w:t>
            </w:r>
          </w:p>
          <w:p w14:paraId="2D76156C">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w</w:t>
            </w:r>
            <w:r>
              <w:rPr>
                <w:rFonts w:ascii="Times New Roman" w:hAnsi="Times New Roman" w:cs="Times New Roman"/>
                <w:color w:val="auto"/>
                <w:kern w:val="2"/>
                <w:sz w:val="21"/>
                <w:szCs w:val="21"/>
                <w:lang w:val="en-US" w:bidi="ar"/>
              </w:rPr>
              <w:t xml:space="preserve"> --</w:t>
            </w:r>
            <w:r>
              <w:rPr>
                <w:rFonts w:hint="eastAsia" w:ascii="Times New Roman" w:hAnsi="Times New Roman" w:cs="宋体"/>
                <w:color w:val="auto"/>
                <w:kern w:val="2"/>
                <w:sz w:val="21"/>
                <w:szCs w:val="21"/>
                <w:lang w:val="en-US" w:bidi="ar"/>
              </w:rPr>
              <w:t>点声源声功率级（</w:t>
            </w:r>
            <w:r>
              <w:rPr>
                <w:rFonts w:ascii="Times New Roman" w:hAnsi="Times New Roman" w:cs="Times New Roman"/>
                <w:color w:val="auto"/>
                <w:kern w:val="2"/>
                <w:sz w:val="21"/>
                <w:szCs w:val="21"/>
                <w:lang w:val="en-US" w:bidi="ar"/>
              </w:rPr>
              <w:t>A</w:t>
            </w:r>
            <w:r>
              <w:rPr>
                <w:rFonts w:hint="eastAsia" w:ascii="Times New Roman" w:hAnsi="Times New Roman" w:cs="宋体"/>
                <w:color w:val="auto"/>
                <w:kern w:val="2"/>
                <w:sz w:val="21"/>
                <w:szCs w:val="21"/>
                <w:lang w:val="en-US" w:bidi="ar"/>
              </w:rPr>
              <w:t>计权或倍频带），</w:t>
            </w:r>
            <w:r>
              <w:rPr>
                <w:rFonts w:ascii="Times New Roman" w:hAnsi="Times New Roman" w:cs="Times New Roman"/>
                <w:color w:val="auto"/>
                <w:kern w:val="2"/>
                <w:sz w:val="21"/>
                <w:szCs w:val="21"/>
                <w:lang w:val="en-US" w:bidi="ar"/>
              </w:rPr>
              <w:t>dB</w:t>
            </w:r>
            <w:r>
              <w:rPr>
                <w:rFonts w:hint="eastAsia" w:ascii="Times New Roman" w:hAnsi="Times New Roman" w:cs="宋体"/>
                <w:color w:val="auto"/>
                <w:kern w:val="2"/>
                <w:sz w:val="21"/>
                <w:szCs w:val="21"/>
                <w:lang w:val="en-US" w:bidi="ar"/>
              </w:rPr>
              <w:t>；</w:t>
            </w:r>
          </w:p>
          <w:p w14:paraId="3C621930">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Q--</w:t>
            </w:r>
            <w:r>
              <w:rPr>
                <w:rFonts w:hint="eastAsia" w:ascii="Times New Roman" w:hAnsi="Times New Roman" w:cs="宋体"/>
                <w:color w:val="auto"/>
                <w:kern w:val="2"/>
                <w:sz w:val="21"/>
                <w:szCs w:val="21"/>
                <w:lang w:val="en-US" w:bidi="ar"/>
              </w:rPr>
              <w:t>指向性因数；通常对无指向性声源，当声源放在房间中心时，</w:t>
            </w:r>
            <w:r>
              <w:rPr>
                <w:rFonts w:ascii="Times New Roman" w:hAnsi="Times New Roman" w:cs="Times New Roman"/>
                <w:color w:val="auto"/>
                <w:kern w:val="2"/>
                <w:sz w:val="21"/>
                <w:szCs w:val="21"/>
                <w:lang w:val="en-US" w:bidi="ar"/>
              </w:rPr>
              <w:t>Q=1</w:t>
            </w:r>
            <w:r>
              <w:rPr>
                <w:rFonts w:hint="eastAsia" w:ascii="Times New Roman" w:hAnsi="Times New Roman" w:cs="宋体"/>
                <w:color w:val="auto"/>
                <w:kern w:val="2"/>
                <w:sz w:val="21"/>
                <w:szCs w:val="21"/>
                <w:lang w:val="en-US" w:bidi="ar"/>
              </w:rPr>
              <w:t>；当放在一面墙的中心时，</w:t>
            </w:r>
            <w:r>
              <w:rPr>
                <w:rFonts w:ascii="Times New Roman" w:hAnsi="Times New Roman" w:cs="Times New Roman"/>
                <w:color w:val="auto"/>
                <w:kern w:val="2"/>
                <w:sz w:val="21"/>
                <w:szCs w:val="21"/>
                <w:lang w:val="en-US" w:bidi="ar"/>
              </w:rPr>
              <w:t>Q=2</w:t>
            </w:r>
            <w:r>
              <w:rPr>
                <w:rFonts w:hint="eastAsia" w:ascii="Times New Roman" w:hAnsi="Times New Roman" w:cs="宋体"/>
                <w:color w:val="auto"/>
                <w:kern w:val="2"/>
                <w:sz w:val="21"/>
                <w:szCs w:val="21"/>
                <w:lang w:val="en-US" w:bidi="ar"/>
              </w:rPr>
              <w:t>；当放在两面墙夹角处时，</w:t>
            </w:r>
            <w:r>
              <w:rPr>
                <w:rFonts w:ascii="Times New Roman" w:hAnsi="Times New Roman" w:cs="Times New Roman"/>
                <w:color w:val="auto"/>
                <w:kern w:val="2"/>
                <w:sz w:val="21"/>
                <w:szCs w:val="21"/>
                <w:lang w:val="en-US" w:bidi="ar"/>
              </w:rPr>
              <w:t>Q=4</w:t>
            </w:r>
            <w:r>
              <w:rPr>
                <w:rFonts w:hint="eastAsia" w:ascii="Times New Roman" w:hAnsi="Times New Roman" w:cs="宋体"/>
                <w:color w:val="auto"/>
                <w:kern w:val="2"/>
                <w:sz w:val="21"/>
                <w:szCs w:val="21"/>
                <w:lang w:val="en-US" w:bidi="ar"/>
              </w:rPr>
              <w:t>；当放在三面墙夹角处时，</w:t>
            </w:r>
            <w:r>
              <w:rPr>
                <w:rFonts w:ascii="Times New Roman" w:hAnsi="Times New Roman" w:cs="Times New Roman"/>
                <w:color w:val="auto"/>
                <w:kern w:val="2"/>
                <w:sz w:val="21"/>
                <w:szCs w:val="21"/>
                <w:lang w:val="en-US" w:bidi="ar"/>
              </w:rPr>
              <w:t>Q=8</w:t>
            </w:r>
            <w:r>
              <w:rPr>
                <w:rFonts w:hint="eastAsia" w:ascii="Times New Roman" w:hAnsi="Times New Roman" w:cs="宋体"/>
                <w:color w:val="auto"/>
                <w:kern w:val="2"/>
                <w:sz w:val="21"/>
                <w:szCs w:val="21"/>
                <w:lang w:val="en-US" w:bidi="ar"/>
              </w:rPr>
              <w:t>；</w:t>
            </w:r>
          </w:p>
          <w:p w14:paraId="23F0359C">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R--</w:t>
            </w:r>
            <w:r>
              <w:rPr>
                <w:rFonts w:hint="eastAsia" w:ascii="Times New Roman" w:hAnsi="Times New Roman" w:cs="宋体"/>
                <w:color w:val="auto"/>
                <w:kern w:val="2"/>
                <w:sz w:val="21"/>
                <w:szCs w:val="21"/>
                <w:lang w:val="en-US" w:bidi="ar"/>
              </w:rPr>
              <w:t>房间常数；</w:t>
            </w:r>
            <w:r>
              <w:rPr>
                <w:rFonts w:ascii="Times New Roman" w:hAnsi="Times New Roman" w:cs="Times New Roman"/>
                <w:color w:val="auto"/>
                <w:kern w:val="2"/>
                <w:sz w:val="21"/>
                <w:szCs w:val="21"/>
                <w:lang w:val="en-US" w:bidi="ar"/>
              </w:rPr>
              <w:t>R=Sa/</w:t>
            </w:r>
            <w:r>
              <w:rPr>
                <w:rFonts w:hint="eastAsia" w:ascii="Times New Roman" w:hAnsi="Times New Roman" w:cs="宋体"/>
                <w:color w:val="auto"/>
                <w:kern w:val="2"/>
                <w:sz w:val="21"/>
                <w:szCs w:val="21"/>
                <w:lang w:val="en-US" w:bidi="ar"/>
              </w:rPr>
              <w:t>（</w:t>
            </w:r>
            <w:r>
              <w:rPr>
                <w:rFonts w:ascii="Times New Roman" w:hAnsi="Times New Roman" w:cs="Times New Roman"/>
                <w:color w:val="auto"/>
                <w:kern w:val="2"/>
                <w:sz w:val="21"/>
                <w:szCs w:val="21"/>
                <w:lang w:val="en-US" w:bidi="ar"/>
              </w:rPr>
              <w:t>1-a</w:t>
            </w:r>
            <w:r>
              <w:rPr>
                <w:rFonts w:hint="eastAsia" w:ascii="Times New Roman" w:hAnsi="Times New Roman" w:cs="宋体"/>
                <w:color w:val="auto"/>
                <w:kern w:val="2"/>
                <w:sz w:val="21"/>
                <w:szCs w:val="21"/>
                <w:lang w:val="en-US" w:bidi="ar"/>
              </w:rPr>
              <w:t>），</w:t>
            </w:r>
            <w:r>
              <w:rPr>
                <w:rFonts w:ascii="Times New Roman" w:hAnsi="Times New Roman" w:cs="Times New Roman"/>
                <w:color w:val="auto"/>
                <w:kern w:val="2"/>
                <w:sz w:val="21"/>
                <w:szCs w:val="21"/>
                <w:lang w:val="en-US" w:bidi="ar"/>
              </w:rPr>
              <w:t>S</w:t>
            </w:r>
            <w:r>
              <w:rPr>
                <w:rFonts w:hint="eastAsia" w:ascii="Times New Roman" w:hAnsi="Times New Roman" w:cs="宋体"/>
                <w:color w:val="auto"/>
                <w:kern w:val="2"/>
                <w:sz w:val="21"/>
                <w:szCs w:val="21"/>
                <w:lang w:val="en-US" w:bidi="ar"/>
              </w:rPr>
              <w:t>为房间内表面面积，</w:t>
            </w:r>
            <w:r>
              <w:rPr>
                <w:rFonts w:ascii="Times New Roman" w:hAnsi="Times New Roman" w:cs="Times New Roman"/>
                <w:color w:val="auto"/>
                <w:kern w:val="2"/>
                <w:sz w:val="21"/>
                <w:szCs w:val="21"/>
                <w:lang w:val="en-US" w:bidi="ar"/>
              </w:rPr>
              <w:t>m</w:t>
            </w:r>
            <w:r>
              <w:rPr>
                <w:rFonts w:ascii="Times New Roman" w:hAnsi="Times New Roman" w:cs="Times New Roman"/>
                <w:color w:val="auto"/>
                <w:kern w:val="2"/>
                <w:sz w:val="21"/>
                <w:szCs w:val="21"/>
                <w:vertAlign w:val="superscript"/>
                <w:lang w:val="en-US" w:bidi="ar"/>
              </w:rPr>
              <w:t>2</w:t>
            </w:r>
            <w:r>
              <w:rPr>
                <w:rFonts w:hint="eastAsia" w:ascii="Times New Roman" w:hAnsi="Times New Roman" w:cs="宋体"/>
                <w:color w:val="auto"/>
                <w:kern w:val="2"/>
                <w:sz w:val="21"/>
                <w:szCs w:val="21"/>
                <w:lang w:val="en-US" w:bidi="ar"/>
              </w:rPr>
              <w:t>；</w:t>
            </w:r>
            <w:r>
              <w:rPr>
                <w:rFonts w:ascii="Times New Roman" w:hAnsi="Times New Roman" w:cs="Times New Roman"/>
                <w:color w:val="auto"/>
                <w:kern w:val="2"/>
                <w:sz w:val="21"/>
                <w:szCs w:val="21"/>
                <w:lang w:val="en-US" w:bidi="ar"/>
              </w:rPr>
              <w:t>α</w:t>
            </w:r>
            <w:r>
              <w:rPr>
                <w:rFonts w:hint="eastAsia" w:ascii="Times New Roman" w:hAnsi="Times New Roman" w:cs="宋体"/>
                <w:color w:val="auto"/>
                <w:kern w:val="2"/>
                <w:sz w:val="21"/>
                <w:szCs w:val="21"/>
                <w:lang w:val="en-US" w:bidi="ar"/>
              </w:rPr>
              <w:t>为平均吸声系数；</w:t>
            </w:r>
          </w:p>
          <w:p w14:paraId="2EEEA5EE">
            <w:pPr>
              <w:widowControl w:val="0"/>
              <w:adjustRightInd w:val="0"/>
              <w:snapToGrid w:val="0"/>
              <w:spacing w:before="0" w:beforeAutospacing="0" w:after="0" w:afterAutospacing="0" w:line="360" w:lineRule="auto"/>
              <w:ind w:firstLine="420" w:firstLineChars="200"/>
              <w:jc w:val="both"/>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shd w:val="clear" w:color="auto" w:fill="FFFFFF"/>
                <w:lang w:val="en-US" w:eastAsia="zh-CN" w:bidi="ar"/>
              </w:rPr>
              <w:t>r--</w:t>
            </w:r>
            <w:r>
              <w:rPr>
                <w:rFonts w:hint="eastAsia" w:ascii="Times New Roman" w:hAnsi="Times New Roman" w:eastAsia="宋体" w:cs="宋体"/>
                <w:color w:val="auto"/>
                <w:kern w:val="0"/>
                <w:sz w:val="21"/>
                <w:szCs w:val="21"/>
                <w:shd w:val="clear" w:color="auto" w:fill="FFFFFF"/>
                <w:lang w:val="en-US" w:eastAsia="zh-CN" w:bidi="ar"/>
              </w:rPr>
              <w:t>声源到靠近围护结构某点处的距离，</w:t>
            </w:r>
            <w:r>
              <w:rPr>
                <w:rFonts w:ascii="Times New Roman" w:hAnsi="Times New Roman" w:eastAsia="宋体" w:cs="Times New Roman"/>
                <w:color w:val="auto"/>
                <w:kern w:val="0"/>
                <w:sz w:val="21"/>
                <w:szCs w:val="21"/>
                <w:shd w:val="clear" w:color="auto" w:fill="FFFFFF"/>
                <w:lang w:val="en-US" w:eastAsia="zh-CN" w:bidi="ar"/>
              </w:rPr>
              <w:t>m</w:t>
            </w:r>
            <w:r>
              <w:rPr>
                <w:rFonts w:hint="eastAsia" w:ascii="Times New Roman" w:hAnsi="Times New Roman" w:eastAsia="宋体" w:cs="宋体"/>
                <w:color w:val="auto"/>
                <w:kern w:val="0"/>
                <w:sz w:val="21"/>
                <w:szCs w:val="21"/>
                <w:shd w:val="clear" w:color="auto" w:fill="FFFFFF"/>
                <w:lang w:val="en-US" w:eastAsia="zh-CN" w:bidi="ar"/>
              </w:rPr>
              <w:t>。</w:t>
            </w:r>
          </w:p>
          <w:p w14:paraId="1D50CDAB">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hint="eastAsia" w:ascii="Times New Roman" w:hAnsi="Times New Roman" w:cs="宋体"/>
                <w:color w:val="auto"/>
                <w:kern w:val="2"/>
                <w:sz w:val="21"/>
                <w:szCs w:val="21"/>
                <w:lang w:val="en-US" w:bidi="ar"/>
              </w:rPr>
              <w:t>然后按下式计算出所有室内声源在围护结构处产生的</w:t>
            </w:r>
            <w:r>
              <w:rPr>
                <w:rFonts w:ascii="Times New Roman" w:hAnsi="Times New Roman" w:cs="Times New Roman"/>
                <w:color w:val="auto"/>
                <w:kern w:val="2"/>
                <w:sz w:val="21"/>
                <w:szCs w:val="21"/>
                <w:lang w:val="en-US" w:bidi="ar"/>
              </w:rPr>
              <w:t>i</w:t>
            </w:r>
            <w:r>
              <w:rPr>
                <w:rFonts w:hint="eastAsia" w:ascii="Times New Roman" w:hAnsi="Times New Roman" w:cs="宋体"/>
                <w:color w:val="auto"/>
                <w:kern w:val="2"/>
                <w:sz w:val="21"/>
                <w:szCs w:val="21"/>
                <w:lang w:val="en-US" w:bidi="ar"/>
              </w:rPr>
              <w:t>倍频带叠加声压级：</w:t>
            </w:r>
          </w:p>
          <w:p w14:paraId="0A8AD6B2">
            <w:pPr>
              <w:autoSpaceDE/>
              <w:autoSpaceDN/>
              <w:adjustRightInd w:val="0"/>
              <w:snapToGrid w:val="0"/>
              <w:spacing w:line="360" w:lineRule="auto"/>
              <w:ind w:firstLine="360" w:firstLineChars="20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18"/>
                <w:szCs w:val="21"/>
                <w:lang w:val="en-US" w:bidi="ar-SA"/>
              </w:rPr>
              <mc:AlternateContent>
                <mc:Choice Requires="wpc">
                  <w:drawing>
                    <wp:inline distT="0" distB="0" distL="114300" distR="114300">
                      <wp:extent cx="1774190" cy="446405"/>
                      <wp:effectExtent l="0" t="0" r="0" b="0"/>
                      <wp:docPr id="480" name="画布 4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5" name="矩形 455"/>
                              <wps:cNvSpPr/>
                              <wps:spPr>
                                <a:xfrm>
                                  <a:off x="1715135" y="149860"/>
                                  <a:ext cx="58420" cy="186690"/>
                                </a:xfrm>
                                <a:prstGeom prst="rect">
                                  <a:avLst/>
                                </a:prstGeom>
                                <a:noFill/>
                                <a:ln>
                                  <a:noFill/>
                                </a:ln>
                              </wps:spPr>
                              <wps:txbx>
                                <w:txbxContent>
                                  <w:p w14:paraId="327B619F">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56" name="矩形 456"/>
                              <wps:cNvSpPr/>
                              <wps:spPr>
                                <a:xfrm>
                                  <a:off x="1715135" y="249555"/>
                                  <a:ext cx="58420" cy="186690"/>
                                </a:xfrm>
                                <a:prstGeom prst="rect">
                                  <a:avLst/>
                                </a:prstGeom>
                                <a:noFill/>
                                <a:ln>
                                  <a:noFill/>
                                </a:ln>
                              </wps:spPr>
                              <wps:txbx>
                                <w:txbxContent>
                                  <w:p w14:paraId="4189CCE8">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57" name="矩形 457"/>
                              <wps:cNvSpPr/>
                              <wps:spPr>
                                <a:xfrm>
                                  <a:off x="1715135" y="0"/>
                                  <a:ext cx="58420" cy="186690"/>
                                </a:xfrm>
                                <a:prstGeom prst="rect">
                                  <a:avLst/>
                                </a:prstGeom>
                                <a:noFill/>
                                <a:ln>
                                  <a:noFill/>
                                </a:ln>
                              </wps:spPr>
                              <wps:txbx>
                                <w:txbxContent>
                                  <w:p w14:paraId="15ACDDC3">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58" name="矩形 458"/>
                              <wps:cNvSpPr/>
                              <wps:spPr>
                                <a:xfrm>
                                  <a:off x="919480" y="149860"/>
                                  <a:ext cx="58420" cy="186690"/>
                                </a:xfrm>
                                <a:prstGeom prst="rect">
                                  <a:avLst/>
                                </a:prstGeom>
                                <a:noFill/>
                                <a:ln>
                                  <a:noFill/>
                                </a:ln>
                              </wps:spPr>
                              <wps:txbx>
                                <w:txbxContent>
                                  <w:p w14:paraId="4815C227">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59" name="矩形 459"/>
                              <wps:cNvSpPr/>
                              <wps:spPr>
                                <a:xfrm>
                                  <a:off x="919480" y="249555"/>
                                  <a:ext cx="58420" cy="186690"/>
                                </a:xfrm>
                                <a:prstGeom prst="rect">
                                  <a:avLst/>
                                </a:prstGeom>
                                <a:noFill/>
                                <a:ln>
                                  <a:noFill/>
                                </a:ln>
                              </wps:spPr>
                              <wps:txbx>
                                <w:txbxContent>
                                  <w:p w14:paraId="60BF5B7C">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60" name="矩形 460"/>
                              <wps:cNvSpPr/>
                              <wps:spPr>
                                <a:xfrm>
                                  <a:off x="919480" y="0"/>
                                  <a:ext cx="58420" cy="186690"/>
                                </a:xfrm>
                                <a:prstGeom prst="rect">
                                  <a:avLst/>
                                </a:prstGeom>
                                <a:noFill/>
                                <a:ln>
                                  <a:noFill/>
                                </a:ln>
                              </wps:spPr>
                              <wps:txbx>
                                <w:txbxContent>
                                  <w:p w14:paraId="52082FFE">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61" name="矩形 461"/>
                              <wps:cNvSpPr/>
                              <wps:spPr>
                                <a:xfrm>
                                  <a:off x="518160" y="97790"/>
                                  <a:ext cx="83185" cy="186690"/>
                                </a:xfrm>
                                <a:prstGeom prst="rect">
                                  <a:avLst/>
                                </a:prstGeom>
                                <a:noFill/>
                                <a:ln>
                                  <a:noFill/>
                                </a:ln>
                              </wps:spPr>
                              <wps:txbx>
                                <w:txbxContent>
                                  <w:p w14:paraId="0CEAF4F5">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62" name="矩形 462"/>
                              <wps:cNvSpPr/>
                              <wps:spPr>
                                <a:xfrm>
                                  <a:off x="979805" y="55880"/>
                                  <a:ext cx="171450" cy="295910"/>
                                </a:xfrm>
                                <a:prstGeom prst="rect">
                                  <a:avLst/>
                                </a:prstGeom>
                                <a:noFill/>
                                <a:ln>
                                  <a:noFill/>
                                </a:ln>
                              </wps:spPr>
                              <wps:txbx>
                                <w:txbxContent>
                                  <w:p w14:paraId="78EABD1C">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38"/>
                                        <w:szCs w:val="38"/>
                                        <w:lang w:val="en-US" w:bidi="ar"/>
                                      </w:rPr>
                                      <w:t></w:t>
                                    </w:r>
                                  </w:p>
                                </w:txbxContent>
                              </wps:txbx>
                              <wps:bodyPr wrap="none" lIns="0" tIns="0" rIns="0" bIns="0" upright="1">
                                <a:spAutoFit/>
                              </wps:bodyPr>
                            </wps:wsp>
                            <wps:wsp>
                              <wps:cNvPr id="463" name="矩形 463"/>
                              <wps:cNvSpPr/>
                              <wps:spPr>
                                <a:xfrm>
                                  <a:off x="1035685" y="313690"/>
                                  <a:ext cx="48260" cy="109220"/>
                                </a:xfrm>
                                <a:prstGeom prst="rect">
                                  <a:avLst/>
                                </a:prstGeom>
                                <a:noFill/>
                                <a:ln>
                                  <a:noFill/>
                                </a:ln>
                              </wps:spPr>
                              <wps:txbx>
                                <w:txbxContent>
                                  <w:p w14:paraId="7DF75519">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14"/>
                                        <w:szCs w:val="14"/>
                                        <w:lang w:val="en-US" w:bidi="ar"/>
                                      </w:rPr>
                                      <w:t></w:t>
                                    </w:r>
                                  </w:p>
                                </w:txbxContent>
                              </wps:txbx>
                              <wps:bodyPr wrap="none" lIns="0" tIns="0" rIns="0" bIns="0" upright="1">
                                <a:spAutoFit/>
                              </wps:bodyPr>
                            </wps:wsp>
                            <wps:wsp>
                              <wps:cNvPr id="464" name="矩形 464"/>
                              <wps:cNvSpPr/>
                              <wps:spPr>
                                <a:xfrm>
                                  <a:off x="1029335" y="15240"/>
                                  <a:ext cx="59690" cy="102235"/>
                                </a:xfrm>
                                <a:prstGeom prst="rect">
                                  <a:avLst/>
                                </a:prstGeom>
                                <a:noFill/>
                                <a:ln>
                                  <a:noFill/>
                                </a:ln>
                              </wps:spPr>
                              <wps:txbx>
                                <w:txbxContent>
                                  <w:p w14:paraId="50D9527B">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N</w:t>
                                    </w:r>
                                  </w:p>
                                </w:txbxContent>
                              </wps:txbx>
                              <wps:bodyPr wrap="none" lIns="0" tIns="0" rIns="0" bIns="0" upright="1">
                                <a:spAutoFit/>
                              </wps:bodyPr>
                            </wps:wsp>
                            <wps:wsp>
                              <wps:cNvPr id="465" name="矩形 465"/>
                              <wps:cNvSpPr/>
                              <wps:spPr>
                                <a:xfrm>
                                  <a:off x="1003935" y="323850"/>
                                  <a:ext cx="24130" cy="102235"/>
                                </a:xfrm>
                                <a:prstGeom prst="rect">
                                  <a:avLst/>
                                </a:prstGeom>
                                <a:noFill/>
                                <a:ln>
                                  <a:noFill/>
                                </a:ln>
                              </wps:spPr>
                              <wps:txbx>
                                <w:txbxContent>
                                  <w:p w14:paraId="186EC972">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j</w:t>
                                    </w:r>
                                  </w:p>
                                </w:txbxContent>
                              </wps:txbx>
                              <wps:bodyPr wrap="none" lIns="0" tIns="0" rIns="0" bIns="0" upright="1">
                                <a:spAutoFit/>
                              </wps:bodyPr>
                            </wps:wsp>
                            <wps:wsp>
                              <wps:cNvPr id="466" name="矩形 466"/>
                              <wps:cNvSpPr/>
                              <wps:spPr>
                                <a:xfrm>
                                  <a:off x="1420495" y="88265"/>
                                  <a:ext cx="48895" cy="102235"/>
                                </a:xfrm>
                                <a:prstGeom prst="rect">
                                  <a:avLst/>
                                </a:prstGeom>
                                <a:noFill/>
                                <a:ln>
                                  <a:noFill/>
                                </a:ln>
                              </wps:spPr>
                              <wps:txbx>
                                <w:txbxContent>
                                  <w:p w14:paraId="74AFA69D">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L</w:t>
                                    </w:r>
                                  </w:p>
                                </w:txbxContent>
                              </wps:txbx>
                              <wps:bodyPr wrap="none" lIns="0" tIns="0" rIns="0" bIns="0" upright="1">
                                <a:spAutoFit/>
                              </wps:bodyPr>
                            </wps:wsp>
                            <wps:wsp>
                              <wps:cNvPr id="467" name="矩形 467"/>
                              <wps:cNvSpPr/>
                              <wps:spPr>
                                <a:xfrm>
                                  <a:off x="83185" y="213360"/>
                                  <a:ext cx="123190" cy="102235"/>
                                </a:xfrm>
                                <a:prstGeom prst="rect">
                                  <a:avLst/>
                                </a:prstGeom>
                                <a:noFill/>
                                <a:ln>
                                  <a:noFill/>
                                </a:ln>
                              </wps:spPr>
                              <wps:txbx>
                                <w:txbxContent>
                                  <w:p w14:paraId="0A8F09A0">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P1i</w:t>
                                    </w:r>
                                  </w:p>
                                </w:txbxContent>
                              </wps:txbx>
                              <wps:bodyPr wrap="none" lIns="0" tIns="0" rIns="0" bIns="0" upright="1">
                                <a:spAutoFit/>
                              </wps:bodyPr>
                            </wps:wsp>
                            <wps:wsp>
                              <wps:cNvPr id="468" name="矩形 468"/>
                              <wps:cNvSpPr/>
                              <wps:spPr>
                                <a:xfrm>
                                  <a:off x="1466850" y="134620"/>
                                  <a:ext cx="105410" cy="73025"/>
                                </a:xfrm>
                                <a:prstGeom prst="rect">
                                  <a:avLst/>
                                </a:prstGeom>
                                <a:noFill/>
                                <a:ln>
                                  <a:noFill/>
                                </a:ln>
                              </wps:spPr>
                              <wps:txbx>
                                <w:txbxContent>
                                  <w:p w14:paraId="3CAF30CB">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0"/>
                                        <w:szCs w:val="10"/>
                                        <w:lang w:val="en-US" w:bidi="ar"/>
                                      </w:rPr>
                                      <w:t>P1ij</w:t>
                                    </w:r>
                                  </w:p>
                                </w:txbxContent>
                              </wps:txbx>
                              <wps:bodyPr wrap="none" lIns="0" tIns="0" rIns="0" bIns="0" upright="1">
                                <a:spAutoFit/>
                              </wps:bodyPr>
                            </wps:wsp>
                            <wps:wsp>
                              <wps:cNvPr id="469" name="矩形 469"/>
                              <wps:cNvSpPr/>
                              <wps:spPr>
                                <a:xfrm>
                                  <a:off x="323850" y="116205"/>
                                  <a:ext cx="85090" cy="175260"/>
                                </a:xfrm>
                                <a:prstGeom prst="rect">
                                  <a:avLst/>
                                </a:prstGeom>
                                <a:noFill/>
                                <a:ln>
                                  <a:noFill/>
                                </a:ln>
                              </wps:spPr>
                              <wps:txbx>
                                <w:txbxContent>
                                  <w:p w14:paraId="2E2B91E3">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T</w:t>
                                    </w:r>
                                  </w:p>
                                </w:txbxContent>
                              </wps:txbx>
                              <wps:bodyPr wrap="none" lIns="0" tIns="0" rIns="0" bIns="0" upright="1">
                                <a:spAutoFit/>
                              </wps:bodyPr>
                            </wps:wsp>
                            <wps:wsp>
                              <wps:cNvPr id="470" name="矩形 470"/>
                              <wps:cNvSpPr/>
                              <wps:spPr>
                                <a:xfrm>
                                  <a:off x="0" y="116205"/>
                                  <a:ext cx="84455" cy="175260"/>
                                </a:xfrm>
                                <a:prstGeom prst="rect">
                                  <a:avLst/>
                                </a:prstGeom>
                                <a:noFill/>
                                <a:ln>
                                  <a:noFill/>
                                </a:ln>
                              </wps:spPr>
                              <wps:txbx>
                                <w:txbxContent>
                                  <w:p w14:paraId="65FBC3E9">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wps:txbx>
                              <wps:bodyPr wrap="none" lIns="0" tIns="0" rIns="0" bIns="0" upright="1">
                                <a:spAutoFit/>
                              </wps:bodyPr>
                            </wps:wsp>
                            <wps:wsp>
                              <wps:cNvPr id="471" name="矩形 471"/>
                              <wps:cNvSpPr/>
                              <wps:spPr>
                                <a:xfrm>
                                  <a:off x="1079500" y="323215"/>
                                  <a:ext cx="44450" cy="102235"/>
                                </a:xfrm>
                                <a:prstGeom prst="rect">
                                  <a:avLst/>
                                </a:prstGeom>
                                <a:noFill/>
                                <a:ln>
                                  <a:noFill/>
                                </a:ln>
                              </wps:spPr>
                              <wps:txbx>
                                <w:txbxContent>
                                  <w:p w14:paraId="431859F5">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14"/>
                                        <w:szCs w:val="14"/>
                                        <w:lang w:val="en-US" w:bidi="ar"/>
                                      </w:rPr>
                                      <w:t>1</w:t>
                                    </w:r>
                                  </w:p>
                                </w:txbxContent>
                              </wps:txbx>
                              <wps:bodyPr wrap="none" lIns="0" tIns="0" rIns="0" bIns="0" upright="1">
                                <a:spAutoFit/>
                              </wps:bodyPr>
                            </wps:wsp>
                            <wps:wsp>
                              <wps:cNvPr id="472" name="矩形 472"/>
                              <wps:cNvSpPr/>
                              <wps:spPr>
                                <a:xfrm>
                                  <a:off x="1374140" y="87630"/>
                                  <a:ext cx="44450" cy="102235"/>
                                </a:xfrm>
                                <a:prstGeom prst="rect">
                                  <a:avLst/>
                                </a:prstGeom>
                                <a:noFill/>
                                <a:ln>
                                  <a:noFill/>
                                </a:ln>
                              </wps:spPr>
                              <wps:txbx>
                                <w:txbxContent>
                                  <w:p w14:paraId="7339FDAC">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14"/>
                                        <w:szCs w:val="14"/>
                                        <w:lang w:val="en-US" w:bidi="ar"/>
                                      </w:rPr>
                                      <w:t>1</w:t>
                                    </w:r>
                                  </w:p>
                                </w:txbxContent>
                              </wps:txbx>
                              <wps:bodyPr wrap="none" lIns="0" tIns="0" rIns="0" bIns="0" upright="1">
                                <a:spAutoFit/>
                              </wps:bodyPr>
                            </wps:wsp>
                            <wps:wsp>
                              <wps:cNvPr id="473" name="矩形 473"/>
                              <wps:cNvSpPr/>
                              <wps:spPr>
                                <a:xfrm>
                                  <a:off x="1351915" y="87630"/>
                                  <a:ext cx="22225" cy="102235"/>
                                </a:xfrm>
                                <a:prstGeom prst="rect">
                                  <a:avLst/>
                                </a:prstGeom>
                                <a:noFill/>
                                <a:ln>
                                  <a:noFill/>
                                </a:ln>
                              </wps:spPr>
                              <wps:txbx>
                                <w:txbxContent>
                                  <w:p w14:paraId="7D97F18B">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14"/>
                                        <w:szCs w:val="14"/>
                                        <w:lang w:val="en-US" w:bidi="ar"/>
                                      </w:rPr>
                                      <w:t>.</w:t>
                                    </w:r>
                                  </w:p>
                                </w:txbxContent>
                              </wps:txbx>
                              <wps:bodyPr wrap="none" lIns="0" tIns="0" rIns="0" bIns="0" upright="1">
                                <a:spAutoFit/>
                              </wps:bodyPr>
                            </wps:wsp>
                            <wps:wsp>
                              <wps:cNvPr id="474" name="矩形 474"/>
                              <wps:cNvSpPr/>
                              <wps:spPr>
                                <a:xfrm>
                                  <a:off x="1307465" y="87630"/>
                                  <a:ext cx="44450" cy="102235"/>
                                </a:xfrm>
                                <a:prstGeom prst="rect">
                                  <a:avLst/>
                                </a:prstGeom>
                                <a:noFill/>
                                <a:ln>
                                  <a:noFill/>
                                </a:ln>
                              </wps:spPr>
                              <wps:txbx>
                                <w:txbxContent>
                                  <w:p w14:paraId="574AFB33">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14"/>
                                        <w:szCs w:val="14"/>
                                        <w:lang w:val="en-US" w:bidi="ar"/>
                                      </w:rPr>
                                      <w:t>0</w:t>
                                    </w:r>
                                  </w:p>
                                </w:txbxContent>
                              </wps:txbx>
                              <wps:bodyPr wrap="none" lIns="0" tIns="0" rIns="0" bIns="0" upright="1">
                                <a:spAutoFit/>
                              </wps:bodyPr>
                            </wps:wsp>
                            <wps:wsp>
                              <wps:cNvPr id="475" name="矩形 475"/>
                              <wps:cNvSpPr/>
                              <wps:spPr>
                                <a:xfrm>
                                  <a:off x="1146175" y="116205"/>
                                  <a:ext cx="152400" cy="175260"/>
                                </a:xfrm>
                                <a:prstGeom prst="rect">
                                  <a:avLst/>
                                </a:prstGeom>
                                <a:noFill/>
                                <a:ln>
                                  <a:noFill/>
                                </a:ln>
                              </wps:spPr>
                              <wps:txbx>
                                <w:txbxContent>
                                  <w:p w14:paraId="3966A7B8">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10</w:t>
                                    </w:r>
                                  </w:p>
                                </w:txbxContent>
                              </wps:txbx>
                              <wps:bodyPr wrap="none" lIns="0" tIns="0" rIns="0" bIns="0" upright="1">
                                <a:spAutoFit/>
                              </wps:bodyPr>
                            </wps:wsp>
                            <wps:wsp>
                              <wps:cNvPr id="476" name="矩形 476"/>
                              <wps:cNvSpPr/>
                              <wps:spPr>
                                <a:xfrm>
                                  <a:off x="793750" y="116205"/>
                                  <a:ext cx="118110" cy="175260"/>
                                </a:xfrm>
                                <a:prstGeom prst="rect">
                                  <a:avLst/>
                                </a:prstGeom>
                                <a:noFill/>
                                <a:ln>
                                  <a:noFill/>
                                </a:ln>
                              </wps:spPr>
                              <wps:txbx>
                                <w:txbxContent>
                                  <w:p w14:paraId="4C661328">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lg</w:t>
                                    </w:r>
                                  </w:p>
                                </w:txbxContent>
                              </wps:txbx>
                              <wps:bodyPr wrap="none" lIns="0" tIns="0" rIns="0" bIns="0" upright="1">
                                <a:spAutoFit/>
                              </wps:bodyPr>
                            </wps:wsp>
                            <wps:wsp>
                              <wps:cNvPr id="477" name="矩形 477"/>
                              <wps:cNvSpPr/>
                              <wps:spPr>
                                <a:xfrm>
                                  <a:off x="625475" y="116205"/>
                                  <a:ext cx="152400" cy="175260"/>
                                </a:xfrm>
                                <a:prstGeom prst="rect">
                                  <a:avLst/>
                                </a:prstGeom>
                                <a:noFill/>
                                <a:ln>
                                  <a:noFill/>
                                </a:ln>
                              </wps:spPr>
                              <wps:txbx>
                                <w:txbxContent>
                                  <w:p w14:paraId="0A4F5356">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10</w:t>
                                    </w:r>
                                  </w:p>
                                </w:txbxContent>
                              </wps:txbx>
                              <wps:bodyPr wrap="none" lIns="0" tIns="0" rIns="0" bIns="0" upright="1">
                                <a:spAutoFit/>
                              </wps:bodyPr>
                            </wps:wsp>
                            <wps:wsp>
                              <wps:cNvPr id="478" name="矩形 478"/>
                              <wps:cNvSpPr/>
                              <wps:spPr>
                                <a:xfrm>
                                  <a:off x="427990" y="116205"/>
                                  <a:ext cx="50165" cy="175260"/>
                                </a:xfrm>
                                <a:prstGeom prst="rect">
                                  <a:avLst/>
                                </a:prstGeom>
                                <a:noFill/>
                                <a:ln>
                                  <a:noFill/>
                                </a:ln>
                              </wps:spPr>
                              <wps:txbx>
                                <w:txbxContent>
                                  <w:p w14:paraId="44D321D2">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wps:txbx>
                              <wps:bodyPr wrap="none" lIns="0" tIns="0" rIns="0" bIns="0" upright="1">
                                <a:spAutoFit/>
                              </wps:bodyPr>
                            </wps:wsp>
                            <wps:wsp>
                              <wps:cNvPr id="479" name="矩形 479"/>
                              <wps:cNvSpPr/>
                              <wps:spPr>
                                <a:xfrm>
                                  <a:off x="278765" y="116205"/>
                                  <a:ext cx="50165" cy="175260"/>
                                </a:xfrm>
                                <a:prstGeom prst="rect">
                                  <a:avLst/>
                                </a:prstGeom>
                                <a:noFill/>
                                <a:ln>
                                  <a:noFill/>
                                </a:ln>
                              </wps:spPr>
                              <wps:txbx>
                                <w:txbxContent>
                                  <w:p w14:paraId="3BCE1706">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wps:txbx>
                              <wps:bodyPr wrap="none" lIns="0" tIns="0" rIns="0" bIns="0" upright="1">
                                <a:spAutoFit/>
                              </wps:bodyPr>
                            </wps:wsp>
                          </wpc:wpc>
                        </a:graphicData>
                      </a:graphic>
                    </wp:inline>
                  </w:drawing>
                </mc:Choice>
                <mc:Fallback>
                  <w:pict>
                    <v:group id="_x0000_s1026" o:spid="_x0000_s1026" o:spt="203" style="height:35.15pt;width:139.7pt;" coordsize="1774190,446405" editas="canvas" o:gfxdata="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">
                      <o:lock v:ext="edit" aspectratio="f"/>
                      <v:shape id="_x0000_s1026" o:spid="_x0000_s1026" style="position:absolute;left:0;top:0;height:446405;width:1774190;" filled="f" stroked="f" coordsize="21600,21600" o:gfxdata="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ragUetcAAAAEAQAADwAAAAAAAAABACAAAAAiAAAAZHJzL2Rvd25y&#10;ZXYueG1sUEsBAhQAFAAAAAgAh07iQLjm/iGrBAAAmC0AAA4AAAAAAAAAAQAgAAAAJgEAAGRycy9l&#10;Mm9Eb2MueG1sUEsFBgAAAAAGAAYAWQEAAEMIAAAAAA==&#10;">
                        <v:fill on="f" focussize="0,0"/>
                        <v:stroke on="f"/>
                        <v:imagedata o:title=""/>
                        <o:lock v:ext="edit" aspectratio="t"/>
                      </v:shape>
                      <v:rect id="_x0000_s1026" o:spid="_x0000_s1026" o:spt="1" style="position:absolute;left:1715135;top:149860;height:186690;width:5842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6mO/0wAAAAQBAAAPAAAAAAAAAAEAIAAAACIAAABkcnMv&#10;ZG93bnJldi54bWxQSwECFAAUAAAACACHTuJA12Xias8BAACYAwAADgAAAAAAAAABACAAAAAiAQAA&#10;ZHJzL2Uyb0RvYy54bWxQSwUGAAAAAAYABgBZAQAAYwUAAAAA&#10;">
                        <v:fill on="f" focussize="0,0"/>
                        <v:stroke on="f"/>
                        <v:imagedata o:title=""/>
                        <o:lock v:ext="edit" aspectratio="f"/>
                        <v:textbox inset="0mm,0mm,0mm,0mm" style="mso-fit-shape-to-text:t;">
                          <w:txbxContent>
                            <w:p w14:paraId="327B619F">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1715135;top:249555;height:186690;width:5842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Opjv9MAAAAEAQAADwAAAAAAAAABACAAAAAiAAAA&#10;ZHJzL2Rvd25yZXYueG1sUEsBAhQAFAAAAAgAh07iQJ6cFtfTAQAAmAMAAA4AAAAAAAAAAQAgAAAA&#10;IgEAAGRycy9lMm9Eb2MueG1sUEsFBgAAAAAGAAYAWQEAAGcFAAAAAA==&#10;">
                        <v:fill on="f" focussize="0,0"/>
                        <v:stroke on="f"/>
                        <v:imagedata o:title=""/>
                        <o:lock v:ext="edit" aspectratio="f"/>
                        <v:textbox inset="0mm,0mm,0mm,0mm" style="mso-fit-shape-to-text:t;">
                          <w:txbxContent>
                            <w:p w14:paraId="4189CCE8">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1715135;top:0;height:186690;width:5842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6mO/0wAAAAQBAAAPAAAAAAAAAAEAIAAAACIAAABkcnMvZG93&#10;bnJldi54bWxQSwECFAAUAAAACACHTuJA9FcQVswBAACTAwAADgAAAAAAAAABACAAAAAiAQAAZHJz&#10;L2Uyb0RvYy54bWxQSwUGAAAAAAYABgBZAQAAYAUAAAAA&#10;">
                        <v:fill on="f" focussize="0,0"/>
                        <v:stroke on="f"/>
                        <v:imagedata o:title=""/>
                        <o:lock v:ext="edit" aspectratio="f"/>
                        <v:textbox inset="0mm,0mm,0mm,0mm" style="mso-fit-shape-to-text:t;">
                          <w:txbxContent>
                            <w:p w14:paraId="15ACDDC3">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919480;top:149860;height:186690;width:5842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jqY7/TAAAABAEAAA8AAAAAAAAAAQAgAAAAIgAAAGRycy9k&#10;b3ducmV2LnhtbFBLAQIUABQAAAAIAIdO4kA0cGuLzgEAAJcDAAAOAAAAAAAAAAEAIAAAACIBAABk&#10;cnMvZTJvRG9jLnhtbFBLBQYAAAAABgAGAFkBAABiBQAAAAA=&#10;">
                        <v:fill on="f" focussize="0,0"/>
                        <v:stroke on="f"/>
                        <v:imagedata o:title=""/>
                        <o:lock v:ext="edit" aspectratio="f"/>
                        <v:textbox inset="0mm,0mm,0mm,0mm" style="mso-fit-shape-to-text:t;">
                          <w:txbxContent>
                            <w:p w14:paraId="4815C227">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919480;top:249555;height:186690;width:5842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Opjv9MAAAAEAQAADwAAAAAAAAABACAAAAAiAAAAZHJz&#10;L2Rvd25yZXYueG1sUEsBAhQAFAAAAAgAh07iQODLhbHQAQAAlwMAAA4AAAAAAAAAAQAgAAAAIgEA&#10;AGRycy9lMm9Eb2MueG1sUEsFBgAAAAAGAAYAWQEAAGQFAAAAAA==&#10;">
                        <v:fill on="f" focussize="0,0"/>
                        <v:stroke on="f"/>
                        <v:imagedata o:title=""/>
                        <o:lock v:ext="edit" aspectratio="f"/>
                        <v:textbox inset="0mm,0mm,0mm,0mm" style="mso-fit-shape-to-text:t;">
                          <w:txbxContent>
                            <w:p w14:paraId="60BF5B7C">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919480;top:0;height:186690;width:5842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Y6mO/0wAAAAQBAAAPAAAAAAAAAAEAIAAAACIAAABkcnMvZG93bnJl&#10;di54bWxQSwECFAAUAAAACACHTuJAhDYa4MkBAACSAwAADgAAAAAAAAABACAAAAAiAQAAZHJzL2Uy&#10;b0RvYy54bWxQSwUGAAAAAAYABgBZAQAAXQUAAAAA&#10;">
                        <v:fill on="f" focussize="0,0"/>
                        <v:stroke on="f"/>
                        <v:imagedata o:title=""/>
                        <o:lock v:ext="edit" aspectratio="f"/>
                        <v:textbox inset="0mm,0mm,0mm,0mm" style="mso-fit-shape-to-text:t;">
                          <w:txbxContent>
                            <w:p w14:paraId="52082FFE">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518160;top:97790;height:186690;width:83185;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jqY7/TAAAABAEAAA8AAAAAAAAAAQAgAAAAIgAAAGRycy9k&#10;b3ducmV2LnhtbFBLAQIUABQAAAAIAIdO4kDuyraMzgEAAJYDAAAOAAAAAAAAAAEAIAAAACIBAABk&#10;cnMvZTJvRG9jLnhtbFBLBQYAAAAABgAGAFkBAABiBQAAAAA=&#10;">
                        <v:fill on="f" focussize="0,0"/>
                        <v:stroke on="f"/>
                        <v:imagedata o:title=""/>
                        <o:lock v:ext="edit" aspectratio="f"/>
                        <v:textbox inset="0mm,0mm,0mm,0mm" style="mso-fit-shape-to-text:t;">
                          <w:txbxContent>
                            <w:p w14:paraId="0CEAF4F5">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979805;top:55880;height:295910;width:17145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Opjv9MAAAAEAQAADwAAAAAAAAABACAAAAAiAAAAZHJz&#10;L2Rvd25yZXYueG1sUEsBAhQAFAAAAAgAh07iQK/f15jQAQAAlwMAAA4AAAAAAAAAAQAgAAAAIgEA&#10;AGRycy9lMm9Eb2MueG1sUEsFBgAAAAAGAAYAWQEAAGQFAAAAAA==&#10;">
                        <v:fill on="f" focussize="0,0"/>
                        <v:stroke on="f"/>
                        <v:imagedata o:title=""/>
                        <o:lock v:ext="edit" aspectratio="f"/>
                        <v:textbox inset="0mm,0mm,0mm,0mm" style="mso-fit-shape-to-text:t;">
                          <w:txbxContent>
                            <w:p w14:paraId="78EABD1C">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38"/>
                                  <w:szCs w:val="38"/>
                                  <w:lang w:val="en-US" w:bidi="ar"/>
                                </w:rPr>
                                <w:t></w:t>
                              </w:r>
                            </w:p>
                          </w:txbxContent>
                        </v:textbox>
                      </v:rect>
                      <v:rect id="_x0000_s1026" o:spid="_x0000_s1026" o:spt="1" style="position:absolute;left:1035685;top:313690;height:109220;width:4826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Opjv9MAAAAEAQAADwAAAAAAAAABACAAAAAiAAAAZHJz&#10;L2Rvd25yZXYueG1sUEsBAhQAFAAAAAgAh07iQLi4qdnQAQAAmAMAAA4AAAAAAAAAAQAgAAAAIgEA&#10;AGRycy9lMm9Eb2MueG1sUEsFBgAAAAAGAAYAWQEAAGQFAAAAAA==&#10;">
                        <v:fill on="f" focussize="0,0"/>
                        <v:stroke on="f"/>
                        <v:imagedata o:title=""/>
                        <o:lock v:ext="edit" aspectratio="f"/>
                        <v:textbox inset="0mm,0mm,0mm,0mm" style="mso-fit-shape-to-text:t;">
                          <w:txbxContent>
                            <w:p w14:paraId="7DF75519">
                              <w:pPr>
                                <w:autoSpaceDE/>
                                <w:autoSpaceDN/>
                                <w:adjustRightInd w:val="0"/>
                                <w:snapToGrid w:val="0"/>
                                <w:jc w:val="both"/>
                                <w:rPr>
                                  <w:rFonts w:ascii="Times New Roman" w:hAnsi="Times New Roman" w:cs="Times New Roman"/>
                                  <w:kern w:val="2"/>
                                  <w:sz w:val="21"/>
                                  <w:szCs w:val="24"/>
                                  <w:lang w:val="en-US" w:bidi="ar-SA"/>
                                </w:rPr>
                              </w:pPr>
                              <w:r>
                                <w:rPr>
                                  <w:rFonts w:ascii="Symbol" w:hAnsi="Symbol" w:cs="Symbol"/>
                                  <w:color w:val="000000"/>
                                  <w:kern w:val="0"/>
                                  <w:sz w:val="14"/>
                                  <w:szCs w:val="14"/>
                                  <w:lang w:val="en-US" w:bidi="ar"/>
                                </w:rPr>
                                <w:t></w:t>
                              </w:r>
                            </w:p>
                          </w:txbxContent>
                        </v:textbox>
                      </v:rect>
                      <v:rect id="_x0000_s1026" o:spid="_x0000_s1026" o:spt="1" style="position:absolute;left:1029335;top:15240;height:102235;width:5969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jqY7/TAAAABAEAAA8AAAAAAAAAAQAgAAAAIgAAAGRycy9k&#10;b3ducmV2LnhtbFBLAQIUABQAAAAIAIdO4kBxv71JzgEAAJcDAAAOAAAAAAAAAAEAIAAAACIBAABk&#10;cnMvZTJvRG9jLnhtbFBLBQYAAAAABgAGAFkBAABiBQAAAAA=&#10;">
                        <v:fill on="f" focussize="0,0"/>
                        <v:stroke on="f"/>
                        <v:imagedata o:title=""/>
                        <o:lock v:ext="edit" aspectratio="f"/>
                        <v:textbox inset="0mm,0mm,0mm,0mm" style="mso-fit-shape-to-text:t;">
                          <w:txbxContent>
                            <w:p w14:paraId="50D9527B">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N</w:t>
                              </w:r>
                            </w:p>
                          </w:txbxContent>
                        </v:textbox>
                      </v:rect>
                      <v:rect id="_x0000_s1026" o:spid="_x0000_s1026" o:spt="1" style="position:absolute;left:1003935;top:323850;height:102235;width:2413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6mO/0wAAAAQBAAAPAAAAAAAAAAEAIAAAACIAAABkcnMv&#10;ZG93bnJldi54bWxQSwECFAAUAAAACACHTuJAS4pNlM8BAACYAwAADgAAAAAAAAABACAAAAAiAQAA&#10;ZHJzL2Uyb0RvYy54bWxQSwUGAAAAAAYABgBZAQAAYwUAAAAA&#10;">
                        <v:fill on="f" focussize="0,0"/>
                        <v:stroke on="f"/>
                        <v:imagedata o:title=""/>
                        <o:lock v:ext="edit" aspectratio="f"/>
                        <v:textbox inset="0mm,0mm,0mm,0mm" style="mso-fit-shape-to-text:t;">
                          <w:txbxContent>
                            <w:p w14:paraId="186EC972">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j</w:t>
                              </w:r>
                            </w:p>
                          </w:txbxContent>
                        </v:textbox>
                      </v:rect>
                      <v:rect id="_x0000_s1026" o:spid="_x0000_s1026" o:spt="1" style="position:absolute;left:1420495;top:88265;height:102235;width:48895;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Opjv9MAAAAEAQAADwAAAAAAAAABACAAAAAiAAAAZHJz&#10;L2Rvd25yZXYueG1sUEsBAhQAFAAAAAgAh07iQJ7FJFLQAQAAlwMAAA4AAAAAAAAAAQAgAAAAIgEA&#10;AGRycy9lMm9Eb2MueG1sUEsFBgAAAAAGAAYAWQEAAGQFAAAAAA==&#10;">
                        <v:fill on="f" focussize="0,0"/>
                        <v:stroke on="f"/>
                        <v:imagedata o:title=""/>
                        <o:lock v:ext="edit" aspectratio="f"/>
                        <v:textbox inset="0mm,0mm,0mm,0mm" style="mso-fit-shape-to-text:t;">
                          <w:txbxContent>
                            <w:p w14:paraId="74AFA69D">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L</w:t>
                              </w:r>
                            </w:p>
                          </w:txbxContent>
                        </v:textbox>
                      </v:rect>
                      <v:rect id="_x0000_s1026" o:spid="_x0000_s1026" o:spt="1" style="position:absolute;left:83185;top:213360;height:102235;width:12319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Opjv9MAAAAEAQAADwAAAAAAAAABACAAAAAiAAAAZHJz&#10;L2Rvd25yZXYueG1sUEsBAhQAFAAAAAgAh07iQI22Am3QAQAAlwMAAA4AAAAAAAAAAQAgAAAAIgEA&#10;AGRycy9lMm9Eb2MueG1sUEsFBgAAAAAGAAYAWQEAAGQFAAAAAA==&#10;">
                        <v:fill on="f" focussize="0,0"/>
                        <v:stroke on="f"/>
                        <v:imagedata o:title=""/>
                        <o:lock v:ext="edit" aspectratio="f"/>
                        <v:textbox inset="0mm,0mm,0mm,0mm" style="mso-fit-shape-to-text:t;">
                          <w:txbxContent>
                            <w:p w14:paraId="0A8F09A0">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P1i</w:t>
                              </w:r>
                            </w:p>
                          </w:txbxContent>
                        </v:textbox>
                      </v:rect>
                      <v:rect id="_x0000_s1026" o:spid="_x0000_s1026" o:spt="1" style="position:absolute;left:1466850;top:134620;height:73025;width:10541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6mO/0wAAAAQBAAAPAAAAAAAAAAEAIAAAACIAAABkcnMv&#10;ZG93bnJldi54bWxQSwECFAAUAAAACACHTuJAmiYjms8BAACYAwAADgAAAAAAAAABACAAAAAiAQAA&#10;ZHJzL2Uyb0RvYy54bWxQSwUGAAAAAAYABgBZAQAAYwUAAAAA&#10;">
                        <v:fill on="f" focussize="0,0"/>
                        <v:stroke on="f"/>
                        <v:imagedata o:title=""/>
                        <o:lock v:ext="edit" aspectratio="f"/>
                        <v:textbox inset="0mm,0mm,0mm,0mm" style="mso-fit-shape-to-text:t;">
                          <w:txbxContent>
                            <w:p w14:paraId="3CAF30CB">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0"/>
                                  <w:szCs w:val="10"/>
                                  <w:lang w:val="en-US" w:bidi="ar"/>
                                </w:rPr>
                                <w:t>P1ij</w:t>
                              </w:r>
                            </w:p>
                          </w:txbxContent>
                        </v:textbox>
                      </v:rect>
                      <v:rect id="_x0000_s1026" o:spid="_x0000_s1026" o:spt="1" style="position:absolute;left:323850;top:116205;height:175260;width:8509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6mO/0wAAAAQBAAAPAAAAAAAAAAEAIAAAACIAAABkcnMv&#10;ZG93bnJldi54bWxQSwECFAAUAAAACACHTuJA1xNe8c8BAACXAwAADgAAAAAAAAABACAAAAAiAQAA&#10;ZHJzL2Uyb0RvYy54bWxQSwUGAAAAAAYABgBZAQAAYwUAAAAA&#10;">
                        <v:fill on="f" focussize="0,0"/>
                        <v:stroke on="f"/>
                        <v:imagedata o:title=""/>
                        <o:lock v:ext="edit" aspectratio="f"/>
                        <v:textbox inset="0mm,0mm,0mm,0mm" style="mso-fit-shape-to-text:t;">
                          <w:txbxContent>
                            <w:p w14:paraId="2E2B91E3">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T</w:t>
                              </w:r>
                            </w:p>
                          </w:txbxContent>
                        </v:textbox>
                      </v:rect>
                      <v:rect id="_x0000_s1026" o:spid="_x0000_s1026" o:spt="1" style="position:absolute;left:0;top:116205;height:175260;width:84455;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Opjv9MAAAAEAQAADwAAAAAAAAABACAAAAAiAAAAZHJzL2Rvd25y&#10;ZXYueG1sUEsBAhQAFAAAAAgAh07iQNWQad7KAQAAkgMAAA4AAAAAAAAAAQAgAAAAIgEAAGRycy9l&#10;Mm9Eb2MueG1sUEsFBgAAAAAGAAYAWQEAAF4FAAAAAA==&#10;">
                        <v:fill on="f" focussize="0,0"/>
                        <v:stroke on="f"/>
                        <v:imagedata o:title=""/>
                        <o:lock v:ext="edit" aspectratio="f"/>
                        <v:textbox inset="0mm,0mm,0mm,0mm" style="mso-fit-shape-to-text:t;">
                          <w:txbxContent>
                            <w:p w14:paraId="65FBC3E9">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v:textbox>
                      </v:rect>
                      <v:rect id="_x0000_s1026" o:spid="_x0000_s1026" o:spt="1" style="position:absolute;left:1079500;top:323215;height:102235;width:4445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Opjv9MAAAAEAQAADwAAAAAAAAABACAAAAAiAAAAZHJz&#10;L2Rvd25yZXYueG1sUEsBAhQAFAAAAAgAh07iQEWIOxnQAQAAmAMAAA4AAAAAAAAAAQAgAAAAIgEA&#10;AGRycy9lMm9Eb2MueG1sUEsFBgAAAAAGAAYAWQEAAGQFAAAAAA==&#10;">
                        <v:fill on="f" focussize="0,0"/>
                        <v:stroke on="f"/>
                        <v:imagedata o:title=""/>
                        <o:lock v:ext="edit" aspectratio="f"/>
                        <v:textbox inset="0mm,0mm,0mm,0mm" style="mso-fit-shape-to-text:t;">
                          <w:txbxContent>
                            <w:p w14:paraId="431859F5">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14"/>
                                  <w:szCs w:val="14"/>
                                  <w:lang w:val="en-US" w:bidi="ar"/>
                                </w:rPr>
                                <w:t>1</w:t>
                              </w:r>
                            </w:p>
                          </w:txbxContent>
                        </v:textbox>
                      </v:rect>
                      <v:rect id="_x0000_s1026" o:spid="_x0000_s1026" o:spt="1" style="position:absolute;left:1374140;top:87630;height:102235;width:4445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Opjv9MAAAAEAQAADwAAAAAAAAABACAAAAAiAAAAZHJz&#10;L2Rvd25yZXYueG1sUEsBAhQAFAAAAAgAh07iQNPNLpXQAQAAlwMAAA4AAAAAAAAAAQAgAAAAIgEA&#10;AGRycy9lMm9Eb2MueG1sUEsFBgAAAAAGAAYAWQEAAGQFAAAAAA==&#10;">
                        <v:fill on="f" focussize="0,0"/>
                        <v:stroke on="f"/>
                        <v:imagedata o:title=""/>
                        <o:lock v:ext="edit" aspectratio="f"/>
                        <v:textbox inset="0mm,0mm,0mm,0mm" style="mso-fit-shape-to-text:t;">
                          <w:txbxContent>
                            <w:p w14:paraId="7339FDAC">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14"/>
                                  <w:szCs w:val="14"/>
                                  <w:lang w:val="en-US" w:bidi="ar"/>
                                </w:rPr>
                                <w:t>1</w:t>
                              </w:r>
                            </w:p>
                          </w:txbxContent>
                        </v:textbox>
                      </v:rect>
                      <v:rect id="_x0000_s1026" o:spid="_x0000_s1026" o:spt="1" style="position:absolute;left:1351915;top:87630;height:102235;width:22225;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Opjv9MAAAAEAQAADwAAAAAAAAABACAAAAAiAAAAZHJz&#10;L2Rvd25yZXYueG1sUEsBAhQAFAAAAAgAh07iQA6cck/QAQAAlwMAAA4AAAAAAAAAAQAgAAAAIgEA&#10;AGRycy9lMm9Eb2MueG1sUEsFBgAAAAAGAAYAWQEAAGQFAAAAAA==&#10;">
                        <v:fill on="f" focussize="0,0"/>
                        <v:stroke on="f"/>
                        <v:imagedata o:title=""/>
                        <o:lock v:ext="edit" aspectratio="f"/>
                        <v:textbox inset="0mm,0mm,0mm,0mm" style="mso-fit-shape-to-text:t;">
                          <w:txbxContent>
                            <w:p w14:paraId="7D97F18B">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14"/>
                                  <w:szCs w:val="14"/>
                                  <w:lang w:val="en-US" w:bidi="ar"/>
                                </w:rPr>
                                <w:t>.</w:t>
                              </w:r>
                            </w:p>
                          </w:txbxContent>
                        </v:textbox>
                      </v:rect>
                      <v:rect id="_x0000_s1026" o:spid="_x0000_s1026" o:spt="1" style="position:absolute;left:1307465;top:87630;height:102235;width:4445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Opjv9MAAAAEAQAADwAAAAAAAAABACAAAAAiAAAAZHJz&#10;L2Rvd25yZXYueG1sUEsBAhQAFAAAAAgAh07iQNviQSfQAQAAlwMAAA4AAAAAAAAAAQAgAAAAIgEA&#10;AGRycy9lMm9Eb2MueG1sUEsFBgAAAAAGAAYAWQEAAGQFAAAAAA==&#10;">
                        <v:fill on="f" focussize="0,0"/>
                        <v:stroke on="f"/>
                        <v:imagedata o:title=""/>
                        <o:lock v:ext="edit" aspectratio="f"/>
                        <v:textbox inset="0mm,0mm,0mm,0mm" style="mso-fit-shape-to-text:t;">
                          <w:txbxContent>
                            <w:p w14:paraId="574AFB33">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14"/>
                                  <w:szCs w:val="14"/>
                                  <w:lang w:val="en-US" w:bidi="ar"/>
                                </w:rPr>
                                <w:t>0</w:t>
                              </w:r>
                            </w:p>
                          </w:txbxContent>
                        </v:textbox>
                      </v:rect>
                      <v:rect id="_x0000_s1026" o:spid="_x0000_s1026" o:spt="1" style="position:absolute;left:1146175;top:116205;height:175260;width:15240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jqY7/TAAAABAEAAA8AAAAAAAAAAQAgAAAAIgAAAGRycy9k&#10;b3ducmV2LnhtbFBLAQIUABQAAAAIAIdO4kBGe3NazgEAAJkDAAAOAAAAAAAAAAEAIAAAACIBAABk&#10;cnMvZTJvRG9jLnhtbFBLBQYAAAAABgAGAFkBAABiBQAAAAA=&#10;">
                        <v:fill on="f" focussize="0,0"/>
                        <v:stroke on="f"/>
                        <v:imagedata o:title=""/>
                        <o:lock v:ext="edit" aspectratio="f"/>
                        <v:textbox inset="0mm,0mm,0mm,0mm" style="mso-fit-shape-to-text:t;">
                          <w:txbxContent>
                            <w:p w14:paraId="3966A7B8">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10</w:t>
                              </w:r>
                            </w:p>
                          </w:txbxContent>
                        </v:textbox>
                      </v:rect>
                      <v:rect id="_x0000_s1026" o:spid="_x0000_s1026" o:spt="1" style="position:absolute;left:793750;top:116205;height:175260;width:11811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jqY7/TAAAABAEAAA8AAAAAAAAAAQAgAAAAIgAAAGRy&#10;cy9kb3ducmV2LnhtbFBLAQIUABQAAAAIAIdO4kCMCZks0QEAAJgDAAAOAAAAAAAAAAEAIAAAACIB&#10;AABkcnMvZTJvRG9jLnhtbFBLBQYAAAAABgAGAFkBAABlBQAAAAA=&#10;">
                        <v:fill on="f" focussize="0,0"/>
                        <v:stroke on="f"/>
                        <v:imagedata o:title=""/>
                        <o:lock v:ext="edit" aspectratio="f"/>
                        <v:textbox inset="0mm,0mm,0mm,0mm" style="mso-fit-shape-to-text:t;">
                          <w:txbxContent>
                            <w:p w14:paraId="4C661328">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lg</w:t>
                              </w:r>
                            </w:p>
                          </w:txbxContent>
                        </v:textbox>
                      </v:rect>
                      <v:rect id="_x0000_s1026" o:spid="_x0000_s1026" o:spt="1" style="position:absolute;left:625475;top:116205;height:175260;width:152400;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Opjv9MAAAAEAQAADwAAAAAAAAABACAAAAAiAAAAZHJz&#10;L2Rvd25yZXYueG1sUEsBAhQAFAAAAAgAh07iQEATpPvQAQAAmAMAAA4AAAAAAAAAAQAgAAAAIgEA&#10;AGRycy9lMm9Eb2MueG1sUEsFBgAAAAAGAAYAWQEAAGQFAAAAAA==&#10;">
                        <v:fill on="f" focussize="0,0"/>
                        <v:stroke on="f"/>
                        <v:imagedata o:title=""/>
                        <o:lock v:ext="edit" aspectratio="f"/>
                        <v:textbox inset="0mm,0mm,0mm,0mm" style="mso-fit-shape-to-text:t;">
                          <w:txbxContent>
                            <w:p w14:paraId="0A4F5356">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10</w:t>
                              </w:r>
                            </w:p>
                          </w:txbxContent>
                        </v:textbox>
                      </v:rect>
                      <v:rect id="_x0000_s1026" o:spid="_x0000_s1026" o:spt="1" style="position:absolute;left:427990;top:116205;height:175260;width:50165;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Opjv9MAAAAEAQAADwAAAAAAAAABACAAAAAiAAAAZHJz&#10;L2Rvd25yZXYueG1sUEsBAhQAFAAAAAgAh07iQFJEcFDQAQAAlwMAAA4AAAAAAAAAAQAgAAAAIgEA&#10;AGRycy9lMm9Eb2MueG1sUEsFBgAAAAAGAAYAWQEAAGQFAAAAAA==&#10;">
                        <v:fill on="f" focussize="0,0"/>
                        <v:stroke on="f"/>
                        <v:imagedata o:title=""/>
                        <o:lock v:ext="edit" aspectratio="f"/>
                        <v:textbox inset="0mm,0mm,0mm,0mm" style="mso-fit-shape-to-text:t;">
                          <w:txbxContent>
                            <w:p w14:paraId="44D321D2">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v:textbox>
                      </v:rect>
                      <v:rect id="_x0000_s1026" o:spid="_x0000_s1026" o:spt="1" style="position:absolute;left:278765;top:116205;height:175260;width:50165;mso-wrap-style:none;" filled="f" stroked="f" coordsize="21600,21600" o:gfxdata="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6mO/0wAAAAQBAAAPAAAAAAAAAAEAIAAAACIAAABkcnMv&#10;ZG93bnJldi54bWxQSwECFAAUAAAACACHTuJAd5MYVc8BAACXAwAADgAAAAAAAAABACAAAAAiAQAA&#10;ZHJzL2Uyb0RvYy54bWxQSwUGAAAAAAYABgBZAQAAYwUAAAAA&#10;">
                        <v:fill on="f" focussize="0,0"/>
                        <v:stroke on="f"/>
                        <v:imagedata o:title=""/>
                        <o:lock v:ext="edit" aspectratio="f"/>
                        <v:textbox inset="0mm,0mm,0mm,0mm" style="mso-fit-shape-to-text:t;">
                          <w:txbxContent>
                            <w:p w14:paraId="3BCE1706">
                              <w:pPr>
                                <w:autoSpaceDE/>
                                <w:autoSpaceDN/>
                                <w:adjustRightInd w:val="0"/>
                                <w:snapToGrid w:val="0"/>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v:textbox>
                      </v:rect>
                      <w10:wrap type="none"/>
                      <w10:anchorlock/>
                    </v:group>
                  </w:pict>
                </mc:Fallback>
              </mc:AlternateContent>
            </w:r>
          </w:p>
          <w:p w14:paraId="46DF404B">
            <w:pPr>
              <w:autoSpaceDE/>
              <w:autoSpaceDN/>
              <w:adjustRightInd w:val="0"/>
              <w:snapToGrid w:val="0"/>
              <w:spacing w:line="360" w:lineRule="auto"/>
              <w:ind w:firstLine="420" w:firstLineChars="200"/>
              <w:jc w:val="both"/>
              <w:rPr>
                <w:rFonts w:hint="eastAsia" w:ascii="Times New Roman" w:hAnsi="Times New Roman" w:cs="宋体"/>
                <w:color w:val="auto"/>
                <w:kern w:val="2"/>
                <w:sz w:val="21"/>
                <w:szCs w:val="21"/>
                <w:lang w:val="en-US" w:bidi="ar"/>
              </w:rPr>
            </w:pPr>
            <w:r>
              <w:rPr>
                <w:rFonts w:hint="eastAsia" w:ascii="Times New Roman" w:hAnsi="Times New Roman" w:cs="宋体"/>
                <w:color w:val="auto"/>
                <w:kern w:val="2"/>
                <w:sz w:val="21"/>
                <w:szCs w:val="21"/>
                <w:lang w:val="en-US" w:bidi="ar"/>
              </w:rPr>
              <w:t>式中：</w:t>
            </w:r>
          </w:p>
          <w:p w14:paraId="3471CE84">
            <w:pPr>
              <w:autoSpaceDE/>
              <w:autoSpaceDN/>
              <w:adjustRightInd w:val="0"/>
              <w:snapToGrid w:val="0"/>
              <w:spacing w:line="360" w:lineRule="auto"/>
              <w:ind w:firstLine="420" w:firstLineChars="200"/>
              <w:jc w:val="both"/>
              <w:rPr>
                <w:rFonts w:hint="eastAsia" w:ascii="Times New Roman" w:hAnsi="Times New Roman" w:cs="宋体"/>
                <w:color w:val="auto"/>
                <w:kern w:val="2"/>
                <w:sz w:val="21"/>
                <w:szCs w:val="21"/>
                <w:lang w:val="en-US" w:bidi="ar"/>
              </w:rPr>
            </w:pP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p1i</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T</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w:t>
            </w:r>
            <w:r>
              <w:rPr>
                <w:rFonts w:hint="eastAsia" w:ascii="Times New Roman" w:hAnsi="Times New Roman" w:cs="宋体"/>
                <w:color w:val="auto"/>
                <w:kern w:val="2"/>
                <w:sz w:val="21"/>
                <w:szCs w:val="21"/>
                <w:lang w:val="en-US" w:bidi="ar"/>
              </w:rPr>
              <w:t>靠近围护结构处室内</w:t>
            </w:r>
            <w:r>
              <w:rPr>
                <w:rFonts w:ascii="Times New Roman" w:hAnsi="Times New Roman" w:cs="Times New Roman"/>
                <w:color w:val="auto"/>
                <w:kern w:val="2"/>
                <w:sz w:val="21"/>
                <w:szCs w:val="21"/>
                <w:lang w:val="en-US" w:bidi="ar"/>
              </w:rPr>
              <w:t>N</w:t>
            </w:r>
            <w:r>
              <w:rPr>
                <w:rFonts w:hint="eastAsia" w:ascii="Times New Roman" w:hAnsi="Times New Roman" w:cs="宋体"/>
                <w:color w:val="auto"/>
                <w:kern w:val="2"/>
                <w:sz w:val="21"/>
                <w:szCs w:val="21"/>
                <w:lang w:val="en-US" w:bidi="ar"/>
              </w:rPr>
              <w:t>个声源</w:t>
            </w:r>
            <w:r>
              <w:rPr>
                <w:rFonts w:ascii="Times New Roman" w:hAnsi="Times New Roman" w:cs="Times New Roman"/>
                <w:color w:val="auto"/>
                <w:kern w:val="2"/>
                <w:sz w:val="21"/>
                <w:szCs w:val="21"/>
                <w:lang w:val="en-US" w:bidi="ar"/>
              </w:rPr>
              <w:t>i</w:t>
            </w:r>
            <w:r>
              <w:rPr>
                <w:rFonts w:hint="eastAsia" w:ascii="Times New Roman" w:hAnsi="Times New Roman" w:cs="宋体"/>
                <w:color w:val="auto"/>
                <w:kern w:val="2"/>
                <w:sz w:val="21"/>
                <w:szCs w:val="21"/>
                <w:lang w:val="en-US" w:bidi="ar"/>
              </w:rPr>
              <w:t>倍频带的叠加声压级，</w:t>
            </w:r>
            <w:r>
              <w:rPr>
                <w:rFonts w:ascii="Times New Roman" w:hAnsi="Times New Roman" w:cs="Times New Roman"/>
                <w:color w:val="auto"/>
                <w:kern w:val="2"/>
                <w:sz w:val="21"/>
                <w:szCs w:val="21"/>
                <w:lang w:val="en-US" w:bidi="ar"/>
              </w:rPr>
              <w:t>dB</w:t>
            </w:r>
            <w:r>
              <w:rPr>
                <w:rFonts w:hint="eastAsia" w:ascii="Times New Roman" w:hAnsi="Times New Roman" w:cs="宋体"/>
                <w:color w:val="auto"/>
                <w:kern w:val="2"/>
                <w:sz w:val="21"/>
                <w:szCs w:val="21"/>
                <w:lang w:val="en-US" w:bidi="ar"/>
              </w:rPr>
              <w:t>；</w:t>
            </w:r>
          </w:p>
          <w:p w14:paraId="17F6F221">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p1ij</w:t>
            </w:r>
            <w:r>
              <w:rPr>
                <w:rFonts w:ascii="Times New Roman" w:hAnsi="Times New Roman" w:cs="Times New Roman"/>
                <w:color w:val="auto"/>
                <w:kern w:val="2"/>
                <w:sz w:val="21"/>
                <w:szCs w:val="21"/>
                <w:lang w:val="en-US" w:bidi="ar"/>
              </w:rPr>
              <w:t>--</w:t>
            </w:r>
            <w:r>
              <w:rPr>
                <w:rFonts w:hint="eastAsia" w:ascii="Times New Roman" w:hAnsi="Times New Roman" w:cs="宋体"/>
                <w:color w:val="auto"/>
                <w:kern w:val="2"/>
                <w:sz w:val="21"/>
                <w:szCs w:val="21"/>
                <w:lang w:val="en-US" w:bidi="ar"/>
              </w:rPr>
              <w:t>室内</w:t>
            </w:r>
            <w:r>
              <w:rPr>
                <w:rFonts w:ascii="Times New Roman" w:hAnsi="Times New Roman" w:cs="Times New Roman"/>
                <w:color w:val="auto"/>
                <w:kern w:val="2"/>
                <w:sz w:val="21"/>
                <w:szCs w:val="21"/>
                <w:lang w:val="en-US" w:bidi="ar"/>
              </w:rPr>
              <w:t>j</w:t>
            </w:r>
            <w:r>
              <w:rPr>
                <w:rFonts w:hint="eastAsia" w:ascii="Times New Roman" w:hAnsi="Times New Roman" w:cs="宋体"/>
                <w:color w:val="auto"/>
                <w:kern w:val="2"/>
                <w:sz w:val="21"/>
                <w:szCs w:val="21"/>
                <w:lang w:val="en-US" w:bidi="ar"/>
              </w:rPr>
              <w:t>声源</w:t>
            </w:r>
            <w:r>
              <w:rPr>
                <w:rFonts w:ascii="Times New Roman" w:hAnsi="Times New Roman" w:cs="Times New Roman"/>
                <w:color w:val="auto"/>
                <w:kern w:val="2"/>
                <w:sz w:val="21"/>
                <w:szCs w:val="21"/>
                <w:lang w:val="en-US" w:bidi="ar"/>
              </w:rPr>
              <w:t>i</w:t>
            </w:r>
            <w:r>
              <w:rPr>
                <w:rFonts w:hint="eastAsia" w:ascii="Times New Roman" w:hAnsi="Times New Roman" w:cs="宋体"/>
                <w:color w:val="auto"/>
                <w:kern w:val="2"/>
                <w:sz w:val="21"/>
                <w:szCs w:val="21"/>
                <w:lang w:val="en-US" w:bidi="ar"/>
              </w:rPr>
              <w:t>倍频带的声压级，</w:t>
            </w:r>
            <w:r>
              <w:rPr>
                <w:rFonts w:ascii="Times New Roman" w:hAnsi="Times New Roman" w:cs="Times New Roman"/>
                <w:color w:val="auto"/>
                <w:kern w:val="2"/>
                <w:sz w:val="21"/>
                <w:szCs w:val="21"/>
                <w:lang w:val="en-US" w:bidi="ar"/>
              </w:rPr>
              <w:t>dB</w:t>
            </w:r>
            <w:r>
              <w:rPr>
                <w:rFonts w:hint="eastAsia" w:ascii="Times New Roman" w:hAnsi="Times New Roman" w:cs="宋体"/>
                <w:color w:val="auto"/>
                <w:kern w:val="2"/>
                <w:sz w:val="21"/>
                <w:szCs w:val="21"/>
                <w:lang w:val="en-US" w:bidi="ar"/>
              </w:rPr>
              <w:t>；</w:t>
            </w:r>
          </w:p>
          <w:p w14:paraId="1EB8F6E9">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N--</w:t>
            </w:r>
            <w:r>
              <w:rPr>
                <w:rFonts w:hint="eastAsia" w:ascii="Times New Roman" w:hAnsi="Times New Roman" w:cs="宋体"/>
                <w:color w:val="auto"/>
                <w:kern w:val="2"/>
                <w:sz w:val="21"/>
                <w:szCs w:val="21"/>
                <w:lang w:val="en-US" w:bidi="ar"/>
              </w:rPr>
              <w:t>室内声源总数。</w:t>
            </w:r>
          </w:p>
          <w:p w14:paraId="05B7ADF8">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hint="eastAsia" w:ascii="Times New Roman" w:hAnsi="Times New Roman" w:cs="宋体"/>
                <w:color w:val="auto"/>
                <w:kern w:val="2"/>
                <w:sz w:val="21"/>
                <w:szCs w:val="21"/>
                <w:lang w:val="en-US" w:bidi="ar"/>
              </w:rPr>
              <w:t>在室内近似为扩散声场时，按下式计算出靠近室外围护结构处的声压级：</w:t>
            </w:r>
          </w:p>
          <w:p w14:paraId="4BB9F7FD">
            <w:pPr>
              <w:autoSpaceDE/>
              <w:autoSpaceDN/>
              <w:adjustRightInd w:val="0"/>
              <w:snapToGrid w:val="0"/>
              <w:spacing w:line="360" w:lineRule="auto"/>
              <w:ind w:firstLine="360" w:firstLineChars="20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18"/>
                <w:szCs w:val="21"/>
                <w:lang w:val="en-US" w:bidi="ar-SA"/>
              </w:rPr>
              <mc:AlternateContent>
                <mc:Choice Requires="wpc">
                  <w:drawing>
                    <wp:inline distT="0" distB="0" distL="114300" distR="114300">
                      <wp:extent cx="1949450" cy="264795"/>
                      <wp:effectExtent l="0" t="0" r="0" b="0"/>
                      <wp:docPr id="441" name="画布 4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 name="矩形 423"/>
                              <wps:cNvSpPr/>
                              <wps:spPr>
                                <a:xfrm>
                                  <a:off x="1878330" y="17145"/>
                                  <a:ext cx="50165" cy="175260"/>
                                </a:xfrm>
                                <a:prstGeom prst="rect">
                                  <a:avLst/>
                                </a:prstGeom>
                                <a:noFill/>
                                <a:ln>
                                  <a:noFill/>
                                </a:ln>
                              </wps:spPr>
                              <wps:txbx>
                                <w:txbxContent>
                                  <w:p w14:paraId="62EDD46E">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wps:txbx>
                              <wps:bodyPr wrap="none" lIns="0" tIns="0" rIns="0" bIns="0" upright="1">
                                <a:spAutoFit/>
                              </wps:bodyPr>
                            </wps:wsp>
                            <wps:wsp>
                              <wps:cNvPr id="424" name="矩形 424"/>
                              <wps:cNvSpPr/>
                              <wps:spPr>
                                <a:xfrm>
                                  <a:off x="1802130" y="17145"/>
                                  <a:ext cx="76200" cy="175260"/>
                                </a:xfrm>
                                <a:prstGeom prst="rect">
                                  <a:avLst/>
                                </a:prstGeom>
                                <a:noFill/>
                                <a:ln>
                                  <a:noFill/>
                                </a:ln>
                              </wps:spPr>
                              <wps:txbx>
                                <w:txbxContent>
                                  <w:p w14:paraId="0620F64E">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6</w:t>
                                    </w:r>
                                  </w:p>
                                </w:txbxContent>
                              </wps:txbx>
                              <wps:bodyPr wrap="none" lIns="0" tIns="0" rIns="0" bIns="0" upright="1">
                                <a:spAutoFit/>
                              </wps:bodyPr>
                            </wps:wsp>
                            <wps:wsp>
                              <wps:cNvPr id="425" name="矩形 425"/>
                              <wps:cNvSpPr/>
                              <wps:spPr>
                                <a:xfrm>
                                  <a:off x="1311275" y="17145"/>
                                  <a:ext cx="50165" cy="175260"/>
                                </a:xfrm>
                                <a:prstGeom prst="rect">
                                  <a:avLst/>
                                </a:prstGeom>
                                <a:noFill/>
                                <a:ln>
                                  <a:noFill/>
                                </a:ln>
                              </wps:spPr>
                              <wps:txbx>
                                <w:txbxContent>
                                  <w:p w14:paraId="263D36E6">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wps:txbx>
                              <wps:bodyPr wrap="none" lIns="0" tIns="0" rIns="0" bIns="0" upright="1">
                                <a:spAutoFit/>
                              </wps:bodyPr>
                            </wps:wsp>
                            <wps:wsp>
                              <wps:cNvPr id="426" name="矩形 426"/>
                              <wps:cNvSpPr/>
                              <wps:spPr>
                                <a:xfrm>
                                  <a:off x="1118870" y="17145"/>
                                  <a:ext cx="50165" cy="175260"/>
                                </a:xfrm>
                                <a:prstGeom prst="rect">
                                  <a:avLst/>
                                </a:prstGeom>
                                <a:noFill/>
                                <a:ln>
                                  <a:noFill/>
                                </a:ln>
                              </wps:spPr>
                              <wps:txbx>
                                <w:txbxContent>
                                  <w:p w14:paraId="71CCD164">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wps:txbx>
                              <wps:bodyPr wrap="none" lIns="0" tIns="0" rIns="0" bIns="0" upright="1">
                                <a:spAutoFit/>
                              </wps:bodyPr>
                            </wps:wsp>
                            <wps:wsp>
                              <wps:cNvPr id="427" name="矩形 427"/>
                              <wps:cNvSpPr/>
                              <wps:spPr>
                                <a:xfrm>
                                  <a:off x="969010" y="17145"/>
                                  <a:ext cx="50165" cy="175260"/>
                                </a:xfrm>
                                <a:prstGeom prst="rect">
                                  <a:avLst/>
                                </a:prstGeom>
                                <a:noFill/>
                                <a:ln>
                                  <a:noFill/>
                                </a:ln>
                              </wps:spPr>
                              <wps:txbx>
                                <w:txbxContent>
                                  <w:p w14:paraId="0F78AEB5">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wps:txbx>
                              <wps:bodyPr wrap="none" lIns="0" tIns="0" rIns="0" bIns="0" upright="1">
                                <a:spAutoFit/>
                              </wps:bodyPr>
                            </wps:wsp>
                            <wps:wsp>
                              <wps:cNvPr id="428" name="矩形 428"/>
                              <wps:cNvSpPr/>
                              <wps:spPr>
                                <a:xfrm>
                                  <a:off x="472440" y="17145"/>
                                  <a:ext cx="50165" cy="175260"/>
                                </a:xfrm>
                                <a:prstGeom prst="rect">
                                  <a:avLst/>
                                </a:prstGeom>
                                <a:noFill/>
                                <a:ln>
                                  <a:noFill/>
                                </a:ln>
                              </wps:spPr>
                              <wps:txbx>
                                <w:txbxContent>
                                  <w:p w14:paraId="68097CCC">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wps:txbx>
                              <wps:bodyPr wrap="none" lIns="0" tIns="0" rIns="0" bIns="0" upright="1">
                                <a:spAutoFit/>
                              </wps:bodyPr>
                            </wps:wsp>
                            <wps:wsp>
                              <wps:cNvPr id="429" name="矩形 429"/>
                              <wps:cNvSpPr/>
                              <wps:spPr>
                                <a:xfrm>
                                  <a:off x="322580" y="17145"/>
                                  <a:ext cx="50165" cy="175260"/>
                                </a:xfrm>
                                <a:prstGeom prst="rect">
                                  <a:avLst/>
                                </a:prstGeom>
                                <a:noFill/>
                                <a:ln>
                                  <a:noFill/>
                                </a:ln>
                              </wps:spPr>
                              <wps:txbx>
                                <w:txbxContent>
                                  <w:p w14:paraId="0155145D">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wps:txbx>
                              <wps:bodyPr wrap="none" lIns="0" tIns="0" rIns="0" bIns="0" upright="1">
                                <a:spAutoFit/>
                              </wps:bodyPr>
                            </wps:wsp>
                            <wps:wsp>
                              <wps:cNvPr id="430" name="矩形 430"/>
                              <wps:cNvSpPr/>
                              <wps:spPr>
                                <a:xfrm>
                                  <a:off x="1637665" y="0"/>
                                  <a:ext cx="83185" cy="186690"/>
                                </a:xfrm>
                                <a:prstGeom prst="rect">
                                  <a:avLst/>
                                </a:prstGeom>
                                <a:noFill/>
                                <a:ln>
                                  <a:noFill/>
                                </a:ln>
                              </wps:spPr>
                              <wps:txbx>
                                <w:txbxContent>
                                  <w:p w14:paraId="48CC7AAA">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31" name="矩形 431"/>
                              <wps:cNvSpPr/>
                              <wps:spPr>
                                <a:xfrm>
                                  <a:off x="1199515" y="0"/>
                                  <a:ext cx="83185" cy="186690"/>
                                </a:xfrm>
                                <a:prstGeom prst="rect">
                                  <a:avLst/>
                                </a:prstGeom>
                                <a:noFill/>
                                <a:ln>
                                  <a:noFill/>
                                </a:ln>
                              </wps:spPr>
                              <wps:txbx>
                                <w:txbxContent>
                                  <w:p w14:paraId="67BE4CB3">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32" name="矩形 432"/>
                              <wps:cNvSpPr/>
                              <wps:spPr>
                                <a:xfrm>
                                  <a:off x="562610" y="0"/>
                                  <a:ext cx="83185" cy="186690"/>
                                </a:xfrm>
                                <a:prstGeom prst="rect">
                                  <a:avLst/>
                                </a:prstGeom>
                                <a:noFill/>
                                <a:ln>
                                  <a:noFill/>
                                </a:ln>
                              </wps:spPr>
                              <wps:txbx>
                                <w:txbxContent>
                                  <w:p w14:paraId="54FB8731">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33" name="矩形 433"/>
                              <wps:cNvSpPr/>
                              <wps:spPr>
                                <a:xfrm>
                                  <a:off x="1525270" y="111760"/>
                                  <a:ext cx="24130" cy="102235"/>
                                </a:xfrm>
                                <a:prstGeom prst="rect">
                                  <a:avLst/>
                                </a:prstGeom>
                                <a:noFill/>
                                <a:ln>
                                  <a:noFill/>
                                </a:ln>
                              </wps:spPr>
                              <wps:txbx>
                                <w:txbxContent>
                                  <w:p w14:paraId="307CDB35">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i</w:t>
                                    </w:r>
                                  </w:p>
                                </w:txbxContent>
                              </wps:txbx>
                              <wps:bodyPr wrap="none" lIns="0" tIns="0" rIns="0" bIns="0" upright="1">
                                <a:spAutoFit/>
                              </wps:bodyPr>
                            </wps:wsp>
                            <wps:wsp>
                              <wps:cNvPr id="434" name="矩形 434"/>
                              <wps:cNvSpPr/>
                              <wps:spPr>
                                <a:xfrm>
                                  <a:off x="774065" y="111760"/>
                                  <a:ext cx="123190" cy="102235"/>
                                </a:xfrm>
                                <a:prstGeom prst="rect">
                                  <a:avLst/>
                                </a:prstGeom>
                                <a:noFill/>
                                <a:ln>
                                  <a:noFill/>
                                </a:ln>
                              </wps:spPr>
                              <wps:txbx>
                                <w:txbxContent>
                                  <w:p w14:paraId="027D63C6">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P1i</w:t>
                                    </w:r>
                                  </w:p>
                                </w:txbxContent>
                              </wps:txbx>
                              <wps:bodyPr wrap="none" lIns="0" tIns="0" rIns="0" bIns="0" upright="1">
                                <a:spAutoFit/>
                              </wps:bodyPr>
                            </wps:wsp>
                            <wps:wsp>
                              <wps:cNvPr id="435" name="矩形 435"/>
                              <wps:cNvSpPr/>
                              <wps:spPr>
                                <a:xfrm>
                                  <a:off x="111125" y="111760"/>
                                  <a:ext cx="211455" cy="109220"/>
                                </a:xfrm>
                                <a:prstGeom prst="rect">
                                  <a:avLst/>
                                </a:prstGeom>
                                <a:noFill/>
                                <a:ln>
                                  <a:noFill/>
                                </a:ln>
                              </wps:spPr>
                              <wps:txbx>
                                <w:txbxContent>
                                  <w:p w14:paraId="3539B472">
                                    <w:pPr>
                                      <w:autoSpaceDE/>
                                      <w:autoSpaceDN/>
                                      <w:jc w:val="both"/>
                                      <w:rPr>
                                        <w:rFonts w:ascii="Times New Roman" w:hAnsi="Times New Roman" w:cs="Times New Roman"/>
                                        <w:kern w:val="2"/>
                                        <w:sz w:val="15"/>
                                        <w:szCs w:val="15"/>
                                        <w:lang w:val="en-US" w:bidi="ar-SA"/>
                                      </w:rPr>
                                    </w:pPr>
                                    <w:r>
                                      <w:rPr>
                                        <w:rFonts w:ascii="Times New Roman" w:hAnsi="Times New Roman" w:cs="Times New Roman"/>
                                        <w:kern w:val="2"/>
                                        <w:sz w:val="15"/>
                                        <w:szCs w:val="15"/>
                                        <w:lang w:val="en-US" w:bidi="ar"/>
                                      </w:rPr>
                                      <w:t>p2i</w:t>
                                    </w:r>
                                  </w:p>
                                </w:txbxContent>
                              </wps:txbx>
                              <wps:bodyPr lIns="0" tIns="0" rIns="0" bIns="0" upright="1">
                                <a:spAutoFit/>
                              </wps:bodyPr>
                            </wps:wsp>
                            <wps:wsp>
                              <wps:cNvPr id="436" name="矩形 436"/>
                              <wps:cNvSpPr/>
                              <wps:spPr>
                                <a:xfrm>
                                  <a:off x="1356360" y="17145"/>
                                  <a:ext cx="168910" cy="175260"/>
                                </a:xfrm>
                                <a:prstGeom prst="rect">
                                  <a:avLst/>
                                </a:prstGeom>
                                <a:noFill/>
                                <a:ln>
                                  <a:noFill/>
                                </a:ln>
                              </wps:spPr>
                              <wps:txbx>
                                <w:txbxContent>
                                  <w:p w14:paraId="18660AFB">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TL</w:t>
                                    </w:r>
                                  </w:p>
                                </w:txbxContent>
                              </wps:txbx>
                              <wps:bodyPr wrap="none" lIns="0" tIns="0" rIns="0" bIns="0" upright="1">
                                <a:spAutoFit/>
                              </wps:bodyPr>
                            </wps:wsp>
                            <wps:wsp>
                              <wps:cNvPr id="437" name="矩形 437"/>
                              <wps:cNvSpPr/>
                              <wps:spPr>
                                <a:xfrm>
                                  <a:off x="1014095" y="17145"/>
                                  <a:ext cx="85090" cy="175260"/>
                                </a:xfrm>
                                <a:prstGeom prst="rect">
                                  <a:avLst/>
                                </a:prstGeom>
                                <a:noFill/>
                                <a:ln>
                                  <a:noFill/>
                                </a:ln>
                              </wps:spPr>
                              <wps:txbx>
                                <w:txbxContent>
                                  <w:p w14:paraId="4BC61B7E">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T</w:t>
                                    </w:r>
                                  </w:p>
                                </w:txbxContent>
                              </wps:txbx>
                              <wps:bodyPr wrap="none" lIns="0" tIns="0" rIns="0" bIns="0" upright="1">
                                <a:spAutoFit/>
                              </wps:bodyPr>
                            </wps:wsp>
                            <wps:wsp>
                              <wps:cNvPr id="438" name="矩形 438"/>
                              <wps:cNvSpPr/>
                              <wps:spPr>
                                <a:xfrm>
                                  <a:off x="690880" y="17145"/>
                                  <a:ext cx="84455" cy="175260"/>
                                </a:xfrm>
                                <a:prstGeom prst="rect">
                                  <a:avLst/>
                                </a:prstGeom>
                                <a:noFill/>
                                <a:ln>
                                  <a:noFill/>
                                </a:ln>
                              </wps:spPr>
                              <wps:txbx>
                                <w:txbxContent>
                                  <w:p w14:paraId="559D8E66">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wps:txbx>
                              <wps:bodyPr wrap="none" lIns="0" tIns="0" rIns="0" bIns="0" upright="1">
                                <a:spAutoFit/>
                              </wps:bodyPr>
                            </wps:wsp>
                            <wps:wsp>
                              <wps:cNvPr id="439" name="矩形 439"/>
                              <wps:cNvSpPr/>
                              <wps:spPr>
                                <a:xfrm>
                                  <a:off x="367665" y="17145"/>
                                  <a:ext cx="85090" cy="175260"/>
                                </a:xfrm>
                                <a:prstGeom prst="rect">
                                  <a:avLst/>
                                </a:prstGeom>
                                <a:noFill/>
                                <a:ln>
                                  <a:noFill/>
                                </a:ln>
                              </wps:spPr>
                              <wps:txbx>
                                <w:txbxContent>
                                  <w:p w14:paraId="08F497FA">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T</w:t>
                                    </w:r>
                                  </w:p>
                                </w:txbxContent>
                              </wps:txbx>
                              <wps:bodyPr wrap="none" lIns="0" tIns="0" rIns="0" bIns="0" upright="1">
                                <a:spAutoFit/>
                              </wps:bodyPr>
                            </wps:wsp>
                            <wps:wsp>
                              <wps:cNvPr id="440" name="矩形 440"/>
                              <wps:cNvSpPr/>
                              <wps:spPr>
                                <a:xfrm>
                                  <a:off x="27940" y="17145"/>
                                  <a:ext cx="84455" cy="175260"/>
                                </a:xfrm>
                                <a:prstGeom prst="rect">
                                  <a:avLst/>
                                </a:prstGeom>
                                <a:noFill/>
                                <a:ln>
                                  <a:noFill/>
                                </a:ln>
                              </wps:spPr>
                              <wps:txbx>
                                <w:txbxContent>
                                  <w:p w14:paraId="3305A124">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wps:txbx>
                              <wps:bodyPr wrap="none" lIns="0" tIns="0" rIns="0" bIns="0" upright="1">
                                <a:spAutoFit/>
                              </wps:bodyPr>
                            </wps:wsp>
                          </wpc:wpc>
                        </a:graphicData>
                      </a:graphic>
                    </wp:inline>
                  </w:drawing>
                </mc:Choice>
                <mc:Fallback>
                  <w:pict>
                    <v:group id="_x0000_s1026" o:spid="_x0000_s1026" o:spt="203" style="height:20.85pt;width:153.5pt;" coordsize="1949450,264795" editas="canvas" o:gfxdata="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">
                      <o:lock v:ext="edit" aspectratio="f"/>
                      <v:shape id="_x0000_s1026" o:spid="_x0000_s1026" style="position:absolute;left:0;top:0;height:264795;width:1949450;" filled="f" stroked="f" coordsize="21600,21600" o:gfxdata="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AAAAABkcnMvUEsBAhQAFAAAAAgAh07iQLx7USrVAAAA&#10;BAEAAA8AAAAAAAAAAQAgAAAAIgAAAGRycy9kb3ducmV2LnhtbFBLAQIUABQAAAAIAIdO4kA7T07g&#10;rwMAAHIhAAAOAAAAAAAAAAEAIAAAACQBAABkcnMvZTJvRG9jLnhtbFBLBQYAAAAABgAGAFkBAABF&#10;BwAAAAA=&#10;">
                        <v:fill on="f" focussize="0,0"/>
                        <v:stroke on="f"/>
                        <v:imagedata o:title=""/>
                        <o:lock v:ext="edit" aspectratio="t"/>
                      </v:shape>
                      <v:rect id="_x0000_s1026" o:spid="_x0000_s1026" o:spt="1" style="position:absolute;left:1878330;top:17145;height:175260;width:50165;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k5Ju/SAAAABAEAAA8AAAAAAAAAAQAgAAAAIgAAAGRycy9k&#10;b3ducmV2LnhtbFBLAQIUABQAAAAIAIdO4kCFc/PBzwEAAJcDAAAOAAAAAAAAAAEAIAAAACEBAABk&#10;cnMvZTJvRG9jLnhtbFBLBQYAAAAABgAGAFkBAABiBQAAAAA=&#10;">
                        <v:fill on="f" focussize="0,0"/>
                        <v:stroke on="f"/>
                        <v:imagedata o:title=""/>
                        <o:lock v:ext="edit" aspectratio="f"/>
                        <v:textbox inset="0mm,0mm,0mm,0mm" style="mso-fit-shape-to-text:t;">
                          <w:txbxContent>
                            <w:p w14:paraId="62EDD46E">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v:textbox>
                      </v:rect>
                      <v:rect id="_x0000_s1026" o:spid="_x0000_s1026" o:spt="1" style="position:absolute;left:1802130;top:17145;height:175260;width:76200;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Tkm79IAAAAEAQAADwAAAAAAAAABACAAAAAiAAAAZHJzL2Rv&#10;d25yZXYueG1sUEsBAhQAFAAAAAgAh07iQCOo19zOAQAAlwMAAA4AAAAAAAAAAQAgAAAAIQEAAGRy&#10;cy9lMm9Eb2MueG1sUEsFBgAAAAAGAAYAWQEAAGEFAAAAAA==&#10;">
                        <v:fill on="f" focussize="0,0"/>
                        <v:stroke on="f"/>
                        <v:imagedata o:title=""/>
                        <o:lock v:ext="edit" aspectratio="f"/>
                        <v:textbox inset="0mm,0mm,0mm,0mm" style="mso-fit-shape-to-text:t;">
                          <w:txbxContent>
                            <w:p w14:paraId="0620F64E">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6</w:t>
                              </w:r>
                            </w:p>
                          </w:txbxContent>
                        </v:textbox>
                      </v:rect>
                      <v:rect id="_x0000_s1026" o:spid="_x0000_s1026" o:spt="1" style="position:absolute;left:1311275;top:17145;height:175260;width:50165;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Tkm79IAAAAEAQAADwAAAAAAAAABACAAAAAiAAAAZHJzL2Rv&#10;d25yZXYueG1sUEsBAhQAFAAAAAgAh07iQKmyBXnOAQAAlwMAAA4AAAAAAAAAAQAgAAAAIQEAAGRy&#10;cy9lMm9Eb2MueG1sUEsFBgAAAAAGAAYAWQEAAGEFAAAAAA==&#10;">
                        <v:fill on="f" focussize="0,0"/>
                        <v:stroke on="f"/>
                        <v:imagedata o:title=""/>
                        <o:lock v:ext="edit" aspectratio="f"/>
                        <v:textbox inset="0mm,0mm,0mm,0mm" style="mso-fit-shape-to-text:t;">
                          <w:txbxContent>
                            <w:p w14:paraId="263D36E6">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v:textbox>
                      </v:rect>
                      <v:rect id="_x0000_s1026" o:spid="_x0000_s1026" o:spt="1" style="position:absolute;left:1118870;top:17145;height:175260;width:50165;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Tkm79IAAAAEAQAADwAAAAAAAAABACAAAAAiAAAAZHJzL2Rv&#10;d25yZXYueG1sUEsBAhQAFAAAAAgAh07iQNWUY/bOAQAAlwMAAA4AAAAAAAAAAQAgAAAAIQEAAGRy&#10;cy9lMm9Eb2MueG1sUEsFBgAAAAAGAAYAWQEAAGEFAAAAAA==&#10;">
                        <v:fill on="f" focussize="0,0"/>
                        <v:stroke on="f"/>
                        <v:imagedata o:title=""/>
                        <o:lock v:ext="edit" aspectratio="f"/>
                        <v:textbox inset="0mm,0mm,0mm,0mm" style="mso-fit-shape-to-text:t;">
                          <w:txbxContent>
                            <w:p w14:paraId="71CCD164">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v:textbox>
                      </v:rect>
                      <v:rect id="_x0000_s1026" o:spid="_x0000_s1026" o:spt="1" style="position:absolute;left:969010;top:17145;height:175260;width:50165;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k5Ju/SAAAABAEAAA8AAAAAAAAAAQAgAAAAIgAAAGRycy9k&#10;b3ducmV2LnhtbFBLAQIUABQAAAAIAIdO4kB0aVMwzwEAAJYDAAAOAAAAAAAAAAEAIAAAACEBAABk&#10;cnMvZTJvRG9jLnhtbFBLBQYAAAAABgAGAFkBAABiBQAAAAA=&#10;">
                        <v:fill on="f" focussize="0,0"/>
                        <v:stroke on="f"/>
                        <v:imagedata o:title=""/>
                        <o:lock v:ext="edit" aspectratio="f"/>
                        <v:textbox inset="0mm,0mm,0mm,0mm" style="mso-fit-shape-to-text:t;">
                          <w:txbxContent>
                            <w:p w14:paraId="0F78AEB5">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v:textbox>
                      </v:rect>
                      <v:rect id="_x0000_s1026" o:spid="_x0000_s1026" o:spt="1" style="position:absolute;left:472440;top:17145;height:175260;width:50165;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OSbv0gAAAAQBAAAPAAAAAAAAAAEAIAAAACIAAABkcnMvZG93&#10;bnJldi54bWxQSwECFAAUAAAACACHTuJAOrL1fM0BAACWAwAADgAAAAAAAAABACAAAAAhAQAAZHJz&#10;L2Uyb0RvYy54bWxQSwUGAAAAAAYABgBZAQAAYAUAAAAA&#10;">
                        <v:fill on="f" focussize="0,0"/>
                        <v:stroke on="f"/>
                        <v:imagedata o:title=""/>
                        <o:lock v:ext="edit" aspectratio="f"/>
                        <v:textbox inset="0mm,0mm,0mm,0mm" style="mso-fit-shape-to-text:t;">
                          <w:txbxContent>
                            <w:p w14:paraId="68097CCC">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v:textbox>
                      </v:rect>
                      <v:rect id="_x0000_s1026" o:spid="_x0000_s1026" o:spt="1" style="position:absolute;left:322580;top:17145;height:175260;width:50165;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k5Ju/SAAAABAEAAA8AAAAAAAAAAQAgAAAAIgAAAGRycy9k&#10;b3ducmV2LnhtbFBLAQIUABQAAAAIAIdO4kC9r7EjzwEAAJYDAAAOAAAAAAAAAAEAIAAAACEBAABk&#10;cnMvZTJvRG9jLnhtbFBLBQYAAAAABgAGAFkBAABiBQAAAAA=&#10;">
                        <v:fill on="f" focussize="0,0"/>
                        <v:stroke on="f"/>
                        <v:imagedata o:title=""/>
                        <o:lock v:ext="edit" aspectratio="f"/>
                        <v:textbox inset="0mm,0mm,0mm,0mm" style="mso-fit-shape-to-text:t;">
                          <w:txbxContent>
                            <w:p w14:paraId="0155145D">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v:textbox>
                      </v:rect>
                      <v:rect id="_x0000_s1026" o:spid="_x0000_s1026" o:spt="1" style="position:absolute;left:1637665;top:0;height:186690;width:83185;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Tkm79IAAAAEAQAADwAAAAAAAAABACAAAAAiAAAAZHJzL2Rvd25y&#10;ZXYueG1sUEsBAhQAFAAAAAgAh07iQLxmOJTLAQAAkwMAAA4AAAAAAAAAAQAgAAAAIQEAAGRycy9l&#10;Mm9Eb2MueG1sUEsFBgAAAAAGAAYAWQEAAF4FAAAAAA==&#10;">
                        <v:fill on="f" focussize="0,0"/>
                        <v:stroke on="f"/>
                        <v:imagedata o:title=""/>
                        <o:lock v:ext="edit" aspectratio="f"/>
                        <v:textbox inset="0mm,0mm,0mm,0mm" style="mso-fit-shape-to-text:t;">
                          <w:txbxContent>
                            <w:p w14:paraId="48CC7AAA">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1199515;top:0;height:186690;width:83185;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Tkm79IAAAAEAQAADwAAAAAAAAABACAAAAAiAAAAZHJzL2Rvd25y&#10;ZXYueG1sUEsBAhQAFAAAAAgAh07iQCHqd8nLAQAAkwMAAA4AAAAAAAAAAQAgAAAAIQEAAGRycy9l&#10;Mm9Eb2MueG1sUEsFBgAAAAAGAAYAWQEAAF4FAAAAAA==&#10;">
                        <v:fill on="f" focussize="0,0"/>
                        <v:stroke on="f"/>
                        <v:imagedata o:title=""/>
                        <o:lock v:ext="edit" aspectratio="f"/>
                        <v:textbox inset="0mm,0mm,0mm,0mm" style="mso-fit-shape-to-text:t;">
                          <w:txbxContent>
                            <w:p w14:paraId="67BE4CB3">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562610;top:0;height:186690;width:83185;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Tkm79IAAAAEAQAADwAAAAAAAAABACAAAAAiAAAAZHJzL2Rvd25y&#10;ZXYueG1sUEsBAhQAFAAAAAgAh07iQHcwPhXLAQAAkgMAAA4AAAAAAAAAAQAgAAAAIQEAAGRycy9l&#10;Mm9Eb2MueG1sUEsFBgAAAAAGAAYAWQEAAF4FAAAAAA==&#10;">
                        <v:fill on="f" focussize="0,0"/>
                        <v:stroke on="f"/>
                        <v:imagedata o:title=""/>
                        <o:lock v:ext="edit" aspectratio="f"/>
                        <v:textbox inset="0mm,0mm,0mm,0mm" style="mso-fit-shape-to-text:t;">
                          <w:txbxContent>
                            <w:p w14:paraId="54FB8731">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1525270;top:111760;height:102235;width:24130;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Tkm79IAAAAEAQAADwAAAAAAAAABACAAAAAiAAAAZHJzL2Rv&#10;d25yZXYueG1sUEsBAhQAFAAAAAgAh07iQDFCGf3OAQAAmAMAAA4AAAAAAAAAAQAgAAAAIQEAAGRy&#10;cy9lMm9Eb2MueG1sUEsFBgAAAAAGAAYAWQEAAGEFAAAAAA==&#10;">
                        <v:fill on="f" focussize="0,0"/>
                        <v:stroke on="f"/>
                        <v:imagedata o:title=""/>
                        <o:lock v:ext="edit" aspectratio="f"/>
                        <v:textbox inset="0mm,0mm,0mm,0mm" style="mso-fit-shape-to-text:t;">
                          <w:txbxContent>
                            <w:p w14:paraId="307CDB35">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i</w:t>
                              </w:r>
                            </w:p>
                          </w:txbxContent>
                        </v:textbox>
                      </v:rect>
                      <v:rect id="_x0000_s1026" o:spid="_x0000_s1026" o:spt="1" style="position:absolute;left:774065;top:111760;height:102235;width:123190;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OSbv0gAAAAQBAAAPAAAAAAAAAAEAIAAAACIAAABkcnMv&#10;ZG93bnJldi54bWxQSwECFAAUAAAACACHTuJAPwKO/tABAACYAwAADgAAAAAAAAABACAAAAAhAQAA&#10;ZHJzL2Uyb0RvYy54bWxQSwUGAAAAAAYABgBZAQAAYwUAAAAA&#10;">
                        <v:fill on="f" focussize="0,0"/>
                        <v:stroke on="f"/>
                        <v:imagedata o:title=""/>
                        <o:lock v:ext="edit" aspectratio="f"/>
                        <v:textbox inset="0mm,0mm,0mm,0mm" style="mso-fit-shape-to-text:t;">
                          <w:txbxContent>
                            <w:p w14:paraId="027D63C6">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P1i</w:t>
                              </w:r>
                            </w:p>
                          </w:txbxContent>
                        </v:textbox>
                      </v:rect>
                      <v:rect id="_x0000_s1026" o:spid="_x0000_s1026" o:spt="1" style="position:absolute;left:111125;top:111760;height:109220;width:211455;" filled="f" stroked="f" coordsize="21600,21600" o:gfxdata="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XFMG7VAAAABAEAAA8AAAAAAAAAAQAgAAAAIgAAAGRycy9kb3ducmV2Lnht&#10;bFBLAQIUABQAAAAIAIdO4kBpzwuawwEAAIwDAAAOAAAAAAAAAAEAIAAAACQBAABkcnMvZTJvRG9j&#10;LnhtbFBLBQYAAAAABgAGAFkBAABZBQAAAAA=&#10;">
                        <v:fill on="f" focussize="0,0"/>
                        <v:stroke on="f"/>
                        <v:imagedata o:title=""/>
                        <o:lock v:ext="edit" aspectratio="f"/>
                        <v:textbox inset="0mm,0mm,0mm,0mm" style="mso-fit-shape-to-text:t;">
                          <w:txbxContent>
                            <w:p w14:paraId="3539B472">
                              <w:pPr>
                                <w:autoSpaceDE/>
                                <w:autoSpaceDN/>
                                <w:jc w:val="both"/>
                                <w:rPr>
                                  <w:rFonts w:ascii="Times New Roman" w:hAnsi="Times New Roman" w:cs="Times New Roman"/>
                                  <w:kern w:val="2"/>
                                  <w:sz w:val="15"/>
                                  <w:szCs w:val="15"/>
                                  <w:lang w:val="en-US" w:bidi="ar-SA"/>
                                </w:rPr>
                              </w:pPr>
                              <w:r>
                                <w:rPr>
                                  <w:rFonts w:ascii="Times New Roman" w:hAnsi="Times New Roman" w:cs="Times New Roman"/>
                                  <w:kern w:val="2"/>
                                  <w:sz w:val="15"/>
                                  <w:szCs w:val="15"/>
                                  <w:lang w:val="en-US" w:bidi="ar"/>
                                </w:rPr>
                                <w:t>p2i</w:t>
                              </w:r>
                            </w:p>
                          </w:txbxContent>
                        </v:textbox>
                      </v:rect>
                      <v:rect id="_x0000_s1026" o:spid="_x0000_s1026" o:spt="1" style="position:absolute;left:1356360;top:17145;height:175260;width:168910;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Tkm79IAAAAEAQAADwAAAAAAAAABACAAAAAiAAAAZHJzL2Rv&#10;d25yZXYueG1sUEsBAhQAFAAAAAgAh07iQAjcewvOAQAAmAMAAA4AAAAAAAAAAQAgAAAAIQEAAGRy&#10;cy9lMm9Eb2MueG1sUEsFBgAAAAAGAAYAWQEAAGEFAAAAAA==&#10;">
                        <v:fill on="f" focussize="0,0"/>
                        <v:stroke on="f"/>
                        <v:imagedata o:title=""/>
                        <o:lock v:ext="edit" aspectratio="f"/>
                        <v:textbox inset="0mm,0mm,0mm,0mm" style="mso-fit-shape-to-text:t;">
                          <w:txbxContent>
                            <w:p w14:paraId="18660AFB">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TL</w:t>
                              </w:r>
                            </w:p>
                          </w:txbxContent>
                        </v:textbox>
                      </v:rect>
                      <v:rect id="_x0000_s1026" o:spid="_x0000_s1026" o:spt="1" style="position:absolute;left:1014095;top:17145;height:175260;width:85090;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k5Ju/SAAAABAEAAA8AAAAAAAAAAQAgAAAAIgAAAGRycy9k&#10;b3ducmV2LnhtbFBLAQIUABQAAAAIAIdO4kCJlPfBzwEAAJcDAAAOAAAAAAAAAAEAIAAAACEBAABk&#10;cnMvZTJvRG9jLnhtbFBLBQYAAAAABgAGAFkBAABiBQAAAAA=&#10;">
                        <v:fill on="f" focussize="0,0"/>
                        <v:stroke on="f"/>
                        <v:imagedata o:title=""/>
                        <o:lock v:ext="edit" aspectratio="f"/>
                        <v:textbox inset="0mm,0mm,0mm,0mm" style="mso-fit-shape-to-text:t;">
                          <w:txbxContent>
                            <w:p w14:paraId="4BC61B7E">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T</w:t>
                              </w:r>
                            </w:p>
                          </w:txbxContent>
                        </v:textbox>
                      </v:rect>
                      <v:rect id="_x0000_s1026" o:spid="_x0000_s1026" o:spt="1" style="position:absolute;left:690880;top:17145;height:175260;width:84455;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k5Ju/SAAAABAEAAA8AAAAAAAAAAQAgAAAAIgAAAGRycy9k&#10;b3ducmV2LnhtbFBLAQIUABQAAAAIAIdO4kCAEwEhzwEAAJYDAAAOAAAAAAAAAAEAIAAAACEBAABk&#10;cnMvZTJvRG9jLnhtbFBLBQYAAAAABgAGAFkBAABiBQAAAAA=&#10;">
                        <v:fill on="f" focussize="0,0"/>
                        <v:stroke on="f"/>
                        <v:imagedata o:title=""/>
                        <o:lock v:ext="edit" aspectratio="f"/>
                        <v:textbox inset="0mm,0mm,0mm,0mm" style="mso-fit-shape-to-text:t;">
                          <w:txbxContent>
                            <w:p w14:paraId="559D8E66">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v:textbox>
                      </v:rect>
                      <v:rect id="_x0000_s1026" o:spid="_x0000_s1026" o:spt="1" style="position:absolute;left:367665;top:17145;height:175260;width:85090;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OSbv0gAAAAQBAAAPAAAAAAAAAAEAIAAAACIAAABkcnMv&#10;ZG93bnJldi54bWxQSwECFAAUAAAACACHTuJAVv5U69ABAACWAwAADgAAAAAAAAABACAAAAAhAQAA&#10;ZHJzL2Uyb0RvYy54bWxQSwUGAAAAAAYABgBZAQAAYwUAAAAA&#10;">
                        <v:fill on="f" focussize="0,0"/>
                        <v:stroke on="f"/>
                        <v:imagedata o:title=""/>
                        <o:lock v:ext="edit" aspectratio="f"/>
                        <v:textbox inset="0mm,0mm,0mm,0mm" style="mso-fit-shape-to-text:t;">
                          <w:txbxContent>
                            <w:p w14:paraId="08F497FA">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T</w:t>
                              </w:r>
                            </w:p>
                          </w:txbxContent>
                        </v:textbox>
                      </v:rect>
                      <v:rect id="_x0000_s1026" o:spid="_x0000_s1026" o:spt="1" style="position:absolute;left:27940;top:17145;height:175260;width:84455;mso-wrap-style:none;" filled="f" stroked="f" coordsize="21600,21600" o:gfxdata="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OSbv0gAAAAQBAAAPAAAAAAAAAAEAIAAAACIAAABkcnMvZG93&#10;bnJldi54bWxQSwECFAAUAAAACACHTuJACrwA/M0BAACVAwAADgAAAAAAAAABACAAAAAhAQAAZHJz&#10;L2Uyb0RvYy54bWxQSwUGAAAAAAYABgBZAQAAYAUAAAAA&#10;">
                        <v:fill on="f" focussize="0,0"/>
                        <v:stroke on="f"/>
                        <v:imagedata o:title=""/>
                        <o:lock v:ext="edit" aspectratio="f"/>
                        <v:textbox inset="0mm,0mm,0mm,0mm" style="mso-fit-shape-to-text:t;">
                          <w:txbxContent>
                            <w:p w14:paraId="3305A124">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v:textbox>
                      </v:rect>
                      <w10:wrap type="none"/>
                      <w10:anchorlock/>
                    </v:group>
                  </w:pict>
                </mc:Fallback>
              </mc:AlternateContent>
            </w:r>
          </w:p>
          <w:p w14:paraId="42667FB6">
            <w:pPr>
              <w:autoSpaceDE/>
              <w:autoSpaceDN/>
              <w:adjustRightInd w:val="0"/>
              <w:snapToGrid w:val="0"/>
              <w:spacing w:line="360" w:lineRule="auto"/>
              <w:ind w:firstLine="420" w:firstLineChars="200"/>
              <w:jc w:val="both"/>
              <w:rPr>
                <w:rFonts w:hint="eastAsia" w:ascii="Times New Roman" w:hAnsi="Times New Roman" w:cs="宋体"/>
                <w:color w:val="auto"/>
                <w:kern w:val="2"/>
                <w:sz w:val="21"/>
                <w:szCs w:val="21"/>
                <w:lang w:val="en-US" w:bidi="ar"/>
              </w:rPr>
            </w:pPr>
            <w:r>
              <w:rPr>
                <w:rFonts w:hint="eastAsia" w:ascii="Times New Roman" w:hAnsi="Times New Roman" w:cs="宋体"/>
                <w:color w:val="auto"/>
                <w:kern w:val="2"/>
                <w:sz w:val="21"/>
                <w:szCs w:val="21"/>
                <w:lang w:val="en-US" w:bidi="ar"/>
              </w:rPr>
              <w:t>式中：</w:t>
            </w:r>
          </w:p>
          <w:p w14:paraId="01B5A94E">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
              </w:rPr>
            </w:pP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p2i</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T</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w:t>
            </w:r>
            <w:r>
              <w:rPr>
                <w:rFonts w:hint="eastAsia" w:ascii="Times New Roman" w:hAnsi="Times New Roman" w:cs="宋体"/>
                <w:color w:val="auto"/>
                <w:kern w:val="2"/>
                <w:sz w:val="21"/>
                <w:szCs w:val="21"/>
                <w:lang w:val="en-US" w:bidi="ar"/>
              </w:rPr>
              <w:t>靠近围护结构处室外</w:t>
            </w:r>
            <w:r>
              <w:rPr>
                <w:rFonts w:ascii="Times New Roman" w:hAnsi="Times New Roman" w:cs="Times New Roman"/>
                <w:color w:val="auto"/>
                <w:kern w:val="2"/>
                <w:sz w:val="21"/>
                <w:szCs w:val="21"/>
                <w:lang w:val="en-US" w:bidi="ar"/>
              </w:rPr>
              <w:t>N</w:t>
            </w:r>
            <w:r>
              <w:rPr>
                <w:rFonts w:hint="eastAsia" w:ascii="Times New Roman" w:hAnsi="Times New Roman" w:cs="宋体"/>
                <w:color w:val="auto"/>
                <w:kern w:val="2"/>
                <w:sz w:val="21"/>
                <w:szCs w:val="21"/>
                <w:lang w:val="en-US" w:bidi="ar"/>
              </w:rPr>
              <w:t>个声源</w:t>
            </w:r>
            <w:r>
              <w:rPr>
                <w:rFonts w:ascii="Times New Roman" w:hAnsi="Times New Roman" w:cs="Times New Roman"/>
                <w:color w:val="auto"/>
                <w:kern w:val="2"/>
                <w:sz w:val="21"/>
                <w:szCs w:val="21"/>
                <w:lang w:val="en-US" w:bidi="ar"/>
              </w:rPr>
              <w:t>i</w:t>
            </w:r>
            <w:r>
              <w:rPr>
                <w:rFonts w:hint="eastAsia" w:ascii="Times New Roman" w:hAnsi="Times New Roman" w:cs="宋体"/>
                <w:color w:val="auto"/>
                <w:kern w:val="2"/>
                <w:sz w:val="21"/>
                <w:szCs w:val="21"/>
                <w:lang w:val="en-US" w:bidi="ar"/>
              </w:rPr>
              <w:t>倍频带的叠加声压级，</w:t>
            </w:r>
            <w:r>
              <w:rPr>
                <w:rFonts w:ascii="Times New Roman" w:hAnsi="Times New Roman" w:cs="Times New Roman"/>
                <w:color w:val="auto"/>
                <w:kern w:val="2"/>
                <w:sz w:val="21"/>
                <w:szCs w:val="21"/>
                <w:lang w:val="en-US" w:bidi="ar"/>
              </w:rPr>
              <w:t>dB</w:t>
            </w:r>
            <w:r>
              <w:rPr>
                <w:rFonts w:hint="eastAsia" w:ascii="Times New Roman" w:hAnsi="Times New Roman" w:cs="宋体"/>
                <w:color w:val="auto"/>
                <w:kern w:val="2"/>
                <w:sz w:val="21"/>
                <w:szCs w:val="21"/>
                <w:lang w:val="en-US" w:bidi="ar"/>
              </w:rPr>
              <w:t>；</w:t>
            </w:r>
            <w:r>
              <w:rPr>
                <w:rFonts w:ascii="Times New Roman" w:hAnsi="Times New Roman" w:cs="Times New Roman"/>
                <w:color w:val="auto"/>
                <w:kern w:val="2"/>
                <w:sz w:val="21"/>
                <w:szCs w:val="21"/>
                <w:lang w:val="en-US" w:bidi="ar"/>
              </w:rPr>
              <w:t xml:space="preserve"> </w:t>
            </w:r>
          </w:p>
          <w:p w14:paraId="45FD2D7F">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p1i</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T</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w:t>
            </w:r>
            <w:r>
              <w:rPr>
                <w:rFonts w:hint="eastAsia" w:ascii="Times New Roman" w:hAnsi="Times New Roman" w:cs="宋体"/>
                <w:color w:val="auto"/>
                <w:kern w:val="2"/>
                <w:sz w:val="21"/>
                <w:szCs w:val="21"/>
                <w:lang w:val="en-US" w:bidi="ar"/>
              </w:rPr>
              <w:t>靠近围护结构处室内</w:t>
            </w:r>
            <w:r>
              <w:rPr>
                <w:rFonts w:ascii="Times New Roman" w:hAnsi="Times New Roman" w:cs="Times New Roman"/>
                <w:color w:val="auto"/>
                <w:kern w:val="2"/>
                <w:sz w:val="21"/>
                <w:szCs w:val="21"/>
                <w:lang w:val="en-US" w:bidi="ar"/>
              </w:rPr>
              <w:t>N</w:t>
            </w:r>
            <w:r>
              <w:rPr>
                <w:rFonts w:hint="eastAsia" w:ascii="Times New Roman" w:hAnsi="Times New Roman" w:cs="宋体"/>
                <w:color w:val="auto"/>
                <w:kern w:val="2"/>
                <w:sz w:val="21"/>
                <w:szCs w:val="21"/>
                <w:lang w:val="en-US" w:bidi="ar"/>
              </w:rPr>
              <w:t>个声源</w:t>
            </w:r>
            <w:r>
              <w:rPr>
                <w:rFonts w:ascii="Times New Roman" w:hAnsi="Times New Roman" w:cs="Times New Roman"/>
                <w:color w:val="auto"/>
                <w:kern w:val="2"/>
                <w:sz w:val="21"/>
                <w:szCs w:val="21"/>
                <w:lang w:val="en-US" w:bidi="ar"/>
              </w:rPr>
              <w:t>i</w:t>
            </w:r>
            <w:r>
              <w:rPr>
                <w:rFonts w:hint="eastAsia" w:ascii="Times New Roman" w:hAnsi="Times New Roman" w:cs="宋体"/>
                <w:color w:val="auto"/>
                <w:kern w:val="2"/>
                <w:sz w:val="21"/>
                <w:szCs w:val="21"/>
                <w:lang w:val="en-US" w:bidi="ar"/>
              </w:rPr>
              <w:t>倍频带的叠加声压级，</w:t>
            </w:r>
            <w:r>
              <w:rPr>
                <w:rFonts w:ascii="Times New Roman" w:hAnsi="Times New Roman" w:cs="Times New Roman"/>
                <w:color w:val="auto"/>
                <w:kern w:val="2"/>
                <w:sz w:val="21"/>
                <w:szCs w:val="21"/>
                <w:lang w:val="en-US" w:bidi="ar"/>
              </w:rPr>
              <w:t>dB</w:t>
            </w:r>
            <w:r>
              <w:rPr>
                <w:rFonts w:hint="eastAsia" w:ascii="Times New Roman" w:hAnsi="Times New Roman" w:cs="宋体"/>
                <w:color w:val="auto"/>
                <w:kern w:val="2"/>
                <w:sz w:val="21"/>
                <w:szCs w:val="21"/>
                <w:lang w:val="en-US" w:bidi="ar"/>
              </w:rPr>
              <w:t>；</w:t>
            </w:r>
          </w:p>
          <w:p w14:paraId="549D18DC">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TL</w:t>
            </w:r>
            <w:r>
              <w:rPr>
                <w:rFonts w:ascii="Times New Roman" w:hAnsi="Times New Roman" w:cs="Times New Roman"/>
                <w:color w:val="auto"/>
                <w:kern w:val="2"/>
                <w:sz w:val="21"/>
                <w:szCs w:val="21"/>
                <w:vertAlign w:val="subscript"/>
                <w:lang w:val="en-US" w:bidi="ar"/>
              </w:rPr>
              <w:t>i</w:t>
            </w:r>
            <w:r>
              <w:rPr>
                <w:rFonts w:ascii="Times New Roman" w:hAnsi="Times New Roman" w:cs="Times New Roman"/>
                <w:color w:val="auto"/>
                <w:kern w:val="2"/>
                <w:sz w:val="21"/>
                <w:szCs w:val="21"/>
                <w:lang w:val="en-US" w:bidi="ar"/>
              </w:rPr>
              <w:t>--</w:t>
            </w:r>
            <w:r>
              <w:rPr>
                <w:rFonts w:hint="eastAsia" w:ascii="Times New Roman" w:hAnsi="Times New Roman" w:cs="宋体"/>
                <w:color w:val="auto"/>
                <w:kern w:val="2"/>
                <w:sz w:val="21"/>
                <w:szCs w:val="21"/>
                <w:lang w:val="en-US" w:bidi="ar"/>
              </w:rPr>
              <w:t>围护结构</w:t>
            </w:r>
            <w:r>
              <w:rPr>
                <w:rFonts w:ascii="Times New Roman" w:hAnsi="Times New Roman" w:cs="Times New Roman"/>
                <w:color w:val="auto"/>
                <w:kern w:val="2"/>
                <w:sz w:val="21"/>
                <w:szCs w:val="21"/>
                <w:lang w:val="en-US" w:bidi="ar"/>
              </w:rPr>
              <w:t>i</w:t>
            </w:r>
            <w:r>
              <w:rPr>
                <w:rFonts w:hint="eastAsia" w:ascii="Times New Roman" w:hAnsi="Times New Roman" w:cs="宋体"/>
                <w:color w:val="auto"/>
                <w:kern w:val="2"/>
                <w:sz w:val="21"/>
                <w:szCs w:val="21"/>
                <w:lang w:val="en-US" w:bidi="ar"/>
              </w:rPr>
              <w:t>倍频带的隔声量，</w:t>
            </w:r>
            <w:r>
              <w:rPr>
                <w:rFonts w:ascii="Times New Roman" w:hAnsi="Times New Roman" w:cs="Times New Roman"/>
                <w:color w:val="auto"/>
                <w:kern w:val="2"/>
                <w:sz w:val="21"/>
                <w:szCs w:val="21"/>
                <w:lang w:val="en-US" w:bidi="ar"/>
              </w:rPr>
              <w:t>dB</w:t>
            </w:r>
            <w:r>
              <w:rPr>
                <w:rFonts w:hint="eastAsia" w:ascii="Times New Roman" w:hAnsi="Times New Roman" w:cs="宋体"/>
                <w:color w:val="auto"/>
                <w:kern w:val="2"/>
                <w:sz w:val="21"/>
                <w:szCs w:val="21"/>
                <w:lang w:val="en-US" w:bidi="ar"/>
              </w:rPr>
              <w:t>。</w:t>
            </w:r>
          </w:p>
          <w:p w14:paraId="478F8F1E">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hint="eastAsia" w:ascii="Times New Roman" w:hAnsi="Times New Roman" w:cs="宋体"/>
                <w:color w:val="auto"/>
                <w:kern w:val="2"/>
                <w:sz w:val="21"/>
                <w:szCs w:val="21"/>
                <w:lang w:val="en-US" w:bidi="ar"/>
              </w:rPr>
              <w:t>然后按下式将室外声源的声压级和透过面积换算成等效的室外声源，计算出中心位置位于透声面积（</w:t>
            </w:r>
            <w:r>
              <w:rPr>
                <w:rFonts w:ascii="Times New Roman" w:hAnsi="Times New Roman" w:cs="Times New Roman"/>
                <w:color w:val="auto"/>
                <w:kern w:val="2"/>
                <w:sz w:val="21"/>
                <w:szCs w:val="21"/>
                <w:lang w:val="en-US" w:bidi="ar"/>
              </w:rPr>
              <w:t>S</w:t>
            </w:r>
            <w:r>
              <w:rPr>
                <w:rFonts w:hint="eastAsia" w:ascii="Times New Roman" w:hAnsi="Times New Roman" w:cs="宋体"/>
                <w:color w:val="auto"/>
                <w:kern w:val="2"/>
                <w:sz w:val="21"/>
                <w:szCs w:val="21"/>
                <w:lang w:val="en-US" w:bidi="ar"/>
              </w:rPr>
              <w:t>）处的等效声源的倍频带声功率级。</w:t>
            </w:r>
          </w:p>
          <w:p w14:paraId="313E0DAF">
            <w:pPr>
              <w:autoSpaceDE/>
              <w:autoSpaceDN/>
              <w:adjustRightInd w:val="0"/>
              <w:snapToGrid w:val="0"/>
              <w:spacing w:line="360" w:lineRule="auto"/>
              <w:ind w:firstLine="360" w:firstLineChars="20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18"/>
                <w:szCs w:val="21"/>
                <w:lang w:val="en-US" w:bidi="ar-SA"/>
              </w:rPr>
              <mc:AlternateContent>
                <mc:Choice Requires="wpc">
                  <w:drawing>
                    <wp:inline distT="0" distB="0" distL="114300" distR="114300">
                      <wp:extent cx="1619250" cy="264795"/>
                      <wp:effectExtent l="0" t="0" r="0" b="0"/>
                      <wp:docPr id="454" name="画布 4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2" name="矩形 442"/>
                              <wps:cNvSpPr/>
                              <wps:spPr>
                                <a:xfrm>
                                  <a:off x="1502410" y="17145"/>
                                  <a:ext cx="76835" cy="175260"/>
                                </a:xfrm>
                                <a:prstGeom prst="rect">
                                  <a:avLst/>
                                </a:prstGeom>
                                <a:noFill/>
                                <a:ln>
                                  <a:noFill/>
                                </a:ln>
                              </wps:spPr>
                              <wps:txbx>
                                <w:txbxContent>
                                  <w:p w14:paraId="5E634F7A">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S</w:t>
                                    </w:r>
                                  </w:p>
                                </w:txbxContent>
                              </wps:txbx>
                              <wps:bodyPr wrap="none" lIns="0" tIns="0" rIns="0" bIns="0" upright="1">
                                <a:spAutoFit/>
                              </wps:bodyPr>
                            </wps:wsp>
                            <wps:wsp>
                              <wps:cNvPr id="443" name="矩形 443"/>
                              <wps:cNvSpPr/>
                              <wps:spPr>
                                <a:xfrm>
                                  <a:off x="902335" y="17145"/>
                                  <a:ext cx="85090" cy="175260"/>
                                </a:xfrm>
                                <a:prstGeom prst="rect">
                                  <a:avLst/>
                                </a:prstGeom>
                                <a:noFill/>
                                <a:ln>
                                  <a:noFill/>
                                </a:ln>
                              </wps:spPr>
                              <wps:txbx>
                                <w:txbxContent>
                                  <w:p w14:paraId="07187F86">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T</w:t>
                                    </w:r>
                                  </w:p>
                                </w:txbxContent>
                              </wps:txbx>
                              <wps:bodyPr wrap="none" lIns="0" tIns="0" rIns="0" bIns="0" upright="1">
                                <a:spAutoFit/>
                              </wps:bodyPr>
                            </wps:wsp>
                            <wps:wsp>
                              <wps:cNvPr id="444" name="矩形 444"/>
                              <wps:cNvSpPr/>
                              <wps:spPr>
                                <a:xfrm>
                                  <a:off x="622935" y="17145"/>
                                  <a:ext cx="85090" cy="175260"/>
                                </a:xfrm>
                                <a:prstGeom prst="rect">
                                  <a:avLst/>
                                </a:prstGeom>
                                <a:noFill/>
                                <a:ln>
                                  <a:noFill/>
                                </a:ln>
                              </wps:spPr>
                              <wps:txbx>
                                <w:txbxContent>
                                  <w:p w14:paraId="268400EE">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wps:txbx>
                              <wps:bodyPr wrap="none" lIns="0" tIns="0" rIns="0" bIns="0" upright="1">
                                <a:spAutoFit/>
                              </wps:bodyPr>
                            </wps:wsp>
                            <wps:wsp>
                              <wps:cNvPr id="445" name="矩形 445"/>
                              <wps:cNvSpPr/>
                              <wps:spPr>
                                <a:xfrm>
                                  <a:off x="218440" y="17145"/>
                                  <a:ext cx="85090" cy="175260"/>
                                </a:xfrm>
                                <a:prstGeom prst="rect">
                                  <a:avLst/>
                                </a:prstGeom>
                                <a:noFill/>
                                <a:ln>
                                  <a:noFill/>
                                </a:ln>
                              </wps:spPr>
                              <wps:txbx>
                                <w:txbxContent>
                                  <w:p w14:paraId="19A4686C">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wps:txbx>
                              <wps:bodyPr wrap="none" lIns="0" tIns="0" rIns="0" bIns="0" upright="1">
                                <a:spAutoFit/>
                              </wps:bodyPr>
                            </wps:wsp>
                            <wps:wsp>
                              <wps:cNvPr id="446" name="矩形 446"/>
                              <wps:cNvSpPr/>
                              <wps:spPr>
                                <a:xfrm>
                                  <a:off x="707390" y="111760"/>
                                  <a:ext cx="100330" cy="109220"/>
                                </a:xfrm>
                                <a:prstGeom prst="rect">
                                  <a:avLst/>
                                </a:prstGeom>
                                <a:noFill/>
                                <a:ln>
                                  <a:noFill/>
                                </a:ln>
                              </wps:spPr>
                              <wps:txbx>
                                <w:txbxContent>
                                  <w:p w14:paraId="2FA33D09">
                                    <w:pPr>
                                      <w:autoSpaceDE/>
                                      <w:autoSpaceDN/>
                                      <w:jc w:val="both"/>
                                      <w:rPr>
                                        <w:rFonts w:ascii="Times New Roman" w:hAnsi="Times New Roman" w:cs="Times New Roman"/>
                                        <w:kern w:val="2"/>
                                        <w:sz w:val="15"/>
                                        <w:szCs w:val="15"/>
                                        <w:lang w:val="en-US" w:bidi="ar-SA"/>
                                      </w:rPr>
                                    </w:pPr>
                                    <w:r>
                                      <w:rPr>
                                        <w:rFonts w:ascii="Times New Roman" w:hAnsi="Times New Roman" w:cs="Times New Roman"/>
                                        <w:kern w:val="2"/>
                                        <w:sz w:val="15"/>
                                        <w:szCs w:val="15"/>
                                        <w:lang w:val="en-US" w:bidi="ar"/>
                                      </w:rPr>
                                      <w:t>P2</w:t>
                                    </w:r>
                                  </w:p>
                                </w:txbxContent>
                              </wps:txbx>
                              <wps:bodyPr wrap="none" lIns="0" tIns="0" rIns="0" bIns="0" upright="1">
                                <a:spAutoFit/>
                              </wps:bodyPr>
                            </wps:wsp>
                            <wps:wsp>
                              <wps:cNvPr id="447" name="矩形 447"/>
                              <wps:cNvSpPr/>
                              <wps:spPr>
                                <a:xfrm>
                                  <a:off x="305435" y="111760"/>
                                  <a:ext cx="59055" cy="102235"/>
                                </a:xfrm>
                                <a:prstGeom prst="rect">
                                  <a:avLst/>
                                </a:prstGeom>
                                <a:noFill/>
                                <a:ln>
                                  <a:noFill/>
                                </a:ln>
                              </wps:spPr>
                              <wps:txbx>
                                <w:txbxContent>
                                  <w:p w14:paraId="16D6604A">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w</w:t>
                                    </w:r>
                                  </w:p>
                                </w:txbxContent>
                              </wps:txbx>
                              <wps:bodyPr wrap="none" lIns="0" tIns="0" rIns="0" bIns="0" upright="1">
                                <a:spAutoFit/>
                              </wps:bodyPr>
                            </wps:wsp>
                            <wps:wsp>
                              <wps:cNvPr id="448" name="矩形 448"/>
                              <wps:cNvSpPr/>
                              <wps:spPr>
                                <a:xfrm>
                                  <a:off x="1358900" y="17145"/>
                                  <a:ext cx="118110" cy="175260"/>
                                </a:xfrm>
                                <a:prstGeom prst="rect">
                                  <a:avLst/>
                                </a:prstGeom>
                                <a:noFill/>
                                <a:ln>
                                  <a:noFill/>
                                </a:ln>
                              </wps:spPr>
                              <wps:txbx>
                                <w:txbxContent>
                                  <w:p w14:paraId="53463F25">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lg</w:t>
                                    </w:r>
                                  </w:p>
                                </w:txbxContent>
                              </wps:txbx>
                              <wps:bodyPr wrap="none" lIns="0" tIns="0" rIns="0" bIns="0" upright="1">
                                <a:spAutoFit/>
                              </wps:bodyPr>
                            </wps:wsp>
                            <wps:wsp>
                              <wps:cNvPr id="449" name="矩形 449"/>
                              <wps:cNvSpPr/>
                              <wps:spPr>
                                <a:xfrm>
                                  <a:off x="1189355" y="17145"/>
                                  <a:ext cx="152400" cy="175260"/>
                                </a:xfrm>
                                <a:prstGeom prst="rect">
                                  <a:avLst/>
                                </a:prstGeom>
                                <a:noFill/>
                                <a:ln>
                                  <a:noFill/>
                                </a:ln>
                              </wps:spPr>
                              <wps:txbx>
                                <w:txbxContent>
                                  <w:p w14:paraId="47EF26EE">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10</w:t>
                                    </w:r>
                                  </w:p>
                                </w:txbxContent>
                              </wps:txbx>
                              <wps:bodyPr wrap="none" lIns="0" tIns="0" rIns="0" bIns="0" upright="1">
                                <a:spAutoFit/>
                              </wps:bodyPr>
                            </wps:wsp>
                            <wps:wsp>
                              <wps:cNvPr id="450" name="矩形 450"/>
                              <wps:cNvSpPr/>
                              <wps:spPr>
                                <a:xfrm>
                                  <a:off x="1007745" y="17145"/>
                                  <a:ext cx="50165" cy="175260"/>
                                </a:xfrm>
                                <a:prstGeom prst="rect">
                                  <a:avLst/>
                                </a:prstGeom>
                                <a:noFill/>
                                <a:ln>
                                  <a:noFill/>
                                </a:ln>
                              </wps:spPr>
                              <wps:txbx>
                                <w:txbxContent>
                                  <w:p w14:paraId="74DC57E8">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wps:txbx>
                              <wps:bodyPr wrap="none" lIns="0" tIns="0" rIns="0" bIns="0" upright="1">
                                <a:spAutoFit/>
                              </wps:bodyPr>
                            </wps:wsp>
                            <wps:wsp>
                              <wps:cNvPr id="451" name="矩形 451"/>
                              <wps:cNvSpPr/>
                              <wps:spPr>
                                <a:xfrm>
                                  <a:off x="857250" y="17145"/>
                                  <a:ext cx="50165" cy="175260"/>
                                </a:xfrm>
                                <a:prstGeom prst="rect">
                                  <a:avLst/>
                                </a:prstGeom>
                                <a:noFill/>
                                <a:ln>
                                  <a:noFill/>
                                </a:ln>
                              </wps:spPr>
                              <wps:txbx>
                                <w:txbxContent>
                                  <w:p w14:paraId="19CFB8D8">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wps:txbx>
                              <wps:bodyPr wrap="none" lIns="0" tIns="0" rIns="0" bIns="0" upright="1">
                                <a:spAutoFit/>
                              </wps:bodyPr>
                            </wps:wsp>
                            <wps:wsp>
                              <wps:cNvPr id="452" name="矩形 452"/>
                              <wps:cNvSpPr/>
                              <wps:spPr>
                                <a:xfrm>
                                  <a:off x="1089025" y="0"/>
                                  <a:ext cx="83185" cy="186690"/>
                                </a:xfrm>
                                <a:prstGeom prst="rect">
                                  <a:avLst/>
                                </a:prstGeom>
                                <a:noFill/>
                                <a:ln>
                                  <a:noFill/>
                                </a:ln>
                              </wps:spPr>
                              <wps:txbx>
                                <w:txbxContent>
                                  <w:p w14:paraId="78E3A51B">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s:wsp>
                              <wps:cNvPr id="453" name="矩形 453"/>
                              <wps:cNvSpPr/>
                              <wps:spPr>
                                <a:xfrm>
                                  <a:off x="430530" y="0"/>
                                  <a:ext cx="83185" cy="186690"/>
                                </a:xfrm>
                                <a:prstGeom prst="rect">
                                  <a:avLst/>
                                </a:prstGeom>
                                <a:noFill/>
                                <a:ln>
                                  <a:noFill/>
                                </a:ln>
                              </wps:spPr>
                              <wps:txbx>
                                <w:txbxContent>
                                  <w:p w14:paraId="070C0E0B">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wps:txbx>
                              <wps:bodyPr wrap="none" lIns="0" tIns="0" rIns="0" bIns="0" upright="1">
                                <a:spAutoFit/>
                              </wps:bodyPr>
                            </wps:wsp>
                          </wpc:wpc>
                        </a:graphicData>
                      </a:graphic>
                    </wp:inline>
                  </w:drawing>
                </mc:Choice>
                <mc:Fallback>
                  <w:pict>
                    <v:group id="_x0000_s1026" o:spid="_x0000_s1026" o:spt="203" style="height:20.85pt;width:127.5pt;" coordsize="1619250,264795" editas="canvas" o:gfxdata="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">
                      <o:lock v:ext="edit" aspectratio="f"/>
                      <v:shape id="_x0000_s1026" o:spid="_x0000_s1026" style="position:absolute;left:0;top:0;height:264795;width:1619250;" filled="f" stroked="f" coordsize="21600,21600" o:gfxdata="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HvZMyHV&#10;AAAABAEAAA8AAAAAAAAAAQAgAAAAIgAAAGRycy9kb3ducmV2LnhtbFBLAQIUABQAAAAIAIdO4kAq&#10;TNY4QAMAAC4XAAAOAAAAAAAAAAEAIAAAACQBAABkcnMvZTJvRG9jLnhtbFBLBQYAAAAABgAGAFkB&#10;AADWBgAAAAA=&#10;">
                        <v:fill on="f" focussize="0,0"/>
                        <v:stroke on="f"/>
                        <v:imagedata o:title=""/>
                        <o:lock v:ext="edit" aspectratio="t"/>
                      </v:shape>
                      <v:rect id="_x0000_s1026" o:spid="_x0000_s1026" o:spt="1" style="position:absolute;left:1502410;top:17145;height:175260;width:76835;mso-wrap-style:none;" filled="f" stroked="f" coordsize="21600,21600" o:gfxdata="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6bROTSAAAABAEAAA8AAAAAAAAAAQAgAAAAIgAAAGRycy9k&#10;b3ducmV2LnhtbFBLAQIUABQAAAAIAIdO4kAlrCGOzwEAAJcDAAAOAAAAAAAAAAEAIAAAACEBAABk&#10;cnMvZTJvRG9jLnhtbFBLBQYAAAAABgAGAFkBAABiBQAAAAA=&#10;">
                        <v:fill on="f" focussize="0,0"/>
                        <v:stroke on="f"/>
                        <v:imagedata o:title=""/>
                        <o:lock v:ext="edit" aspectratio="f"/>
                        <v:textbox inset="0mm,0mm,0mm,0mm" style="mso-fit-shape-to-text:t;">
                          <w:txbxContent>
                            <w:p w14:paraId="5E634F7A">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S</w:t>
                              </w:r>
                            </w:p>
                          </w:txbxContent>
                        </v:textbox>
                      </v:rect>
                      <v:rect id="_x0000_s1026" o:spid="_x0000_s1026" o:spt="1" style="position:absolute;left:902335;top:17145;height:175260;width:85090;mso-wrap-style:none;" filled="f" stroked="f" coordsize="21600,21600" o:gfxdata="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6bROTSAAAABAEAAA8AAAAAAAAAAQAgAAAAIgAAAGRycy9k&#10;b3ducmV2LnhtbFBLAQIUABQAAAAIAIdO4kATc1B+zwEAAJYDAAAOAAAAAAAAAAEAIAAAACEBAABk&#10;cnMvZTJvRG9jLnhtbFBLBQYAAAAABgAGAFkBAABiBQAAAAA=&#10;">
                        <v:fill on="f" focussize="0,0"/>
                        <v:stroke on="f"/>
                        <v:imagedata o:title=""/>
                        <o:lock v:ext="edit" aspectratio="f"/>
                        <v:textbox inset="0mm,0mm,0mm,0mm" style="mso-fit-shape-to-text:t;">
                          <w:txbxContent>
                            <w:p w14:paraId="07187F86">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T</w:t>
                              </w:r>
                            </w:p>
                          </w:txbxContent>
                        </v:textbox>
                      </v:rect>
                      <v:rect id="_x0000_s1026" o:spid="_x0000_s1026" o:spt="1" style="position:absolute;left:622935;top:17145;height:175260;width:85090;mso-wrap-style:none;" filled="f" stroked="f" coordsize="21600,21600" o:gfxdata="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6bROTSAAAABAEAAA8AAAAAAAAAAQAgAAAAIgAAAGRycy9k&#10;b3ducmV2LnhtbFBLAQIUABQAAAAIAIdO4kCUxObWzwEAAJYDAAAOAAAAAAAAAAEAIAAAACEBAABk&#10;cnMvZTJvRG9jLnhtbFBLBQYAAAAABgAGAFkBAABiBQAAAAA=&#10;">
                        <v:fill on="f" focussize="0,0"/>
                        <v:stroke on="f"/>
                        <v:imagedata o:title=""/>
                        <o:lock v:ext="edit" aspectratio="f"/>
                        <v:textbox inset="0mm,0mm,0mm,0mm" style="mso-fit-shape-to-text:t;">
                          <w:txbxContent>
                            <w:p w14:paraId="268400EE">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v:textbox>
                      </v:rect>
                      <v:rect id="_x0000_s1026" o:spid="_x0000_s1026" o:spt="1" style="position:absolute;left:218440;top:17145;height:175260;width:85090;mso-wrap-style:none;" filled="f" stroked="f" coordsize="21600,21600" o:gfxdata="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ptE5NIAAAAEAQAADwAAAAAAAAABACAAAAAiAAAAZHJzL2Rv&#10;d25yZXYueG1sUEsBAhQAFAAAAAgAh07iQE6oGB/OAQAAlgMAAA4AAAAAAAAAAQAgAAAAIQEAAGRy&#10;cy9lMm9Eb2MueG1sUEsFBgAAAAAGAAYAWQEAAGEFAAAAAA==&#10;">
                        <v:fill on="f" focussize="0,0"/>
                        <v:stroke on="f"/>
                        <v:imagedata o:title=""/>
                        <o:lock v:ext="edit" aspectratio="f"/>
                        <v:textbox inset="0mm,0mm,0mm,0mm" style="mso-fit-shape-to-text:t;">
                          <w:txbxContent>
                            <w:p w14:paraId="19A4686C">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24"/>
                                  <w:szCs w:val="24"/>
                                  <w:lang w:val="en-US" w:bidi="ar"/>
                                </w:rPr>
                                <w:t>L</w:t>
                              </w:r>
                            </w:p>
                          </w:txbxContent>
                        </v:textbox>
                      </v:rect>
                      <v:rect id="_x0000_s1026" o:spid="_x0000_s1026" o:spt="1" style="position:absolute;left:707390;top:111760;height:109220;width:100330;mso-wrap-style:none;" filled="f" stroked="f" coordsize="21600,21600" o:gfxdata="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6bROTSAAAABAEAAA8AAAAAAAAAAQAgAAAAIgAAAGRycy9k&#10;b3ducmV2LnhtbFBLAQIUABQAAAAIAIdO4kAavvmFzwEAAJgDAAAOAAAAAAAAAAEAIAAAACEBAABk&#10;cnMvZTJvRG9jLnhtbFBLBQYAAAAABgAGAFkBAABiBQAAAAA=&#10;">
                        <v:fill on="f" focussize="0,0"/>
                        <v:stroke on="f"/>
                        <v:imagedata o:title=""/>
                        <o:lock v:ext="edit" aspectratio="f"/>
                        <v:textbox inset="0mm,0mm,0mm,0mm" style="mso-fit-shape-to-text:t;">
                          <w:txbxContent>
                            <w:p w14:paraId="2FA33D09">
                              <w:pPr>
                                <w:autoSpaceDE/>
                                <w:autoSpaceDN/>
                                <w:jc w:val="both"/>
                                <w:rPr>
                                  <w:rFonts w:ascii="Times New Roman" w:hAnsi="Times New Roman" w:cs="Times New Roman"/>
                                  <w:kern w:val="2"/>
                                  <w:sz w:val="15"/>
                                  <w:szCs w:val="15"/>
                                  <w:lang w:val="en-US" w:bidi="ar-SA"/>
                                </w:rPr>
                              </w:pPr>
                              <w:r>
                                <w:rPr>
                                  <w:rFonts w:ascii="Times New Roman" w:hAnsi="Times New Roman" w:cs="Times New Roman"/>
                                  <w:kern w:val="2"/>
                                  <w:sz w:val="15"/>
                                  <w:szCs w:val="15"/>
                                  <w:lang w:val="en-US" w:bidi="ar"/>
                                </w:rPr>
                                <w:t>P2</w:t>
                              </w:r>
                            </w:p>
                          </w:txbxContent>
                        </v:textbox>
                      </v:rect>
                      <v:rect id="_x0000_s1026" o:spid="_x0000_s1026" o:spt="1" style="position:absolute;left:305435;top:111760;height:102235;width:59055;mso-wrap-style:none;" filled="f" stroked="f" coordsize="21600,21600" o:gfxdata="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6bROTSAAAABAEAAA8AAAAAAAAAAQAgAAAAIgAAAGRycy9k&#10;b3ducmV2LnhtbFBLAQIUABQAAAAIAIdO4kBBYlLUzwEAAJcDAAAOAAAAAAAAAAEAIAAAACEBAABk&#10;cnMvZTJvRG9jLnhtbFBLBQYAAAAABgAGAFkBAABiBQAAAAA=&#10;">
                        <v:fill on="f" focussize="0,0"/>
                        <v:stroke on="f"/>
                        <v:imagedata o:title=""/>
                        <o:lock v:ext="edit" aspectratio="f"/>
                        <v:textbox inset="0mm,0mm,0mm,0mm" style="mso-fit-shape-to-text:t;">
                          <w:txbxContent>
                            <w:p w14:paraId="16D6604A">
                              <w:pPr>
                                <w:autoSpaceDE/>
                                <w:autoSpaceDN/>
                                <w:jc w:val="both"/>
                                <w:rPr>
                                  <w:rFonts w:ascii="Times New Roman" w:hAnsi="Times New Roman" w:cs="Times New Roman"/>
                                  <w:kern w:val="2"/>
                                  <w:sz w:val="21"/>
                                  <w:szCs w:val="24"/>
                                  <w:lang w:val="en-US" w:bidi="ar-SA"/>
                                </w:rPr>
                              </w:pPr>
                              <w:r>
                                <w:rPr>
                                  <w:rFonts w:ascii="Times New Roman" w:hAnsi="Times New Roman" w:cs="Times New Roman"/>
                                  <w:i/>
                                  <w:iCs/>
                                  <w:color w:val="000000"/>
                                  <w:kern w:val="0"/>
                                  <w:sz w:val="14"/>
                                  <w:szCs w:val="14"/>
                                  <w:lang w:val="en-US" w:bidi="ar"/>
                                </w:rPr>
                                <w:t>w</w:t>
                              </w:r>
                            </w:p>
                          </w:txbxContent>
                        </v:textbox>
                      </v:rect>
                      <v:rect id="_x0000_s1026" o:spid="_x0000_s1026" o:spt="1" style="position:absolute;left:1358900;top:17145;height:175260;width:118110;mso-wrap-style:none;" filled="f" stroked="f" coordsize="21600,21600" o:gfxdata="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ptE5NIAAAAEAQAADwAAAAAAAAABACAAAAAiAAAAZHJzL2Rv&#10;d25yZXYueG1sUEsBAhQAFAAAAAgAh07iQED+hojOAQAAmAMAAA4AAAAAAAAAAQAgAAAAIQEAAGRy&#10;cy9lMm9Eb2MueG1sUEsFBgAAAAAGAAYAWQEAAGEFAAAAAA==&#10;">
                        <v:fill on="f" focussize="0,0"/>
                        <v:stroke on="f"/>
                        <v:imagedata o:title=""/>
                        <o:lock v:ext="edit" aspectratio="f"/>
                        <v:textbox inset="0mm,0mm,0mm,0mm" style="mso-fit-shape-to-text:t;">
                          <w:txbxContent>
                            <w:p w14:paraId="53463F25">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lg</w:t>
                              </w:r>
                            </w:p>
                          </w:txbxContent>
                        </v:textbox>
                      </v:rect>
                      <v:rect id="_x0000_s1026" o:spid="_x0000_s1026" o:spt="1" style="position:absolute;left:1189355;top:17145;height:175260;width:152400;mso-wrap-style:none;" filled="f" stroked="f" coordsize="21600,21600" o:gfxdata="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6bROTSAAAABAEAAA8AAAAAAAAAAQAgAAAAIgAAAGRycy9k&#10;b3ducmV2LnhtbFBLAQIUABQAAAAIAIdO4kCfqE9+zwEAAJgDAAAOAAAAAAAAAAEAIAAAACEBAABk&#10;cnMvZTJvRG9jLnhtbFBLBQYAAAAABgAGAFkBAABiBQAAAAA=&#10;">
                        <v:fill on="f" focussize="0,0"/>
                        <v:stroke on="f"/>
                        <v:imagedata o:title=""/>
                        <o:lock v:ext="edit" aspectratio="f"/>
                        <v:textbox inset="0mm,0mm,0mm,0mm" style="mso-fit-shape-to-text:t;">
                          <w:txbxContent>
                            <w:p w14:paraId="47EF26EE">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10</w:t>
                              </w:r>
                            </w:p>
                          </w:txbxContent>
                        </v:textbox>
                      </v:rect>
                      <v:rect id="_x0000_s1026" o:spid="_x0000_s1026" o:spt="1" style="position:absolute;left:1007745;top:17145;height:175260;width:50165;mso-wrap-style:none;" filled="f" stroked="f" coordsize="21600,21600" o:gfxdata="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6bROTSAAAABAEAAA8AAAAAAAAAAQAgAAAAIgAAAGRycy9kb3du&#10;cmV2LnhtbFBLAQIUABQAAAAIAIdO4kD7FGkFzAEAAJcDAAAOAAAAAAAAAAEAIAAAACEBAABkcnMv&#10;ZTJvRG9jLnhtbFBLBQYAAAAABgAGAFkBAABfBQAAAAA=&#10;">
                        <v:fill on="f" focussize="0,0"/>
                        <v:stroke on="f"/>
                        <v:imagedata o:title=""/>
                        <o:lock v:ext="edit" aspectratio="f"/>
                        <v:textbox inset="0mm,0mm,0mm,0mm" style="mso-fit-shape-to-text:t;">
                          <w:txbxContent>
                            <w:p w14:paraId="74DC57E8">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v:textbox>
                      </v:rect>
                      <v:rect id="_x0000_s1026" o:spid="_x0000_s1026" o:spt="1" style="position:absolute;left:857250;top:17145;height:175260;width:50165;mso-wrap-style:none;" filled="f" stroked="f" coordsize="21600,21600" o:gfxdata="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ptE5NIAAAAEAQAADwAAAAAAAAABACAAAAAiAAAAZHJzL2Rv&#10;d25yZXYueG1sUEsBAhQAFAAAAAgAh07iQCuTQq3OAQAAlgMAAA4AAAAAAAAAAQAgAAAAIQEAAGRy&#10;cy9lMm9Eb2MueG1sUEsFBgAAAAAGAAYAWQEAAGEFAAAAAA==&#10;">
                        <v:fill on="f" focussize="0,0"/>
                        <v:stroke on="f"/>
                        <v:imagedata o:title=""/>
                        <o:lock v:ext="edit" aspectratio="f"/>
                        <v:textbox inset="0mm,0mm,0mm,0mm" style="mso-fit-shape-to-text:t;">
                          <w:txbxContent>
                            <w:p w14:paraId="19CFB8D8">
                              <w:pPr>
                                <w:autoSpaceDE/>
                                <w:autoSpaceDN/>
                                <w:jc w:val="both"/>
                                <w:rPr>
                                  <w:rFonts w:ascii="Times New Roman" w:hAnsi="Times New Roman" w:cs="Times New Roman"/>
                                  <w:kern w:val="2"/>
                                  <w:sz w:val="21"/>
                                  <w:szCs w:val="24"/>
                                  <w:lang w:val="en-US" w:bidi="ar-SA"/>
                                </w:rPr>
                              </w:pPr>
                              <w:r>
                                <w:rPr>
                                  <w:rFonts w:ascii="Times New Roman" w:hAnsi="Times New Roman" w:cs="Times New Roman"/>
                                  <w:color w:val="000000"/>
                                  <w:kern w:val="0"/>
                                  <w:sz w:val="24"/>
                                  <w:szCs w:val="24"/>
                                  <w:lang w:val="en-US" w:bidi="ar"/>
                                </w:rPr>
                                <w:t>(</w:t>
                              </w:r>
                            </w:p>
                          </w:txbxContent>
                        </v:textbox>
                      </v:rect>
                      <v:rect id="_x0000_s1026" o:spid="_x0000_s1026" o:spt="1" style="position:absolute;left:1089025;top:0;height:186690;width:83185;mso-wrap-style:none;" filled="f" stroked="f" coordsize="21600,21600" o:gfxdata="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ptE5NIAAAAEAQAADwAAAAAAAAABACAAAAAiAAAAZHJzL2Rvd25y&#10;ZXYueG1sUEsBAhQAFAAAAAgAh07iQPke27zLAQAAkwMAAA4AAAAAAAAAAQAgAAAAIQEAAGRycy9l&#10;Mm9Eb2MueG1sUEsFBgAAAAAGAAYAWQEAAF4FAAAAAA==&#10;">
                        <v:fill on="f" focussize="0,0"/>
                        <v:stroke on="f"/>
                        <v:imagedata o:title=""/>
                        <o:lock v:ext="edit" aspectratio="f"/>
                        <v:textbox inset="0mm,0mm,0mm,0mm" style="mso-fit-shape-to-text:t;">
                          <w:txbxContent>
                            <w:p w14:paraId="78E3A51B">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v:rect id="_x0000_s1026" o:spid="_x0000_s1026" o:spt="1" style="position:absolute;left:430530;top:0;height:186690;width:83185;mso-wrap-style:none;" filled="f" stroked="f" coordsize="21600,21600" o:gfxdata="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m0Tk0gAAAAQBAAAPAAAAAAAAAAEAIAAAACIAAABkcnMvZG93bnJl&#10;di54bWxQSwECFAAUAAAACACHTuJA5OhOn8oBAACSAwAADgAAAAAAAAABACAAAAAhAQAAZHJzL2Uy&#10;b0RvYy54bWxQSwUGAAAAAAYABgBZAQAAXQUAAAAA&#10;">
                        <v:fill on="f" focussize="0,0"/>
                        <v:stroke on="f"/>
                        <v:imagedata o:title=""/>
                        <o:lock v:ext="edit" aspectratio="f"/>
                        <v:textbox inset="0mm,0mm,0mm,0mm" style="mso-fit-shape-to-text:t;">
                          <w:txbxContent>
                            <w:p w14:paraId="070C0E0B">
                              <w:pPr>
                                <w:autoSpaceDE/>
                                <w:autoSpaceDN/>
                                <w:jc w:val="both"/>
                                <w:rPr>
                                  <w:rFonts w:ascii="Times New Roman" w:hAnsi="Times New Roman" w:cs="Times New Roman"/>
                                  <w:kern w:val="2"/>
                                  <w:sz w:val="21"/>
                                  <w:szCs w:val="24"/>
                                  <w:lang w:val="en-US" w:bidi="ar-SA"/>
                                </w:rPr>
                              </w:pPr>
                              <w:r>
                                <w:rPr>
                                  <w:rFonts w:ascii="Symbol" w:hAnsi="Symbol" w:cs="Symbol"/>
                                  <w:color w:val="000000"/>
                                  <w:kern w:val="0"/>
                                  <w:sz w:val="24"/>
                                  <w:szCs w:val="24"/>
                                  <w:lang w:val="en-US" w:bidi="ar"/>
                                </w:rPr>
                                <w:t></w:t>
                              </w:r>
                            </w:p>
                          </w:txbxContent>
                        </v:textbox>
                      </v:rect>
                      <w10:wrap type="none"/>
                      <w10:anchorlock/>
                    </v:group>
                  </w:pict>
                </mc:Fallback>
              </mc:AlternateContent>
            </w:r>
          </w:p>
          <w:p w14:paraId="017501CA">
            <w:pPr>
              <w:autoSpaceDE/>
              <w:autoSpaceDN/>
              <w:adjustRightInd w:val="0"/>
              <w:snapToGrid w:val="0"/>
              <w:spacing w:line="360" w:lineRule="auto"/>
              <w:ind w:firstLine="420" w:firstLineChars="200"/>
              <w:jc w:val="both"/>
              <w:rPr>
                <w:rFonts w:hint="eastAsia" w:ascii="Times New Roman" w:hAnsi="Times New Roman" w:cs="宋体"/>
                <w:color w:val="auto"/>
                <w:kern w:val="2"/>
                <w:sz w:val="21"/>
                <w:szCs w:val="21"/>
                <w:lang w:val="en-US" w:bidi="ar"/>
              </w:rPr>
            </w:pPr>
            <w:r>
              <w:rPr>
                <w:rFonts w:hint="eastAsia" w:ascii="Times New Roman" w:hAnsi="Times New Roman" w:cs="宋体"/>
                <w:color w:val="auto"/>
                <w:kern w:val="2"/>
                <w:sz w:val="21"/>
                <w:szCs w:val="21"/>
                <w:lang w:val="en-US" w:bidi="ar"/>
              </w:rPr>
              <w:t>式中：</w:t>
            </w:r>
          </w:p>
          <w:p w14:paraId="6A680D1B">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w</w:t>
            </w:r>
            <w:r>
              <w:rPr>
                <w:rFonts w:ascii="Times New Roman" w:hAnsi="Times New Roman" w:cs="Times New Roman"/>
                <w:color w:val="auto"/>
                <w:kern w:val="2"/>
                <w:sz w:val="21"/>
                <w:szCs w:val="21"/>
                <w:lang w:val="en-US" w:bidi="ar"/>
              </w:rPr>
              <w:t xml:space="preserve"> --</w:t>
            </w:r>
            <w:r>
              <w:rPr>
                <w:rFonts w:hint="eastAsia" w:ascii="Times New Roman" w:hAnsi="Times New Roman" w:cs="宋体"/>
                <w:color w:val="auto"/>
                <w:kern w:val="2"/>
                <w:sz w:val="21"/>
                <w:szCs w:val="21"/>
                <w:lang w:val="en-US" w:bidi="ar"/>
              </w:rPr>
              <w:t>中心位置位于透声面积（</w:t>
            </w:r>
            <w:r>
              <w:rPr>
                <w:rFonts w:ascii="Times New Roman" w:hAnsi="Times New Roman" w:cs="Times New Roman"/>
                <w:color w:val="auto"/>
                <w:kern w:val="2"/>
                <w:sz w:val="21"/>
                <w:szCs w:val="21"/>
                <w:lang w:val="en-US" w:bidi="ar"/>
              </w:rPr>
              <w:t>S</w:t>
            </w:r>
            <w:r>
              <w:rPr>
                <w:rFonts w:hint="eastAsia" w:ascii="Times New Roman" w:hAnsi="Times New Roman" w:cs="宋体"/>
                <w:color w:val="auto"/>
                <w:kern w:val="2"/>
                <w:sz w:val="21"/>
                <w:szCs w:val="21"/>
                <w:lang w:val="en-US" w:bidi="ar"/>
              </w:rPr>
              <w:t>）处的等效声源的倍频带声功率级，</w:t>
            </w:r>
            <w:r>
              <w:rPr>
                <w:rFonts w:ascii="Times New Roman" w:hAnsi="Times New Roman" w:cs="Times New Roman"/>
                <w:color w:val="auto"/>
                <w:kern w:val="2"/>
                <w:sz w:val="21"/>
                <w:szCs w:val="21"/>
                <w:lang w:val="en-US" w:bidi="ar"/>
              </w:rPr>
              <w:t>dB</w:t>
            </w:r>
            <w:r>
              <w:rPr>
                <w:rFonts w:hint="eastAsia" w:ascii="Times New Roman" w:hAnsi="Times New Roman" w:cs="宋体"/>
                <w:color w:val="auto"/>
                <w:kern w:val="2"/>
                <w:sz w:val="21"/>
                <w:szCs w:val="21"/>
                <w:lang w:val="en-US" w:bidi="ar"/>
              </w:rPr>
              <w:t>；</w:t>
            </w:r>
          </w:p>
          <w:p w14:paraId="5ECA9301">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p2</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T</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w:t>
            </w:r>
            <w:r>
              <w:rPr>
                <w:rFonts w:hint="eastAsia" w:ascii="Times New Roman" w:hAnsi="Times New Roman" w:cs="宋体"/>
                <w:color w:val="auto"/>
                <w:kern w:val="2"/>
                <w:sz w:val="21"/>
                <w:szCs w:val="21"/>
                <w:lang w:val="en-US" w:bidi="ar"/>
              </w:rPr>
              <w:t>靠近围护结构处室外声源的声压级，</w:t>
            </w:r>
            <w:r>
              <w:rPr>
                <w:rFonts w:ascii="Times New Roman" w:hAnsi="Times New Roman" w:cs="Times New Roman"/>
                <w:color w:val="auto"/>
                <w:kern w:val="2"/>
                <w:sz w:val="21"/>
                <w:szCs w:val="21"/>
                <w:lang w:val="en-US" w:bidi="ar"/>
              </w:rPr>
              <w:t>dB</w:t>
            </w:r>
            <w:r>
              <w:rPr>
                <w:rFonts w:hint="eastAsia" w:ascii="Times New Roman" w:hAnsi="Times New Roman" w:cs="宋体"/>
                <w:color w:val="auto"/>
                <w:kern w:val="2"/>
                <w:sz w:val="21"/>
                <w:szCs w:val="21"/>
                <w:lang w:val="en-US" w:bidi="ar"/>
              </w:rPr>
              <w:t>；</w:t>
            </w:r>
          </w:p>
          <w:p w14:paraId="0D7E6FA7">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S--</w:t>
            </w:r>
            <w:r>
              <w:rPr>
                <w:rFonts w:hint="eastAsia" w:ascii="Times New Roman" w:hAnsi="Times New Roman" w:cs="宋体"/>
                <w:color w:val="auto"/>
                <w:kern w:val="2"/>
                <w:sz w:val="21"/>
                <w:szCs w:val="21"/>
                <w:lang w:val="en-US" w:bidi="ar"/>
              </w:rPr>
              <w:t>透声面积，</w:t>
            </w:r>
            <w:r>
              <w:rPr>
                <w:rFonts w:ascii="Times New Roman" w:hAnsi="Times New Roman" w:cs="Times New Roman"/>
                <w:color w:val="auto"/>
                <w:kern w:val="2"/>
                <w:sz w:val="21"/>
                <w:szCs w:val="21"/>
                <w:lang w:val="en-US" w:bidi="ar"/>
              </w:rPr>
              <w:t>m</w:t>
            </w:r>
            <w:r>
              <w:rPr>
                <w:rFonts w:ascii="Times New Roman" w:hAnsi="Times New Roman" w:cs="Times New Roman"/>
                <w:color w:val="auto"/>
                <w:kern w:val="2"/>
                <w:sz w:val="21"/>
                <w:szCs w:val="21"/>
                <w:vertAlign w:val="superscript"/>
                <w:lang w:val="en-US" w:bidi="ar"/>
              </w:rPr>
              <w:t>2</w:t>
            </w:r>
            <w:r>
              <w:rPr>
                <w:rFonts w:hint="eastAsia" w:ascii="Times New Roman" w:hAnsi="Times New Roman" w:cs="宋体"/>
                <w:color w:val="auto"/>
                <w:kern w:val="2"/>
                <w:sz w:val="21"/>
                <w:szCs w:val="21"/>
                <w:lang w:val="en-US" w:bidi="ar"/>
              </w:rPr>
              <w:t>。</w:t>
            </w:r>
          </w:p>
          <w:p w14:paraId="33813FC4">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hint="eastAsia" w:ascii="Times New Roman" w:hAnsi="Times New Roman" w:cs="宋体"/>
                <w:color w:val="auto"/>
                <w:kern w:val="2"/>
                <w:sz w:val="21"/>
                <w:szCs w:val="21"/>
                <w:lang w:val="en-US" w:bidi="ar"/>
              </w:rPr>
              <w:t>然后按室外声源预测方法计算预测点处的</w:t>
            </w:r>
            <w:r>
              <w:rPr>
                <w:rFonts w:ascii="Times New Roman" w:hAnsi="Times New Roman" w:cs="Times New Roman"/>
                <w:color w:val="auto"/>
                <w:kern w:val="2"/>
                <w:sz w:val="21"/>
                <w:szCs w:val="21"/>
                <w:lang w:val="en-US" w:bidi="ar"/>
              </w:rPr>
              <w:t>A</w:t>
            </w:r>
            <w:r>
              <w:rPr>
                <w:rFonts w:hint="eastAsia" w:ascii="Times New Roman" w:hAnsi="Times New Roman" w:cs="宋体"/>
                <w:color w:val="auto"/>
                <w:kern w:val="2"/>
                <w:sz w:val="21"/>
                <w:szCs w:val="21"/>
                <w:lang w:val="en-US" w:bidi="ar"/>
              </w:rPr>
              <w:t>声级。</w:t>
            </w:r>
          </w:p>
          <w:p w14:paraId="54DF9729">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hint="eastAsia" w:ascii="Times New Roman" w:hAnsi="Times New Roman" w:cs="宋体"/>
                <w:color w:val="auto"/>
                <w:kern w:val="2"/>
                <w:sz w:val="21"/>
                <w:szCs w:val="21"/>
                <w:lang w:val="en-US" w:bidi="ar"/>
              </w:rPr>
              <w:t>户外声传播衰减包括几何发散（</w:t>
            </w:r>
            <w:r>
              <w:rPr>
                <w:rFonts w:ascii="Times New Roman" w:hAnsi="Times New Roman" w:cs="Times New Roman"/>
                <w:color w:val="auto"/>
                <w:kern w:val="2"/>
                <w:sz w:val="21"/>
                <w:szCs w:val="21"/>
                <w:lang w:val="en-US" w:bidi="ar"/>
              </w:rPr>
              <w:t>A</w:t>
            </w:r>
            <w:r>
              <w:rPr>
                <w:rFonts w:ascii="Times New Roman" w:hAnsi="Times New Roman" w:cs="Times New Roman"/>
                <w:color w:val="auto"/>
                <w:kern w:val="2"/>
                <w:sz w:val="21"/>
                <w:szCs w:val="21"/>
                <w:vertAlign w:val="subscript"/>
                <w:lang w:val="en-US" w:bidi="ar"/>
              </w:rPr>
              <w:t>div</w:t>
            </w:r>
            <w:r>
              <w:rPr>
                <w:rFonts w:hint="eastAsia" w:ascii="Times New Roman" w:hAnsi="Times New Roman" w:cs="宋体"/>
                <w:color w:val="auto"/>
                <w:kern w:val="2"/>
                <w:sz w:val="21"/>
                <w:szCs w:val="21"/>
                <w:lang w:val="en-US" w:bidi="ar"/>
              </w:rPr>
              <w:t>）、大气吸收（</w:t>
            </w:r>
            <w:r>
              <w:rPr>
                <w:rFonts w:ascii="Times New Roman" w:hAnsi="Times New Roman" w:cs="Times New Roman"/>
                <w:color w:val="auto"/>
                <w:kern w:val="2"/>
                <w:sz w:val="21"/>
                <w:szCs w:val="21"/>
                <w:lang w:val="en-US" w:bidi="ar"/>
              </w:rPr>
              <w:t>A</w:t>
            </w:r>
            <w:r>
              <w:rPr>
                <w:rFonts w:ascii="Times New Roman" w:hAnsi="Times New Roman" w:cs="Times New Roman"/>
                <w:color w:val="auto"/>
                <w:kern w:val="2"/>
                <w:sz w:val="21"/>
                <w:szCs w:val="21"/>
                <w:vertAlign w:val="subscript"/>
                <w:lang w:val="en-US" w:bidi="ar"/>
              </w:rPr>
              <w:t>atm</w:t>
            </w:r>
            <w:r>
              <w:rPr>
                <w:rFonts w:hint="eastAsia" w:ascii="Times New Roman" w:hAnsi="Times New Roman" w:cs="宋体"/>
                <w:color w:val="auto"/>
                <w:kern w:val="2"/>
                <w:sz w:val="21"/>
                <w:szCs w:val="21"/>
                <w:lang w:val="en-US" w:bidi="ar"/>
              </w:rPr>
              <w:t>）、地面效应（</w:t>
            </w:r>
            <w:r>
              <w:rPr>
                <w:rFonts w:ascii="Times New Roman" w:hAnsi="Times New Roman" w:cs="Times New Roman"/>
                <w:color w:val="auto"/>
                <w:kern w:val="2"/>
                <w:sz w:val="21"/>
                <w:szCs w:val="21"/>
                <w:lang w:val="en-US" w:bidi="ar"/>
              </w:rPr>
              <w:t>A</w:t>
            </w:r>
            <w:r>
              <w:rPr>
                <w:rFonts w:ascii="Times New Roman" w:hAnsi="Times New Roman" w:cs="Times New Roman"/>
                <w:color w:val="auto"/>
                <w:kern w:val="2"/>
                <w:sz w:val="21"/>
                <w:szCs w:val="21"/>
                <w:vertAlign w:val="subscript"/>
                <w:lang w:val="en-US" w:bidi="ar"/>
              </w:rPr>
              <w:t>gr</w:t>
            </w:r>
            <w:r>
              <w:rPr>
                <w:rFonts w:hint="eastAsia" w:ascii="Times New Roman" w:hAnsi="Times New Roman" w:cs="宋体"/>
                <w:color w:val="auto"/>
                <w:kern w:val="2"/>
                <w:sz w:val="21"/>
                <w:szCs w:val="21"/>
                <w:lang w:val="en-US" w:bidi="ar"/>
              </w:rPr>
              <w:t>）、</w:t>
            </w:r>
            <w:r>
              <w:rPr>
                <w:rFonts w:ascii="Times New Roman" w:hAnsi="Times New Roman" w:cs="Times New Roman"/>
                <w:color w:val="auto"/>
                <w:kern w:val="2"/>
                <w:sz w:val="21"/>
                <w:szCs w:val="21"/>
                <w:lang w:val="en-US" w:bidi="ar"/>
              </w:rPr>
              <w:t xml:space="preserve"> </w:t>
            </w:r>
            <w:r>
              <w:rPr>
                <w:rFonts w:hint="eastAsia" w:ascii="Times New Roman" w:hAnsi="Times New Roman" w:cs="宋体"/>
                <w:color w:val="auto"/>
                <w:kern w:val="2"/>
                <w:sz w:val="21"/>
                <w:szCs w:val="21"/>
                <w:lang w:val="en-US" w:bidi="ar"/>
              </w:rPr>
              <w:t>障碍物屏蔽（</w:t>
            </w:r>
            <w:r>
              <w:rPr>
                <w:rFonts w:ascii="Times New Roman" w:hAnsi="Times New Roman" w:cs="Times New Roman"/>
                <w:color w:val="auto"/>
                <w:kern w:val="2"/>
                <w:sz w:val="21"/>
                <w:szCs w:val="21"/>
                <w:lang w:val="en-US" w:bidi="ar"/>
              </w:rPr>
              <w:t>A</w:t>
            </w:r>
            <w:r>
              <w:rPr>
                <w:rFonts w:ascii="Times New Roman" w:hAnsi="Times New Roman" w:cs="Times New Roman"/>
                <w:color w:val="auto"/>
                <w:kern w:val="2"/>
                <w:sz w:val="21"/>
                <w:szCs w:val="21"/>
                <w:vertAlign w:val="subscript"/>
                <w:lang w:val="en-US" w:bidi="ar"/>
              </w:rPr>
              <w:t>bar</w:t>
            </w:r>
            <w:r>
              <w:rPr>
                <w:rFonts w:hint="eastAsia" w:ascii="Times New Roman" w:hAnsi="Times New Roman" w:cs="宋体"/>
                <w:color w:val="auto"/>
                <w:kern w:val="2"/>
                <w:sz w:val="21"/>
                <w:szCs w:val="21"/>
                <w:lang w:val="en-US" w:bidi="ar"/>
              </w:rPr>
              <w:t>）、其他多方面效应（</w:t>
            </w:r>
            <w:r>
              <w:rPr>
                <w:rFonts w:ascii="Times New Roman" w:hAnsi="Times New Roman" w:cs="Times New Roman"/>
                <w:color w:val="auto"/>
                <w:kern w:val="2"/>
                <w:sz w:val="21"/>
                <w:szCs w:val="21"/>
                <w:lang w:val="en-US" w:bidi="ar"/>
              </w:rPr>
              <w:t>A</w:t>
            </w:r>
            <w:r>
              <w:rPr>
                <w:rFonts w:ascii="Times New Roman" w:hAnsi="Times New Roman" w:cs="Times New Roman"/>
                <w:color w:val="auto"/>
                <w:kern w:val="2"/>
                <w:sz w:val="21"/>
                <w:szCs w:val="21"/>
                <w:vertAlign w:val="subscript"/>
                <w:lang w:val="en-US" w:bidi="ar"/>
              </w:rPr>
              <w:t>misc</w:t>
            </w:r>
            <w:r>
              <w:rPr>
                <w:rFonts w:hint="eastAsia" w:ascii="Times New Roman" w:hAnsi="Times New Roman" w:cs="宋体"/>
                <w:color w:val="auto"/>
                <w:kern w:val="2"/>
                <w:sz w:val="21"/>
                <w:szCs w:val="21"/>
                <w:lang w:val="en-US" w:bidi="ar"/>
              </w:rPr>
              <w:t>）引起的衰减。</w:t>
            </w:r>
          </w:p>
          <w:p w14:paraId="33DC3378">
            <w:pPr>
              <w:autoSpaceDE/>
              <w:autoSpaceDN/>
              <w:adjustRightInd w:val="0"/>
              <w:snapToGrid w:val="0"/>
              <w:spacing w:line="360" w:lineRule="auto"/>
              <w:ind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a</w:t>
            </w:r>
            <w:r>
              <w:rPr>
                <w:rFonts w:hint="eastAsia" w:ascii="Times New Roman" w:hAnsi="Times New Roman" w:cs="宋体"/>
                <w:color w:val="auto"/>
                <w:kern w:val="2"/>
                <w:sz w:val="21"/>
                <w:szCs w:val="21"/>
                <w:lang w:val="en-US" w:bidi="ar"/>
              </w:rPr>
              <w:t>）在环境影响评价中，应根据声源声功率级或参考位置处的声压级、户外声传播衰减，计算预测点的声级，分别按式（</w:t>
            </w:r>
            <w:r>
              <w:rPr>
                <w:rFonts w:ascii="Times New Roman" w:hAnsi="Times New Roman" w:cs="Times New Roman"/>
                <w:color w:val="auto"/>
                <w:kern w:val="2"/>
                <w:sz w:val="21"/>
                <w:szCs w:val="21"/>
                <w:lang w:val="en-US" w:bidi="ar"/>
              </w:rPr>
              <w:t>A.1</w:t>
            </w:r>
            <w:r>
              <w:rPr>
                <w:rFonts w:hint="eastAsia" w:ascii="Times New Roman" w:hAnsi="Times New Roman" w:cs="宋体"/>
                <w:color w:val="auto"/>
                <w:kern w:val="2"/>
                <w:sz w:val="21"/>
                <w:szCs w:val="21"/>
                <w:lang w:val="en-US" w:bidi="ar"/>
              </w:rPr>
              <w:t>）或式（</w:t>
            </w:r>
            <w:r>
              <w:rPr>
                <w:rFonts w:ascii="Times New Roman" w:hAnsi="Times New Roman" w:cs="Times New Roman"/>
                <w:color w:val="auto"/>
                <w:kern w:val="2"/>
                <w:sz w:val="21"/>
                <w:szCs w:val="21"/>
                <w:lang w:val="en-US" w:bidi="ar"/>
              </w:rPr>
              <w:t>A.2</w:t>
            </w:r>
            <w:r>
              <w:rPr>
                <w:rFonts w:hint="eastAsia" w:ascii="Times New Roman" w:hAnsi="Times New Roman" w:cs="宋体"/>
                <w:color w:val="auto"/>
                <w:kern w:val="2"/>
                <w:sz w:val="21"/>
                <w:szCs w:val="21"/>
                <w:lang w:val="en-US" w:bidi="ar"/>
              </w:rPr>
              <w:t>）计算。</w:t>
            </w:r>
          </w:p>
          <w:p w14:paraId="4CCD814C">
            <w:pPr>
              <w:autoSpaceDE/>
              <w:autoSpaceDN/>
              <w:adjustRightInd w:val="0"/>
              <w:snapToGrid w:val="0"/>
              <w:spacing w:line="360" w:lineRule="auto"/>
              <w:ind w:firstLine="420" w:firstLineChars="20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p</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r</w:t>
            </w:r>
            <w:r>
              <w:rPr>
                <w:rFonts w:hint="eastAsia" w:ascii="Times New Roman" w:hAnsi="Times New Roman" w:cs="Times New Roman"/>
                <w:color w:val="auto"/>
                <w:kern w:val="2"/>
                <w:sz w:val="21"/>
                <w:szCs w:val="21"/>
                <w:lang w:val="en-US" w:eastAsia="zh-CN" w:bidi="ar"/>
              </w:rPr>
              <w:t>）</w:t>
            </w:r>
            <w:r>
              <w:rPr>
                <w:rFonts w:hint="eastAsia" w:ascii="Times New Roman" w:hAnsi="Times New Roman" w:cs="宋体"/>
                <w:color w:val="auto"/>
                <w:kern w:val="2"/>
                <w:sz w:val="21"/>
                <w:szCs w:val="21"/>
                <w:lang w:val="en-US" w:bidi="ar"/>
              </w:rPr>
              <w:t>＝</w:t>
            </w: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w</w:t>
            </w:r>
            <w:r>
              <w:rPr>
                <w:rFonts w:ascii="Times New Roman" w:hAnsi="Times New Roman" w:cs="Times New Roman"/>
                <w:color w:val="auto"/>
                <w:kern w:val="2"/>
                <w:sz w:val="21"/>
                <w:szCs w:val="21"/>
                <w:lang w:val="en-US" w:bidi="ar"/>
              </w:rPr>
              <w:t>+D</w:t>
            </w:r>
            <w:r>
              <w:rPr>
                <w:rFonts w:ascii="Times New Roman" w:hAnsi="Times New Roman" w:cs="Times New Roman"/>
                <w:color w:val="auto"/>
                <w:kern w:val="2"/>
                <w:sz w:val="21"/>
                <w:szCs w:val="21"/>
                <w:vertAlign w:val="subscript"/>
                <w:lang w:val="en-US" w:bidi="ar"/>
              </w:rPr>
              <w:t>C</w:t>
            </w:r>
            <w:r>
              <w:rPr>
                <w:rFonts w:hint="eastAsia" w:ascii="Times New Roman" w:hAnsi="Times New Roman" w:cs="宋体"/>
                <w:color w:val="auto"/>
                <w:kern w:val="2"/>
                <w:sz w:val="21"/>
                <w:szCs w:val="21"/>
                <w:lang w:val="en-US" w:bidi="ar"/>
              </w:rPr>
              <w:t>－</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A</w:t>
            </w:r>
            <w:r>
              <w:rPr>
                <w:rFonts w:ascii="Times New Roman" w:hAnsi="Times New Roman" w:cs="Times New Roman"/>
                <w:color w:val="auto"/>
                <w:kern w:val="2"/>
                <w:sz w:val="21"/>
                <w:szCs w:val="21"/>
                <w:vertAlign w:val="subscript"/>
                <w:lang w:val="en-US" w:bidi="ar"/>
              </w:rPr>
              <w:t>div</w:t>
            </w:r>
            <w:r>
              <w:rPr>
                <w:rFonts w:hint="eastAsia" w:ascii="Times New Roman" w:hAnsi="Times New Roman" w:cs="宋体"/>
                <w:color w:val="auto"/>
                <w:kern w:val="2"/>
                <w:sz w:val="21"/>
                <w:szCs w:val="21"/>
                <w:lang w:val="en-US" w:bidi="ar"/>
              </w:rPr>
              <w:t>＋</w:t>
            </w:r>
            <w:r>
              <w:rPr>
                <w:rFonts w:ascii="Times New Roman" w:hAnsi="Times New Roman" w:cs="Times New Roman"/>
                <w:color w:val="auto"/>
                <w:kern w:val="2"/>
                <w:sz w:val="21"/>
                <w:szCs w:val="21"/>
                <w:lang w:val="en-US" w:bidi="ar"/>
              </w:rPr>
              <w:t>A</w:t>
            </w:r>
            <w:r>
              <w:rPr>
                <w:rFonts w:ascii="Times New Roman" w:hAnsi="Times New Roman" w:cs="Times New Roman"/>
                <w:color w:val="auto"/>
                <w:kern w:val="2"/>
                <w:sz w:val="21"/>
                <w:szCs w:val="21"/>
                <w:vertAlign w:val="subscript"/>
                <w:lang w:val="en-US" w:bidi="ar"/>
              </w:rPr>
              <w:t>atm</w:t>
            </w:r>
            <w:r>
              <w:rPr>
                <w:rFonts w:hint="eastAsia" w:ascii="Times New Roman" w:hAnsi="Times New Roman" w:cs="宋体"/>
                <w:color w:val="auto"/>
                <w:kern w:val="2"/>
                <w:sz w:val="21"/>
                <w:szCs w:val="21"/>
                <w:lang w:val="en-US" w:bidi="ar"/>
              </w:rPr>
              <w:t>＋</w:t>
            </w:r>
            <w:r>
              <w:rPr>
                <w:rFonts w:ascii="Times New Roman" w:hAnsi="Times New Roman" w:cs="Times New Roman"/>
                <w:color w:val="auto"/>
                <w:kern w:val="2"/>
                <w:sz w:val="21"/>
                <w:szCs w:val="21"/>
                <w:lang w:val="en-US" w:bidi="ar"/>
              </w:rPr>
              <w:t>A</w:t>
            </w:r>
            <w:r>
              <w:rPr>
                <w:rFonts w:ascii="Times New Roman" w:hAnsi="Times New Roman" w:cs="Times New Roman"/>
                <w:color w:val="auto"/>
                <w:kern w:val="2"/>
                <w:sz w:val="21"/>
                <w:szCs w:val="21"/>
                <w:vertAlign w:val="subscript"/>
                <w:lang w:val="en-US" w:bidi="ar"/>
              </w:rPr>
              <w:t>gr</w:t>
            </w:r>
            <w:r>
              <w:rPr>
                <w:rFonts w:hint="eastAsia" w:ascii="Times New Roman" w:hAnsi="Times New Roman" w:cs="宋体"/>
                <w:color w:val="auto"/>
                <w:kern w:val="2"/>
                <w:sz w:val="21"/>
                <w:szCs w:val="21"/>
                <w:lang w:val="en-US" w:bidi="ar"/>
              </w:rPr>
              <w:t>＋</w:t>
            </w:r>
            <w:r>
              <w:rPr>
                <w:rFonts w:ascii="Times New Roman" w:hAnsi="Times New Roman" w:cs="Times New Roman"/>
                <w:color w:val="auto"/>
                <w:kern w:val="2"/>
                <w:sz w:val="21"/>
                <w:szCs w:val="21"/>
                <w:lang w:val="en-US" w:bidi="ar"/>
              </w:rPr>
              <w:t>A</w:t>
            </w:r>
            <w:r>
              <w:rPr>
                <w:rFonts w:ascii="Times New Roman" w:hAnsi="Times New Roman" w:cs="Times New Roman"/>
                <w:color w:val="auto"/>
                <w:kern w:val="2"/>
                <w:sz w:val="21"/>
                <w:szCs w:val="21"/>
                <w:vertAlign w:val="subscript"/>
                <w:lang w:val="en-US" w:bidi="ar"/>
              </w:rPr>
              <w:t>ba</w:t>
            </w:r>
            <w:r>
              <w:rPr>
                <w:rFonts w:ascii="Times New Roman" w:hAnsi="Times New Roman" w:cs="Times New Roman"/>
                <w:color w:val="auto"/>
                <w:kern w:val="2"/>
                <w:sz w:val="21"/>
                <w:szCs w:val="21"/>
                <w:lang w:val="en-US" w:bidi="ar"/>
              </w:rPr>
              <w:t>r</w:t>
            </w:r>
            <w:r>
              <w:rPr>
                <w:rFonts w:hint="eastAsia" w:ascii="Times New Roman" w:hAnsi="Times New Roman" w:cs="宋体"/>
                <w:color w:val="auto"/>
                <w:kern w:val="2"/>
                <w:sz w:val="21"/>
                <w:szCs w:val="21"/>
                <w:lang w:val="en-US" w:bidi="ar"/>
              </w:rPr>
              <w:t>＋</w:t>
            </w:r>
            <w:r>
              <w:rPr>
                <w:rFonts w:ascii="Times New Roman" w:hAnsi="Times New Roman" w:cs="Times New Roman"/>
                <w:color w:val="auto"/>
                <w:kern w:val="2"/>
                <w:sz w:val="21"/>
                <w:szCs w:val="21"/>
                <w:lang w:val="en-US" w:bidi="ar"/>
              </w:rPr>
              <w:t>A</w:t>
            </w:r>
            <w:r>
              <w:rPr>
                <w:rFonts w:ascii="Times New Roman" w:hAnsi="Times New Roman" w:cs="Times New Roman"/>
                <w:color w:val="auto"/>
                <w:kern w:val="2"/>
                <w:sz w:val="21"/>
                <w:szCs w:val="21"/>
                <w:vertAlign w:val="subscript"/>
                <w:lang w:val="en-US" w:bidi="ar"/>
              </w:rPr>
              <w:t>misc</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 xml:space="preserve"> </w:t>
            </w:r>
            <w:r>
              <w:rPr>
                <w:rFonts w:hint="eastAsia" w:ascii="Times New Roman" w:hAnsi="Times New Roman" w:cs="宋体"/>
                <w:color w:val="auto"/>
                <w:kern w:val="2"/>
                <w:sz w:val="21"/>
                <w:szCs w:val="21"/>
                <w:lang w:val="en-US" w:bidi="ar"/>
              </w:rPr>
              <w:t>（</w:t>
            </w:r>
            <w:r>
              <w:rPr>
                <w:rFonts w:ascii="Times New Roman" w:hAnsi="Times New Roman" w:cs="Times New Roman"/>
                <w:color w:val="auto"/>
                <w:kern w:val="2"/>
                <w:sz w:val="21"/>
                <w:szCs w:val="21"/>
                <w:lang w:val="en-US" w:bidi="ar"/>
              </w:rPr>
              <w:t>A.1</w:t>
            </w:r>
            <w:r>
              <w:rPr>
                <w:rFonts w:hint="eastAsia" w:ascii="Times New Roman" w:hAnsi="Times New Roman" w:cs="宋体"/>
                <w:color w:val="auto"/>
                <w:kern w:val="2"/>
                <w:sz w:val="21"/>
                <w:szCs w:val="21"/>
                <w:lang w:val="en-US" w:bidi="ar"/>
              </w:rPr>
              <w:t>）</w:t>
            </w:r>
          </w:p>
          <w:p w14:paraId="324DACE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imes New Roman" w:hAnsi="Times New Roman" w:cs="宋体"/>
                <w:color w:val="auto"/>
                <w:kern w:val="2"/>
                <w:sz w:val="21"/>
                <w:szCs w:val="21"/>
                <w:lang w:val="en-US" w:bidi="ar"/>
              </w:rPr>
            </w:pPr>
            <w:r>
              <w:rPr>
                <w:rFonts w:hint="eastAsia" w:ascii="Times New Roman" w:hAnsi="Times New Roman" w:cs="宋体"/>
                <w:color w:val="auto"/>
                <w:kern w:val="2"/>
                <w:sz w:val="21"/>
                <w:szCs w:val="21"/>
                <w:lang w:val="en-US" w:bidi="ar"/>
              </w:rPr>
              <w:t>式中：</w:t>
            </w:r>
          </w:p>
          <w:p w14:paraId="7F7CC0C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
              </w:rPr>
              <w:t>L</w:t>
            </w:r>
            <w:r>
              <w:rPr>
                <w:rFonts w:ascii="Times New Roman" w:hAnsi="Times New Roman" w:cs="Times New Roman"/>
                <w:color w:val="auto"/>
                <w:kern w:val="2"/>
                <w:sz w:val="21"/>
                <w:szCs w:val="21"/>
                <w:vertAlign w:val="subscript"/>
                <w:lang w:val="en-US" w:bidi="ar"/>
              </w:rPr>
              <w:t>p</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r</w:t>
            </w:r>
            <w:r>
              <w:rPr>
                <w:rFonts w:hint="eastAsia" w:ascii="Times New Roman" w:hAnsi="Times New Roman" w:cs="Times New Roman"/>
                <w:color w:val="auto"/>
                <w:kern w:val="2"/>
                <w:sz w:val="21"/>
                <w:szCs w:val="21"/>
                <w:lang w:val="en-US" w:eastAsia="zh-CN" w:bidi="ar"/>
              </w:rPr>
              <w:t>）</w:t>
            </w:r>
            <w:r>
              <w:rPr>
                <w:rFonts w:ascii="Times New Roman" w:hAnsi="Times New Roman" w:cs="Times New Roman"/>
                <w:color w:val="auto"/>
                <w:kern w:val="2"/>
                <w:sz w:val="21"/>
                <w:szCs w:val="21"/>
                <w:lang w:val="en-US" w:bidi="ar"/>
              </w:rPr>
              <w:t xml:space="preserve"> --</w:t>
            </w:r>
            <w:r>
              <w:rPr>
                <w:rFonts w:hint="eastAsia" w:ascii="Times New Roman" w:hAnsi="Times New Roman" w:cs="宋体"/>
                <w:color w:val="auto"/>
                <w:kern w:val="2"/>
                <w:sz w:val="21"/>
                <w:szCs w:val="21"/>
                <w:lang w:val="en-US" w:bidi="ar"/>
              </w:rPr>
              <w:t>预测点处声压级，</w:t>
            </w:r>
            <w:r>
              <w:rPr>
                <w:rFonts w:ascii="Times New Roman" w:hAnsi="Times New Roman" w:cs="Times New Roman"/>
                <w:color w:val="auto"/>
                <w:kern w:val="2"/>
                <w:sz w:val="21"/>
                <w:szCs w:val="21"/>
                <w:lang w:val="en-US" w:bidi="ar"/>
              </w:rPr>
              <w:t>dB</w:t>
            </w:r>
            <w:r>
              <w:rPr>
                <w:rFonts w:hint="eastAsia" w:ascii="Times New Roman" w:hAnsi="Times New Roman" w:cs="宋体"/>
                <w:color w:val="auto"/>
                <w:kern w:val="2"/>
                <w:sz w:val="21"/>
                <w:szCs w:val="21"/>
                <w:lang w:val="en-US" w:bidi="ar"/>
              </w:rPr>
              <w:t>；</w:t>
            </w:r>
          </w:p>
          <w:p w14:paraId="5526246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L</w:t>
            </w:r>
            <w:r>
              <w:rPr>
                <w:rFonts w:ascii="Times New Roman" w:hAnsi="Times New Roman" w:eastAsia="宋体" w:cs="Times New Roman"/>
                <w:color w:val="auto"/>
                <w:kern w:val="0"/>
                <w:sz w:val="21"/>
                <w:szCs w:val="21"/>
                <w:vertAlign w:val="subscript"/>
                <w:lang w:val="en-US" w:eastAsia="zh-CN" w:bidi="ar"/>
              </w:rPr>
              <w:t>w</w:t>
            </w:r>
            <w:r>
              <w:rPr>
                <w:rFonts w:ascii="Times New Roman" w:hAnsi="Times New Roman" w:eastAsia="宋体" w:cs="Times New Roman"/>
                <w:color w:val="auto"/>
                <w:kern w:val="0"/>
                <w:sz w:val="21"/>
                <w:szCs w:val="21"/>
                <w:lang w:val="en-US" w:eastAsia="zh-CN" w:bidi="ar"/>
              </w:rPr>
              <w:t xml:space="preserve"> --</w:t>
            </w:r>
            <w:r>
              <w:rPr>
                <w:rFonts w:hint="eastAsia" w:ascii="Times New Roman" w:hAnsi="Times New Roman" w:eastAsia="宋体" w:cs="宋体"/>
                <w:color w:val="auto"/>
                <w:kern w:val="0"/>
                <w:sz w:val="21"/>
                <w:szCs w:val="21"/>
                <w:lang w:val="en-US" w:eastAsia="zh-CN" w:bidi="ar"/>
              </w:rPr>
              <w:t>由点声源产生的声功率级（</w:t>
            </w:r>
            <w:r>
              <w:rPr>
                <w:rFonts w:ascii="Times New Roman" w:hAnsi="Times New Roman" w:eastAsia="宋体" w:cs="Times New Roman"/>
                <w:color w:val="auto"/>
                <w:kern w:val="0"/>
                <w:sz w:val="21"/>
                <w:szCs w:val="21"/>
                <w:lang w:val="en-US" w:eastAsia="zh-CN" w:bidi="ar"/>
              </w:rPr>
              <w:t>A</w:t>
            </w:r>
            <w:r>
              <w:rPr>
                <w:rFonts w:hint="eastAsia" w:ascii="Times New Roman" w:hAnsi="Times New Roman" w:eastAsia="宋体" w:cs="宋体"/>
                <w:color w:val="auto"/>
                <w:kern w:val="0"/>
                <w:sz w:val="21"/>
                <w:szCs w:val="21"/>
                <w:lang w:val="en-US" w:eastAsia="zh-CN" w:bidi="ar"/>
              </w:rPr>
              <w:t>计权或倍频带），</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2BB2DA8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D</w:t>
            </w:r>
            <w:r>
              <w:rPr>
                <w:rFonts w:ascii="Times New Roman" w:hAnsi="Times New Roman" w:eastAsia="宋体" w:cs="Times New Roman"/>
                <w:color w:val="auto"/>
                <w:kern w:val="0"/>
                <w:sz w:val="21"/>
                <w:szCs w:val="21"/>
                <w:vertAlign w:val="subscript"/>
                <w:lang w:val="en-US" w:eastAsia="zh-CN" w:bidi="ar"/>
              </w:rPr>
              <w:t>C</w:t>
            </w:r>
            <w:r>
              <w:rPr>
                <w:rFonts w:ascii="Times New Roman" w:hAnsi="Times New Roman" w:eastAsia="宋体" w:cs="Times New Roman"/>
                <w:color w:val="auto"/>
                <w:kern w:val="0"/>
                <w:sz w:val="21"/>
                <w:szCs w:val="21"/>
                <w:lang w:val="en-US" w:eastAsia="zh-CN" w:bidi="ar"/>
              </w:rPr>
              <w:t xml:space="preserve"> --</w:t>
            </w:r>
            <w:r>
              <w:rPr>
                <w:rFonts w:hint="eastAsia" w:ascii="Times New Roman" w:hAnsi="Times New Roman" w:eastAsia="宋体" w:cs="宋体"/>
                <w:color w:val="auto"/>
                <w:kern w:val="0"/>
                <w:sz w:val="21"/>
                <w:szCs w:val="21"/>
                <w:lang w:val="en-US" w:eastAsia="zh-CN" w:bidi="ar"/>
              </w:rPr>
              <w:t>指向性校正，它描述点声源的等效连续声压级与产生声功率级</w:t>
            </w:r>
            <w:r>
              <w:rPr>
                <w:rFonts w:ascii="Times New Roman" w:hAnsi="Times New Roman" w:eastAsia="宋体" w:cs="Times New Roman"/>
                <w:color w:val="auto"/>
                <w:kern w:val="0"/>
                <w:sz w:val="21"/>
                <w:szCs w:val="21"/>
                <w:lang w:val="en-US" w:eastAsia="zh-CN" w:bidi="ar"/>
              </w:rPr>
              <w:t>L</w:t>
            </w:r>
            <w:r>
              <w:rPr>
                <w:rFonts w:ascii="Times New Roman" w:hAnsi="Times New Roman" w:eastAsia="宋体" w:cs="Times New Roman"/>
                <w:color w:val="auto"/>
                <w:kern w:val="0"/>
                <w:sz w:val="21"/>
                <w:szCs w:val="21"/>
                <w:vertAlign w:val="subscript"/>
                <w:lang w:val="en-US" w:eastAsia="zh-CN" w:bidi="ar"/>
              </w:rPr>
              <w:t>w</w:t>
            </w:r>
            <w:r>
              <w:rPr>
                <w:rFonts w:hint="eastAsia" w:ascii="Times New Roman" w:hAnsi="Times New Roman" w:eastAsia="宋体" w:cs="宋体"/>
                <w:color w:val="auto"/>
                <w:kern w:val="0"/>
                <w:sz w:val="21"/>
                <w:szCs w:val="21"/>
                <w:lang w:val="en-US" w:eastAsia="zh-CN" w:bidi="ar"/>
              </w:rPr>
              <w:t>的全向点声源在规定方向的声级的偏差程度，</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7965A32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div</w:t>
            </w:r>
            <w:r>
              <w:rPr>
                <w:rFonts w:ascii="Times New Roman" w:hAnsi="Times New Roman" w:eastAsia="宋体" w:cs="Times New Roman"/>
                <w:color w:val="auto"/>
                <w:kern w:val="0"/>
                <w:sz w:val="21"/>
                <w:szCs w:val="21"/>
                <w:lang w:val="en-US" w:eastAsia="zh-CN" w:bidi="ar"/>
              </w:rPr>
              <w:t xml:space="preserve"> --</w:t>
            </w:r>
            <w:r>
              <w:rPr>
                <w:rFonts w:hint="eastAsia" w:ascii="Times New Roman" w:hAnsi="Times New Roman" w:eastAsia="宋体" w:cs="宋体"/>
                <w:color w:val="auto"/>
                <w:kern w:val="0"/>
                <w:sz w:val="21"/>
                <w:szCs w:val="21"/>
                <w:lang w:val="en-US" w:eastAsia="zh-CN" w:bidi="ar"/>
              </w:rPr>
              <w:t>几何发散引起的衰减，</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7368317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atm</w:t>
            </w:r>
            <w:r>
              <w:rPr>
                <w:rFonts w:ascii="Times New Roman" w:hAnsi="Times New Roman" w:eastAsia="宋体" w:cs="Times New Roman"/>
                <w:color w:val="auto"/>
                <w:kern w:val="0"/>
                <w:sz w:val="21"/>
                <w:szCs w:val="21"/>
                <w:lang w:val="en-US" w:eastAsia="zh-CN" w:bidi="ar"/>
              </w:rPr>
              <w:t>--</w:t>
            </w:r>
            <w:r>
              <w:rPr>
                <w:rFonts w:hint="eastAsia" w:ascii="Times New Roman" w:hAnsi="Times New Roman" w:eastAsia="宋体" w:cs="宋体"/>
                <w:color w:val="auto"/>
                <w:kern w:val="0"/>
                <w:sz w:val="21"/>
                <w:szCs w:val="21"/>
                <w:lang w:val="en-US" w:eastAsia="zh-CN" w:bidi="ar"/>
              </w:rPr>
              <w:t>大气吸收引起的衰减，</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7A671C1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gr</w:t>
            </w:r>
            <w:r>
              <w:rPr>
                <w:rFonts w:ascii="Times New Roman" w:hAnsi="Times New Roman" w:eastAsia="宋体" w:cs="Times New Roman"/>
                <w:color w:val="auto"/>
                <w:kern w:val="0"/>
                <w:sz w:val="21"/>
                <w:szCs w:val="21"/>
                <w:lang w:val="en-US" w:eastAsia="zh-CN" w:bidi="ar"/>
              </w:rPr>
              <w:t xml:space="preserve"> --</w:t>
            </w:r>
            <w:r>
              <w:rPr>
                <w:rFonts w:hint="eastAsia" w:ascii="Times New Roman" w:hAnsi="Times New Roman" w:eastAsia="宋体" w:cs="宋体"/>
                <w:color w:val="auto"/>
                <w:kern w:val="0"/>
                <w:sz w:val="21"/>
                <w:szCs w:val="21"/>
                <w:lang w:val="en-US" w:eastAsia="zh-CN" w:bidi="ar"/>
              </w:rPr>
              <w:t>地面效应引起的衰减，</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6392844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bar</w:t>
            </w:r>
            <w:r>
              <w:rPr>
                <w:rFonts w:ascii="Times New Roman" w:hAnsi="Times New Roman" w:eastAsia="宋体" w:cs="Times New Roman"/>
                <w:color w:val="auto"/>
                <w:kern w:val="0"/>
                <w:sz w:val="21"/>
                <w:szCs w:val="21"/>
                <w:lang w:val="en-US" w:eastAsia="zh-CN" w:bidi="ar"/>
              </w:rPr>
              <w:t>--</w:t>
            </w:r>
            <w:r>
              <w:rPr>
                <w:rFonts w:hint="eastAsia" w:ascii="Times New Roman" w:hAnsi="Times New Roman" w:eastAsia="宋体" w:cs="宋体"/>
                <w:color w:val="auto"/>
                <w:kern w:val="0"/>
                <w:sz w:val="21"/>
                <w:szCs w:val="21"/>
                <w:lang w:val="en-US" w:eastAsia="zh-CN" w:bidi="ar"/>
              </w:rPr>
              <w:t>障碍物屏蔽引起的衰减，</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106D1F7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misc</w:t>
            </w:r>
            <w:r>
              <w:rPr>
                <w:rFonts w:ascii="Times New Roman" w:hAnsi="Times New Roman" w:eastAsia="宋体" w:cs="Times New Roman"/>
                <w:color w:val="auto"/>
                <w:kern w:val="0"/>
                <w:sz w:val="21"/>
                <w:szCs w:val="21"/>
                <w:lang w:val="en-US" w:eastAsia="zh-CN" w:bidi="ar"/>
              </w:rPr>
              <w:t>--</w:t>
            </w:r>
            <w:r>
              <w:rPr>
                <w:rFonts w:hint="eastAsia" w:ascii="Times New Roman" w:hAnsi="Times New Roman" w:eastAsia="宋体" w:cs="宋体"/>
                <w:color w:val="auto"/>
                <w:kern w:val="0"/>
                <w:sz w:val="21"/>
                <w:szCs w:val="21"/>
                <w:lang w:val="en-US" w:eastAsia="zh-CN" w:bidi="ar"/>
              </w:rPr>
              <w:t>其他多方面效应引起的衰减，</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70BA0033">
            <w:pPr>
              <w:widowControl w:val="0"/>
              <w:adjustRightInd w:val="0"/>
              <w:snapToGrid w:val="0"/>
              <w:spacing w:before="0" w:beforeAutospacing="0" w:after="0" w:afterAutospacing="0" w:line="360" w:lineRule="auto"/>
              <w:ind w:firstLine="420" w:firstLineChars="200"/>
              <w:jc w:val="center"/>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L</w:t>
            </w:r>
            <w:r>
              <w:rPr>
                <w:rFonts w:ascii="Times New Roman" w:hAnsi="Times New Roman" w:eastAsia="宋体" w:cs="Times New Roman"/>
                <w:color w:val="auto"/>
                <w:kern w:val="0"/>
                <w:sz w:val="21"/>
                <w:szCs w:val="21"/>
                <w:vertAlign w:val="subscript"/>
                <w:lang w:val="en-US" w:eastAsia="zh-CN" w:bidi="ar"/>
              </w:rPr>
              <w:t>p</w:t>
            </w:r>
            <w:r>
              <w:rPr>
                <w:rFonts w:hint="eastAsia" w:ascii="Times New Roman" w:hAnsi="Times New Roman" w:eastAsia="宋体" w:cs="Times New Roman"/>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r</w:t>
            </w:r>
            <w:r>
              <w:rPr>
                <w:rFonts w:hint="eastAsia" w:ascii="Times New Roman" w:hAnsi="Times New Roman" w:eastAsia="宋体" w:cs="Times New Roman"/>
                <w:color w:val="auto"/>
                <w:kern w:val="0"/>
                <w:sz w:val="21"/>
                <w:szCs w:val="21"/>
                <w:lang w:val="en-US" w:eastAsia="zh-CN" w:bidi="ar"/>
              </w:rPr>
              <w:t>）</w:t>
            </w:r>
            <w:r>
              <w:rPr>
                <w:rFonts w:hint="eastAsia" w:ascii="Times New Roman" w:hAnsi="Times New Roman" w:eastAsia="宋体" w:cs="宋体"/>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L</w:t>
            </w:r>
            <w:r>
              <w:rPr>
                <w:rFonts w:ascii="Times New Roman" w:hAnsi="Times New Roman" w:eastAsia="宋体" w:cs="Times New Roman"/>
                <w:color w:val="auto"/>
                <w:kern w:val="0"/>
                <w:sz w:val="21"/>
                <w:szCs w:val="21"/>
                <w:vertAlign w:val="subscript"/>
                <w:lang w:val="en-US" w:eastAsia="zh-CN" w:bidi="ar"/>
              </w:rPr>
              <w:t>p</w:t>
            </w:r>
            <w:r>
              <w:rPr>
                <w:rFonts w:hint="eastAsia" w:ascii="Times New Roman" w:hAnsi="Times New Roman" w:eastAsia="宋体" w:cs="Times New Roman"/>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r</w:t>
            </w:r>
            <w:r>
              <w:rPr>
                <w:rFonts w:ascii="Times New Roman" w:hAnsi="Times New Roman" w:eastAsia="宋体" w:cs="Times New Roman"/>
                <w:color w:val="auto"/>
                <w:kern w:val="0"/>
                <w:sz w:val="21"/>
                <w:szCs w:val="21"/>
                <w:vertAlign w:val="subscript"/>
                <w:lang w:val="en-US" w:eastAsia="zh-CN" w:bidi="ar"/>
              </w:rPr>
              <w:t>0</w:t>
            </w:r>
            <w:r>
              <w:rPr>
                <w:rFonts w:hint="eastAsia" w:ascii="Times New Roman" w:hAnsi="Times New Roman" w:eastAsia="宋体" w:cs="Times New Roman"/>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+D</w:t>
            </w:r>
            <w:r>
              <w:rPr>
                <w:rFonts w:ascii="Times New Roman" w:hAnsi="Times New Roman" w:eastAsia="宋体" w:cs="Times New Roman"/>
                <w:color w:val="auto"/>
                <w:kern w:val="0"/>
                <w:sz w:val="21"/>
                <w:szCs w:val="21"/>
                <w:vertAlign w:val="subscript"/>
                <w:lang w:val="en-US" w:eastAsia="zh-CN" w:bidi="ar"/>
              </w:rPr>
              <w:t>C</w:t>
            </w:r>
            <w:r>
              <w:rPr>
                <w:rFonts w:hint="eastAsia" w:ascii="Times New Roman" w:hAnsi="Times New Roman" w:eastAsia="宋体" w:cs="宋体"/>
                <w:color w:val="auto"/>
                <w:kern w:val="0"/>
                <w:sz w:val="21"/>
                <w:szCs w:val="21"/>
                <w:lang w:val="en-US" w:eastAsia="zh-CN" w:bidi="ar"/>
              </w:rPr>
              <w:t>－</w:t>
            </w:r>
            <w:r>
              <w:rPr>
                <w:rFonts w:hint="eastAsia" w:ascii="Times New Roman" w:hAnsi="Times New Roman" w:eastAsia="宋体" w:cs="Times New Roman"/>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div</w:t>
            </w:r>
            <w:r>
              <w:rPr>
                <w:rFonts w:hint="eastAsia" w:ascii="Times New Roman" w:hAnsi="Times New Roman" w:eastAsia="宋体" w:cs="宋体"/>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atm</w:t>
            </w:r>
            <w:r>
              <w:rPr>
                <w:rFonts w:hint="eastAsia" w:ascii="Times New Roman" w:hAnsi="Times New Roman" w:eastAsia="宋体" w:cs="宋体"/>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gr</w:t>
            </w:r>
            <w:r>
              <w:rPr>
                <w:rFonts w:hint="eastAsia" w:ascii="Times New Roman" w:hAnsi="Times New Roman" w:eastAsia="宋体" w:cs="宋体"/>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bar</w:t>
            </w:r>
            <w:r>
              <w:rPr>
                <w:rFonts w:hint="eastAsia" w:ascii="Times New Roman" w:hAnsi="Times New Roman" w:eastAsia="宋体" w:cs="宋体"/>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misc</w:t>
            </w:r>
            <w:r>
              <w:rPr>
                <w:rFonts w:hint="eastAsia" w:ascii="Times New Roman" w:hAnsi="Times New Roman" w:eastAsia="宋体" w:cs="Times New Roman"/>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 xml:space="preserve"> </w:t>
            </w:r>
            <w:r>
              <w:rPr>
                <w:rFonts w:hint="eastAsia" w:ascii="Times New Roman" w:hAnsi="Times New Roman" w:eastAsia="宋体" w:cs="宋体"/>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A.2</w:t>
            </w:r>
            <w:r>
              <w:rPr>
                <w:rFonts w:hint="eastAsia" w:ascii="Times New Roman" w:hAnsi="Times New Roman" w:eastAsia="宋体" w:cs="宋体"/>
                <w:color w:val="auto"/>
                <w:kern w:val="0"/>
                <w:sz w:val="21"/>
                <w:szCs w:val="21"/>
                <w:lang w:val="en-US" w:eastAsia="zh-CN" w:bidi="ar"/>
              </w:rPr>
              <w:t>）</w:t>
            </w:r>
          </w:p>
          <w:p w14:paraId="36E1DD3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式中：</w:t>
            </w:r>
          </w:p>
          <w:p w14:paraId="26F61DC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L</w:t>
            </w:r>
            <w:r>
              <w:rPr>
                <w:rFonts w:ascii="Times New Roman" w:hAnsi="Times New Roman" w:eastAsia="宋体" w:cs="Times New Roman"/>
                <w:color w:val="auto"/>
                <w:kern w:val="0"/>
                <w:sz w:val="21"/>
                <w:szCs w:val="21"/>
                <w:vertAlign w:val="subscript"/>
                <w:lang w:val="en-US" w:eastAsia="zh-CN" w:bidi="ar"/>
              </w:rPr>
              <w:t>p</w:t>
            </w:r>
            <w:r>
              <w:rPr>
                <w:rFonts w:hint="eastAsia" w:ascii="Times New Roman" w:hAnsi="Times New Roman" w:eastAsia="宋体" w:cs="Times New Roman"/>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r</w:t>
            </w:r>
            <w:r>
              <w:rPr>
                <w:rFonts w:hint="eastAsia" w:ascii="Times New Roman" w:hAnsi="Times New Roman" w:eastAsia="宋体" w:cs="Times New Roman"/>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 xml:space="preserve"> --</w:t>
            </w:r>
            <w:r>
              <w:rPr>
                <w:rFonts w:hint="eastAsia" w:ascii="Times New Roman" w:hAnsi="Times New Roman" w:eastAsia="宋体" w:cs="宋体"/>
                <w:color w:val="auto"/>
                <w:kern w:val="0"/>
                <w:sz w:val="21"/>
                <w:szCs w:val="21"/>
                <w:lang w:val="en-US" w:eastAsia="zh-CN" w:bidi="ar"/>
              </w:rPr>
              <w:t>预测点处声压级，</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1A85598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L</w:t>
            </w:r>
            <w:r>
              <w:rPr>
                <w:rFonts w:ascii="Times New Roman" w:hAnsi="Times New Roman" w:eastAsia="宋体" w:cs="Times New Roman"/>
                <w:color w:val="auto"/>
                <w:kern w:val="0"/>
                <w:sz w:val="21"/>
                <w:szCs w:val="21"/>
                <w:vertAlign w:val="subscript"/>
                <w:lang w:val="en-US" w:eastAsia="zh-CN" w:bidi="ar"/>
              </w:rPr>
              <w:t>p</w:t>
            </w:r>
            <w:r>
              <w:rPr>
                <w:rFonts w:hint="eastAsia" w:ascii="Times New Roman" w:hAnsi="Times New Roman" w:eastAsia="宋体" w:cs="Times New Roman"/>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r</w:t>
            </w:r>
            <w:r>
              <w:rPr>
                <w:rFonts w:ascii="Times New Roman" w:hAnsi="Times New Roman" w:eastAsia="宋体" w:cs="Times New Roman"/>
                <w:color w:val="auto"/>
                <w:kern w:val="0"/>
                <w:sz w:val="21"/>
                <w:szCs w:val="21"/>
                <w:vertAlign w:val="subscript"/>
                <w:lang w:val="en-US" w:eastAsia="zh-CN" w:bidi="ar"/>
              </w:rPr>
              <w:t>0</w:t>
            </w:r>
            <w:r>
              <w:rPr>
                <w:rFonts w:hint="eastAsia" w:ascii="Times New Roman" w:hAnsi="Times New Roman" w:eastAsia="宋体" w:cs="Times New Roman"/>
                <w:color w:val="auto"/>
                <w:kern w:val="0"/>
                <w:sz w:val="21"/>
                <w:szCs w:val="21"/>
                <w:lang w:val="en-US" w:eastAsia="zh-CN" w:bidi="ar"/>
              </w:rPr>
              <w:t>）</w:t>
            </w:r>
            <w:r>
              <w:rPr>
                <w:rFonts w:ascii="Times New Roman" w:hAnsi="Times New Roman" w:eastAsia="宋体" w:cs="Times New Roman"/>
                <w:color w:val="auto"/>
                <w:kern w:val="0"/>
                <w:sz w:val="21"/>
                <w:szCs w:val="21"/>
                <w:lang w:val="en-US" w:eastAsia="zh-CN" w:bidi="ar"/>
              </w:rPr>
              <w:t xml:space="preserve"> --</w:t>
            </w:r>
            <w:r>
              <w:rPr>
                <w:rFonts w:hint="eastAsia" w:ascii="Times New Roman" w:hAnsi="Times New Roman" w:eastAsia="宋体" w:cs="宋体"/>
                <w:color w:val="auto"/>
                <w:kern w:val="0"/>
                <w:sz w:val="21"/>
                <w:szCs w:val="21"/>
                <w:lang w:val="en-US" w:eastAsia="zh-CN" w:bidi="ar"/>
              </w:rPr>
              <w:t>参考位置</w:t>
            </w:r>
            <w:r>
              <w:rPr>
                <w:rFonts w:ascii="Times New Roman" w:hAnsi="Times New Roman" w:eastAsia="宋体" w:cs="Times New Roman"/>
                <w:color w:val="auto"/>
                <w:kern w:val="0"/>
                <w:sz w:val="21"/>
                <w:szCs w:val="21"/>
                <w:lang w:val="en-US" w:eastAsia="zh-CN" w:bidi="ar"/>
              </w:rPr>
              <w:t>r0</w:t>
            </w:r>
            <w:r>
              <w:rPr>
                <w:rFonts w:hint="eastAsia" w:ascii="Times New Roman" w:hAnsi="Times New Roman" w:eastAsia="宋体" w:cs="宋体"/>
                <w:color w:val="auto"/>
                <w:kern w:val="0"/>
                <w:sz w:val="21"/>
                <w:szCs w:val="21"/>
                <w:lang w:val="en-US" w:eastAsia="zh-CN" w:bidi="ar"/>
              </w:rPr>
              <w:t>处的声压级，</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67B61FF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D</w:t>
            </w:r>
            <w:r>
              <w:rPr>
                <w:rFonts w:ascii="Times New Roman" w:hAnsi="Times New Roman" w:eastAsia="宋体" w:cs="Times New Roman"/>
                <w:color w:val="auto"/>
                <w:kern w:val="0"/>
                <w:sz w:val="21"/>
                <w:szCs w:val="21"/>
                <w:vertAlign w:val="subscript"/>
                <w:lang w:val="en-US" w:eastAsia="zh-CN" w:bidi="ar"/>
              </w:rPr>
              <w:t>C</w:t>
            </w:r>
            <w:r>
              <w:rPr>
                <w:rFonts w:ascii="Times New Roman" w:hAnsi="Times New Roman" w:eastAsia="宋体" w:cs="Times New Roman"/>
                <w:color w:val="auto"/>
                <w:kern w:val="0"/>
                <w:sz w:val="21"/>
                <w:szCs w:val="21"/>
                <w:lang w:val="en-US" w:eastAsia="zh-CN" w:bidi="ar"/>
              </w:rPr>
              <w:t xml:space="preserve"> --</w:t>
            </w:r>
            <w:r>
              <w:rPr>
                <w:rFonts w:hint="eastAsia" w:ascii="Times New Roman" w:hAnsi="Times New Roman" w:eastAsia="宋体" w:cs="宋体"/>
                <w:color w:val="auto"/>
                <w:kern w:val="0"/>
                <w:sz w:val="21"/>
                <w:szCs w:val="21"/>
                <w:lang w:val="en-US" w:eastAsia="zh-CN" w:bidi="ar"/>
              </w:rPr>
              <w:t>指向性校正，它描述点声源的等效连续声压级与产生声功率级</w:t>
            </w:r>
            <w:r>
              <w:rPr>
                <w:rFonts w:ascii="Times New Roman" w:hAnsi="Times New Roman" w:eastAsia="宋体" w:cs="Times New Roman"/>
                <w:color w:val="auto"/>
                <w:kern w:val="0"/>
                <w:sz w:val="21"/>
                <w:szCs w:val="21"/>
                <w:lang w:val="en-US" w:eastAsia="zh-CN" w:bidi="ar"/>
              </w:rPr>
              <w:t>L</w:t>
            </w:r>
            <w:r>
              <w:rPr>
                <w:rFonts w:ascii="Times New Roman" w:hAnsi="Times New Roman" w:eastAsia="宋体" w:cs="Times New Roman"/>
                <w:color w:val="auto"/>
                <w:kern w:val="0"/>
                <w:sz w:val="21"/>
                <w:szCs w:val="21"/>
                <w:vertAlign w:val="subscript"/>
                <w:lang w:val="en-US" w:eastAsia="zh-CN" w:bidi="ar"/>
              </w:rPr>
              <w:t>w</w:t>
            </w:r>
            <w:r>
              <w:rPr>
                <w:rFonts w:hint="eastAsia" w:ascii="Times New Roman" w:hAnsi="Times New Roman" w:eastAsia="宋体" w:cs="宋体"/>
                <w:color w:val="auto"/>
                <w:kern w:val="0"/>
                <w:sz w:val="21"/>
                <w:szCs w:val="21"/>
                <w:lang w:val="en-US" w:eastAsia="zh-CN" w:bidi="ar"/>
              </w:rPr>
              <w:t>的全向点声源在规定方向的声级的偏差程度，</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28FD9C7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div</w:t>
            </w:r>
            <w:r>
              <w:rPr>
                <w:rFonts w:ascii="Times New Roman" w:hAnsi="Times New Roman" w:eastAsia="宋体" w:cs="Times New Roman"/>
                <w:color w:val="auto"/>
                <w:kern w:val="0"/>
                <w:sz w:val="21"/>
                <w:szCs w:val="21"/>
                <w:lang w:val="en-US" w:eastAsia="zh-CN" w:bidi="ar"/>
              </w:rPr>
              <w:t xml:space="preserve"> --</w:t>
            </w:r>
            <w:r>
              <w:rPr>
                <w:rFonts w:hint="eastAsia" w:ascii="Times New Roman" w:hAnsi="Times New Roman" w:eastAsia="宋体" w:cs="宋体"/>
                <w:color w:val="auto"/>
                <w:kern w:val="0"/>
                <w:sz w:val="21"/>
                <w:szCs w:val="21"/>
                <w:lang w:val="en-US" w:eastAsia="zh-CN" w:bidi="ar"/>
              </w:rPr>
              <w:t>几何发散引起的衰减，</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1D62517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atm</w:t>
            </w:r>
            <w:r>
              <w:rPr>
                <w:rFonts w:ascii="Times New Roman" w:hAnsi="Times New Roman" w:eastAsia="宋体" w:cs="Times New Roman"/>
                <w:color w:val="auto"/>
                <w:kern w:val="0"/>
                <w:sz w:val="21"/>
                <w:szCs w:val="21"/>
                <w:lang w:val="en-US" w:eastAsia="zh-CN" w:bidi="ar"/>
              </w:rPr>
              <w:t>--</w:t>
            </w:r>
            <w:r>
              <w:rPr>
                <w:rFonts w:hint="eastAsia" w:ascii="Times New Roman" w:hAnsi="Times New Roman" w:eastAsia="宋体" w:cs="宋体"/>
                <w:color w:val="auto"/>
                <w:kern w:val="0"/>
                <w:sz w:val="21"/>
                <w:szCs w:val="21"/>
                <w:lang w:val="en-US" w:eastAsia="zh-CN" w:bidi="ar"/>
              </w:rPr>
              <w:t>大气吸收引起的衰减，</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40F6222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gr</w:t>
            </w:r>
            <w:r>
              <w:rPr>
                <w:rFonts w:ascii="Times New Roman" w:hAnsi="Times New Roman" w:eastAsia="宋体" w:cs="Times New Roman"/>
                <w:color w:val="auto"/>
                <w:kern w:val="0"/>
                <w:sz w:val="21"/>
                <w:szCs w:val="21"/>
                <w:lang w:val="en-US" w:eastAsia="zh-CN" w:bidi="ar"/>
              </w:rPr>
              <w:t xml:space="preserve"> --</w:t>
            </w:r>
            <w:r>
              <w:rPr>
                <w:rFonts w:hint="eastAsia" w:ascii="Times New Roman" w:hAnsi="Times New Roman" w:eastAsia="宋体" w:cs="宋体"/>
                <w:color w:val="auto"/>
                <w:kern w:val="0"/>
                <w:sz w:val="21"/>
                <w:szCs w:val="21"/>
                <w:lang w:val="en-US" w:eastAsia="zh-CN" w:bidi="ar"/>
              </w:rPr>
              <w:t>地面效应引起的衰减，</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7A2AFBC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bar</w:t>
            </w:r>
            <w:r>
              <w:rPr>
                <w:rFonts w:ascii="Times New Roman" w:hAnsi="Times New Roman" w:eastAsia="宋体" w:cs="Times New Roman"/>
                <w:color w:val="auto"/>
                <w:kern w:val="0"/>
                <w:sz w:val="21"/>
                <w:szCs w:val="21"/>
                <w:lang w:val="en-US" w:eastAsia="zh-CN" w:bidi="ar"/>
              </w:rPr>
              <w:t xml:space="preserve"> --</w:t>
            </w:r>
            <w:r>
              <w:rPr>
                <w:rFonts w:hint="eastAsia" w:ascii="Times New Roman" w:hAnsi="Times New Roman" w:eastAsia="宋体" w:cs="宋体"/>
                <w:color w:val="auto"/>
                <w:kern w:val="0"/>
                <w:sz w:val="21"/>
                <w:szCs w:val="21"/>
                <w:lang w:val="en-US" w:eastAsia="zh-CN" w:bidi="ar"/>
              </w:rPr>
              <w:t>障碍物屏蔽引起的衰减，</w:t>
            </w:r>
            <w:r>
              <w:rPr>
                <w:rFonts w:ascii="Times New Roman" w:hAnsi="Times New Roman" w:eastAsia="宋体" w:cs="Times New Roman"/>
                <w:color w:val="auto"/>
                <w:kern w:val="0"/>
                <w:sz w:val="21"/>
                <w:szCs w:val="21"/>
                <w:lang w:val="en-US" w:eastAsia="zh-CN" w:bidi="ar"/>
              </w:rPr>
              <w:t>dB</w:t>
            </w:r>
            <w:r>
              <w:rPr>
                <w:rFonts w:hint="eastAsia" w:ascii="Times New Roman" w:hAnsi="Times New Roman" w:eastAsia="宋体" w:cs="宋体"/>
                <w:color w:val="auto"/>
                <w:kern w:val="0"/>
                <w:sz w:val="21"/>
                <w:szCs w:val="21"/>
                <w:lang w:val="en-US" w:eastAsia="zh-CN" w:bidi="ar"/>
              </w:rPr>
              <w:t>；</w:t>
            </w:r>
          </w:p>
          <w:p w14:paraId="5A95F3F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ascii="宋体" w:hAnsi="宋体"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
              </w:rPr>
              <w:t>A</w:t>
            </w:r>
            <w:r>
              <w:rPr>
                <w:rFonts w:ascii="Times New Roman" w:hAnsi="Times New Roman" w:eastAsia="宋体" w:cs="Times New Roman"/>
                <w:color w:val="auto"/>
                <w:kern w:val="0"/>
                <w:sz w:val="21"/>
                <w:szCs w:val="21"/>
                <w:vertAlign w:val="subscript"/>
                <w:lang w:val="en-US" w:eastAsia="zh-CN" w:bidi="ar"/>
              </w:rPr>
              <w:t>misc</w:t>
            </w:r>
            <w:r>
              <w:rPr>
                <w:rFonts w:ascii="Times New Roman" w:hAnsi="Times New Roman" w:eastAsia="宋体" w:cs="Times New Roman"/>
                <w:color w:val="auto"/>
                <w:kern w:val="0"/>
                <w:sz w:val="21"/>
                <w:szCs w:val="21"/>
                <w:lang w:val="en-US" w:eastAsia="zh-CN" w:bidi="ar"/>
              </w:rPr>
              <w:t>--</w:t>
            </w:r>
            <w:r>
              <w:rPr>
                <w:rFonts w:hint="eastAsia" w:ascii="Times New Roman" w:hAnsi="Times New Roman" w:eastAsia="宋体" w:cs="宋体"/>
                <w:color w:val="auto"/>
                <w:kern w:val="0"/>
                <w:sz w:val="21"/>
                <w:szCs w:val="21"/>
                <w:lang w:val="en-US" w:eastAsia="zh-CN" w:bidi="ar"/>
              </w:rPr>
              <w:t>其他多方面效应引起的衰减，</w:t>
            </w:r>
            <w:r>
              <w:rPr>
                <w:rFonts w:ascii="Times New Roman" w:hAnsi="Times New Roman" w:eastAsia="宋体" w:cs="Times New Roman"/>
                <w:color w:val="auto"/>
                <w:kern w:val="0"/>
                <w:sz w:val="21"/>
                <w:szCs w:val="21"/>
                <w:lang w:val="en-US" w:eastAsia="zh-CN" w:bidi="ar"/>
              </w:rPr>
              <w:t>dB</w:t>
            </w:r>
          </w:p>
          <w:p w14:paraId="17A81DA1">
            <w:pPr>
              <w:autoSpaceDE/>
              <w:autoSpaceDN/>
              <w:spacing w:line="360" w:lineRule="auto"/>
              <w:ind w:firstLine="567"/>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bidi="ar-SA"/>
              </w:rPr>
              <w:t>预测点的</w:t>
            </w:r>
            <w:r>
              <w:rPr>
                <w:rFonts w:ascii="Times New Roman" w:hAnsi="Times New Roman" w:cs="Times New Roman"/>
                <w:color w:val="auto"/>
                <w:kern w:val="2"/>
                <w:sz w:val="21"/>
                <w:szCs w:val="21"/>
                <w:lang w:val="en-US" w:bidi="ar-SA"/>
              </w:rPr>
              <w:t>A</w:t>
            </w:r>
            <w:r>
              <w:rPr>
                <w:rFonts w:hint="eastAsia" w:ascii="Times New Roman" w:hAnsi="Times New Roman" w:cs="Times New Roman"/>
                <w:color w:val="auto"/>
                <w:kern w:val="2"/>
                <w:sz w:val="21"/>
                <w:szCs w:val="21"/>
                <w:lang w:val="en-US" w:bidi="ar-SA"/>
              </w:rPr>
              <w:t>声级</w:t>
            </w:r>
            <w:r>
              <w:rPr>
                <w:rFonts w:ascii="Times New Roman" w:hAnsi="Times New Roman" w:cs="Times New Roman"/>
                <w:color w:val="auto"/>
                <w:kern w:val="2"/>
                <w:sz w:val="21"/>
                <w:szCs w:val="21"/>
                <w:lang w:val="en-US" w:bidi="ar-SA"/>
              </w:rPr>
              <w:t>LA</w:t>
            </w:r>
            <w:r>
              <w:rPr>
                <w:rFonts w:hint="eastAsia" w:ascii="Times New Roman" w:hAnsi="Times New Roman" w:cs="Times New Roman"/>
                <w:color w:val="auto"/>
                <w:kern w:val="2"/>
                <w:sz w:val="21"/>
                <w:szCs w:val="21"/>
                <w:lang w:val="en-US" w:eastAsia="zh-CN" w:bidi="ar-SA"/>
              </w:rPr>
              <w:t>（</w:t>
            </w:r>
            <w:r>
              <w:rPr>
                <w:rFonts w:ascii="Times New Roman" w:hAnsi="Times New Roman" w:cs="Times New Roman"/>
                <w:color w:val="auto"/>
                <w:kern w:val="2"/>
                <w:sz w:val="21"/>
                <w:szCs w:val="21"/>
                <w:lang w:val="en-US" w:bidi="ar-SA"/>
              </w:rPr>
              <w:t>r</w:t>
            </w:r>
            <w:r>
              <w:rPr>
                <w:rFonts w:hint="eastAsia" w:ascii="Times New Roman" w:hAnsi="Times New Roman"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bidi="ar-SA"/>
              </w:rPr>
              <w:t>可按式（</w:t>
            </w:r>
            <w:r>
              <w:rPr>
                <w:rFonts w:ascii="Times New Roman" w:hAnsi="Times New Roman" w:cs="Times New Roman"/>
                <w:color w:val="auto"/>
                <w:kern w:val="2"/>
                <w:sz w:val="21"/>
                <w:szCs w:val="21"/>
                <w:lang w:val="en-US" w:bidi="ar-SA"/>
              </w:rPr>
              <w:t>A.3</w:t>
            </w:r>
            <w:r>
              <w:rPr>
                <w:rFonts w:hint="eastAsia" w:ascii="Times New Roman" w:hAnsi="Times New Roman" w:cs="Times New Roman"/>
                <w:color w:val="auto"/>
                <w:kern w:val="2"/>
                <w:sz w:val="21"/>
                <w:szCs w:val="21"/>
                <w:lang w:val="en-US" w:bidi="ar-SA"/>
              </w:rPr>
              <w:t>）计算，即将</w:t>
            </w:r>
            <w:r>
              <w:rPr>
                <w:rFonts w:ascii="Times New Roman" w:hAnsi="Times New Roman" w:cs="Times New Roman"/>
                <w:color w:val="auto"/>
                <w:kern w:val="2"/>
                <w:sz w:val="21"/>
                <w:szCs w:val="21"/>
                <w:lang w:val="en-US" w:bidi="ar-SA"/>
              </w:rPr>
              <w:t>8</w:t>
            </w:r>
            <w:r>
              <w:rPr>
                <w:rFonts w:hint="eastAsia" w:ascii="Times New Roman" w:hAnsi="Times New Roman" w:cs="Times New Roman"/>
                <w:color w:val="auto"/>
                <w:kern w:val="2"/>
                <w:sz w:val="21"/>
                <w:szCs w:val="21"/>
                <w:lang w:val="en-US" w:bidi="ar-SA"/>
              </w:rPr>
              <w:t>个倍频带声压级合成，计算出预测点的</w:t>
            </w:r>
            <w:r>
              <w:rPr>
                <w:rFonts w:ascii="Times New Roman" w:hAnsi="Times New Roman" w:cs="Times New Roman"/>
                <w:color w:val="auto"/>
                <w:kern w:val="2"/>
                <w:sz w:val="21"/>
                <w:szCs w:val="21"/>
                <w:lang w:val="en-US" w:bidi="ar-SA"/>
              </w:rPr>
              <w:t>A</w:t>
            </w:r>
            <w:r>
              <w:rPr>
                <w:rFonts w:hint="eastAsia" w:ascii="Times New Roman" w:hAnsi="Times New Roman" w:cs="Times New Roman"/>
                <w:color w:val="auto"/>
                <w:kern w:val="2"/>
                <w:sz w:val="21"/>
                <w:szCs w:val="21"/>
                <w:lang w:val="en-US" w:bidi="ar-SA"/>
              </w:rPr>
              <w:t>声级</w:t>
            </w:r>
            <w:r>
              <w:rPr>
                <w:rFonts w:hint="eastAsia" w:ascii="Times New Roman" w:hAnsi="Times New Roman" w:cs="Times New Roman"/>
                <w:color w:val="auto"/>
                <w:kern w:val="2"/>
                <w:sz w:val="21"/>
                <w:szCs w:val="21"/>
                <w:lang w:val="en-US" w:eastAsia="zh-CN" w:bidi="ar-SA"/>
              </w:rPr>
              <w:t>〔</w:t>
            </w:r>
            <w:r>
              <w:rPr>
                <w:rFonts w:ascii="Times New Roman" w:hAnsi="Times New Roman" w:cs="Times New Roman"/>
                <w:color w:val="auto"/>
                <w:kern w:val="2"/>
                <w:sz w:val="21"/>
                <w:szCs w:val="21"/>
                <w:lang w:val="en-US" w:bidi="ar-SA"/>
              </w:rPr>
              <w:t>LA</w:t>
            </w:r>
            <w:r>
              <w:rPr>
                <w:rFonts w:hint="eastAsia" w:ascii="Times New Roman" w:hAnsi="Times New Roman" w:cs="Times New Roman"/>
                <w:color w:val="auto"/>
                <w:kern w:val="2"/>
                <w:sz w:val="21"/>
                <w:szCs w:val="21"/>
                <w:lang w:val="en-US" w:eastAsia="zh-CN" w:bidi="ar-SA"/>
              </w:rPr>
              <w:t>（</w:t>
            </w:r>
            <w:r>
              <w:rPr>
                <w:rFonts w:ascii="Times New Roman" w:hAnsi="Times New Roman" w:cs="Times New Roman"/>
                <w:color w:val="auto"/>
                <w:kern w:val="2"/>
                <w:sz w:val="21"/>
                <w:szCs w:val="21"/>
                <w:lang w:val="en-US" w:bidi="ar-SA"/>
              </w:rPr>
              <w:t>r</w:t>
            </w:r>
            <w:r>
              <w:rPr>
                <w:rFonts w:hint="eastAsia" w:ascii="Times New Roman" w:hAnsi="Times New Roman" w:cs="Times New Roman"/>
                <w:color w:val="auto"/>
                <w:kern w:val="2"/>
                <w:sz w:val="21"/>
                <w:szCs w:val="21"/>
                <w:lang w:val="en-US" w:eastAsia="zh-CN" w:bidi="ar-SA"/>
              </w:rPr>
              <w:t>）〕</w:t>
            </w:r>
          </w:p>
          <w:p w14:paraId="24111AC2">
            <w:pPr>
              <w:autoSpaceDE/>
              <w:autoSpaceDN/>
              <w:spacing w:line="360" w:lineRule="auto"/>
              <w:ind w:firstLine="567"/>
              <w:jc w:val="center"/>
              <w:rPr>
                <w:rFonts w:hint="default" w:ascii="Times New Roman" w:hAnsi="Times New Roman" w:eastAsia="宋体" w:cs="Times New Roman"/>
                <w:color w:val="auto"/>
                <w:kern w:val="0"/>
                <w:sz w:val="21"/>
                <w:szCs w:val="21"/>
                <w:lang w:val="en-US" w:eastAsia="zh-CN" w:bidi="ar-SA"/>
              </w:rPr>
            </w:pPr>
            <w:r>
              <w:rPr>
                <w:rFonts w:ascii="Times New Roman" w:hAnsi="Times New Roman" w:cs="Times New Roman"/>
                <w:color w:val="auto"/>
                <w:kern w:val="2"/>
                <w:sz w:val="18"/>
                <w:szCs w:val="21"/>
                <w:lang w:val="en-US" w:bidi="ar-SA"/>
              </w:rPr>
              <w:drawing>
                <wp:inline distT="0" distB="0" distL="114300" distR="114300">
                  <wp:extent cx="2692400" cy="410845"/>
                  <wp:effectExtent l="0" t="0" r="12700" b="8255"/>
                  <wp:docPr id="511" name="图片 5" descr="b6a7c9cbec95e291ff2b5fa6073ad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图片 5" descr="b6a7c9cbec95e291ff2b5fa6073ad2c"/>
                          <pic:cNvPicPr>
                            <a:picLocks noChangeAspect="1"/>
                          </pic:cNvPicPr>
                        </pic:nvPicPr>
                        <pic:blipFill>
                          <a:blip r:embed="rId14"/>
                          <a:stretch>
                            <a:fillRect/>
                          </a:stretch>
                        </pic:blipFill>
                        <pic:spPr>
                          <a:xfrm>
                            <a:off x="0" y="0"/>
                            <a:ext cx="2692400" cy="410845"/>
                          </a:xfrm>
                          <a:prstGeom prst="rect">
                            <a:avLst/>
                          </a:prstGeom>
                          <a:noFill/>
                          <a:ln>
                            <a:noFill/>
                          </a:ln>
                        </pic:spPr>
                      </pic:pic>
                    </a:graphicData>
                  </a:graphic>
                </wp:inline>
              </w:drawing>
            </w:r>
            <w:r>
              <w:rPr>
                <w:rFonts w:hint="eastAsia" w:ascii="Times New Roman" w:hAnsi="Times New Roman" w:cs="Times New Roman"/>
                <w:color w:val="auto"/>
                <w:kern w:val="2"/>
                <w:sz w:val="18"/>
                <w:szCs w:val="21"/>
                <w:lang w:val="en-US" w:eastAsia="zh-CN" w:bidi="ar-SA"/>
              </w:rPr>
              <w:t xml:space="preserve">   </w:t>
            </w:r>
            <w:r>
              <w:rPr>
                <w:rFonts w:hint="eastAsia" w:ascii="Times New Roman" w:hAnsi="Times New Roman" w:cs="Times New Roman"/>
                <w:color w:val="auto"/>
                <w:kern w:val="2"/>
                <w:sz w:val="21"/>
                <w:szCs w:val="21"/>
                <w:lang w:val="en-US" w:eastAsia="zh-CN" w:bidi="ar-SA"/>
              </w:rPr>
              <w:t xml:space="preserve">  A.3</w:t>
            </w:r>
          </w:p>
          <w:p w14:paraId="360507D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hAnsi="Times New Roman" w:cs="Times New Roman"/>
                <w:color w:val="auto"/>
                <w:kern w:val="0"/>
                <w:sz w:val="21"/>
                <w:szCs w:val="21"/>
                <w:lang w:val="en-US" w:bidi="ar-SA"/>
              </w:rPr>
            </w:pPr>
            <w:r>
              <w:rPr>
                <w:rFonts w:ascii="Times New Roman" w:hAnsi="Times New Roman" w:cs="Times New Roman"/>
                <w:color w:val="auto"/>
                <w:kern w:val="0"/>
                <w:sz w:val="21"/>
                <w:szCs w:val="21"/>
                <w:lang w:val="en-US" w:bidi="ar-SA"/>
              </w:rPr>
              <w:t>式中：</w:t>
            </w:r>
          </w:p>
          <w:p w14:paraId="14F6659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hAnsi="Times New Roman" w:cs="Times New Roman"/>
                <w:color w:val="auto"/>
                <w:kern w:val="0"/>
                <w:sz w:val="21"/>
                <w:szCs w:val="21"/>
                <w:lang w:val="en-US" w:bidi="ar-SA"/>
              </w:rPr>
            </w:pPr>
            <w:r>
              <w:rPr>
                <w:rFonts w:ascii="Times New Roman" w:hAnsi="Times New Roman" w:cs="Times New Roman"/>
                <w:color w:val="auto"/>
                <w:kern w:val="0"/>
                <w:sz w:val="21"/>
                <w:szCs w:val="21"/>
                <w:lang w:val="en-US" w:bidi="ar-SA"/>
              </w:rPr>
              <w:t>LA（r）--距声源r处的A声级，dB（A）；</w:t>
            </w:r>
          </w:p>
          <w:p w14:paraId="5722E4B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hAnsi="Times New Roman" w:cs="Times New Roman"/>
                <w:color w:val="auto"/>
                <w:kern w:val="2"/>
                <w:sz w:val="21"/>
                <w:szCs w:val="21"/>
                <w:lang w:val="en-US" w:bidi="ar-SA"/>
              </w:rPr>
            </w:pPr>
            <w:r>
              <w:rPr>
                <w:rFonts w:ascii="Times New Roman" w:hAnsi="Times New Roman" w:cs="Times New Roman"/>
                <w:color w:val="auto"/>
                <w:kern w:val="0"/>
                <w:sz w:val="21"/>
                <w:szCs w:val="21"/>
                <w:lang w:val="en-US" w:bidi="ar-SA"/>
              </w:rPr>
              <w:t>Lpi（r）--预测点（r）处，第i倍频带声压级，dB；</w:t>
            </w:r>
          </w:p>
          <w:p w14:paraId="749CB8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hAnsi="Times New Roman" w:cs="Times New Roman"/>
                <w:color w:val="auto"/>
                <w:kern w:val="0"/>
                <w:sz w:val="21"/>
                <w:szCs w:val="21"/>
                <w:lang w:val="en-US" w:bidi="ar-SA"/>
              </w:rPr>
            </w:pPr>
            <w:r>
              <w:rPr>
                <w:rFonts w:ascii="Times New Roman" w:hAnsi="Times New Roman" w:cs="Times New Roman"/>
                <w:color w:val="auto"/>
                <w:kern w:val="0"/>
                <w:sz w:val="21"/>
                <w:szCs w:val="21"/>
                <w:lang w:val="en-US" w:bidi="ar-SA"/>
              </w:rPr>
              <w:t>△Li-----第i倍频带的A计权网络修正值，dB。</w:t>
            </w:r>
          </w:p>
          <w:p w14:paraId="11D6F2B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hAnsi="Times New Roman" w:cs="Times New Roman"/>
                <w:color w:val="auto"/>
                <w:kern w:val="2"/>
                <w:sz w:val="21"/>
                <w:szCs w:val="21"/>
                <w:lang w:val="en-US" w:bidi="ar-SA"/>
              </w:rPr>
            </w:pPr>
            <w:r>
              <w:rPr>
                <w:rFonts w:ascii="Times New Roman" w:hAnsi="Times New Roman" w:cs="Times New Roman"/>
                <w:color w:val="auto"/>
                <w:kern w:val="0"/>
                <w:sz w:val="21"/>
                <w:szCs w:val="21"/>
                <w:lang w:val="en-US" w:bidi="ar-SA"/>
              </w:rPr>
              <w:t>（5）</w:t>
            </w:r>
            <w:r>
              <w:rPr>
                <w:rFonts w:ascii="Times New Roman" w:hAnsi="Times New Roman" w:cs="Times New Roman"/>
                <w:color w:val="auto"/>
                <w:kern w:val="2"/>
                <w:sz w:val="21"/>
                <w:szCs w:val="21"/>
                <w:lang w:val="en-US" w:bidi="ar-SA"/>
              </w:rPr>
              <w:t>预测评价内容</w:t>
            </w:r>
          </w:p>
          <w:p w14:paraId="5721F29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主要预测和评价内容：正常工况下，噪声源对厂界声环境的影响，预测厂界贡献值及达标情况</w:t>
            </w:r>
            <w:r>
              <w:rPr>
                <w:rFonts w:hint="eastAsia" w:ascii="Times New Roman" w:hAnsi="Times New Roman" w:cs="Times New Roman"/>
                <w:color w:val="auto"/>
                <w:kern w:val="2"/>
                <w:sz w:val="21"/>
                <w:szCs w:val="21"/>
                <w:lang w:val="en-US" w:eastAsia="zh-CN" w:bidi="ar-SA"/>
              </w:rPr>
              <w:t>（以项目租赁厂房边界为管理边界）</w:t>
            </w:r>
            <w:r>
              <w:rPr>
                <w:rFonts w:hint="eastAsia" w:ascii="Times New Roman" w:hAnsi="Times New Roman" w:cs="Times New Roman"/>
                <w:color w:val="auto"/>
                <w:kern w:val="2"/>
                <w:sz w:val="21"/>
                <w:szCs w:val="21"/>
                <w:lang w:val="en-US" w:bidi="ar-SA"/>
              </w:rPr>
              <w:t>。</w:t>
            </w:r>
          </w:p>
          <w:p w14:paraId="1C76A403">
            <w:pPr>
              <w:spacing w:line="400" w:lineRule="exact"/>
              <w:ind w:left="110" w:leftChars="50" w:right="6"/>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w:t>
            </w:r>
            <w:r>
              <w:rPr>
                <w:rFonts w:hint="eastAsia" w:ascii="Times New Roman" w:hAnsi="Times New Roman" w:cs="Times New Roman"/>
                <w:b/>
                <w:color w:val="auto"/>
                <w:sz w:val="21"/>
                <w:szCs w:val="21"/>
                <w:lang w:val="en-US"/>
              </w:rPr>
              <w:t>1</w:t>
            </w:r>
            <w:r>
              <w:rPr>
                <w:rFonts w:hint="eastAsia" w:ascii="Times New Roman" w:hAnsi="Times New Roman" w:cs="Times New Roman"/>
                <w:b/>
                <w:color w:val="auto"/>
                <w:sz w:val="21"/>
                <w:szCs w:val="21"/>
                <w:lang w:val="en-US" w:eastAsia="zh-CN"/>
              </w:rPr>
              <w:t>1</w:t>
            </w:r>
            <w:r>
              <w:rPr>
                <w:rFonts w:ascii="Times New Roman" w:hAnsi="Times New Roman" w:cs="Times New Roman"/>
                <w:b/>
                <w:color w:val="auto"/>
                <w:sz w:val="21"/>
                <w:szCs w:val="21"/>
                <w:lang w:val="en-US"/>
              </w:rPr>
              <w:t xml:space="preserve"> </w:t>
            </w:r>
            <w:r>
              <w:rPr>
                <w:rFonts w:ascii="Times New Roman" w:hAnsi="Times New Roman" w:cs="Times New Roman"/>
                <w:b/>
                <w:color w:val="auto"/>
                <w:sz w:val="21"/>
                <w:szCs w:val="21"/>
              </w:rPr>
              <w:t>噪声预测结果一览表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03"/>
              <w:gridCol w:w="803"/>
              <w:gridCol w:w="803"/>
              <w:gridCol w:w="993"/>
              <w:gridCol w:w="1417"/>
              <w:gridCol w:w="1418"/>
              <w:gridCol w:w="1188"/>
            </w:tblGrid>
            <w:tr w14:paraId="3D0A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01" w:type="dxa"/>
                  <w:vMerge w:val="restart"/>
                  <w:noWrap w:val="0"/>
                  <w:vAlign w:val="center"/>
                </w:tcPr>
                <w:p w14:paraId="6F2FCA3E">
                  <w:pPr>
                    <w:keepNext w:val="0"/>
                    <w:keepLines w:val="0"/>
                    <w:suppressLineNumbers w:val="0"/>
                    <w:spacing w:beforeAutospacing="0" w:afterAutospacing="0"/>
                    <w:jc w:val="both"/>
                    <w:rPr>
                      <w:rFonts w:hint="default" w:ascii="Times New Roman" w:hAnsi="Times New Roman" w:eastAsia="宋体" w:cs="Times New Roman"/>
                      <w:color w:val="auto"/>
                      <w:sz w:val="21"/>
                      <w:szCs w:val="21"/>
                    </w:rPr>
                  </w:pPr>
                  <w:bookmarkStart w:id="6" w:name="PT_7"/>
                  <w:r>
                    <w:rPr>
                      <w:rFonts w:hint="default" w:ascii="Times New Roman" w:hAnsi="Times New Roman" w:eastAsia="宋体" w:cs="Times New Roman"/>
                      <w:b/>
                      <w:color w:val="auto"/>
                      <w:sz w:val="21"/>
                      <w:szCs w:val="21"/>
                    </w:rPr>
                    <w:t>预测方位</w:t>
                  </w:r>
                </w:p>
              </w:tc>
              <w:tc>
                <w:tcPr>
                  <w:tcW w:w="2409" w:type="dxa"/>
                  <w:gridSpan w:val="3"/>
                  <w:noWrap w:val="0"/>
                  <w:vAlign w:val="center"/>
                </w:tcPr>
                <w:p w14:paraId="156B5ACA">
                  <w:pPr>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lang w:val="en-US" w:eastAsia="zh-CN"/>
                    </w:rPr>
                    <w:t>最大值点</w:t>
                  </w:r>
                  <w:r>
                    <w:rPr>
                      <w:rFonts w:hint="default" w:ascii="Times New Roman" w:hAnsi="Times New Roman" w:eastAsia="宋体" w:cs="Times New Roman"/>
                      <w:b/>
                      <w:color w:val="auto"/>
                      <w:sz w:val="21"/>
                      <w:szCs w:val="21"/>
                    </w:rPr>
                    <w:t>空间相对位置/m</w:t>
                  </w:r>
                </w:p>
              </w:tc>
              <w:tc>
                <w:tcPr>
                  <w:tcW w:w="993" w:type="dxa"/>
                  <w:vMerge w:val="restart"/>
                  <w:noWrap w:val="0"/>
                  <w:vAlign w:val="center"/>
                </w:tcPr>
                <w:p w14:paraId="4C205C0B">
                  <w:pPr>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时段</w:t>
                  </w:r>
                </w:p>
              </w:tc>
              <w:tc>
                <w:tcPr>
                  <w:tcW w:w="1417" w:type="dxa"/>
                  <w:vMerge w:val="restart"/>
                  <w:noWrap w:val="0"/>
                  <w:vAlign w:val="center"/>
                </w:tcPr>
                <w:p w14:paraId="0A7F0EB7">
                  <w:pPr>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贡献值（dB(A)）</w:t>
                  </w:r>
                </w:p>
              </w:tc>
              <w:tc>
                <w:tcPr>
                  <w:tcW w:w="1418" w:type="dxa"/>
                  <w:vMerge w:val="restart"/>
                  <w:noWrap w:val="0"/>
                  <w:vAlign w:val="center"/>
                </w:tcPr>
                <w:p w14:paraId="3FCD946B">
                  <w:pPr>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标准限值（dB(A)）</w:t>
                  </w:r>
                </w:p>
              </w:tc>
              <w:tc>
                <w:tcPr>
                  <w:tcW w:w="1188" w:type="dxa"/>
                  <w:vMerge w:val="restart"/>
                  <w:noWrap w:val="0"/>
                  <w:vAlign w:val="center"/>
                </w:tcPr>
                <w:p w14:paraId="79AEBCE2">
                  <w:pPr>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达标情况</w:t>
                  </w:r>
                </w:p>
              </w:tc>
            </w:tr>
            <w:tr w14:paraId="59E5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1" w:type="dxa"/>
                  <w:vMerge w:val="continue"/>
                  <w:shd w:val="clear" w:color="auto" w:fill="FFFFFF"/>
                  <w:noWrap w:val="0"/>
                  <w:vAlign w:val="center"/>
                </w:tcPr>
                <w:p w14:paraId="1F32A1E0">
                  <w:pPr>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tc>
              <w:tc>
                <w:tcPr>
                  <w:tcW w:w="803" w:type="dxa"/>
                  <w:shd w:val="clear" w:color="auto" w:fill="FFFFFF"/>
                  <w:noWrap w:val="0"/>
                  <w:vAlign w:val="center"/>
                </w:tcPr>
                <w:p w14:paraId="00A70605">
                  <w:pPr>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803" w:type="dxa"/>
                  <w:shd w:val="clear" w:color="auto" w:fill="FFFFFF"/>
                  <w:noWrap w:val="0"/>
                  <w:vAlign w:val="center"/>
                </w:tcPr>
                <w:p w14:paraId="352C2E93">
                  <w:pPr>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803" w:type="dxa"/>
                  <w:shd w:val="clear" w:color="auto" w:fill="FFFFFF"/>
                  <w:noWrap w:val="0"/>
                  <w:vAlign w:val="center"/>
                </w:tcPr>
                <w:p w14:paraId="736DCC94">
                  <w:pPr>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993" w:type="dxa"/>
                  <w:vMerge w:val="continue"/>
                  <w:shd w:val="clear" w:color="auto" w:fill="FFFFFF"/>
                  <w:noWrap w:val="0"/>
                  <w:vAlign w:val="center"/>
                </w:tcPr>
                <w:p w14:paraId="1AD2E76F">
                  <w:pPr>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tc>
              <w:tc>
                <w:tcPr>
                  <w:tcW w:w="1417" w:type="dxa"/>
                  <w:vMerge w:val="continue"/>
                  <w:shd w:val="clear" w:color="auto" w:fill="FFFFFF"/>
                  <w:noWrap w:val="0"/>
                  <w:vAlign w:val="center"/>
                </w:tcPr>
                <w:p w14:paraId="7F3D6FEF">
                  <w:pPr>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tc>
              <w:tc>
                <w:tcPr>
                  <w:tcW w:w="1418" w:type="dxa"/>
                  <w:vMerge w:val="continue"/>
                  <w:shd w:val="clear" w:color="auto" w:fill="FFFFFF"/>
                  <w:noWrap w:val="0"/>
                  <w:vAlign w:val="center"/>
                </w:tcPr>
                <w:p w14:paraId="2C303FD3">
                  <w:pPr>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bookmarkEnd w:id="6"/>
              </w:tc>
              <w:tc>
                <w:tcPr>
                  <w:tcW w:w="1188" w:type="dxa"/>
                  <w:vMerge w:val="continue"/>
                  <w:shd w:val="clear" w:color="auto" w:fill="FFFFFF"/>
                  <w:noWrap w:val="0"/>
                  <w:vAlign w:val="center"/>
                </w:tcPr>
                <w:p w14:paraId="64DB9752">
                  <w:pPr>
                    <w:keepNext w:val="0"/>
                    <w:keepLines w:val="0"/>
                    <w:suppressLineNumbers w:val="0"/>
                    <w:spacing w:beforeAutospacing="0" w:afterAutospacing="0"/>
                    <w:jc w:val="center"/>
                    <w:rPr>
                      <w:rFonts w:hint="default" w:ascii="Times New Roman" w:hAnsi="Times New Roman" w:eastAsia="宋体" w:cs="Times New Roman"/>
                      <w:color w:val="auto"/>
                      <w:sz w:val="21"/>
                      <w:szCs w:val="21"/>
                    </w:rPr>
                  </w:pPr>
                </w:p>
              </w:tc>
            </w:tr>
            <w:tr w14:paraId="7CB7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noWrap w:val="0"/>
                  <w:vAlign w:val="center"/>
                </w:tcPr>
                <w:p w14:paraId="3C5B0002">
                  <w:pPr>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803" w:type="dxa"/>
                  <w:shd w:val="clear" w:color="auto" w:fill="FFFFFF"/>
                  <w:noWrap w:val="0"/>
                  <w:vAlign w:val="center"/>
                </w:tcPr>
                <w:p w14:paraId="569A9105">
                  <w:pPr>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10.3</w:t>
                  </w:r>
                </w:p>
              </w:tc>
              <w:tc>
                <w:tcPr>
                  <w:tcW w:w="803" w:type="dxa"/>
                  <w:shd w:val="clear" w:color="auto" w:fill="FFFFFF"/>
                  <w:noWrap w:val="0"/>
                  <w:vAlign w:val="center"/>
                </w:tcPr>
                <w:p w14:paraId="7E73889B">
                  <w:pPr>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-3.1</w:t>
                  </w:r>
                </w:p>
              </w:tc>
              <w:tc>
                <w:tcPr>
                  <w:tcW w:w="803" w:type="dxa"/>
                  <w:shd w:val="clear" w:color="auto" w:fill="FFFFFF"/>
                  <w:noWrap w:val="0"/>
                  <w:vAlign w:val="center"/>
                </w:tcPr>
                <w:p w14:paraId="5F33FB59">
                  <w:pPr>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993" w:type="dxa"/>
                  <w:shd w:val="clear" w:color="auto" w:fill="FFFFFF"/>
                  <w:noWrap w:val="0"/>
                  <w:vAlign w:val="center"/>
                </w:tcPr>
                <w:p w14:paraId="4C10235C">
                  <w:pPr>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noWrap w:val="0"/>
                  <w:vAlign w:val="center"/>
                </w:tcPr>
                <w:p w14:paraId="36DDBDA0">
                  <w:pPr>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w:t>
                  </w:r>
                  <w:r>
                    <w:rPr>
                      <w:rFonts w:hint="eastAsia" w:ascii="Times New Roman" w:hAnsi="Times New Roman" w:cs="Times New Roman"/>
                      <w:color w:val="auto"/>
                      <w:sz w:val="21"/>
                      <w:szCs w:val="21"/>
                      <w:lang w:val="en-US" w:eastAsia="zh-CN"/>
                    </w:rPr>
                    <w:t>9.8</w:t>
                  </w:r>
                </w:p>
              </w:tc>
              <w:tc>
                <w:tcPr>
                  <w:tcW w:w="1418" w:type="dxa"/>
                  <w:shd w:val="clear" w:color="auto" w:fill="FFFFFF"/>
                  <w:noWrap w:val="0"/>
                  <w:vAlign w:val="center"/>
                </w:tcPr>
                <w:p w14:paraId="269F82CB">
                  <w:pPr>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60</w:t>
                  </w:r>
                </w:p>
              </w:tc>
              <w:tc>
                <w:tcPr>
                  <w:tcW w:w="1188" w:type="dxa"/>
                  <w:shd w:val="clear" w:color="auto" w:fill="FFFFFF"/>
                  <w:noWrap w:val="0"/>
                  <w:vAlign w:val="center"/>
                </w:tcPr>
                <w:p w14:paraId="54F27C57">
                  <w:pPr>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3BDD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noWrap w:val="0"/>
                  <w:vAlign w:val="center"/>
                </w:tcPr>
                <w:p w14:paraId="34655500">
                  <w:pPr>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803" w:type="dxa"/>
                  <w:shd w:val="clear" w:color="auto" w:fill="FFFFFF"/>
                  <w:noWrap w:val="0"/>
                  <w:vAlign w:val="center"/>
                </w:tcPr>
                <w:p w14:paraId="41F6A9E7">
                  <w:pPr>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5.3</w:t>
                  </w:r>
                </w:p>
              </w:tc>
              <w:tc>
                <w:tcPr>
                  <w:tcW w:w="803" w:type="dxa"/>
                  <w:shd w:val="clear" w:color="auto" w:fill="FFFFFF"/>
                  <w:noWrap w:val="0"/>
                  <w:vAlign w:val="center"/>
                </w:tcPr>
                <w:p w14:paraId="5DD33B08">
                  <w:pPr>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803" w:type="dxa"/>
                  <w:shd w:val="clear" w:color="auto" w:fill="FFFFFF"/>
                  <w:noWrap w:val="0"/>
                  <w:vAlign w:val="center"/>
                </w:tcPr>
                <w:p w14:paraId="06E249DB">
                  <w:pPr>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993" w:type="dxa"/>
                  <w:shd w:val="clear" w:color="auto" w:fill="FFFFFF"/>
                  <w:noWrap w:val="0"/>
                  <w:vAlign w:val="center"/>
                </w:tcPr>
                <w:p w14:paraId="26DF749F">
                  <w:pPr>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noWrap w:val="0"/>
                  <w:vAlign w:val="center"/>
                </w:tcPr>
                <w:p w14:paraId="43C0B8D8">
                  <w:pPr>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53.4</w:t>
                  </w:r>
                </w:p>
              </w:tc>
              <w:tc>
                <w:tcPr>
                  <w:tcW w:w="1418" w:type="dxa"/>
                  <w:shd w:val="clear" w:color="auto" w:fill="FFFFFF"/>
                  <w:noWrap w:val="0"/>
                  <w:vAlign w:val="center"/>
                </w:tcPr>
                <w:p w14:paraId="70212334">
                  <w:pPr>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60</w:t>
                  </w:r>
                </w:p>
              </w:tc>
              <w:tc>
                <w:tcPr>
                  <w:tcW w:w="1188" w:type="dxa"/>
                  <w:shd w:val="clear" w:color="auto" w:fill="FFFFFF"/>
                  <w:noWrap w:val="0"/>
                  <w:vAlign w:val="center"/>
                </w:tcPr>
                <w:p w14:paraId="7C9F35B7">
                  <w:pPr>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5E93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noWrap w:val="0"/>
                  <w:vAlign w:val="center"/>
                </w:tcPr>
                <w:p w14:paraId="07B8F7F0">
                  <w:pPr>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803" w:type="dxa"/>
                  <w:shd w:val="clear" w:color="auto" w:fill="FFFFFF"/>
                  <w:noWrap w:val="0"/>
                  <w:vAlign w:val="center"/>
                </w:tcPr>
                <w:p w14:paraId="3A3E1DA8">
                  <w:pPr>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-12.8</w:t>
                  </w:r>
                </w:p>
              </w:tc>
              <w:tc>
                <w:tcPr>
                  <w:tcW w:w="803" w:type="dxa"/>
                  <w:shd w:val="clear" w:color="auto" w:fill="FFFFFF"/>
                  <w:noWrap w:val="0"/>
                  <w:vAlign w:val="center"/>
                </w:tcPr>
                <w:p w14:paraId="4E10C0E1">
                  <w:pPr>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-15.1</w:t>
                  </w:r>
                </w:p>
              </w:tc>
              <w:tc>
                <w:tcPr>
                  <w:tcW w:w="803" w:type="dxa"/>
                  <w:shd w:val="clear" w:color="auto" w:fill="FFFFFF"/>
                  <w:noWrap w:val="0"/>
                  <w:vAlign w:val="center"/>
                </w:tcPr>
                <w:p w14:paraId="6A81EA7D">
                  <w:pPr>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w:t>
                  </w:r>
                </w:p>
              </w:tc>
              <w:tc>
                <w:tcPr>
                  <w:tcW w:w="993" w:type="dxa"/>
                  <w:shd w:val="clear" w:color="auto" w:fill="FFFFFF"/>
                  <w:noWrap w:val="0"/>
                  <w:vAlign w:val="center"/>
                </w:tcPr>
                <w:p w14:paraId="0A467C42">
                  <w:pPr>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noWrap w:val="0"/>
                  <w:vAlign w:val="center"/>
                </w:tcPr>
                <w:p w14:paraId="2D24C531">
                  <w:pPr>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59.2</w:t>
                  </w:r>
                </w:p>
              </w:tc>
              <w:tc>
                <w:tcPr>
                  <w:tcW w:w="1418" w:type="dxa"/>
                  <w:shd w:val="clear" w:color="auto" w:fill="FFFFFF"/>
                  <w:noWrap w:val="0"/>
                  <w:vAlign w:val="center"/>
                </w:tcPr>
                <w:p w14:paraId="35D81A30">
                  <w:pPr>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60</w:t>
                  </w:r>
                </w:p>
              </w:tc>
              <w:tc>
                <w:tcPr>
                  <w:tcW w:w="1188" w:type="dxa"/>
                  <w:shd w:val="clear" w:color="auto" w:fill="FFFFFF"/>
                  <w:noWrap w:val="0"/>
                  <w:vAlign w:val="center"/>
                </w:tcPr>
                <w:p w14:paraId="3A5A5A8E">
                  <w:pPr>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1752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noWrap w:val="0"/>
                  <w:vAlign w:val="center"/>
                </w:tcPr>
                <w:p w14:paraId="718C078C">
                  <w:pPr>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803" w:type="dxa"/>
                  <w:shd w:val="clear" w:color="auto" w:fill="FFFFFF"/>
                  <w:noWrap w:val="0"/>
                  <w:vAlign w:val="center"/>
                </w:tcPr>
                <w:p w14:paraId="190F9BFE">
                  <w:pPr>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w:t>
                  </w:r>
                </w:p>
              </w:tc>
              <w:tc>
                <w:tcPr>
                  <w:tcW w:w="803" w:type="dxa"/>
                  <w:shd w:val="clear" w:color="auto" w:fill="FFFFFF"/>
                  <w:noWrap w:val="0"/>
                  <w:vAlign w:val="center"/>
                </w:tcPr>
                <w:p w14:paraId="24700F48">
                  <w:pPr>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15.5</w:t>
                  </w:r>
                </w:p>
              </w:tc>
              <w:tc>
                <w:tcPr>
                  <w:tcW w:w="803" w:type="dxa"/>
                  <w:shd w:val="clear" w:color="auto" w:fill="FFFFFF"/>
                  <w:noWrap w:val="0"/>
                  <w:vAlign w:val="center"/>
                </w:tcPr>
                <w:p w14:paraId="0338251F">
                  <w:pPr>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w:t>
                  </w:r>
                </w:p>
              </w:tc>
              <w:tc>
                <w:tcPr>
                  <w:tcW w:w="993" w:type="dxa"/>
                  <w:shd w:val="clear" w:color="auto" w:fill="FFFFFF"/>
                  <w:noWrap w:val="0"/>
                  <w:vAlign w:val="center"/>
                </w:tcPr>
                <w:p w14:paraId="57D30379">
                  <w:pPr>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noWrap w:val="0"/>
                  <w:vAlign w:val="center"/>
                </w:tcPr>
                <w:p w14:paraId="1243DD0E">
                  <w:pPr>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51.3</w:t>
                  </w:r>
                </w:p>
              </w:tc>
              <w:tc>
                <w:tcPr>
                  <w:tcW w:w="1418" w:type="dxa"/>
                  <w:shd w:val="clear" w:color="auto" w:fill="FFFFFF"/>
                  <w:noWrap w:val="0"/>
                  <w:vAlign w:val="center"/>
                </w:tcPr>
                <w:p w14:paraId="235611F0">
                  <w:pPr>
                    <w:ind w:left="0" w:leftChars="0" w:right="0" w:rightChars="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60</w:t>
                  </w:r>
                </w:p>
              </w:tc>
              <w:tc>
                <w:tcPr>
                  <w:tcW w:w="1188" w:type="dxa"/>
                  <w:shd w:val="clear" w:color="auto" w:fill="FFFFFF"/>
                  <w:noWrap w:val="0"/>
                  <w:vAlign w:val="center"/>
                </w:tcPr>
                <w:p w14:paraId="788E563C">
                  <w:pPr>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14:paraId="7D9FE254">
            <w:pPr>
              <w:keepNext w:val="0"/>
              <w:keepLines w:val="0"/>
              <w:suppressLineNumbers w:val="0"/>
              <w:spacing w:beforeAutospacing="0" w:afterAutospacing="0"/>
              <w:ind w:firstLine="400" w:firstLineChars="200"/>
              <w:rPr>
                <w:rFonts w:hint="default" w:ascii="Times New Roman" w:hAnsi="Times New Roman" w:cs="Times New Roman"/>
                <w:color w:val="auto"/>
                <w:sz w:val="20"/>
                <w:szCs w:val="20"/>
                <w:lang w:val="en-US"/>
              </w:rPr>
            </w:pPr>
            <w:r>
              <w:rPr>
                <w:rFonts w:hint="default" w:ascii="Times New Roman" w:hAnsi="Times New Roman" w:eastAsia="宋体" w:cs="Times New Roman"/>
                <w:b w:val="0"/>
                <w:bCs/>
                <w:color w:val="auto"/>
                <w:sz w:val="20"/>
                <w:szCs w:val="20"/>
                <w:lang w:val="en-US" w:eastAsia="zh-CN"/>
              </w:rPr>
              <w:t>表中坐标以厂界中心（</w:t>
            </w:r>
            <w:bookmarkStart w:id="7" w:name="PO_8"/>
            <w:r>
              <w:rPr>
                <w:rFonts w:hint="default" w:ascii="Times New Roman" w:hAnsi="Times New Roman" w:eastAsia="宋体" w:cs="Times New Roman"/>
                <w:b w:val="0"/>
                <w:bCs/>
                <w:color w:val="auto"/>
                <w:sz w:val="20"/>
                <w:szCs w:val="20"/>
                <w:lang w:val="en-US" w:eastAsia="zh-CN"/>
              </w:rPr>
              <w:t>114.754928,36.144462</w:t>
            </w:r>
            <w:bookmarkEnd w:id="7"/>
            <w:r>
              <w:rPr>
                <w:rFonts w:hint="default" w:ascii="Times New Roman" w:hAnsi="Times New Roman" w:eastAsia="宋体" w:cs="Times New Roman"/>
                <w:b w:val="0"/>
                <w:bCs/>
                <w:color w:val="auto"/>
                <w:sz w:val="20"/>
                <w:szCs w:val="20"/>
                <w:lang w:val="en-US" w:eastAsia="zh-CN"/>
              </w:rPr>
              <w:t>）为坐标原点，正东向为X轴正方向，正北向为Y轴正方向。</w:t>
            </w:r>
          </w:p>
          <w:p w14:paraId="2925662E">
            <w:pPr>
              <w:pStyle w:val="4"/>
              <w:autoSpaceDE/>
              <w:autoSpaceDN/>
              <w:spacing w:beforeAutospacing="0" w:afterAutospacing="0" w:line="400" w:lineRule="exact"/>
              <w:ind w:left="110" w:leftChars="50" w:right="110" w:rightChars="50" w:firstLine="420" w:firstLineChars="200"/>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 xml:space="preserve">由上表可知，正常工况下，项目厂界噪声满足《工业企业厂界环境噪声排放标准》(GB12348.2008) </w:t>
            </w:r>
            <w:r>
              <w:rPr>
                <w:rFonts w:hint="eastAsia" w:ascii="Times New Roman" w:hAnsi="Times New Roman"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类标准。</w:t>
            </w: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5569585</wp:posOffset>
                      </wp:positionH>
                      <wp:positionV relativeFrom="paragraph">
                        <wp:posOffset>3796665</wp:posOffset>
                      </wp:positionV>
                      <wp:extent cx="455295" cy="209550"/>
                      <wp:effectExtent l="0" t="0" r="0" b="0"/>
                      <wp:wrapNone/>
                      <wp:docPr id="57" name="文本框 57"/>
                      <wp:cNvGraphicFramePr/>
                      <a:graphic xmlns:a="http://schemas.openxmlformats.org/drawingml/2006/main">
                        <a:graphicData uri="http://schemas.microsoft.com/office/word/2010/wordprocessingShape">
                          <wps:wsp>
                            <wps:cNvSpPr txBox="1"/>
                            <wps:spPr>
                              <a:xfrm>
                                <a:off x="6455410" y="4879340"/>
                                <a:ext cx="455295"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7E131">
                                  <w:pPr>
                                    <w:rPr>
                                      <w:rFonts w:hint="eastAsia" w:eastAsia="宋体"/>
                                      <w:sz w:val="13"/>
                                      <w:szCs w:val="13"/>
                                      <w:lang w:eastAsia="zh-CN"/>
                                    </w:rPr>
                                  </w:pPr>
                                  <w:r>
                                    <w:rPr>
                                      <w:rFonts w:hint="eastAsia"/>
                                      <w:sz w:val="13"/>
                                      <w:szCs w:val="13"/>
                                      <w:lang w:eastAsia="zh-CN"/>
                                    </w:rPr>
                                    <w:t>河北省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55pt;margin-top:298.95pt;height:16.5pt;width:35.85pt;z-index:251668480;mso-width-relative:page;mso-height-relative:page;" filled="f" stroked="f" coordsize="21600,21600" o:gfxdata="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2yfpzcAAAACwEAAA8AAAAAAAAA&#10;AQAgAAAAIgAAAGRycy9kb3ducmV2LnhtbFBLAQIUABQAAAAIAIdO4kAADtwORgIAAHMEAAAOAAAA&#10;AAAAAAEAIAAAACsBAABkcnMvZTJvRG9jLnhtbFBLBQYAAAAABgAGAFkBAADjBQAAAAA=&#10;">
                      <v:fill on="f" focussize="0,0"/>
                      <v:stroke on="f" weight="0.5pt"/>
                      <v:imagedata o:title=""/>
                      <o:lock v:ext="edit" aspectratio="f"/>
                      <v:textbox>
                        <w:txbxContent>
                          <w:p w14:paraId="7537E131">
                            <w:pPr>
                              <w:rPr>
                                <w:rFonts w:hint="eastAsia" w:eastAsia="宋体"/>
                                <w:sz w:val="13"/>
                                <w:szCs w:val="13"/>
                                <w:lang w:eastAsia="zh-CN"/>
                              </w:rPr>
                            </w:pPr>
                            <w:r>
                              <w:rPr>
                                <w:rFonts w:hint="eastAsia"/>
                                <w:sz w:val="13"/>
                                <w:szCs w:val="13"/>
                                <w:lang w:eastAsia="zh-CN"/>
                              </w:rPr>
                              <w:t>河北省</w:t>
                            </w:r>
                          </w:p>
                        </w:txbxContent>
                      </v:textbox>
                    </v:shape>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5657850</wp:posOffset>
                      </wp:positionH>
                      <wp:positionV relativeFrom="paragraph">
                        <wp:posOffset>3857625</wp:posOffset>
                      </wp:positionV>
                      <wp:extent cx="306070" cy="75565"/>
                      <wp:effectExtent l="0" t="0" r="17780" b="635"/>
                      <wp:wrapNone/>
                      <wp:docPr id="5" name="矩形 5"/>
                      <wp:cNvGraphicFramePr/>
                      <a:graphic xmlns:a="http://schemas.openxmlformats.org/drawingml/2006/main">
                        <a:graphicData uri="http://schemas.microsoft.com/office/word/2010/wordprocessingShape">
                          <wps:wsp>
                            <wps:cNvSpPr/>
                            <wps:spPr>
                              <a:xfrm>
                                <a:off x="6489065" y="4886325"/>
                                <a:ext cx="306070" cy="755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5.5pt;margin-top:303.75pt;height:5.95pt;width:24.1pt;z-index:251667456;v-text-anchor:middle;mso-width-relative:page;mso-height-relative:page;" fillcolor="#FFFFFF [3212]" filled="t" stroked="f" coordsize="21600,21600" o:gfxdata="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JgQrvXAAAACwEAAA8AAAAAAAAAAQAgAAAAIgAAAGRycy9kb3ducmV2LnhtbFBL&#10;AQIUABQAAAAIAIdO4kC2X2LxaQIAAL4EAAAOAAAAAAAAAAEAIAAAACYBAABkcnMvZTJvRG9jLnht&#10;bFBLBQYAAAAABgAGAFkBAAABBgAAAAA=&#10;">
                      <v:fill on="t" focussize="0,0"/>
                      <v:stroke on="f" weight="2pt"/>
                      <v:imagedata o:title=""/>
                      <o:lock v:ext="edit" aspectratio="f"/>
                    </v:rect>
                  </w:pict>
                </mc:Fallback>
              </mc:AlternateContent>
            </w:r>
          </w:p>
          <w:p w14:paraId="2BAA18AC">
            <w:pPr>
              <w:spacing w:line="400" w:lineRule="exact"/>
              <w:ind w:firstLine="406" w:firstLineChars="200"/>
              <w:jc w:val="both"/>
              <w:rPr>
                <w:rFonts w:ascii="Times New Roman" w:hAnsi="Times New Roman" w:cs="Times New Roman"/>
                <w:b/>
                <w:bCs/>
                <w:color w:val="auto"/>
                <w:spacing w:val="-4"/>
                <w:sz w:val="21"/>
                <w:szCs w:val="21"/>
                <w:lang w:val="en-US" w:bidi="ar-SA"/>
              </w:rPr>
            </w:pPr>
            <w:r>
              <w:rPr>
                <w:rFonts w:hint="eastAsia" w:ascii="Times New Roman" w:hAnsi="Times New Roman" w:cs="Times New Roman"/>
                <w:b/>
                <w:bCs/>
                <w:color w:val="auto"/>
                <w:spacing w:val="-4"/>
                <w:sz w:val="21"/>
                <w:szCs w:val="21"/>
                <w:lang w:val="en-US" w:bidi="ar-SA"/>
              </w:rPr>
              <w:t>3</w:t>
            </w:r>
            <w:r>
              <w:rPr>
                <w:rFonts w:ascii="Times New Roman" w:hAnsi="Times New Roman" w:cs="Times New Roman"/>
                <w:b/>
                <w:bCs/>
                <w:color w:val="auto"/>
                <w:spacing w:val="-4"/>
                <w:sz w:val="21"/>
                <w:szCs w:val="21"/>
                <w:lang w:val="en-US" w:bidi="ar-SA"/>
              </w:rPr>
              <w:t>、自行监测要求</w:t>
            </w:r>
          </w:p>
          <w:p w14:paraId="0890CDB0">
            <w:pPr>
              <w:spacing w:line="400" w:lineRule="exact"/>
              <w:ind w:left="110" w:leftChars="50" w:firstLine="404"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pacing w:val="-4"/>
                <w:sz w:val="21"/>
                <w:szCs w:val="21"/>
                <w:lang w:val="en-US" w:bidi="ar-SA"/>
              </w:rPr>
              <w:t>根据《排污单位自行监测技术指南 总则》</w:t>
            </w:r>
            <w:r>
              <w:rPr>
                <w:rFonts w:ascii="Times New Roman" w:hAnsi="Times New Roman" w:cs="Times New Roman"/>
                <w:color w:val="auto"/>
                <w:sz w:val="21"/>
                <w:szCs w:val="21"/>
                <w:lang w:val="en-US" w:bidi="ar-SA"/>
              </w:rPr>
              <w:t>（</w:t>
            </w:r>
            <w:r>
              <w:rPr>
                <w:rFonts w:ascii="Times New Roman" w:hAnsi="Times New Roman" w:eastAsia="Times New Roman" w:cs="Times New Roman"/>
                <w:color w:val="auto"/>
                <w:sz w:val="21"/>
                <w:szCs w:val="21"/>
                <w:lang w:val="en-US" w:bidi="ar-SA"/>
              </w:rPr>
              <w:t>HJ819-2017</w:t>
            </w:r>
            <w:r>
              <w:rPr>
                <w:rFonts w:ascii="Times New Roman" w:hAnsi="Times New Roman" w:cs="Times New Roman"/>
                <w:color w:val="auto"/>
                <w:sz w:val="21"/>
                <w:szCs w:val="21"/>
                <w:lang w:val="en-US" w:bidi="ar-SA"/>
              </w:rPr>
              <w:t>）</w:t>
            </w:r>
            <w:r>
              <w:rPr>
                <w:rFonts w:ascii="Times New Roman" w:hAnsi="Times New Roman" w:cs="Times New Roman"/>
                <w:color w:val="auto"/>
                <w:spacing w:val="-4"/>
                <w:sz w:val="21"/>
                <w:szCs w:val="21"/>
                <w:lang w:val="en-US" w:bidi="ar-SA"/>
              </w:rPr>
              <w:t>中的相关要求，提出相</w:t>
            </w:r>
            <w:r>
              <w:rPr>
                <w:rFonts w:ascii="Times New Roman" w:hAnsi="Times New Roman" w:cs="Times New Roman"/>
                <w:color w:val="auto"/>
                <w:sz w:val="21"/>
                <w:szCs w:val="21"/>
                <w:lang w:val="en-US" w:bidi="ar-SA"/>
              </w:rPr>
              <w:t>应的环境监测计划，定期监测项目主要污染源，掌握项目排污状况，为制定污染控制对策提供依据。</w:t>
            </w:r>
          </w:p>
          <w:p w14:paraId="4E5352E8">
            <w:pPr>
              <w:pStyle w:val="28"/>
              <w:spacing w:line="400" w:lineRule="exact"/>
              <w:ind w:left="110" w:leftChars="50" w:firstLine="420" w:firstLineChars="200"/>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根据本项目特征和污染物排放情况，制定本项目的监测计划，具体内容见下表：</w:t>
            </w:r>
          </w:p>
          <w:p w14:paraId="15B0B712">
            <w:pPr>
              <w:tabs>
                <w:tab w:val="left" w:pos="905"/>
              </w:tabs>
              <w:spacing w:line="400" w:lineRule="exact"/>
              <w:ind w:left="5"/>
              <w:jc w:val="center"/>
              <w:outlineLvl w:val="2"/>
              <w:rPr>
                <w:rFonts w:ascii="Times New Roman" w:hAnsi="Times New Roman" w:cs="Times New Roman"/>
                <w:color w:val="auto"/>
                <w:sz w:val="21"/>
                <w:szCs w:val="21"/>
                <w:lang w:val="en-US" w:eastAsia="en-US" w:bidi="ar-SA"/>
              </w:rPr>
            </w:pPr>
            <w:r>
              <w:rPr>
                <w:rFonts w:ascii="Times New Roman" w:hAnsi="Times New Roman" w:cs="Times New Roman"/>
                <w:b/>
                <w:bCs/>
                <w:color w:val="auto"/>
                <w:sz w:val="21"/>
                <w:szCs w:val="21"/>
                <w:lang w:val="en-US" w:eastAsia="en-US" w:bidi="ar-SA"/>
              </w:rPr>
              <w:t>表</w:t>
            </w:r>
            <w:r>
              <w:rPr>
                <w:rFonts w:ascii="Times New Roman" w:hAnsi="Times New Roman" w:cs="Times New Roman"/>
                <w:b/>
                <w:bCs/>
                <w:color w:val="auto"/>
                <w:sz w:val="21"/>
                <w:szCs w:val="21"/>
                <w:lang w:val="en-US" w:bidi="ar-SA"/>
              </w:rPr>
              <w:t>4.1</w:t>
            </w:r>
            <w:r>
              <w:rPr>
                <w:rFonts w:hint="eastAsia" w:ascii="Times New Roman" w:hAnsi="Times New Roman" w:cs="Times New Roman"/>
                <w:b/>
                <w:bCs/>
                <w:color w:val="auto"/>
                <w:sz w:val="21"/>
                <w:szCs w:val="21"/>
                <w:lang w:val="en-US" w:eastAsia="zh-CN" w:bidi="ar-SA"/>
              </w:rPr>
              <w:t>2</w:t>
            </w:r>
            <w:r>
              <w:rPr>
                <w:rFonts w:hint="eastAsia" w:ascii="Times New Roman" w:hAnsi="Times New Roman" w:eastAsia="宋体" w:cs="Times New Roman"/>
                <w:b/>
                <w:bCs/>
                <w:color w:val="auto"/>
                <w:sz w:val="21"/>
                <w:szCs w:val="21"/>
                <w:lang w:val="en-US" w:eastAsia="zh-CN" w:bidi="ar-SA"/>
              </w:rPr>
              <w:t xml:space="preserve"> </w:t>
            </w:r>
            <w:r>
              <w:rPr>
                <w:rFonts w:ascii="Times New Roman" w:hAnsi="Times New Roman" w:cs="Times New Roman"/>
                <w:b/>
                <w:bCs/>
                <w:color w:val="auto"/>
                <w:sz w:val="21"/>
                <w:szCs w:val="21"/>
                <w:lang w:val="en-US" w:bidi="ar-SA"/>
              </w:rPr>
              <w:t>噪声</w:t>
            </w:r>
            <w:r>
              <w:rPr>
                <w:rFonts w:ascii="Times New Roman" w:hAnsi="Times New Roman" w:cs="Times New Roman"/>
                <w:b/>
                <w:bCs/>
                <w:color w:val="auto"/>
                <w:sz w:val="21"/>
                <w:szCs w:val="21"/>
                <w:lang w:val="en-US" w:eastAsia="en-US" w:bidi="ar-SA"/>
              </w:rPr>
              <w:t>监测计划一览表</w:t>
            </w:r>
          </w:p>
          <w:tbl>
            <w:tblPr>
              <w:tblStyle w:val="34"/>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14:paraId="1FF52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hRule="atLeast"/>
                <w:jc w:val="center"/>
              </w:trPr>
              <w:tc>
                <w:tcPr>
                  <w:tcW w:w="982" w:type="dxa"/>
                  <w:vAlign w:val="center"/>
                </w:tcPr>
                <w:p w14:paraId="358C844A">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类型</w:t>
                  </w:r>
                </w:p>
              </w:tc>
              <w:tc>
                <w:tcPr>
                  <w:tcW w:w="1321" w:type="dxa"/>
                  <w:vAlign w:val="center"/>
                </w:tcPr>
                <w:p w14:paraId="01FBE216">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项目</w:t>
                  </w:r>
                </w:p>
              </w:tc>
              <w:tc>
                <w:tcPr>
                  <w:tcW w:w="1502" w:type="dxa"/>
                  <w:vAlign w:val="center"/>
                </w:tcPr>
                <w:p w14:paraId="202D56D1">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监测因子</w:t>
                  </w:r>
                </w:p>
              </w:tc>
              <w:tc>
                <w:tcPr>
                  <w:tcW w:w="2851" w:type="dxa"/>
                  <w:vAlign w:val="center"/>
                </w:tcPr>
                <w:p w14:paraId="2E70386B">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取样位置</w:t>
                  </w:r>
                </w:p>
              </w:tc>
              <w:tc>
                <w:tcPr>
                  <w:tcW w:w="945" w:type="dxa"/>
                  <w:vAlign w:val="center"/>
                </w:tcPr>
                <w:p w14:paraId="00111117">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监测频次</w:t>
                  </w:r>
                </w:p>
              </w:tc>
            </w:tr>
            <w:tr w14:paraId="774A1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vAlign w:val="center"/>
                </w:tcPr>
                <w:p w14:paraId="115CC5E8">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声环境</w:t>
                  </w:r>
                </w:p>
              </w:tc>
              <w:tc>
                <w:tcPr>
                  <w:tcW w:w="1321" w:type="dxa"/>
                  <w:vAlign w:val="center"/>
                </w:tcPr>
                <w:p w14:paraId="0E058EA1">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厂界噪声</w:t>
                  </w:r>
                </w:p>
              </w:tc>
              <w:tc>
                <w:tcPr>
                  <w:tcW w:w="1502" w:type="dxa"/>
                  <w:vAlign w:val="center"/>
                </w:tcPr>
                <w:p w14:paraId="40484D43">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等效连续A声级</w:t>
                  </w:r>
                </w:p>
              </w:tc>
              <w:tc>
                <w:tcPr>
                  <w:tcW w:w="2851" w:type="dxa"/>
                  <w:vAlign w:val="center"/>
                </w:tcPr>
                <w:p w14:paraId="73C17323">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东、南、西、北厂界外 1m</w:t>
                  </w:r>
                </w:p>
              </w:tc>
              <w:tc>
                <w:tcPr>
                  <w:tcW w:w="945" w:type="dxa"/>
                  <w:tcBorders>
                    <w:top w:val="nil"/>
                  </w:tcBorders>
                  <w:vAlign w:val="center"/>
                </w:tcPr>
                <w:p w14:paraId="6013DD70">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每季1次</w:t>
                  </w:r>
                </w:p>
              </w:tc>
            </w:tr>
          </w:tbl>
          <w:p w14:paraId="61E4DB5F">
            <w:pPr>
              <w:autoSpaceDE/>
              <w:autoSpaceDN/>
              <w:spacing w:line="400" w:lineRule="exact"/>
              <w:ind w:left="110" w:leftChars="50" w:firstLine="422" w:firstLineChars="200"/>
              <w:jc w:val="both"/>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四、固体废物</w:t>
            </w:r>
          </w:p>
          <w:p w14:paraId="22A2421C">
            <w:pPr>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cs="Times New Roman"/>
                <w:b/>
                <w:bCs/>
                <w:color w:val="auto"/>
                <w:sz w:val="21"/>
                <w:szCs w:val="21"/>
                <w:lang w:val="en-US" w:eastAsia="zh-CN"/>
              </w:rPr>
            </w:pPr>
            <w:r>
              <w:rPr>
                <w:rFonts w:ascii="Times New Roman" w:hAnsi="Times New Roman" w:cs="Times New Roman"/>
                <w:b/>
                <w:bCs/>
                <w:color w:val="auto"/>
                <w:sz w:val="21"/>
                <w:szCs w:val="21"/>
                <w:lang w:val="en-US"/>
              </w:rPr>
              <w:t>1、</w:t>
            </w:r>
            <w:r>
              <w:rPr>
                <w:rFonts w:hint="default" w:ascii="Times New Roman" w:hAnsi="Times New Roman" w:cs="Times New Roman"/>
                <w:b/>
                <w:bCs/>
                <w:color w:val="auto"/>
                <w:sz w:val="21"/>
                <w:szCs w:val="21"/>
                <w:lang w:val="en-US" w:eastAsia="zh-CN"/>
              </w:rPr>
              <w:t>固废产生情况及处置措施</w:t>
            </w:r>
          </w:p>
          <w:p w14:paraId="286613A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eastAsia="宋体" w:cs="Times New Roman"/>
                <w:color w:val="auto"/>
                <w:kern w:val="2"/>
                <w:sz w:val="21"/>
                <w:szCs w:val="21"/>
                <w:lang w:val="en-US" w:eastAsia="zh-CN" w:bidi="ar-SA"/>
              </w:rPr>
              <w:t>本项目</w:t>
            </w:r>
            <w:r>
              <w:rPr>
                <w:rFonts w:hint="default" w:ascii="Times New Roman" w:hAnsi="Times New Roman" w:eastAsia="宋体" w:cs="Times New Roman"/>
                <w:color w:val="auto"/>
                <w:kern w:val="2"/>
                <w:sz w:val="21"/>
                <w:szCs w:val="21"/>
                <w:lang w:val="zh-CN" w:eastAsia="zh-CN" w:bidi="ar-SA"/>
              </w:rPr>
              <w:t>产生固体废物</w:t>
            </w:r>
            <w:r>
              <w:rPr>
                <w:rFonts w:hint="default" w:ascii="Times New Roman" w:hAnsi="Times New Roman" w:cs="Times New Roman"/>
                <w:b w:val="0"/>
                <w:bCs w:val="0"/>
                <w:color w:val="auto"/>
                <w:sz w:val="21"/>
                <w:szCs w:val="21"/>
              </w:rPr>
              <w:t>主要为废包装材料（S1</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S3</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废液压油（S2）</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w:t>
            </w:r>
            <w:r>
              <w:rPr>
                <w:rFonts w:hint="default" w:ascii="Times New Roman" w:hAnsi="Times New Roman" w:cs="Times New Roman"/>
                <w:b w:val="0"/>
                <w:bCs w:val="0"/>
                <w:color w:val="auto"/>
                <w:sz w:val="21"/>
                <w:szCs w:val="21"/>
                <w:lang w:eastAsia="zh-CN"/>
              </w:rPr>
              <w:t>机</w:t>
            </w:r>
            <w:r>
              <w:rPr>
                <w:rFonts w:hint="default" w:ascii="Times New Roman" w:hAnsi="Times New Roman" w:cs="Times New Roman"/>
                <w:b w:val="0"/>
                <w:bCs w:val="0"/>
                <w:color w:val="auto"/>
                <w:sz w:val="21"/>
                <w:szCs w:val="21"/>
              </w:rPr>
              <w:t>油（S</w:t>
            </w:r>
            <w:r>
              <w:rPr>
                <w:rFonts w:hint="default" w:ascii="Times New Roman" w:hAnsi="Times New Roman" w:cs="Times New Roman"/>
                <w:b w:val="0"/>
                <w:bCs w:val="0"/>
                <w:color w:val="auto"/>
                <w:sz w:val="21"/>
                <w:szCs w:val="21"/>
                <w:lang w:val="en-US" w:eastAsia="zh-CN"/>
              </w:rPr>
              <w:t>4</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、除尘灰（</w:t>
            </w:r>
            <w:r>
              <w:rPr>
                <w:rFonts w:hint="default" w:ascii="Times New Roman" w:hAnsi="Times New Roman" w:cs="Times New Roman"/>
                <w:b w:val="0"/>
                <w:bCs w:val="0"/>
                <w:color w:val="auto"/>
                <w:sz w:val="21"/>
                <w:szCs w:val="21"/>
                <w:lang w:val="en-US" w:eastAsia="zh-CN"/>
              </w:rPr>
              <w:t>S5</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生产剩余材料</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S</w:t>
            </w:r>
            <w:r>
              <w:rPr>
                <w:rFonts w:hint="eastAsia" w:ascii="Times New Roman" w:hAnsi="Times New Roman" w:cs="Times New Roman"/>
                <w:b w:val="0"/>
                <w:bCs w:val="0"/>
                <w:color w:val="auto"/>
                <w:sz w:val="21"/>
                <w:szCs w:val="21"/>
                <w:lang w:val="en-US" w:eastAsia="zh-CN"/>
              </w:rPr>
              <w:t>6</w:t>
            </w:r>
            <w:r>
              <w:rPr>
                <w:rFonts w:hint="default" w:ascii="Times New Roman" w:hAnsi="Times New Roman" w:cs="Times New Roman"/>
                <w:b w:val="0"/>
                <w:bCs w:val="0"/>
                <w:color w:val="auto"/>
                <w:sz w:val="21"/>
                <w:szCs w:val="21"/>
                <w:lang w:eastAsia="zh-CN"/>
              </w:rPr>
              <w:t>）、废</w:t>
            </w:r>
            <w:r>
              <w:rPr>
                <w:rFonts w:hint="eastAsia" w:ascii="Times New Roman" w:hAnsi="Times New Roman" w:cs="Times New Roman"/>
                <w:b w:val="0"/>
                <w:bCs w:val="0"/>
                <w:color w:val="auto"/>
                <w:sz w:val="21"/>
                <w:szCs w:val="21"/>
                <w:lang w:val="en-US" w:eastAsia="zh-CN"/>
              </w:rPr>
              <w:t>包装桶</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S</w:t>
            </w:r>
            <w:r>
              <w:rPr>
                <w:rFonts w:hint="eastAsia" w:ascii="Times New Roman" w:hAnsi="Times New Roman" w:cs="Times New Roman"/>
                <w:b w:val="0"/>
                <w:bCs w:val="0"/>
                <w:color w:val="auto"/>
                <w:sz w:val="21"/>
                <w:szCs w:val="21"/>
                <w:lang w:val="en-US" w:eastAsia="zh-CN"/>
              </w:rPr>
              <w:t>7</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废活性炭</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S8</w:t>
            </w:r>
            <w:r>
              <w:rPr>
                <w:rFonts w:hint="eastAsia" w:ascii="Times New Roman" w:hAnsi="Times New Roman" w:cs="Times New Roman"/>
                <w:b w:val="0"/>
                <w:bCs w:val="0"/>
                <w:color w:val="auto"/>
                <w:sz w:val="21"/>
                <w:szCs w:val="21"/>
                <w:lang w:eastAsia="zh-CN"/>
              </w:rPr>
              <w:t>）、生活垃圾（</w:t>
            </w:r>
            <w:r>
              <w:rPr>
                <w:rFonts w:hint="eastAsia" w:ascii="Times New Roman" w:hAnsi="Times New Roman" w:cs="Times New Roman"/>
                <w:b w:val="0"/>
                <w:bCs w:val="0"/>
                <w:color w:val="auto"/>
                <w:sz w:val="21"/>
                <w:szCs w:val="21"/>
                <w:lang w:val="en-US" w:eastAsia="zh-CN"/>
              </w:rPr>
              <w:t>S9</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等。</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p>
          <w:p w14:paraId="572725C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w:t>
            </w:r>
            <w:r>
              <w:rPr>
                <w:rFonts w:hint="eastAsia" w:ascii="Times New Roman" w:hAnsi="Times New Roman" w:cs="Times New Roman"/>
                <w:b/>
                <w:color w:val="auto"/>
                <w:sz w:val="21"/>
                <w:szCs w:val="21"/>
                <w:lang w:val="en-US" w:eastAsia="zh-CN"/>
              </w:rPr>
              <w:t>3</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color w:val="auto"/>
                <w:sz w:val="21"/>
                <w:szCs w:val="21"/>
                <w:lang w:eastAsia="zh-CN"/>
              </w:rPr>
              <w:t>建成后</w:t>
            </w:r>
            <w:r>
              <w:rPr>
                <w:rFonts w:hint="default" w:ascii="Times New Roman" w:hAnsi="Times New Roman" w:cs="Times New Roman"/>
                <w:b/>
                <w:color w:val="auto"/>
                <w:sz w:val="21"/>
                <w:szCs w:val="21"/>
                <w:lang w:val="en-US" w:eastAsia="zh-CN"/>
              </w:rPr>
              <w:t>固体废物汇总表</w:t>
            </w:r>
          </w:p>
          <w:tbl>
            <w:tblPr>
              <w:tblStyle w:val="34"/>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
              <w:gridCol w:w="1214"/>
              <w:gridCol w:w="1555"/>
              <w:gridCol w:w="1531"/>
              <w:gridCol w:w="653"/>
              <w:gridCol w:w="1009"/>
              <w:gridCol w:w="1125"/>
              <w:gridCol w:w="867"/>
              <w:gridCol w:w="1218"/>
            </w:tblGrid>
            <w:tr w14:paraId="26C5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68" w:type="pct"/>
                  <w:noWrap w:val="0"/>
                  <w:vAlign w:val="center"/>
                </w:tcPr>
                <w:p w14:paraId="32C588A7">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639" w:type="pct"/>
                  <w:noWrap w:val="0"/>
                  <w:vAlign w:val="center"/>
                </w:tcPr>
                <w:p w14:paraId="09A1D047">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819" w:type="pct"/>
                  <w:noWrap w:val="0"/>
                  <w:vAlign w:val="center"/>
                </w:tcPr>
                <w:p w14:paraId="243F6443">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产生环节</w:t>
                  </w:r>
                </w:p>
              </w:tc>
              <w:tc>
                <w:tcPr>
                  <w:tcW w:w="806" w:type="pct"/>
                  <w:noWrap w:val="0"/>
                  <w:vAlign w:val="center"/>
                </w:tcPr>
                <w:p w14:paraId="2AFF689C">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贮存方式</w:t>
                  </w:r>
                </w:p>
              </w:tc>
              <w:tc>
                <w:tcPr>
                  <w:tcW w:w="344" w:type="pct"/>
                  <w:noWrap w:val="0"/>
                  <w:vAlign w:val="center"/>
                </w:tcPr>
                <w:p w14:paraId="0E857313">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物理性状</w:t>
                  </w:r>
                </w:p>
              </w:tc>
              <w:tc>
                <w:tcPr>
                  <w:tcW w:w="531" w:type="pct"/>
                  <w:noWrap w:val="0"/>
                  <w:vAlign w:val="center"/>
                </w:tcPr>
                <w:p w14:paraId="35E4B860">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cs="Times New Roman"/>
                      <w:b/>
                      <w:bCs/>
                      <w:color w:val="auto"/>
                      <w:kern w:val="0"/>
                      <w:sz w:val="21"/>
                      <w:szCs w:val="21"/>
                    </w:rPr>
                    <w:t>产生量</w:t>
                  </w:r>
                  <w:r>
                    <w:rPr>
                      <w:rFonts w:hint="default" w:ascii="Times New Roman" w:hAnsi="Times New Roman" w:cs="Times New Roman"/>
                      <w:b/>
                      <w:bCs/>
                      <w:color w:val="auto"/>
                      <w:kern w:val="0"/>
                      <w:sz w:val="21"/>
                      <w:szCs w:val="21"/>
                      <w:lang w:val="en-US" w:eastAsia="zh-CN"/>
                    </w:rPr>
                    <w:t>t/a</w:t>
                  </w:r>
                </w:p>
              </w:tc>
              <w:tc>
                <w:tcPr>
                  <w:tcW w:w="592" w:type="pct"/>
                  <w:noWrap w:val="0"/>
                  <w:vAlign w:val="center"/>
                </w:tcPr>
                <w:p w14:paraId="1513369D">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456" w:type="pct"/>
                  <w:noWrap w:val="0"/>
                  <w:vAlign w:val="center"/>
                </w:tcPr>
                <w:p w14:paraId="164ED192">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环境危险特性</w:t>
                  </w:r>
                </w:p>
              </w:tc>
              <w:tc>
                <w:tcPr>
                  <w:tcW w:w="641" w:type="pct"/>
                  <w:noWrap w:val="0"/>
                  <w:vAlign w:val="center"/>
                </w:tcPr>
                <w:p w14:paraId="4025522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主要有害物质名称</w:t>
                  </w:r>
                </w:p>
              </w:tc>
            </w:tr>
            <w:tr w14:paraId="35E7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14:paraId="70D1B7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lang w:val="en-US" w:eastAsia="zh-CN"/>
                    </w:rPr>
                    <w:t>1</w:t>
                  </w:r>
                </w:p>
              </w:tc>
              <w:tc>
                <w:tcPr>
                  <w:tcW w:w="639" w:type="pct"/>
                  <w:noWrap w:val="0"/>
                  <w:vAlign w:val="center"/>
                </w:tcPr>
                <w:p w14:paraId="75EF241E">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废包装材料</w:t>
                  </w:r>
                </w:p>
              </w:tc>
              <w:tc>
                <w:tcPr>
                  <w:tcW w:w="819" w:type="pct"/>
                  <w:noWrap w:val="0"/>
                  <w:vAlign w:val="center"/>
                </w:tcPr>
                <w:p w14:paraId="0E1A9186">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cs="Times New Roman"/>
                      <w:b/>
                      <w:bCs/>
                      <w:color w:val="auto"/>
                      <w:kern w:val="0"/>
                      <w:sz w:val="21"/>
                      <w:szCs w:val="21"/>
                    </w:rPr>
                  </w:pPr>
                  <w:r>
                    <w:rPr>
                      <w:rFonts w:hint="eastAsia" w:ascii="Times New Roman" w:hAnsi="Times New Roman" w:cs="Times New Roman"/>
                      <w:color w:val="auto"/>
                      <w:sz w:val="21"/>
                      <w:szCs w:val="21"/>
                      <w:lang w:val="en-US" w:eastAsia="zh-CN" w:bidi="zh-CN"/>
                    </w:rPr>
                    <w:t>原料包装、</w:t>
                  </w:r>
                  <w:r>
                    <w:rPr>
                      <w:rFonts w:hint="eastAsia" w:ascii="Times New Roman" w:hAnsi="Times New Roman" w:cs="Times New Roman"/>
                      <w:b w:val="0"/>
                      <w:bCs w:val="0"/>
                      <w:color w:val="auto"/>
                      <w:sz w:val="21"/>
                      <w:szCs w:val="21"/>
                      <w:lang w:eastAsia="zh-CN"/>
                    </w:rPr>
                    <w:t>成品包装</w:t>
                  </w:r>
                </w:p>
              </w:tc>
              <w:tc>
                <w:tcPr>
                  <w:tcW w:w="806" w:type="pct"/>
                  <w:noWrap w:val="0"/>
                  <w:vAlign w:val="center"/>
                </w:tcPr>
                <w:p w14:paraId="13F808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val="0"/>
                      <w:bCs w:val="0"/>
                      <w:color w:val="auto"/>
                      <w:sz w:val="21"/>
                      <w:szCs w:val="21"/>
                      <w:lang w:val="en-US" w:eastAsia="zh-CN"/>
                    </w:rPr>
                    <w:t>暂存于</w:t>
                  </w:r>
                  <w:r>
                    <w:rPr>
                      <w:rFonts w:hint="default" w:ascii="Times New Roman" w:hAnsi="Times New Roman" w:cs="Times New Roman"/>
                      <w:b w:val="0"/>
                      <w:bCs w:val="0"/>
                      <w:color w:val="auto"/>
                      <w:sz w:val="21"/>
                      <w:szCs w:val="21"/>
                      <w:lang w:eastAsia="zh-CN"/>
                    </w:rPr>
                    <w:t>一般固废间</w:t>
                  </w:r>
                </w:p>
              </w:tc>
              <w:tc>
                <w:tcPr>
                  <w:tcW w:w="344" w:type="pct"/>
                  <w:noWrap w:val="0"/>
                  <w:vAlign w:val="center"/>
                </w:tcPr>
                <w:p w14:paraId="614A89C4">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color w:val="auto"/>
                      <w:kern w:val="0"/>
                      <w:sz w:val="21"/>
                      <w:szCs w:val="21"/>
                      <w:lang w:eastAsia="zh-CN"/>
                    </w:rPr>
                    <w:t>固态</w:t>
                  </w:r>
                </w:p>
              </w:tc>
              <w:tc>
                <w:tcPr>
                  <w:tcW w:w="531" w:type="pct"/>
                  <w:noWrap w:val="0"/>
                  <w:vAlign w:val="center"/>
                </w:tcPr>
                <w:p w14:paraId="3A3C59C9">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lang w:val="en-US"/>
                    </w:rPr>
                  </w:pPr>
                  <w:r>
                    <w:rPr>
                      <w:rFonts w:hint="default" w:ascii="Times New Roman" w:hAnsi="Times New Roman" w:cs="Times New Roman"/>
                      <w:b w:val="0"/>
                      <w:bCs w:val="0"/>
                      <w:color w:val="auto"/>
                      <w:kern w:val="2"/>
                      <w:sz w:val="21"/>
                      <w:szCs w:val="21"/>
                      <w:lang w:val="en-US" w:eastAsia="zh-CN" w:bidi="ar-SA"/>
                    </w:rPr>
                    <w:t>0.</w:t>
                  </w:r>
                  <w:r>
                    <w:rPr>
                      <w:rFonts w:hint="eastAsia" w:ascii="Times New Roman" w:hAnsi="Times New Roman" w:cs="Times New Roman"/>
                      <w:b w:val="0"/>
                      <w:bCs w:val="0"/>
                      <w:color w:val="auto"/>
                      <w:kern w:val="2"/>
                      <w:sz w:val="21"/>
                      <w:szCs w:val="21"/>
                      <w:lang w:val="en-US" w:eastAsia="zh-CN" w:bidi="ar-SA"/>
                    </w:rPr>
                    <w:t>5</w:t>
                  </w:r>
                </w:p>
              </w:tc>
              <w:tc>
                <w:tcPr>
                  <w:tcW w:w="592" w:type="pct"/>
                  <w:noWrap w:val="0"/>
                  <w:vAlign w:val="center"/>
                </w:tcPr>
                <w:p w14:paraId="7DFC0B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color w:val="auto"/>
                      <w:kern w:val="0"/>
                      <w:sz w:val="21"/>
                      <w:szCs w:val="21"/>
                    </w:rPr>
                    <w:t>一般工业固体废物</w:t>
                  </w:r>
                </w:p>
              </w:tc>
              <w:tc>
                <w:tcPr>
                  <w:tcW w:w="456" w:type="pct"/>
                  <w:noWrap w:val="0"/>
                  <w:vAlign w:val="center"/>
                </w:tcPr>
                <w:p w14:paraId="55BAE5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color w:val="auto"/>
                      <w:kern w:val="0"/>
                      <w:sz w:val="21"/>
                      <w:szCs w:val="21"/>
                    </w:rPr>
                    <w:t>/</w:t>
                  </w:r>
                </w:p>
              </w:tc>
              <w:tc>
                <w:tcPr>
                  <w:tcW w:w="641" w:type="pct"/>
                  <w:noWrap w:val="0"/>
                  <w:vAlign w:val="center"/>
                </w:tcPr>
                <w:p w14:paraId="6EE94BA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kern w:val="0"/>
                      <w:sz w:val="21"/>
                      <w:szCs w:val="21"/>
                    </w:rPr>
                    <w:t>/</w:t>
                  </w:r>
                </w:p>
              </w:tc>
            </w:tr>
            <w:tr w14:paraId="47BB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8" w:type="pct"/>
                  <w:noWrap w:val="0"/>
                  <w:vAlign w:val="center"/>
                </w:tcPr>
                <w:p w14:paraId="222F2E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val="en-US" w:eastAsia="zh-CN" w:bidi="zh-CN"/>
                    </w:rPr>
                    <w:t>2</w:t>
                  </w:r>
                </w:p>
              </w:tc>
              <w:tc>
                <w:tcPr>
                  <w:tcW w:w="639" w:type="pct"/>
                  <w:noWrap w:val="0"/>
                  <w:vAlign w:val="center"/>
                </w:tcPr>
                <w:p w14:paraId="5D09A75F">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color w:val="auto"/>
                      <w:sz w:val="21"/>
                      <w:szCs w:val="21"/>
                      <w:lang w:val="en-US" w:eastAsia="zh-CN" w:bidi="zh-CN"/>
                    </w:rPr>
                    <w:t>除尘灰</w:t>
                  </w:r>
                </w:p>
              </w:tc>
              <w:tc>
                <w:tcPr>
                  <w:tcW w:w="819" w:type="pct"/>
                  <w:noWrap w:val="0"/>
                  <w:vAlign w:val="center"/>
                </w:tcPr>
                <w:p w14:paraId="185B978B">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lang w:eastAsia="zh-CN"/>
                    </w:rPr>
                    <w:t>废气处理设备</w:t>
                  </w:r>
                </w:p>
              </w:tc>
              <w:tc>
                <w:tcPr>
                  <w:tcW w:w="806" w:type="pct"/>
                  <w:noWrap w:val="0"/>
                  <w:vAlign w:val="center"/>
                </w:tcPr>
                <w:p w14:paraId="3E798EF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b w:val="0"/>
                      <w:bCs w:val="0"/>
                      <w:color w:val="auto"/>
                      <w:sz w:val="21"/>
                      <w:szCs w:val="21"/>
                      <w:lang w:val="en-US" w:eastAsia="zh-CN"/>
                    </w:rPr>
                    <w:t>暂存于</w:t>
                  </w:r>
                  <w:r>
                    <w:rPr>
                      <w:rFonts w:hint="default" w:ascii="Times New Roman" w:hAnsi="Times New Roman" w:cs="Times New Roman"/>
                      <w:b w:val="0"/>
                      <w:bCs w:val="0"/>
                      <w:color w:val="auto"/>
                      <w:sz w:val="21"/>
                      <w:szCs w:val="21"/>
                      <w:lang w:eastAsia="zh-CN"/>
                    </w:rPr>
                    <w:t>一般固废间</w:t>
                  </w:r>
                </w:p>
              </w:tc>
              <w:tc>
                <w:tcPr>
                  <w:tcW w:w="344" w:type="pct"/>
                  <w:noWrap w:val="0"/>
                  <w:vAlign w:val="center"/>
                </w:tcPr>
                <w:p w14:paraId="1B47FDEA">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1" w:type="pct"/>
                  <w:noWrap w:val="0"/>
                  <w:vAlign w:val="center"/>
                </w:tcPr>
                <w:p w14:paraId="577AEB25">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0.9088</w:t>
                  </w:r>
                </w:p>
              </w:tc>
              <w:tc>
                <w:tcPr>
                  <w:tcW w:w="592" w:type="pct"/>
                  <w:noWrap w:val="0"/>
                  <w:vAlign w:val="center"/>
                </w:tcPr>
                <w:p w14:paraId="6F30CD4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一般工业固体废物</w:t>
                  </w:r>
                </w:p>
              </w:tc>
              <w:tc>
                <w:tcPr>
                  <w:tcW w:w="456" w:type="pct"/>
                  <w:noWrap w:val="0"/>
                  <w:vAlign w:val="center"/>
                </w:tcPr>
                <w:p w14:paraId="487A70C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w:t>
                  </w:r>
                </w:p>
              </w:tc>
              <w:tc>
                <w:tcPr>
                  <w:tcW w:w="641" w:type="pct"/>
                  <w:noWrap w:val="0"/>
                  <w:vAlign w:val="center"/>
                </w:tcPr>
                <w:p w14:paraId="7859019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w:t>
                  </w:r>
                </w:p>
              </w:tc>
            </w:tr>
            <w:tr w14:paraId="35FF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 w:type="pct"/>
                  <w:shd w:val="clear" w:color="auto" w:fill="auto"/>
                  <w:noWrap w:val="0"/>
                  <w:vAlign w:val="center"/>
                </w:tcPr>
                <w:p w14:paraId="7DDCBD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val="en-US" w:eastAsia="zh-CN" w:bidi="zh-CN"/>
                    </w:rPr>
                    <w:t>3</w:t>
                  </w:r>
                </w:p>
              </w:tc>
              <w:tc>
                <w:tcPr>
                  <w:tcW w:w="639" w:type="pct"/>
                  <w:noWrap w:val="0"/>
                  <w:vAlign w:val="center"/>
                </w:tcPr>
                <w:p w14:paraId="02F89B94">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生产剩余材料</w:t>
                  </w:r>
                </w:p>
              </w:tc>
              <w:tc>
                <w:tcPr>
                  <w:tcW w:w="819" w:type="pct"/>
                  <w:noWrap w:val="0"/>
                  <w:vAlign w:val="center"/>
                </w:tcPr>
                <w:p w14:paraId="7D4151CD">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美缝剂生产</w:t>
                  </w:r>
                </w:p>
              </w:tc>
              <w:tc>
                <w:tcPr>
                  <w:tcW w:w="1531" w:type="dxa"/>
                  <w:noWrap w:val="0"/>
                  <w:vAlign w:val="center"/>
                </w:tcPr>
                <w:p w14:paraId="471C99A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暂存于</w:t>
                  </w:r>
                  <w:r>
                    <w:rPr>
                      <w:rFonts w:hint="default" w:ascii="Times New Roman" w:hAnsi="Times New Roman" w:cs="Times New Roman"/>
                      <w:b w:val="0"/>
                      <w:bCs w:val="0"/>
                      <w:color w:val="auto"/>
                      <w:sz w:val="21"/>
                      <w:szCs w:val="21"/>
                      <w:lang w:eastAsia="zh-CN"/>
                    </w:rPr>
                    <w:t>一般固废间</w:t>
                  </w:r>
                </w:p>
              </w:tc>
              <w:tc>
                <w:tcPr>
                  <w:tcW w:w="653" w:type="dxa"/>
                  <w:noWrap w:val="0"/>
                  <w:vAlign w:val="center"/>
                </w:tcPr>
                <w:p w14:paraId="430CC50D">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固态</w:t>
                  </w:r>
                </w:p>
              </w:tc>
              <w:tc>
                <w:tcPr>
                  <w:tcW w:w="1009" w:type="dxa"/>
                  <w:noWrap w:val="0"/>
                  <w:vAlign w:val="center"/>
                </w:tcPr>
                <w:p w14:paraId="2AA9DEF6">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2</w:t>
                  </w:r>
                </w:p>
              </w:tc>
              <w:tc>
                <w:tcPr>
                  <w:tcW w:w="1125" w:type="dxa"/>
                  <w:noWrap w:val="0"/>
                  <w:vAlign w:val="center"/>
                </w:tcPr>
                <w:p w14:paraId="3B60A68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867" w:type="dxa"/>
                  <w:noWrap w:val="0"/>
                  <w:vAlign w:val="center"/>
                </w:tcPr>
                <w:p w14:paraId="474318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c>
                <w:tcPr>
                  <w:tcW w:w="1218" w:type="dxa"/>
                  <w:noWrap w:val="0"/>
                  <w:vAlign w:val="center"/>
                </w:tcPr>
                <w:p w14:paraId="6208A05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r>
            <w:tr w14:paraId="5313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0" w:type="auto"/>
                  <w:shd w:val="clear" w:color="auto" w:fill="auto"/>
                  <w:vAlign w:val="center"/>
                </w:tcPr>
                <w:p w14:paraId="365A05E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val="en-US" w:eastAsia="zh-CN" w:bidi="zh-CN"/>
                    </w:rPr>
                    <w:t>4</w:t>
                  </w:r>
                </w:p>
              </w:tc>
              <w:tc>
                <w:tcPr>
                  <w:tcW w:w="639" w:type="pct"/>
                  <w:vAlign w:val="center"/>
                </w:tcPr>
                <w:p w14:paraId="5B891452">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废液压油</w:t>
                  </w:r>
                </w:p>
              </w:tc>
              <w:tc>
                <w:tcPr>
                  <w:tcW w:w="819" w:type="pct"/>
                  <w:vAlign w:val="center"/>
                </w:tcPr>
                <w:p w14:paraId="112CA216">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sz w:val="21"/>
                      <w:szCs w:val="21"/>
                      <w:lang w:eastAsia="zh-CN"/>
                    </w:rPr>
                    <w:t>液压设备</w:t>
                  </w:r>
                </w:p>
              </w:tc>
              <w:tc>
                <w:tcPr>
                  <w:tcW w:w="806" w:type="pct"/>
                  <w:vAlign w:val="center"/>
                </w:tcPr>
                <w:p w14:paraId="63D76D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暂存危废间内</w:t>
                  </w:r>
                </w:p>
              </w:tc>
              <w:tc>
                <w:tcPr>
                  <w:tcW w:w="344" w:type="pct"/>
                  <w:vAlign w:val="center"/>
                </w:tcPr>
                <w:p w14:paraId="523547A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pacing w:val="0"/>
                      <w:kern w:val="0"/>
                      <w:sz w:val="21"/>
                      <w:szCs w:val="21"/>
                      <w:lang w:val="en-US" w:eastAsia="zh-CN"/>
                    </w:rPr>
                    <w:t>液</w:t>
                  </w:r>
                  <w:r>
                    <w:rPr>
                      <w:rFonts w:hint="default" w:ascii="Times New Roman" w:hAnsi="Times New Roman" w:cs="Times New Roman"/>
                      <w:color w:val="auto"/>
                      <w:spacing w:val="0"/>
                      <w:kern w:val="0"/>
                      <w:sz w:val="21"/>
                      <w:szCs w:val="21"/>
                      <w:lang w:eastAsia="zh-CN"/>
                    </w:rPr>
                    <w:t>态</w:t>
                  </w:r>
                </w:p>
              </w:tc>
              <w:tc>
                <w:tcPr>
                  <w:tcW w:w="531" w:type="pct"/>
                  <w:vAlign w:val="center"/>
                </w:tcPr>
                <w:p w14:paraId="347B4D65">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0.5</w:t>
                  </w:r>
                </w:p>
              </w:tc>
              <w:tc>
                <w:tcPr>
                  <w:tcW w:w="592" w:type="pct"/>
                  <w:vAlign w:val="center"/>
                </w:tcPr>
                <w:p w14:paraId="2F97BA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vAlign w:val="center"/>
                </w:tcPr>
                <w:p w14:paraId="487BA10C">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kern w:val="0"/>
                      <w:sz w:val="21"/>
                      <w:szCs w:val="21"/>
                      <w:highlight w:val="none"/>
                      <w:lang w:val="en-US" w:eastAsia="zh-CN" w:bidi="ar"/>
                    </w:rPr>
                    <w:t>T，I</w:t>
                  </w:r>
                </w:p>
              </w:tc>
              <w:tc>
                <w:tcPr>
                  <w:tcW w:w="641" w:type="pct"/>
                  <w:vAlign w:val="center"/>
                </w:tcPr>
                <w:p w14:paraId="1C5846BB">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废矿物油</w:t>
                  </w:r>
                </w:p>
              </w:tc>
            </w:tr>
            <w:tr w14:paraId="540D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168" w:type="pct"/>
                  <w:shd w:val="clear" w:color="auto" w:fill="auto"/>
                  <w:vAlign w:val="center"/>
                </w:tcPr>
                <w:p w14:paraId="2DD43AF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val="en-US" w:eastAsia="zh-CN" w:bidi="zh-CN"/>
                    </w:rPr>
                    <w:t>5</w:t>
                  </w:r>
                </w:p>
              </w:tc>
              <w:tc>
                <w:tcPr>
                  <w:tcW w:w="639" w:type="pct"/>
                  <w:vAlign w:val="center"/>
                </w:tcPr>
                <w:p w14:paraId="378E484B">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废机油</w:t>
                  </w:r>
                </w:p>
              </w:tc>
              <w:tc>
                <w:tcPr>
                  <w:tcW w:w="819" w:type="pct"/>
                  <w:vAlign w:val="center"/>
                </w:tcPr>
                <w:p w14:paraId="4CD840AD">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sz w:val="21"/>
                      <w:szCs w:val="21"/>
                      <w:lang w:eastAsia="zh-CN"/>
                    </w:rPr>
                    <w:t>检维修</w:t>
                  </w:r>
                </w:p>
              </w:tc>
              <w:tc>
                <w:tcPr>
                  <w:tcW w:w="806" w:type="pct"/>
                  <w:vAlign w:val="center"/>
                </w:tcPr>
                <w:p w14:paraId="03AB93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暂存危废间内</w:t>
                  </w:r>
                </w:p>
              </w:tc>
              <w:tc>
                <w:tcPr>
                  <w:tcW w:w="344" w:type="pct"/>
                  <w:vAlign w:val="center"/>
                </w:tcPr>
                <w:p w14:paraId="7EBC90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pacing w:val="0"/>
                      <w:kern w:val="0"/>
                      <w:sz w:val="21"/>
                      <w:szCs w:val="21"/>
                      <w:lang w:val="en-US" w:eastAsia="zh-CN"/>
                    </w:rPr>
                    <w:t>液</w:t>
                  </w:r>
                  <w:r>
                    <w:rPr>
                      <w:rFonts w:hint="default" w:ascii="Times New Roman" w:hAnsi="Times New Roman" w:cs="Times New Roman"/>
                      <w:color w:val="auto"/>
                      <w:spacing w:val="0"/>
                      <w:kern w:val="0"/>
                      <w:sz w:val="21"/>
                      <w:szCs w:val="21"/>
                      <w:lang w:eastAsia="zh-CN"/>
                    </w:rPr>
                    <w:t>态</w:t>
                  </w:r>
                </w:p>
              </w:tc>
              <w:tc>
                <w:tcPr>
                  <w:tcW w:w="531" w:type="pct"/>
                  <w:vAlign w:val="center"/>
                </w:tcPr>
                <w:p w14:paraId="73F296A3">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b w:val="0"/>
                      <w:bCs w:val="0"/>
                      <w:color w:val="auto"/>
                      <w:kern w:val="2"/>
                      <w:sz w:val="21"/>
                      <w:szCs w:val="21"/>
                      <w:lang w:val="en-US" w:eastAsia="zh-CN" w:bidi="ar-SA"/>
                    </w:rPr>
                    <w:t>0.12</w:t>
                  </w:r>
                </w:p>
              </w:tc>
              <w:tc>
                <w:tcPr>
                  <w:tcW w:w="592" w:type="pct"/>
                  <w:vAlign w:val="center"/>
                </w:tcPr>
                <w:p w14:paraId="1E07D0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vAlign w:val="center"/>
                </w:tcPr>
                <w:p w14:paraId="3D07C8B7">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kern w:val="0"/>
                      <w:sz w:val="21"/>
                      <w:szCs w:val="21"/>
                      <w:highlight w:val="none"/>
                      <w:lang w:val="en-US" w:eastAsia="zh-CN" w:bidi="ar"/>
                    </w:rPr>
                    <w:t>T，I</w:t>
                  </w:r>
                </w:p>
              </w:tc>
              <w:tc>
                <w:tcPr>
                  <w:tcW w:w="641" w:type="pct"/>
                  <w:vAlign w:val="center"/>
                </w:tcPr>
                <w:p w14:paraId="04FF56E6">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废矿物油</w:t>
                  </w:r>
                </w:p>
              </w:tc>
            </w:tr>
            <w:tr w14:paraId="1DAE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168" w:type="pct"/>
                  <w:shd w:val="clear" w:color="auto" w:fill="auto"/>
                  <w:vAlign w:val="center"/>
                </w:tcPr>
                <w:p w14:paraId="620A59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val="en-US" w:eastAsia="zh-CN" w:bidi="zh-CN"/>
                    </w:rPr>
                    <w:t>6</w:t>
                  </w:r>
                </w:p>
              </w:tc>
              <w:tc>
                <w:tcPr>
                  <w:tcW w:w="639" w:type="pct"/>
                  <w:vAlign w:val="center"/>
                </w:tcPr>
                <w:p w14:paraId="26416482">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废包装桶</w:t>
                  </w:r>
                </w:p>
              </w:tc>
              <w:tc>
                <w:tcPr>
                  <w:tcW w:w="819" w:type="pct"/>
                  <w:vAlign w:val="center"/>
                </w:tcPr>
                <w:p w14:paraId="3139E8B9">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kern w:val="0"/>
                      <w:sz w:val="21"/>
                      <w:szCs w:val="21"/>
                      <w:lang w:val="en-US" w:eastAsia="zh-CN" w:bidi="zh-CN"/>
                    </w:rPr>
                  </w:pPr>
                  <w:r>
                    <w:rPr>
                      <w:rFonts w:hint="eastAsia" w:ascii="Times New Roman" w:hAnsi="Times New Roman" w:cs="Times New Roman"/>
                      <w:b w:val="0"/>
                      <w:bCs w:val="0"/>
                      <w:color w:val="auto"/>
                      <w:sz w:val="21"/>
                      <w:szCs w:val="21"/>
                      <w:lang w:eastAsia="zh-CN"/>
                    </w:rPr>
                    <w:t>检维修</w:t>
                  </w:r>
                </w:p>
              </w:tc>
              <w:tc>
                <w:tcPr>
                  <w:tcW w:w="806" w:type="pct"/>
                  <w:vAlign w:val="center"/>
                </w:tcPr>
                <w:p w14:paraId="731002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4" w:type="pct"/>
                  <w:vAlign w:val="center"/>
                </w:tcPr>
                <w:p w14:paraId="1DB1DF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zh-CN"/>
                    </w:rPr>
                  </w:pPr>
                  <w:r>
                    <w:rPr>
                      <w:rFonts w:hint="eastAsia" w:ascii="Times New Roman" w:hAnsi="Times New Roman" w:cs="Times New Roman"/>
                      <w:color w:val="auto"/>
                      <w:spacing w:val="0"/>
                      <w:kern w:val="0"/>
                      <w:sz w:val="21"/>
                      <w:szCs w:val="21"/>
                      <w:lang w:val="en-US" w:eastAsia="zh-CN"/>
                    </w:rPr>
                    <w:t>固态</w:t>
                  </w:r>
                </w:p>
              </w:tc>
              <w:tc>
                <w:tcPr>
                  <w:tcW w:w="531" w:type="pct"/>
                  <w:vAlign w:val="center"/>
                </w:tcPr>
                <w:p w14:paraId="4A36AC49">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zh-CN"/>
                    </w:rPr>
                  </w:pPr>
                  <w:r>
                    <w:rPr>
                      <w:rFonts w:hint="eastAsia" w:ascii="Times New Roman" w:hAnsi="Times New Roman" w:eastAsia="宋体" w:cs="Times New Roman"/>
                      <w:color w:val="auto"/>
                      <w:kern w:val="2"/>
                      <w:sz w:val="18"/>
                      <w:szCs w:val="18"/>
                      <w:lang w:val="en-US" w:eastAsia="zh-CN" w:bidi="ar-SA"/>
                    </w:rPr>
                    <w:t>0.</w:t>
                  </w:r>
                  <w:r>
                    <w:rPr>
                      <w:rFonts w:hint="eastAsia" w:ascii="Times New Roman" w:hAnsi="Times New Roman" w:cs="Times New Roman"/>
                      <w:color w:val="auto"/>
                      <w:kern w:val="2"/>
                      <w:sz w:val="18"/>
                      <w:szCs w:val="18"/>
                      <w:lang w:val="en-US" w:eastAsia="zh-CN" w:bidi="ar-SA"/>
                    </w:rPr>
                    <w:t>0675</w:t>
                  </w:r>
                </w:p>
              </w:tc>
              <w:tc>
                <w:tcPr>
                  <w:tcW w:w="592" w:type="pct"/>
                  <w:vAlign w:val="center"/>
                </w:tcPr>
                <w:p w14:paraId="24DA63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vAlign w:val="center"/>
                </w:tcPr>
                <w:p w14:paraId="7FB20E1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zh-CN"/>
                    </w:rPr>
                  </w:pPr>
                  <w:r>
                    <w:rPr>
                      <w:rFonts w:hint="default" w:ascii="Times New Roman" w:hAnsi="Times New Roman" w:eastAsia="宋体" w:cs="Times New Roman"/>
                      <w:color w:val="auto"/>
                      <w:spacing w:val="0"/>
                      <w:kern w:val="0"/>
                      <w:sz w:val="21"/>
                      <w:szCs w:val="21"/>
                      <w:highlight w:val="none"/>
                      <w:lang w:val="en-US" w:eastAsia="zh-CN" w:bidi="ar"/>
                    </w:rPr>
                    <w:t>T，I</w:t>
                  </w:r>
                </w:p>
              </w:tc>
              <w:tc>
                <w:tcPr>
                  <w:tcW w:w="641" w:type="pct"/>
                  <w:vAlign w:val="center"/>
                </w:tcPr>
                <w:p w14:paraId="6426939C">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r w14:paraId="4F3A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168" w:type="pct"/>
                  <w:shd w:val="clear" w:color="auto" w:fill="auto"/>
                  <w:vAlign w:val="center"/>
                </w:tcPr>
                <w:p w14:paraId="00FC5B21">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val="en-US" w:eastAsia="zh-CN" w:bidi="zh-CN"/>
                    </w:rPr>
                    <w:t>7</w:t>
                  </w:r>
                </w:p>
              </w:tc>
              <w:tc>
                <w:tcPr>
                  <w:tcW w:w="639" w:type="pct"/>
                  <w:vAlign w:val="center"/>
                </w:tcPr>
                <w:p w14:paraId="0933809B">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废活性炭</w:t>
                  </w:r>
                </w:p>
              </w:tc>
              <w:tc>
                <w:tcPr>
                  <w:tcW w:w="819" w:type="pct"/>
                  <w:vAlign w:val="center"/>
                </w:tcPr>
                <w:p w14:paraId="53FA4CE8">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eastAsia"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活性炭吸附装置</w:t>
                  </w:r>
                </w:p>
              </w:tc>
              <w:tc>
                <w:tcPr>
                  <w:tcW w:w="806" w:type="pct"/>
                  <w:vAlign w:val="center"/>
                </w:tcPr>
                <w:p w14:paraId="32737F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暂存危废间内</w:t>
                  </w:r>
                </w:p>
              </w:tc>
              <w:tc>
                <w:tcPr>
                  <w:tcW w:w="344" w:type="pct"/>
                  <w:vAlign w:val="center"/>
                </w:tcPr>
                <w:p w14:paraId="641B98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pacing w:val="0"/>
                      <w:kern w:val="0"/>
                      <w:sz w:val="21"/>
                      <w:szCs w:val="21"/>
                      <w:lang w:val="en-US" w:eastAsia="zh-CN"/>
                    </w:rPr>
                  </w:pPr>
                  <w:r>
                    <w:rPr>
                      <w:rFonts w:hint="eastAsia" w:ascii="Times New Roman" w:hAnsi="Times New Roman" w:cs="Times New Roman"/>
                      <w:color w:val="auto"/>
                      <w:spacing w:val="0"/>
                      <w:kern w:val="0"/>
                      <w:sz w:val="21"/>
                      <w:szCs w:val="21"/>
                      <w:lang w:val="en-US" w:eastAsia="zh-CN"/>
                    </w:rPr>
                    <w:t>固态</w:t>
                  </w:r>
                </w:p>
              </w:tc>
              <w:tc>
                <w:tcPr>
                  <w:tcW w:w="531" w:type="pct"/>
                  <w:vAlign w:val="center"/>
                </w:tcPr>
                <w:p w14:paraId="2587D521">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1.6377</w:t>
                  </w:r>
                </w:p>
              </w:tc>
              <w:tc>
                <w:tcPr>
                  <w:tcW w:w="592" w:type="pct"/>
                  <w:vAlign w:val="center"/>
                </w:tcPr>
                <w:p w14:paraId="7FAB58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vAlign w:val="center"/>
                </w:tcPr>
                <w:p w14:paraId="490907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kern w:val="0"/>
                      <w:sz w:val="21"/>
                      <w:szCs w:val="21"/>
                      <w:highlight w:val="none"/>
                      <w:lang w:val="en-US" w:eastAsia="zh-CN" w:bidi="ar"/>
                    </w:rPr>
                  </w:pPr>
                  <w:r>
                    <w:rPr>
                      <w:rFonts w:hint="default" w:ascii="Times New Roman" w:hAnsi="Times New Roman" w:eastAsia="宋体" w:cs="Times New Roman"/>
                      <w:color w:val="auto"/>
                      <w:spacing w:val="0"/>
                      <w:kern w:val="0"/>
                      <w:sz w:val="21"/>
                      <w:szCs w:val="21"/>
                      <w:highlight w:val="none"/>
                      <w:lang w:val="en-US" w:eastAsia="zh-CN" w:bidi="ar"/>
                    </w:rPr>
                    <w:t>T</w:t>
                  </w:r>
                </w:p>
              </w:tc>
              <w:tc>
                <w:tcPr>
                  <w:tcW w:w="641" w:type="pct"/>
                  <w:vAlign w:val="center"/>
                </w:tcPr>
                <w:p w14:paraId="0414F069">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非甲烷总烃</w:t>
                  </w:r>
                </w:p>
              </w:tc>
            </w:tr>
            <w:tr w14:paraId="31EA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8" w:type="pct"/>
                  <w:vAlign w:val="center"/>
                </w:tcPr>
                <w:p w14:paraId="12F7B9AF">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val="en-US" w:eastAsia="zh-CN" w:bidi="zh-CN"/>
                    </w:rPr>
                    <w:t>8</w:t>
                  </w:r>
                </w:p>
              </w:tc>
              <w:tc>
                <w:tcPr>
                  <w:tcW w:w="639" w:type="pct"/>
                  <w:vAlign w:val="center"/>
                </w:tcPr>
                <w:p w14:paraId="2DB5A5A2">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0"/>
                      <w:sz w:val="21"/>
                      <w:szCs w:val="21"/>
                      <w:lang w:val="en-US" w:eastAsia="zh-CN" w:bidi="zh-CN"/>
                    </w:rPr>
                    <w:t>生活垃圾</w:t>
                  </w:r>
                </w:p>
              </w:tc>
              <w:tc>
                <w:tcPr>
                  <w:tcW w:w="819" w:type="pct"/>
                  <w:vAlign w:val="center"/>
                </w:tcPr>
                <w:p w14:paraId="756B3A62">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kern w:val="0"/>
                      <w:sz w:val="21"/>
                      <w:szCs w:val="21"/>
                      <w:lang w:val="en-US" w:eastAsia="zh-CN" w:bidi="zh-CN"/>
                    </w:rPr>
                  </w:pPr>
                  <w:r>
                    <w:rPr>
                      <w:rFonts w:hint="default" w:ascii="Times New Roman" w:hAnsi="Times New Roman" w:cs="Times New Roman"/>
                      <w:color w:val="auto"/>
                      <w:sz w:val="21"/>
                      <w:szCs w:val="21"/>
                      <w:lang w:val="en-US" w:eastAsia="zh-CN"/>
                    </w:rPr>
                    <w:t>职工生活办公</w:t>
                  </w:r>
                </w:p>
              </w:tc>
              <w:tc>
                <w:tcPr>
                  <w:tcW w:w="806" w:type="pct"/>
                  <w:vAlign w:val="center"/>
                </w:tcPr>
                <w:p w14:paraId="6DDFEA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pacing w:val="0"/>
                      <w:kern w:val="0"/>
                      <w:sz w:val="21"/>
                      <w:szCs w:val="21"/>
                      <w:lang w:eastAsia="zh-CN"/>
                    </w:rPr>
                    <w:t>存放于生活垃圾存放区</w:t>
                  </w:r>
                </w:p>
              </w:tc>
              <w:tc>
                <w:tcPr>
                  <w:tcW w:w="344" w:type="pct"/>
                  <w:vAlign w:val="center"/>
                </w:tcPr>
                <w:p w14:paraId="722D0B7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zh-CN"/>
                    </w:rPr>
                  </w:pPr>
                  <w:r>
                    <w:rPr>
                      <w:rFonts w:hint="default" w:ascii="Times New Roman" w:hAnsi="Times New Roman" w:cs="Times New Roman"/>
                      <w:color w:val="auto"/>
                      <w:spacing w:val="0"/>
                      <w:kern w:val="0"/>
                      <w:sz w:val="21"/>
                      <w:szCs w:val="21"/>
                      <w:lang w:eastAsia="zh-CN"/>
                    </w:rPr>
                    <w:t>固态</w:t>
                  </w:r>
                </w:p>
              </w:tc>
              <w:tc>
                <w:tcPr>
                  <w:tcW w:w="531" w:type="pct"/>
                  <w:vAlign w:val="center"/>
                </w:tcPr>
                <w:p w14:paraId="40C358D8">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zh-CN"/>
                    </w:rPr>
                  </w:pPr>
                  <w:r>
                    <w:rPr>
                      <w:rFonts w:hint="eastAsia" w:ascii="Times New Roman" w:hAnsi="Times New Roman" w:cs="Times New Roman"/>
                      <w:b w:val="0"/>
                      <w:bCs w:val="0"/>
                      <w:color w:val="auto"/>
                      <w:sz w:val="21"/>
                      <w:szCs w:val="21"/>
                      <w:lang w:val="en-US" w:eastAsia="zh-CN"/>
                    </w:rPr>
                    <w:t>0.005</w:t>
                  </w:r>
                </w:p>
              </w:tc>
              <w:tc>
                <w:tcPr>
                  <w:tcW w:w="592" w:type="pct"/>
                  <w:vAlign w:val="center"/>
                </w:tcPr>
                <w:p w14:paraId="6C754A8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zh-CN"/>
                    </w:rPr>
                  </w:pPr>
                  <w:r>
                    <w:rPr>
                      <w:rFonts w:hint="default" w:ascii="Times New Roman" w:hAnsi="Times New Roman" w:cs="Times New Roman"/>
                      <w:color w:val="auto"/>
                      <w:spacing w:val="0"/>
                      <w:kern w:val="0"/>
                      <w:sz w:val="21"/>
                      <w:szCs w:val="21"/>
                      <w:lang w:eastAsia="zh-CN"/>
                    </w:rPr>
                    <w:t>生活垃圾</w:t>
                  </w:r>
                </w:p>
              </w:tc>
              <w:tc>
                <w:tcPr>
                  <w:tcW w:w="456" w:type="pct"/>
                  <w:vAlign w:val="center"/>
                </w:tcPr>
                <w:p w14:paraId="5AFDD5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zh-CN"/>
                    </w:rPr>
                  </w:pPr>
                  <w:r>
                    <w:rPr>
                      <w:rFonts w:hint="default" w:ascii="Times New Roman" w:hAnsi="Times New Roman" w:cs="Times New Roman"/>
                      <w:color w:val="auto"/>
                      <w:kern w:val="0"/>
                      <w:sz w:val="21"/>
                      <w:szCs w:val="21"/>
                    </w:rPr>
                    <w:t>/</w:t>
                  </w:r>
                </w:p>
              </w:tc>
              <w:tc>
                <w:tcPr>
                  <w:tcW w:w="641" w:type="pct"/>
                  <w:vAlign w:val="center"/>
                </w:tcPr>
                <w:p w14:paraId="44ABEF0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bidi="zh-CN"/>
                    </w:rPr>
                  </w:pPr>
                  <w:r>
                    <w:rPr>
                      <w:rFonts w:hint="default" w:ascii="Times New Roman" w:hAnsi="Times New Roman" w:cs="Times New Roman"/>
                      <w:color w:val="auto"/>
                      <w:kern w:val="0"/>
                      <w:sz w:val="21"/>
                      <w:szCs w:val="21"/>
                    </w:rPr>
                    <w:t>/</w:t>
                  </w:r>
                </w:p>
              </w:tc>
            </w:tr>
          </w:tbl>
          <w:p w14:paraId="38D8EE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w:t>
            </w:r>
            <w:r>
              <w:rPr>
                <w:rFonts w:hint="eastAsia"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bCs/>
                <w:color w:val="auto"/>
                <w:sz w:val="21"/>
                <w:szCs w:val="21"/>
              </w:rPr>
              <w:t>固废利用处置方式</w:t>
            </w:r>
            <w:r>
              <w:rPr>
                <w:rFonts w:hint="default" w:ascii="Times New Roman" w:hAnsi="Times New Roman" w:cs="Times New Roman"/>
                <w:b/>
                <w:bCs/>
                <w:color w:val="auto"/>
                <w:sz w:val="21"/>
                <w:szCs w:val="21"/>
                <w:lang w:eastAsia="zh-CN"/>
              </w:rPr>
              <w:t>一览表</w:t>
            </w:r>
          </w:p>
          <w:tbl>
            <w:tblPr>
              <w:tblStyle w:val="3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237"/>
              <w:gridCol w:w="2297"/>
              <w:gridCol w:w="1380"/>
              <w:gridCol w:w="1375"/>
              <w:gridCol w:w="964"/>
              <w:gridCol w:w="1070"/>
            </w:tblGrid>
            <w:tr w14:paraId="032D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14:paraId="46D1A33C">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1237" w:type="dxa"/>
                  <w:noWrap w:val="0"/>
                  <w:vAlign w:val="center"/>
                </w:tcPr>
                <w:p w14:paraId="5B2AD6C9">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2297" w:type="dxa"/>
                  <w:noWrap w:val="0"/>
                  <w:vAlign w:val="center"/>
                </w:tcPr>
                <w:p w14:paraId="1B4A3174">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利用处置方式</w:t>
                  </w:r>
                </w:p>
              </w:tc>
              <w:tc>
                <w:tcPr>
                  <w:tcW w:w="1380" w:type="dxa"/>
                  <w:noWrap w:val="0"/>
                  <w:vAlign w:val="center"/>
                </w:tcPr>
                <w:p w14:paraId="2E7EAB54">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1375" w:type="dxa"/>
                  <w:noWrap w:val="0"/>
                  <w:vAlign w:val="center"/>
                </w:tcPr>
                <w:p w14:paraId="4CCB0137">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废物代码</w:t>
                  </w:r>
                </w:p>
              </w:tc>
              <w:tc>
                <w:tcPr>
                  <w:tcW w:w="964" w:type="dxa"/>
                  <w:noWrap w:val="0"/>
                  <w:vAlign w:val="center"/>
                </w:tcPr>
                <w:p w14:paraId="2ACA06D6">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cs="Times New Roman"/>
                      <w:b/>
                      <w:bCs/>
                      <w:color w:val="auto"/>
                      <w:kern w:val="0"/>
                      <w:sz w:val="21"/>
                      <w:szCs w:val="21"/>
                    </w:rPr>
                    <w:t>处置量</w:t>
                  </w:r>
                  <w:r>
                    <w:rPr>
                      <w:rFonts w:hint="default" w:ascii="Times New Roman" w:hAnsi="Times New Roman" w:cs="Times New Roman"/>
                      <w:b/>
                      <w:bCs/>
                      <w:color w:val="auto"/>
                      <w:kern w:val="0"/>
                      <w:sz w:val="21"/>
                      <w:szCs w:val="21"/>
                      <w:lang w:val="en-US" w:eastAsia="zh-CN"/>
                    </w:rPr>
                    <w:t>t/a</w:t>
                  </w:r>
                </w:p>
              </w:tc>
              <w:tc>
                <w:tcPr>
                  <w:tcW w:w="1070" w:type="dxa"/>
                  <w:noWrap w:val="0"/>
                  <w:vAlign w:val="center"/>
                </w:tcPr>
                <w:p w14:paraId="4DF66207">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是否符合环保要求</w:t>
                  </w:r>
                </w:p>
              </w:tc>
            </w:tr>
            <w:tr w14:paraId="08CD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14:paraId="45998A5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lang w:val="en-US" w:eastAsia="zh-CN"/>
                    </w:rPr>
                    <w:t>1</w:t>
                  </w:r>
                </w:p>
              </w:tc>
              <w:tc>
                <w:tcPr>
                  <w:tcW w:w="1237" w:type="dxa"/>
                  <w:noWrap w:val="0"/>
                  <w:vAlign w:val="center"/>
                </w:tcPr>
                <w:p w14:paraId="0A1B37E0">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color w:val="auto"/>
                      <w:sz w:val="21"/>
                      <w:szCs w:val="21"/>
                      <w:lang w:val="en-US" w:eastAsia="zh-CN" w:bidi="zh-CN"/>
                    </w:rPr>
                    <w:t>废包装材料</w:t>
                  </w:r>
                </w:p>
              </w:tc>
              <w:tc>
                <w:tcPr>
                  <w:tcW w:w="2297" w:type="dxa"/>
                  <w:noWrap w:val="0"/>
                  <w:vAlign w:val="center"/>
                </w:tcPr>
                <w:p w14:paraId="72F1A3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后外售</w:t>
                  </w:r>
                </w:p>
              </w:tc>
              <w:tc>
                <w:tcPr>
                  <w:tcW w:w="1380" w:type="dxa"/>
                  <w:noWrap w:val="0"/>
                  <w:vAlign w:val="center"/>
                </w:tcPr>
                <w:p w14:paraId="5043EA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一般工业固体废物</w:t>
                  </w:r>
                </w:p>
              </w:tc>
              <w:tc>
                <w:tcPr>
                  <w:tcW w:w="1375" w:type="dxa"/>
                  <w:noWrap w:val="0"/>
                  <w:vAlign w:val="center"/>
                </w:tcPr>
                <w:p w14:paraId="68D9996C">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900-003-S17</w:t>
                  </w:r>
                </w:p>
              </w:tc>
              <w:tc>
                <w:tcPr>
                  <w:tcW w:w="964" w:type="dxa"/>
                  <w:noWrap w:val="0"/>
                  <w:vAlign w:val="center"/>
                </w:tcPr>
                <w:p w14:paraId="4AA08CDA">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b w:val="0"/>
                      <w:bCs w:val="0"/>
                      <w:color w:val="auto"/>
                      <w:kern w:val="2"/>
                      <w:sz w:val="21"/>
                      <w:szCs w:val="21"/>
                      <w:lang w:val="en-US" w:eastAsia="zh-CN" w:bidi="ar-SA"/>
                    </w:rPr>
                    <w:t>0.</w:t>
                  </w:r>
                  <w:r>
                    <w:rPr>
                      <w:rFonts w:hint="eastAsia" w:ascii="Times New Roman" w:hAnsi="Times New Roman" w:cs="Times New Roman"/>
                      <w:b w:val="0"/>
                      <w:bCs w:val="0"/>
                      <w:color w:val="auto"/>
                      <w:kern w:val="2"/>
                      <w:sz w:val="21"/>
                      <w:szCs w:val="21"/>
                      <w:lang w:val="en-US" w:eastAsia="zh-CN" w:bidi="ar-SA"/>
                    </w:rPr>
                    <w:t>5</w:t>
                  </w:r>
                </w:p>
              </w:tc>
              <w:tc>
                <w:tcPr>
                  <w:tcW w:w="1070" w:type="dxa"/>
                  <w:noWrap w:val="0"/>
                  <w:vAlign w:val="center"/>
                </w:tcPr>
                <w:p w14:paraId="0E35B6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是</w:t>
                  </w:r>
                </w:p>
              </w:tc>
            </w:tr>
            <w:tr w14:paraId="55F6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14:paraId="46A101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val="en-US" w:eastAsia="zh-CN" w:bidi="zh-CN"/>
                    </w:rPr>
                    <w:t>2</w:t>
                  </w:r>
                </w:p>
              </w:tc>
              <w:tc>
                <w:tcPr>
                  <w:tcW w:w="1237" w:type="dxa"/>
                  <w:noWrap w:val="0"/>
                  <w:vAlign w:val="center"/>
                </w:tcPr>
                <w:p w14:paraId="3545A56D">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b w:val="0"/>
                      <w:bCs w:val="0"/>
                      <w:color w:val="auto"/>
                      <w:sz w:val="21"/>
                      <w:szCs w:val="21"/>
                      <w:lang w:val="zh-CN" w:eastAsia="zh-CN" w:bidi="zh-CN"/>
                    </w:rPr>
                  </w:pPr>
                  <w:r>
                    <w:rPr>
                      <w:rFonts w:hint="eastAsia" w:ascii="Times New Roman" w:hAnsi="Times New Roman" w:cs="Times New Roman"/>
                      <w:color w:val="auto"/>
                      <w:sz w:val="21"/>
                      <w:szCs w:val="21"/>
                      <w:lang w:val="en-US" w:eastAsia="zh-CN" w:bidi="zh-CN"/>
                    </w:rPr>
                    <w:t>除尘灰</w:t>
                  </w:r>
                </w:p>
              </w:tc>
              <w:tc>
                <w:tcPr>
                  <w:tcW w:w="2297" w:type="dxa"/>
                  <w:noWrap w:val="0"/>
                  <w:vAlign w:val="center"/>
                </w:tcPr>
                <w:p w14:paraId="3160DE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w:t>
                  </w:r>
                  <w:r>
                    <w:rPr>
                      <w:rFonts w:hint="eastAsia" w:ascii="Times New Roman" w:hAnsi="Times New Roman" w:cs="Times New Roman"/>
                      <w:b w:val="0"/>
                      <w:bCs w:val="0"/>
                      <w:color w:val="auto"/>
                      <w:sz w:val="21"/>
                      <w:szCs w:val="21"/>
                      <w:lang w:val="en-US" w:eastAsia="zh-CN"/>
                    </w:rPr>
                    <w:t>回用</w:t>
                  </w:r>
                </w:p>
              </w:tc>
              <w:tc>
                <w:tcPr>
                  <w:tcW w:w="1380" w:type="dxa"/>
                  <w:noWrap w:val="0"/>
                  <w:vAlign w:val="center"/>
                </w:tcPr>
                <w:p w14:paraId="09E7BD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一般工业固体废物</w:t>
                  </w:r>
                </w:p>
              </w:tc>
              <w:tc>
                <w:tcPr>
                  <w:tcW w:w="1375" w:type="dxa"/>
                  <w:noWrap w:val="0"/>
                  <w:vAlign w:val="center"/>
                </w:tcPr>
                <w:p w14:paraId="137932ED">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900-099-S17</w:t>
                  </w:r>
                </w:p>
              </w:tc>
              <w:tc>
                <w:tcPr>
                  <w:tcW w:w="964" w:type="dxa"/>
                  <w:noWrap w:val="0"/>
                  <w:vAlign w:val="center"/>
                </w:tcPr>
                <w:p w14:paraId="219E4D7C">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0.9088</w:t>
                  </w:r>
                </w:p>
              </w:tc>
              <w:tc>
                <w:tcPr>
                  <w:tcW w:w="1070" w:type="dxa"/>
                  <w:noWrap w:val="0"/>
                  <w:vAlign w:val="center"/>
                </w:tcPr>
                <w:p w14:paraId="06498B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14:paraId="3116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shd w:val="clear" w:color="auto" w:fill="auto"/>
                  <w:noWrap w:val="0"/>
                  <w:vAlign w:val="center"/>
                </w:tcPr>
                <w:p w14:paraId="2790F2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val="en-US" w:eastAsia="zh-CN" w:bidi="zh-CN"/>
                    </w:rPr>
                    <w:t>3</w:t>
                  </w:r>
                </w:p>
              </w:tc>
              <w:tc>
                <w:tcPr>
                  <w:tcW w:w="1237" w:type="dxa"/>
                  <w:noWrap w:val="0"/>
                  <w:vAlign w:val="center"/>
                </w:tcPr>
                <w:p w14:paraId="68F9925E">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生产剩余材料</w:t>
                  </w:r>
                </w:p>
              </w:tc>
              <w:tc>
                <w:tcPr>
                  <w:tcW w:w="2297" w:type="dxa"/>
                  <w:noWrap w:val="0"/>
                  <w:vAlign w:val="center"/>
                </w:tcPr>
                <w:p w14:paraId="587D4B5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w:t>
                  </w:r>
                  <w:r>
                    <w:rPr>
                      <w:rFonts w:hint="eastAsia" w:ascii="Times New Roman" w:hAnsi="Times New Roman" w:cs="Times New Roman"/>
                      <w:b w:val="0"/>
                      <w:bCs w:val="0"/>
                      <w:color w:val="auto"/>
                      <w:sz w:val="21"/>
                      <w:szCs w:val="21"/>
                      <w:lang w:val="en-US" w:eastAsia="zh-CN"/>
                    </w:rPr>
                    <w:t>回用</w:t>
                  </w:r>
                </w:p>
              </w:tc>
              <w:tc>
                <w:tcPr>
                  <w:tcW w:w="1380" w:type="dxa"/>
                  <w:noWrap w:val="0"/>
                  <w:vAlign w:val="center"/>
                </w:tcPr>
                <w:p w14:paraId="48557B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一般工业固体废物</w:t>
                  </w:r>
                </w:p>
              </w:tc>
              <w:tc>
                <w:tcPr>
                  <w:tcW w:w="1375" w:type="dxa"/>
                  <w:noWrap w:val="0"/>
                  <w:vAlign w:val="center"/>
                </w:tcPr>
                <w:p w14:paraId="48F31BDE">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900-099-S17</w:t>
                  </w:r>
                </w:p>
              </w:tc>
              <w:tc>
                <w:tcPr>
                  <w:tcW w:w="964" w:type="dxa"/>
                  <w:noWrap w:val="0"/>
                  <w:vAlign w:val="center"/>
                </w:tcPr>
                <w:p w14:paraId="2A40A0B1">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2</w:t>
                  </w:r>
                </w:p>
              </w:tc>
              <w:tc>
                <w:tcPr>
                  <w:tcW w:w="1070" w:type="dxa"/>
                  <w:noWrap w:val="0"/>
                  <w:vAlign w:val="center"/>
                </w:tcPr>
                <w:p w14:paraId="0D83C6EE">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14:paraId="226B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shd w:val="clear" w:color="auto" w:fill="auto"/>
                  <w:noWrap w:val="0"/>
                  <w:vAlign w:val="center"/>
                </w:tcPr>
                <w:p w14:paraId="4F12C3C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val="en-US" w:eastAsia="zh-CN" w:bidi="zh-CN"/>
                    </w:rPr>
                    <w:t>4</w:t>
                  </w:r>
                </w:p>
              </w:tc>
              <w:tc>
                <w:tcPr>
                  <w:tcW w:w="1237" w:type="dxa"/>
                  <w:noWrap w:val="0"/>
                  <w:vAlign w:val="center"/>
                </w:tcPr>
                <w:p w14:paraId="62C9DFD9">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bidi="zh-CN"/>
                    </w:rPr>
                    <w:t>废液压油</w:t>
                  </w:r>
                </w:p>
              </w:tc>
              <w:tc>
                <w:tcPr>
                  <w:tcW w:w="2297" w:type="dxa"/>
                  <w:noWrap w:val="0"/>
                  <w:vAlign w:val="center"/>
                </w:tcPr>
                <w:p w14:paraId="452BDF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w:t>
                  </w:r>
                  <w:r>
                    <w:rPr>
                      <w:rFonts w:hint="default" w:ascii="Times New Roman" w:hAnsi="Times New Roman" w:cs="Times New Roman"/>
                      <w:color w:val="auto"/>
                      <w:sz w:val="21"/>
                      <w:szCs w:val="21"/>
                      <w:lang w:eastAsia="zh-CN"/>
                    </w:rPr>
                    <w:t>定期</w:t>
                  </w:r>
                  <w:r>
                    <w:rPr>
                      <w:rFonts w:hint="default" w:ascii="Times New Roman" w:hAnsi="Times New Roman" w:cs="Times New Roman"/>
                      <w:color w:val="auto"/>
                      <w:sz w:val="21"/>
                      <w:szCs w:val="21"/>
                    </w:rPr>
                    <w:t>由资质单位处置</w:t>
                  </w:r>
                </w:p>
              </w:tc>
              <w:tc>
                <w:tcPr>
                  <w:tcW w:w="1380" w:type="dxa"/>
                  <w:noWrap w:val="0"/>
                  <w:vAlign w:val="center"/>
                </w:tcPr>
                <w:p w14:paraId="669C49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危险废物</w:t>
                  </w:r>
                </w:p>
              </w:tc>
              <w:tc>
                <w:tcPr>
                  <w:tcW w:w="1375" w:type="dxa"/>
                  <w:noWrap w:val="0"/>
                  <w:vAlign w:val="center"/>
                </w:tcPr>
                <w:p w14:paraId="4337A2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900-21</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-08</w:t>
                  </w:r>
                </w:p>
              </w:tc>
              <w:tc>
                <w:tcPr>
                  <w:tcW w:w="964" w:type="dxa"/>
                  <w:noWrap w:val="0"/>
                  <w:vAlign w:val="center"/>
                </w:tcPr>
                <w:p w14:paraId="5972677A">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0.5</w:t>
                  </w:r>
                </w:p>
              </w:tc>
              <w:tc>
                <w:tcPr>
                  <w:tcW w:w="1070" w:type="dxa"/>
                  <w:noWrap w:val="0"/>
                  <w:vAlign w:val="center"/>
                </w:tcPr>
                <w:p w14:paraId="47156A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14:paraId="0C03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450" w:type="dxa"/>
                  <w:shd w:val="clear" w:color="auto" w:fill="auto"/>
                  <w:noWrap w:val="0"/>
                  <w:vAlign w:val="center"/>
                </w:tcPr>
                <w:p w14:paraId="1A87A380">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val="en-US" w:eastAsia="zh-CN" w:bidi="zh-CN"/>
                    </w:rPr>
                    <w:t>5</w:t>
                  </w:r>
                </w:p>
              </w:tc>
              <w:tc>
                <w:tcPr>
                  <w:tcW w:w="1237" w:type="dxa"/>
                  <w:noWrap w:val="0"/>
                  <w:vAlign w:val="center"/>
                </w:tcPr>
                <w:p w14:paraId="71F808B9">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废机油</w:t>
                  </w:r>
                </w:p>
              </w:tc>
              <w:tc>
                <w:tcPr>
                  <w:tcW w:w="2297" w:type="dxa"/>
                  <w:noWrap w:val="0"/>
                  <w:vAlign w:val="center"/>
                </w:tcPr>
                <w:p w14:paraId="07FE6D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0"/>
                      <w:sz w:val="21"/>
                      <w:szCs w:val="21"/>
                      <w:lang w:val="en-US" w:eastAsia="zh-CN" w:bidi="ar"/>
                    </w:rPr>
                  </w:pPr>
                  <w:r>
                    <w:rPr>
                      <w:rFonts w:hint="default" w:ascii="Times New Roman" w:hAnsi="Times New Roman" w:cs="Times New Roman"/>
                      <w:color w:val="auto"/>
                      <w:sz w:val="21"/>
                      <w:szCs w:val="21"/>
                    </w:rPr>
                    <w:t>暂存危废间，</w:t>
                  </w:r>
                  <w:r>
                    <w:rPr>
                      <w:rFonts w:hint="default" w:ascii="Times New Roman" w:hAnsi="Times New Roman" w:cs="Times New Roman"/>
                      <w:color w:val="auto"/>
                      <w:sz w:val="21"/>
                      <w:szCs w:val="21"/>
                      <w:lang w:eastAsia="zh-CN"/>
                    </w:rPr>
                    <w:t>定期</w:t>
                  </w:r>
                  <w:r>
                    <w:rPr>
                      <w:rFonts w:hint="default" w:ascii="Times New Roman" w:hAnsi="Times New Roman" w:cs="Times New Roman"/>
                      <w:color w:val="auto"/>
                      <w:sz w:val="21"/>
                      <w:szCs w:val="21"/>
                    </w:rPr>
                    <w:t>由资质单位处置</w:t>
                  </w:r>
                </w:p>
              </w:tc>
              <w:tc>
                <w:tcPr>
                  <w:tcW w:w="1380" w:type="dxa"/>
                  <w:noWrap w:val="0"/>
                  <w:vAlign w:val="center"/>
                </w:tcPr>
                <w:p w14:paraId="2F5283B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危险废物</w:t>
                  </w:r>
                </w:p>
              </w:tc>
              <w:tc>
                <w:tcPr>
                  <w:tcW w:w="1375" w:type="dxa"/>
                  <w:noWrap w:val="0"/>
                  <w:vAlign w:val="center"/>
                </w:tcPr>
                <w:p w14:paraId="5E01BA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900-217-08</w:t>
                  </w:r>
                </w:p>
              </w:tc>
              <w:tc>
                <w:tcPr>
                  <w:tcW w:w="964" w:type="dxa"/>
                  <w:noWrap w:val="0"/>
                  <w:vAlign w:val="center"/>
                </w:tcPr>
                <w:p w14:paraId="5095CC9F">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kern w:val="2"/>
                      <w:sz w:val="21"/>
                      <w:szCs w:val="21"/>
                      <w:lang w:val="en-US" w:eastAsia="zh-CN" w:bidi="ar-SA"/>
                    </w:rPr>
                    <w:t>0.12</w:t>
                  </w:r>
                </w:p>
              </w:tc>
              <w:tc>
                <w:tcPr>
                  <w:tcW w:w="1070" w:type="dxa"/>
                  <w:noWrap w:val="0"/>
                  <w:vAlign w:val="center"/>
                </w:tcPr>
                <w:p w14:paraId="39ADEE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pacing w:val="0"/>
                      <w:kern w:val="0"/>
                      <w:sz w:val="21"/>
                      <w:szCs w:val="21"/>
                    </w:rPr>
                    <w:t>是</w:t>
                  </w:r>
                </w:p>
              </w:tc>
            </w:tr>
            <w:tr w14:paraId="28ED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450" w:type="dxa"/>
                  <w:shd w:val="clear" w:color="auto" w:fill="auto"/>
                  <w:noWrap w:val="0"/>
                  <w:vAlign w:val="center"/>
                </w:tcPr>
                <w:p w14:paraId="2BC6D16E">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val="en-US" w:eastAsia="zh-CN" w:bidi="zh-CN"/>
                    </w:rPr>
                    <w:t>6</w:t>
                  </w:r>
                </w:p>
              </w:tc>
              <w:tc>
                <w:tcPr>
                  <w:tcW w:w="1237" w:type="dxa"/>
                  <w:noWrap w:val="0"/>
                  <w:vAlign w:val="center"/>
                </w:tcPr>
                <w:p w14:paraId="759AA081">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废包装桶</w:t>
                  </w:r>
                </w:p>
              </w:tc>
              <w:tc>
                <w:tcPr>
                  <w:tcW w:w="2297" w:type="dxa"/>
                  <w:noWrap w:val="0"/>
                  <w:vAlign w:val="center"/>
                </w:tcPr>
                <w:p w14:paraId="78FAED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暂存危废间，</w:t>
                  </w:r>
                  <w:r>
                    <w:rPr>
                      <w:rFonts w:hint="default" w:ascii="Times New Roman" w:hAnsi="Times New Roman" w:cs="Times New Roman"/>
                      <w:color w:val="auto"/>
                      <w:sz w:val="21"/>
                      <w:szCs w:val="21"/>
                      <w:lang w:eastAsia="zh-CN"/>
                    </w:rPr>
                    <w:t>定期</w:t>
                  </w:r>
                  <w:r>
                    <w:rPr>
                      <w:rFonts w:hint="default" w:ascii="Times New Roman" w:hAnsi="Times New Roman" w:cs="Times New Roman"/>
                      <w:color w:val="auto"/>
                      <w:sz w:val="21"/>
                      <w:szCs w:val="21"/>
                    </w:rPr>
                    <w:t>由资质单位处置</w:t>
                  </w:r>
                </w:p>
              </w:tc>
              <w:tc>
                <w:tcPr>
                  <w:tcW w:w="1380" w:type="dxa"/>
                  <w:noWrap w:val="0"/>
                  <w:vAlign w:val="center"/>
                </w:tcPr>
                <w:p w14:paraId="72A46B1D">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1375" w:type="dxa"/>
                  <w:noWrap w:val="0"/>
                  <w:vAlign w:val="center"/>
                </w:tcPr>
                <w:p w14:paraId="21176F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ascii="Times New Roman" w:hAnsi="Times New Roman" w:cs="Times New Roman"/>
                      <w:color w:val="auto"/>
                      <w:kern w:val="1"/>
                      <w:sz w:val="21"/>
                      <w:szCs w:val="21"/>
                    </w:rPr>
                    <w:t>900-249-08</w:t>
                  </w:r>
                  <w:r>
                    <w:rPr>
                      <w:rFonts w:hint="eastAsia" w:ascii="Times New Roman" w:hAnsi="Times New Roman" w:cs="Times New Roman"/>
                      <w:b w:val="0"/>
                      <w:bCs w:val="0"/>
                      <w:color w:val="auto"/>
                      <w:kern w:val="2"/>
                      <w:sz w:val="21"/>
                      <w:szCs w:val="21"/>
                      <w:lang w:val="en-US" w:eastAsia="zh-CN" w:bidi="ar-SA"/>
                    </w:rPr>
                    <w:t>；</w:t>
                  </w:r>
                  <w:r>
                    <w:rPr>
                      <w:rFonts w:hint="default" w:ascii="Times New Roman" w:hAnsi="Times New Roman" w:eastAsia="宋体" w:cs="Times New Roman"/>
                      <w:color w:val="auto"/>
                      <w:kern w:val="1"/>
                      <w:sz w:val="21"/>
                      <w:szCs w:val="21"/>
                    </w:rPr>
                    <w:t>900-</w:t>
                  </w:r>
                  <w:r>
                    <w:rPr>
                      <w:rFonts w:hint="eastAsia" w:ascii="Times New Roman" w:hAnsi="Times New Roman" w:cs="Times New Roman"/>
                      <w:color w:val="auto"/>
                      <w:kern w:val="1"/>
                      <w:sz w:val="21"/>
                      <w:szCs w:val="21"/>
                      <w:lang w:val="en-US" w:eastAsia="zh-CN"/>
                    </w:rPr>
                    <w:t>041-49</w:t>
                  </w:r>
                </w:p>
              </w:tc>
              <w:tc>
                <w:tcPr>
                  <w:tcW w:w="964" w:type="dxa"/>
                  <w:noWrap w:val="0"/>
                  <w:vAlign w:val="center"/>
                </w:tcPr>
                <w:p w14:paraId="2A5DA4BA">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0.</w:t>
                  </w:r>
                  <w:r>
                    <w:rPr>
                      <w:rFonts w:hint="eastAsia" w:ascii="Times New Roman" w:hAnsi="Times New Roman" w:cs="Times New Roman"/>
                      <w:color w:val="auto"/>
                      <w:kern w:val="2"/>
                      <w:sz w:val="21"/>
                      <w:szCs w:val="21"/>
                      <w:lang w:val="en-US" w:eastAsia="zh-CN" w:bidi="ar-SA"/>
                    </w:rPr>
                    <w:t>0675</w:t>
                  </w:r>
                </w:p>
              </w:tc>
              <w:tc>
                <w:tcPr>
                  <w:tcW w:w="1070" w:type="dxa"/>
                  <w:noWrap w:val="0"/>
                  <w:vAlign w:val="center"/>
                </w:tcPr>
                <w:p w14:paraId="665100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0"/>
                      <w:sz w:val="21"/>
                      <w:szCs w:val="21"/>
                    </w:rPr>
                    <w:t>是</w:t>
                  </w:r>
                </w:p>
              </w:tc>
            </w:tr>
            <w:tr w14:paraId="7BAD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450" w:type="dxa"/>
                  <w:shd w:val="clear" w:color="auto" w:fill="auto"/>
                  <w:noWrap w:val="0"/>
                  <w:vAlign w:val="center"/>
                </w:tcPr>
                <w:p w14:paraId="257C7F45">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val="en-US" w:eastAsia="zh-CN" w:bidi="zh-CN"/>
                    </w:rPr>
                    <w:t>7</w:t>
                  </w:r>
                </w:p>
              </w:tc>
              <w:tc>
                <w:tcPr>
                  <w:tcW w:w="1237" w:type="dxa"/>
                  <w:noWrap w:val="0"/>
                  <w:vAlign w:val="center"/>
                </w:tcPr>
                <w:p w14:paraId="4D9AAAF3">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eastAsia"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废活性炭</w:t>
                  </w:r>
                </w:p>
              </w:tc>
              <w:tc>
                <w:tcPr>
                  <w:tcW w:w="2297" w:type="dxa"/>
                  <w:noWrap w:val="0"/>
                  <w:vAlign w:val="center"/>
                </w:tcPr>
                <w:p w14:paraId="351D8B3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w:t>
                  </w:r>
                  <w:r>
                    <w:rPr>
                      <w:rFonts w:hint="default" w:ascii="Times New Roman" w:hAnsi="Times New Roman" w:cs="Times New Roman"/>
                      <w:color w:val="auto"/>
                      <w:sz w:val="21"/>
                      <w:szCs w:val="21"/>
                      <w:lang w:eastAsia="zh-CN"/>
                    </w:rPr>
                    <w:t>定期</w:t>
                  </w:r>
                  <w:r>
                    <w:rPr>
                      <w:rFonts w:hint="default" w:ascii="Times New Roman" w:hAnsi="Times New Roman" w:cs="Times New Roman"/>
                      <w:color w:val="auto"/>
                      <w:sz w:val="21"/>
                      <w:szCs w:val="21"/>
                    </w:rPr>
                    <w:t>由资质单位处置</w:t>
                  </w:r>
                </w:p>
              </w:tc>
              <w:tc>
                <w:tcPr>
                  <w:tcW w:w="1380" w:type="dxa"/>
                  <w:noWrap w:val="0"/>
                  <w:vAlign w:val="center"/>
                </w:tcPr>
                <w:p w14:paraId="6A4422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1375" w:type="dxa"/>
                  <w:noWrap w:val="0"/>
                  <w:vAlign w:val="center"/>
                </w:tcPr>
                <w:p w14:paraId="37E20C7F">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ascii="Times New Roman" w:hAnsi="Times New Roman" w:cs="Times New Roman"/>
                      <w:color w:val="auto"/>
                      <w:kern w:val="1"/>
                      <w:sz w:val="21"/>
                      <w:szCs w:val="21"/>
                    </w:rPr>
                  </w:pPr>
                  <w:r>
                    <w:rPr>
                      <w:rFonts w:hint="default" w:ascii="Times New Roman" w:hAnsi="Times New Roman" w:cs="Times New Roman"/>
                      <w:b w:val="0"/>
                      <w:bCs w:val="0"/>
                      <w:color w:val="auto"/>
                      <w:kern w:val="2"/>
                      <w:sz w:val="21"/>
                      <w:szCs w:val="21"/>
                      <w:lang w:val="en-US" w:eastAsia="zh-CN" w:bidi="ar-SA"/>
                    </w:rPr>
                    <w:t>900-039-49</w:t>
                  </w:r>
                </w:p>
              </w:tc>
              <w:tc>
                <w:tcPr>
                  <w:tcW w:w="964" w:type="dxa"/>
                  <w:noWrap w:val="0"/>
                  <w:vAlign w:val="center"/>
                </w:tcPr>
                <w:p w14:paraId="5FCA53B3">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1.6377</w:t>
                  </w:r>
                </w:p>
              </w:tc>
              <w:tc>
                <w:tcPr>
                  <w:tcW w:w="1070" w:type="dxa"/>
                  <w:noWrap w:val="0"/>
                  <w:vAlign w:val="center"/>
                </w:tcPr>
                <w:p w14:paraId="04B571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是</w:t>
                  </w:r>
                </w:p>
              </w:tc>
            </w:tr>
            <w:tr w14:paraId="012A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450" w:type="dxa"/>
                  <w:noWrap w:val="0"/>
                  <w:vAlign w:val="center"/>
                </w:tcPr>
                <w:p w14:paraId="683FB2FF">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val="en-US" w:eastAsia="zh-CN" w:bidi="zh-CN"/>
                    </w:rPr>
                    <w:t>8</w:t>
                  </w:r>
                </w:p>
              </w:tc>
              <w:tc>
                <w:tcPr>
                  <w:tcW w:w="1237" w:type="dxa"/>
                  <w:noWrap w:val="0"/>
                  <w:vAlign w:val="center"/>
                </w:tcPr>
                <w:p w14:paraId="16084015">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0"/>
                      <w:sz w:val="21"/>
                      <w:szCs w:val="21"/>
                      <w:lang w:val="en-US" w:eastAsia="zh-CN" w:bidi="zh-CN"/>
                    </w:rPr>
                    <w:t>生活垃圾</w:t>
                  </w:r>
                </w:p>
              </w:tc>
              <w:tc>
                <w:tcPr>
                  <w:tcW w:w="2297" w:type="dxa"/>
                  <w:noWrap w:val="0"/>
                  <w:vAlign w:val="center"/>
                </w:tcPr>
                <w:p w14:paraId="0AC4B3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由环卫部门统一清运</w:t>
                  </w:r>
                </w:p>
              </w:tc>
              <w:tc>
                <w:tcPr>
                  <w:tcW w:w="1380" w:type="dxa"/>
                  <w:noWrap w:val="0"/>
                  <w:vAlign w:val="center"/>
                </w:tcPr>
                <w:p w14:paraId="3F10B5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pacing w:val="0"/>
                      <w:kern w:val="0"/>
                      <w:sz w:val="21"/>
                      <w:szCs w:val="21"/>
                      <w:lang w:eastAsia="zh-CN"/>
                    </w:rPr>
                    <w:t>生活垃圾</w:t>
                  </w:r>
                </w:p>
              </w:tc>
              <w:tc>
                <w:tcPr>
                  <w:tcW w:w="1375" w:type="dxa"/>
                  <w:noWrap w:val="0"/>
                  <w:vAlign w:val="center"/>
                </w:tcPr>
                <w:p w14:paraId="310127F4">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sz w:val="21"/>
                      <w:szCs w:val="21"/>
                      <w:highlight w:val="none"/>
                      <w:lang w:val="en-US" w:eastAsia="zh-CN"/>
                    </w:rPr>
                    <w:t>900-099-S64</w:t>
                  </w:r>
                </w:p>
              </w:tc>
              <w:tc>
                <w:tcPr>
                  <w:tcW w:w="964" w:type="dxa"/>
                  <w:noWrap w:val="0"/>
                  <w:vAlign w:val="center"/>
                </w:tcPr>
                <w:p w14:paraId="308954DD">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0.005</w:t>
                  </w:r>
                </w:p>
              </w:tc>
              <w:tc>
                <w:tcPr>
                  <w:tcW w:w="1070" w:type="dxa"/>
                  <w:noWrap w:val="0"/>
                  <w:vAlign w:val="center"/>
                </w:tcPr>
                <w:p w14:paraId="0DBA2357">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0"/>
                      <w:sz w:val="21"/>
                      <w:szCs w:val="21"/>
                    </w:rPr>
                    <w:t>是</w:t>
                  </w:r>
                </w:p>
              </w:tc>
            </w:tr>
          </w:tbl>
          <w:p w14:paraId="393205FD">
            <w:pPr>
              <w:pStyle w:val="19"/>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（1）生活垃圾</w:t>
            </w:r>
          </w:p>
          <w:p w14:paraId="78FFFA87">
            <w:pPr>
              <w:pStyle w:val="19"/>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①职工生活垃圾（S</w:t>
            </w:r>
            <w:r>
              <w:rPr>
                <w:rFonts w:hint="eastAsia" w:ascii="Times New Roman" w:hAnsi="Times New Roman" w:cs="Times New Roman"/>
                <w:b/>
                <w:bCs/>
                <w:color w:val="auto"/>
                <w:sz w:val="21"/>
                <w:szCs w:val="21"/>
                <w:lang w:val="en-US" w:eastAsia="zh-CN"/>
              </w:rPr>
              <w:t>9</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val="0"/>
                <w:bCs w:val="0"/>
                <w:color w:val="auto"/>
                <w:sz w:val="21"/>
                <w:szCs w:val="21"/>
                <w:lang w:val="en-US" w:eastAsia="zh-CN"/>
              </w:rPr>
              <w:t>按每人每日产生0.5kg计，项目劳动定员</w:t>
            </w:r>
            <w:r>
              <w:rPr>
                <w:rFonts w:hint="eastAsia" w:ascii="Times New Roman" w:hAnsi="Times New Roman" w:cs="Times New Roman"/>
                <w:b w:val="0"/>
                <w:bCs w:val="0"/>
                <w:color w:val="auto"/>
                <w:sz w:val="21"/>
                <w:szCs w:val="21"/>
                <w:lang w:val="en-US" w:eastAsia="zh-CN"/>
              </w:rPr>
              <w:t>10</w:t>
            </w:r>
            <w:r>
              <w:rPr>
                <w:rFonts w:hint="default" w:ascii="Times New Roman" w:hAnsi="Times New Roman" w:cs="Times New Roman"/>
                <w:b w:val="0"/>
                <w:bCs w:val="0"/>
                <w:color w:val="auto"/>
                <w:sz w:val="21"/>
                <w:szCs w:val="21"/>
                <w:lang w:val="en-US" w:eastAsia="zh-CN"/>
              </w:rPr>
              <w:t>人，则职工生活垃圾产生量为</w:t>
            </w:r>
            <w:r>
              <w:rPr>
                <w:rFonts w:hint="eastAsia" w:ascii="Times New Roman" w:hAnsi="Times New Roman" w:cs="Times New Roman"/>
                <w:b w:val="0"/>
                <w:bCs w:val="0"/>
                <w:color w:val="auto"/>
                <w:sz w:val="21"/>
                <w:szCs w:val="21"/>
                <w:lang w:val="en-US" w:eastAsia="zh-CN"/>
              </w:rPr>
              <w:t>0.005</w:t>
            </w:r>
            <w:r>
              <w:rPr>
                <w:rFonts w:hint="default" w:ascii="Times New Roman" w:hAnsi="Times New Roman" w:cs="Times New Roman"/>
                <w:b w:val="0"/>
                <w:bCs w:val="0"/>
                <w:color w:val="auto"/>
                <w:sz w:val="21"/>
                <w:szCs w:val="21"/>
                <w:lang w:val="en-US" w:eastAsia="zh-CN"/>
              </w:rPr>
              <w:t>t/a，统一收集后送当地环卫部门指定地点处理。</w:t>
            </w:r>
          </w:p>
          <w:p w14:paraId="392D2F81">
            <w:pPr>
              <w:pStyle w:val="19"/>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14:paraId="362B8DC5">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firstLine="422" w:firstLineChars="200"/>
              <w:jc w:val="both"/>
              <w:textAlignment w:val="auto"/>
              <w:outlineLvl w:val="3"/>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bCs/>
                <w:color w:val="auto"/>
                <w:sz w:val="21"/>
                <w:szCs w:val="21"/>
                <w:lang w:val="en-US" w:eastAsia="zh-CN"/>
              </w:rPr>
              <w:t>①</w:t>
            </w:r>
            <w:r>
              <w:rPr>
                <w:rFonts w:hint="eastAsia" w:ascii="Times New Roman" w:hAnsi="Times New Roman" w:cs="Times New Roman"/>
                <w:b/>
                <w:bCs/>
                <w:color w:val="auto"/>
                <w:sz w:val="21"/>
                <w:szCs w:val="21"/>
                <w:lang w:val="en-US" w:eastAsia="zh-CN"/>
              </w:rPr>
              <w:t>废包装材料</w:t>
            </w:r>
            <w:r>
              <w:rPr>
                <w:rFonts w:hint="default" w:ascii="Times New Roman" w:hAnsi="Times New Roman" w:cs="Times New Roman"/>
                <w:b/>
                <w:bCs/>
                <w:color w:val="auto"/>
                <w:sz w:val="21"/>
                <w:szCs w:val="21"/>
                <w:lang w:val="en-US" w:eastAsia="zh-CN"/>
              </w:rPr>
              <w:t>（S</w:t>
            </w:r>
            <w:r>
              <w:rPr>
                <w:rFonts w:hint="eastAsia" w:ascii="Times New Roman" w:hAnsi="Times New Roman" w:cs="Times New Roman"/>
                <w:b/>
                <w:bCs/>
                <w:color w:val="auto"/>
                <w:sz w:val="21"/>
                <w:szCs w:val="21"/>
                <w:lang w:val="en-US" w:eastAsia="zh-CN"/>
              </w:rPr>
              <w:t>1、3</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val="0"/>
                <w:bCs w:val="0"/>
                <w:color w:val="auto"/>
                <w:kern w:val="2"/>
                <w:sz w:val="21"/>
                <w:szCs w:val="21"/>
                <w:lang w:val="en-US" w:eastAsia="zh-CN" w:bidi="ar-SA"/>
              </w:rPr>
              <w:t>本项目运营期包装工序及各项原辅材料拆装时产生少量废包装材料</w:t>
            </w:r>
            <w:r>
              <w:rPr>
                <w:rFonts w:hint="eastAsia" w:ascii="Times New Roman" w:hAnsi="Times New Roman" w:cs="Times New Roman"/>
                <w:b w:val="0"/>
                <w:bCs w:val="0"/>
                <w:color w:val="auto"/>
                <w:kern w:val="2"/>
                <w:sz w:val="21"/>
                <w:szCs w:val="21"/>
                <w:lang w:val="en-US" w:eastAsia="zh-CN" w:bidi="ar-SA"/>
              </w:rPr>
              <w:t>，根据企业经验，产生的包装袋产生量约为0.5t/a，</w:t>
            </w:r>
            <w:r>
              <w:rPr>
                <w:rFonts w:hint="default" w:ascii="Times New Roman" w:hAnsi="Times New Roman" w:cs="Times New Roman"/>
                <w:b w:val="0"/>
                <w:bCs w:val="0"/>
                <w:color w:val="auto"/>
                <w:sz w:val="21"/>
                <w:szCs w:val="21"/>
                <w:lang w:val="en-US" w:eastAsia="zh-CN"/>
              </w:rPr>
              <w:t>暂存于</w:t>
            </w:r>
            <w:r>
              <w:rPr>
                <w:rFonts w:hint="default" w:ascii="Times New Roman" w:hAnsi="Times New Roman" w:cs="Times New Roman"/>
                <w:b w:val="0"/>
                <w:bCs w:val="0"/>
                <w:color w:val="auto"/>
                <w:sz w:val="21"/>
                <w:szCs w:val="21"/>
                <w:lang w:eastAsia="zh-CN"/>
              </w:rPr>
              <w:t>一般固废间</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kern w:val="2"/>
                <w:sz w:val="21"/>
                <w:szCs w:val="21"/>
                <w:lang w:val="en-US" w:eastAsia="zh-CN" w:bidi="ar-SA"/>
              </w:rPr>
              <w:t>集中收集后外售。根据《一般固体废物分类与代码》（GB/T39198-2020），分类代码为900-003-S17。</w:t>
            </w:r>
          </w:p>
          <w:p w14:paraId="14D96AA5">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firstLine="422" w:firstLineChars="200"/>
              <w:jc w:val="both"/>
              <w:textAlignment w:val="auto"/>
              <w:outlineLvl w:val="3"/>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bCs/>
                <w:color w:val="auto"/>
                <w:sz w:val="21"/>
                <w:szCs w:val="21"/>
                <w:lang w:val="en-US" w:eastAsia="zh-CN"/>
              </w:rPr>
              <w:t>②除尘灰（S</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val="0"/>
                <w:bCs w:val="0"/>
                <w:color w:val="auto"/>
                <w:sz w:val="21"/>
                <w:szCs w:val="21"/>
                <w:lang w:val="en-US" w:eastAsia="zh-CN"/>
              </w:rPr>
              <w:t>本项目投料、混合搅拌工序过程中会产生少量粉尘，主要为布袋除尘器收集的除尘灰，属于第Ⅰ类一般工业固体废物。根据</w:t>
            </w:r>
            <w:r>
              <w:rPr>
                <w:rFonts w:hint="eastAsia" w:ascii="Times New Roman" w:hAnsi="Times New Roman" w:cs="Times New Roman"/>
                <w:b w:val="0"/>
                <w:bCs w:val="0"/>
                <w:color w:val="auto"/>
                <w:sz w:val="21"/>
                <w:szCs w:val="21"/>
                <w:lang w:val="en-US" w:eastAsia="zh-CN"/>
              </w:rPr>
              <w:t>计算可得，</w:t>
            </w:r>
            <w:r>
              <w:rPr>
                <w:rFonts w:hint="default" w:ascii="Times New Roman" w:hAnsi="Times New Roman" w:cs="Times New Roman"/>
                <w:b w:val="0"/>
                <w:bCs w:val="0"/>
                <w:color w:val="auto"/>
                <w:sz w:val="21"/>
                <w:szCs w:val="21"/>
                <w:lang w:val="en-US" w:eastAsia="zh-CN"/>
              </w:rPr>
              <w:t>除尘灰产生量为</w:t>
            </w:r>
            <w:r>
              <w:rPr>
                <w:rFonts w:hint="eastAsia" w:ascii="Times New Roman" w:hAnsi="Times New Roman" w:cs="Times New Roman"/>
                <w:b w:val="0"/>
                <w:bCs w:val="0"/>
                <w:color w:val="auto"/>
                <w:sz w:val="21"/>
                <w:szCs w:val="21"/>
                <w:lang w:val="en-US" w:eastAsia="zh-CN"/>
              </w:rPr>
              <w:t>0.9088</w:t>
            </w:r>
            <w:r>
              <w:rPr>
                <w:rFonts w:hint="default" w:ascii="Times New Roman" w:hAnsi="Times New Roman" w:cs="Times New Roman"/>
                <w:b w:val="0"/>
                <w:bCs w:val="0"/>
                <w:color w:val="auto"/>
                <w:sz w:val="21"/>
                <w:szCs w:val="21"/>
                <w:lang w:val="en-US" w:eastAsia="zh-CN"/>
              </w:rPr>
              <w:t>t/a，暂存于</w:t>
            </w:r>
            <w:r>
              <w:rPr>
                <w:rFonts w:hint="default" w:ascii="Times New Roman" w:hAnsi="Times New Roman" w:cs="Times New Roman"/>
                <w:b w:val="0"/>
                <w:bCs w:val="0"/>
                <w:color w:val="auto"/>
                <w:sz w:val="21"/>
                <w:szCs w:val="21"/>
                <w:lang w:eastAsia="zh-CN"/>
              </w:rPr>
              <w:t>一般固废间</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w:t>
            </w:r>
            <w:r>
              <w:rPr>
                <w:rFonts w:hint="eastAsia" w:ascii="Times New Roman" w:hAnsi="Times New Roman" w:cs="Times New Roman"/>
                <w:b w:val="0"/>
                <w:bCs w:val="0"/>
                <w:color w:val="auto"/>
                <w:sz w:val="21"/>
                <w:szCs w:val="21"/>
                <w:lang w:val="en-US" w:eastAsia="zh-CN"/>
              </w:rPr>
              <w:t>回用</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kern w:val="2"/>
                <w:sz w:val="21"/>
                <w:szCs w:val="21"/>
                <w:lang w:val="en-US" w:eastAsia="zh-CN" w:bidi="ar-SA"/>
              </w:rPr>
              <w:t>根据《一般固体废物分类与代码》（GB/T39198-2020），分类代码为900-099-S17。</w:t>
            </w:r>
          </w:p>
          <w:p w14:paraId="5E273D13">
            <w:pPr>
              <w:pStyle w:val="19"/>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bCs/>
                <w:color w:val="auto"/>
                <w:sz w:val="21"/>
                <w:szCs w:val="21"/>
                <w:lang w:val="en-US" w:eastAsia="zh-CN"/>
              </w:rPr>
              <w:t>③生产剩余材料</w:t>
            </w:r>
            <w:r>
              <w:rPr>
                <w:rFonts w:hint="default" w:ascii="Times New Roman" w:hAnsi="Times New Roman" w:cs="Times New Roman"/>
                <w:b/>
                <w:bCs/>
                <w:color w:val="auto"/>
                <w:sz w:val="21"/>
                <w:szCs w:val="21"/>
                <w:lang w:val="en-US" w:eastAsia="zh-CN"/>
              </w:rPr>
              <w:t>（S</w:t>
            </w: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val="0"/>
                <w:bCs w:val="0"/>
                <w:color w:val="auto"/>
                <w:sz w:val="21"/>
                <w:szCs w:val="21"/>
                <w:lang w:val="en-US" w:eastAsia="zh-CN"/>
              </w:rPr>
              <w:t>本项目</w:t>
            </w:r>
            <w:r>
              <w:rPr>
                <w:rFonts w:hint="eastAsia" w:ascii="Times New Roman" w:hAnsi="Times New Roman" w:cs="Times New Roman"/>
                <w:color w:val="auto"/>
                <w:kern w:val="2"/>
                <w:sz w:val="21"/>
                <w:szCs w:val="24"/>
                <w:highlight w:val="none"/>
                <w:lang w:val="en-US" w:eastAsia="zh-CN" w:bidi="ar-SA"/>
              </w:rPr>
              <w:t>无设备清洗废水，不同种类颜色的美缝剂采用不同的罐生产，设备无需清洗，罐内剩余材料由人工通过刮板收集，回收至搅拌罐中利用</w:t>
            </w:r>
            <w:r>
              <w:rPr>
                <w:rFonts w:hint="eastAsia" w:ascii="Times New Roman" w:hAnsi="Times New Roman" w:cs="Times New Roman"/>
                <w:b w:val="0"/>
                <w:bCs w:val="0"/>
                <w:color w:val="auto"/>
                <w:sz w:val="21"/>
                <w:szCs w:val="21"/>
                <w:lang w:val="en-US" w:eastAsia="zh-CN"/>
              </w:rPr>
              <w:t>。主要为</w:t>
            </w:r>
            <w:r>
              <w:rPr>
                <w:rFonts w:hint="eastAsia" w:ascii="Times New Roman" w:hAnsi="Times New Roman" w:cs="Times New Roman"/>
                <w:color w:val="auto"/>
                <w:kern w:val="2"/>
                <w:sz w:val="21"/>
                <w:szCs w:val="24"/>
                <w:highlight w:val="none"/>
                <w:lang w:val="en-US" w:eastAsia="zh-CN" w:bidi="ar-SA"/>
              </w:rPr>
              <w:t>罐内剩余材料，</w:t>
            </w:r>
            <w:r>
              <w:rPr>
                <w:rFonts w:hint="default" w:ascii="Times New Roman" w:hAnsi="Times New Roman" w:cs="Times New Roman"/>
                <w:b w:val="0"/>
                <w:bCs w:val="0"/>
                <w:color w:val="auto"/>
                <w:sz w:val="21"/>
                <w:szCs w:val="21"/>
                <w:lang w:val="en-US" w:eastAsia="zh-CN"/>
              </w:rPr>
              <w:t>属于第Ⅰ类一般工业固体废物。根据</w:t>
            </w:r>
            <w:r>
              <w:rPr>
                <w:rFonts w:hint="eastAsia" w:ascii="Times New Roman" w:hAnsi="Times New Roman" w:cs="Times New Roman"/>
                <w:b w:val="0"/>
                <w:bCs w:val="0"/>
                <w:color w:val="auto"/>
                <w:sz w:val="21"/>
                <w:szCs w:val="21"/>
                <w:lang w:val="en-US" w:eastAsia="zh-CN"/>
              </w:rPr>
              <w:t>建设单位提供资料可得，</w:t>
            </w:r>
            <w:r>
              <w:rPr>
                <w:rFonts w:hint="eastAsia" w:ascii="Times New Roman" w:hAnsi="Times New Roman" w:cs="Times New Roman"/>
                <w:color w:val="auto"/>
                <w:kern w:val="2"/>
                <w:sz w:val="21"/>
                <w:szCs w:val="24"/>
                <w:highlight w:val="none"/>
                <w:lang w:val="en-US" w:eastAsia="zh-CN" w:bidi="ar-SA"/>
              </w:rPr>
              <w:t>罐内剩余材料</w:t>
            </w:r>
            <w:r>
              <w:rPr>
                <w:rFonts w:hint="default" w:ascii="Times New Roman" w:hAnsi="Times New Roman" w:cs="Times New Roman"/>
                <w:b w:val="0"/>
                <w:bCs w:val="0"/>
                <w:color w:val="auto"/>
                <w:sz w:val="21"/>
                <w:szCs w:val="21"/>
                <w:lang w:val="en-US" w:eastAsia="zh-CN"/>
              </w:rPr>
              <w:t>产生量</w:t>
            </w:r>
            <w:r>
              <w:rPr>
                <w:rFonts w:hint="eastAsia" w:ascii="Times New Roman" w:hAnsi="Times New Roman" w:cs="Times New Roman"/>
                <w:b w:val="0"/>
                <w:bCs w:val="0"/>
                <w:color w:val="auto"/>
                <w:sz w:val="21"/>
                <w:szCs w:val="21"/>
                <w:lang w:val="en-US" w:eastAsia="zh-CN"/>
              </w:rPr>
              <w:t>约为当次生产的1</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，为2</w:t>
            </w:r>
            <w:r>
              <w:rPr>
                <w:rFonts w:hint="default" w:ascii="Times New Roman" w:hAnsi="Times New Roman" w:cs="Times New Roman"/>
                <w:b w:val="0"/>
                <w:bCs w:val="0"/>
                <w:color w:val="auto"/>
                <w:sz w:val="21"/>
                <w:szCs w:val="21"/>
                <w:lang w:val="en-US" w:eastAsia="zh-CN"/>
              </w:rPr>
              <w:t>t/a，暂存于</w:t>
            </w:r>
            <w:r>
              <w:rPr>
                <w:rFonts w:hint="default" w:ascii="Times New Roman" w:hAnsi="Times New Roman" w:cs="Times New Roman"/>
                <w:b w:val="0"/>
                <w:bCs w:val="0"/>
                <w:color w:val="auto"/>
                <w:sz w:val="21"/>
                <w:szCs w:val="21"/>
                <w:lang w:eastAsia="zh-CN"/>
              </w:rPr>
              <w:t>一般固废间</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w:t>
            </w:r>
            <w:r>
              <w:rPr>
                <w:rFonts w:hint="eastAsia" w:ascii="Times New Roman" w:hAnsi="Times New Roman" w:cs="Times New Roman"/>
                <w:b w:val="0"/>
                <w:bCs w:val="0"/>
                <w:color w:val="auto"/>
                <w:sz w:val="21"/>
                <w:szCs w:val="21"/>
                <w:lang w:val="en-US" w:eastAsia="zh-CN"/>
              </w:rPr>
              <w:t>回用</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kern w:val="2"/>
                <w:sz w:val="21"/>
                <w:szCs w:val="21"/>
                <w:lang w:val="en-US" w:eastAsia="zh-CN" w:bidi="ar-SA"/>
              </w:rPr>
              <w:t>根据《一般固体废物分类与代码》（GB/T39198-2020），分类代码为900-099-S17。</w:t>
            </w:r>
          </w:p>
          <w:p w14:paraId="0EE97EC9">
            <w:pPr>
              <w:pStyle w:val="19"/>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14:paraId="5A035FBA">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firstLine="422" w:firstLineChars="200"/>
              <w:jc w:val="both"/>
              <w:textAlignment w:val="auto"/>
              <w:outlineLvl w:val="3"/>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①废液压油</w:t>
            </w:r>
            <w:r>
              <w:rPr>
                <w:rFonts w:hint="default" w:ascii="Times New Roman" w:hAnsi="Times New Roman" w:cs="Times New Roman"/>
                <w:b/>
                <w:bCs/>
                <w:color w:val="auto"/>
                <w:kern w:val="2"/>
                <w:sz w:val="21"/>
                <w:szCs w:val="21"/>
                <w:lang w:val="en-US" w:eastAsia="zh-CN" w:bidi="ar-SA"/>
              </w:rPr>
              <w:t>（S2）：</w:t>
            </w:r>
            <w:r>
              <w:rPr>
                <w:rFonts w:hint="default" w:ascii="Times New Roman" w:hAnsi="Times New Roman" w:cs="Times New Roman"/>
                <w:b w:val="0"/>
                <w:bCs w:val="0"/>
                <w:color w:val="auto"/>
                <w:kern w:val="2"/>
                <w:sz w:val="21"/>
                <w:szCs w:val="21"/>
                <w:lang w:val="en-US" w:eastAsia="zh-CN" w:bidi="ar-SA"/>
              </w:rPr>
              <w:t>项目使用的液压设备需定期更换液压油，产生废液压油。根据《国家危险废物名录》（202</w:t>
            </w:r>
            <w:r>
              <w:rPr>
                <w:rFonts w:hint="eastAsia" w:ascii="Times New Roman" w:hAnsi="Times New Roman" w:cs="Times New Roman"/>
                <w:b w:val="0"/>
                <w:bCs w:val="0"/>
                <w:color w:val="auto"/>
                <w:kern w:val="2"/>
                <w:sz w:val="21"/>
                <w:szCs w:val="21"/>
                <w:lang w:val="en-US" w:eastAsia="zh-CN" w:bidi="ar-SA"/>
              </w:rPr>
              <w:t>5</w:t>
            </w:r>
            <w:r>
              <w:rPr>
                <w:rFonts w:hint="default" w:ascii="Times New Roman" w:hAnsi="Times New Roman" w:cs="Times New Roman"/>
                <w:b w:val="0"/>
                <w:bCs w:val="0"/>
                <w:color w:val="auto"/>
                <w:kern w:val="2"/>
                <w:sz w:val="21"/>
                <w:szCs w:val="21"/>
                <w:lang w:val="en-US" w:eastAsia="zh-CN" w:bidi="ar-SA"/>
              </w:rPr>
              <w:t>年），废</w:t>
            </w:r>
            <w:r>
              <w:rPr>
                <w:rFonts w:hint="eastAsia" w:ascii="Times New Roman" w:hAnsi="Times New Roman" w:cs="Times New Roman"/>
                <w:b w:val="0"/>
                <w:bCs w:val="0"/>
                <w:color w:val="auto"/>
                <w:kern w:val="2"/>
                <w:sz w:val="21"/>
                <w:szCs w:val="21"/>
                <w:lang w:val="en-US" w:eastAsia="zh-CN" w:bidi="ar-SA"/>
              </w:rPr>
              <w:t>液压</w:t>
            </w:r>
            <w:r>
              <w:rPr>
                <w:rFonts w:hint="default" w:ascii="Times New Roman" w:hAnsi="Times New Roman" w:cs="Times New Roman"/>
                <w:b w:val="0"/>
                <w:bCs w:val="0"/>
                <w:color w:val="auto"/>
                <w:kern w:val="2"/>
                <w:sz w:val="21"/>
                <w:szCs w:val="21"/>
                <w:lang w:val="en-US" w:eastAsia="zh-CN" w:bidi="ar-SA"/>
              </w:rPr>
              <w:t>油属于危险废物（HW08，危废代码：900-218-08）。根据企业提供的经验数据，</w:t>
            </w:r>
            <w:r>
              <w:rPr>
                <w:rFonts w:hint="eastAsia" w:ascii="Times New Roman" w:hAnsi="Times New Roman" w:cs="Times New Roman"/>
                <w:b w:val="0"/>
                <w:bCs w:val="0"/>
                <w:color w:val="auto"/>
                <w:kern w:val="2"/>
                <w:sz w:val="21"/>
                <w:szCs w:val="21"/>
                <w:lang w:val="en-US" w:eastAsia="zh-CN" w:bidi="ar-SA"/>
              </w:rPr>
              <w:t>年用液压油</w:t>
            </w:r>
            <w:r>
              <w:rPr>
                <w:rFonts w:hint="default" w:ascii="Times New Roman" w:hAnsi="Times New Roman" w:cs="Times New Roman"/>
                <w:b w:val="0"/>
                <w:bCs w:val="0"/>
                <w:color w:val="auto"/>
                <w:kern w:val="2"/>
                <w:sz w:val="21"/>
                <w:szCs w:val="21"/>
                <w:lang w:val="en-US" w:eastAsia="zh-CN" w:bidi="ar-SA"/>
              </w:rPr>
              <w:t>更换后的废液压油产生量为</w:t>
            </w:r>
            <w:r>
              <w:rPr>
                <w:rFonts w:hint="eastAsia" w:ascii="Times New Roman" w:hAnsi="Times New Roman" w:cs="Times New Roman"/>
                <w:b w:val="0"/>
                <w:bCs w:val="0"/>
                <w:color w:val="auto"/>
                <w:kern w:val="2"/>
                <w:sz w:val="21"/>
                <w:szCs w:val="21"/>
                <w:lang w:val="en-US" w:eastAsia="zh-CN" w:bidi="ar-SA"/>
              </w:rPr>
              <w:t>0.5</w:t>
            </w:r>
            <w:r>
              <w:rPr>
                <w:rFonts w:hint="default" w:ascii="Times New Roman" w:hAnsi="Times New Roman" w:cs="Times New Roman"/>
                <w:b w:val="0"/>
                <w:bCs w:val="0"/>
                <w:color w:val="auto"/>
                <w:kern w:val="2"/>
                <w:sz w:val="21"/>
                <w:szCs w:val="21"/>
                <w:lang w:val="en-US" w:eastAsia="zh-CN" w:bidi="ar-SA"/>
              </w:rPr>
              <w:t>t/a，暂存于危废间，定期由具有危险废物处理资质的单位回收处理。</w:t>
            </w:r>
          </w:p>
          <w:p w14:paraId="02DEC65D">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firstLine="422" w:firstLineChars="200"/>
              <w:jc w:val="both"/>
              <w:textAlignment w:val="auto"/>
              <w:outlineLvl w:val="3"/>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kern w:val="2"/>
                <w:sz w:val="21"/>
                <w:szCs w:val="21"/>
                <w:lang w:val="en-US" w:eastAsia="zh-CN" w:bidi="ar-SA"/>
              </w:rPr>
              <w:t>②废</w:t>
            </w:r>
            <w:r>
              <w:rPr>
                <w:rFonts w:hint="eastAsia" w:ascii="Times New Roman" w:hAnsi="Times New Roman" w:cs="Times New Roman"/>
                <w:b/>
                <w:bCs/>
                <w:color w:val="auto"/>
                <w:kern w:val="2"/>
                <w:sz w:val="21"/>
                <w:szCs w:val="21"/>
                <w:lang w:val="en-US" w:eastAsia="zh-CN" w:bidi="ar-SA"/>
              </w:rPr>
              <w:t>机</w:t>
            </w:r>
            <w:r>
              <w:rPr>
                <w:rFonts w:hint="default" w:ascii="Times New Roman" w:hAnsi="Times New Roman" w:cs="Times New Roman"/>
                <w:b/>
                <w:bCs/>
                <w:color w:val="auto"/>
                <w:kern w:val="2"/>
                <w:sz w:val="21"/>
                <w:szCs w:val="21"/>
                <w:lang w:val="en-US" w:eastAsia="zh-CN" w:bidi="ar-SA"/>
              </w:rPr>
              <w:t>油（S4）：</w:t>
            </w:r>
            <w:r>
              <w:rPr>
                <w:rFonts w:hint="default" w:ascii="Times New Roman" w:hAnsi="Times New Roman" w:eastAsia="宋体" w:cs="Times New Roman"/>
                <w:b w:val="0"/>
                <w:bCs w:val="0"/>
                <w:color w:val="auto"/>
                <w:kern w:val="2"/>
                <w:sz w:val="21"/>
                <w:szCs w:val="21"/>
                <w:lang w:val="en-US" w:eastAsia="zh-CN" w:bidi="ar-SA"/>
              </w:rPr>
              <w:t>项目使用的部分设备需定期进行检修，检修过程中会产生废机油。根据《国家危险废物名录》（202</w:t>
            </w:r>
            <w:r>
              <w:rPr>
                <w:rFonts w:hint="eastAsia" w:ascii="Times New Roman" w:hAnsi="Times New Roman" w:cs="Times New Roman"/>
                <w:b w:val="0"/>
                <w:bCs w:val="0"/>
                <w:color w:val="auto"/>
                <w:kern w:val="2"/>
                <w:sz w:val="21"/>
                <w:szCs w:val="21"/>
                <w:lang w:val="en-US" w:eastAsia="zh-CN" w:bidi="ar-SA"/>
              </w:rPr>
              <w:t>5</w:t>
            </w:r>
            <w:r>
              <w:rPr>
                <w:rFonts w:hint="default" w:ascii="Times New Roman" w:hAnsi="Times New Roman" w:eastAsia="宋体" w:cs="Times New Roman"/>
                <w:b w:val="0"/>
                <w:bCs w:val="0"/>
                <w:color w:val="auto"/>
                <w:kern w:val="2"/>
                <w:sz w:val="21"/>
                <w:szCs w:val="21"/>
                <w:lang w:val="en-US" w:eastAsia="zh-CN" w:bidi="ar-SA"/>
              </w:rPr>
              <w:t>年），</w:t>
            </w:r>
            <w:r>
              <w:rPr>
                <w:rFonts w:hint="eastAsia" w:ascii="Times New Roman" w:hAnsi="Times New Roman" w:cs="Times New Roman"/>
                <w:b w:val="0"/>
                <w:bCs w:val="0"/>
                <w:color w:val="auto"/>
                <w:kern w:val="2"/>
                <w:sz w:val="21"/>
                <w:szCs w:val="21"/>
                <w:lang w:val="en-US" w:eastAsia="zh-CN" w:bidi="ar-SA"/>
              </w:rPr>
              <w:t>废机油</w:t>
            </w:r>
            <w:r>
              <w:rPr>
                <w:rFonts w:hint="default" w:ascii="Times New Roman" w:hAnsi="Times New Roman" w:eastAsia="宋体" w:cs="Times New Roman"/>
                <w:b w:val="0"/>
                <w:bCs w:val="0"/>
                <w:color w:val="auto"/>
                <w:kern w:val="2"/>
                <w:sz w:val="21"/>
                <w:szCs w:val="21"/>
                <w:lang w:val="en-US" w:eastAsia="zh-CN" w:bidi="ar-SA"/>
              </w:rPr>
              <w:t>属于危险废物（HW08，危废代码：900-217-08）。类比同类项目，更换后的废机油产生量为</w:t>
            </w:r>
            <w:r>
              <w:rPr>
                <w:rFonts w:hint="eastAsia" w:ascii="Times New Roman" w:hAnsi="Times New Roman" w:cs="Times New Roman"/>
                <w:b w:val="0"/>
                <w:bCs w:val="0"/>
                <w:color w:val="auto"/>
                <w:kern w:val="2"/>
                <w:sz w:val="21"/>
                <w:szCs w:val="21"/>
                <w:lang w:val="en-US" w:eastAsia="zh-CN" w:bidi="ar-SA"/>
              </w:rPr>
              <w:t>0.12</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r>
              <w:rPr>
                <w:rFonts w:hint="eastAsia" w:ascii="Times New Roman" w:hAnsi="Times New Roman" w:cs="Times New Roman"/>
                <w:b w:val="0"/>
                <w:bCs w:val="0"/>
                <w:color w:val="auto"/>
                <w:kern w:val="2"/>
                <w:sz w:val="21"/>
                <w:szCs w:val="21"/>
                <w:lang w:val="en-US" w:eastAsia="zh-CN" w:bidi="ar-SA"/>
              </w:rPr>
              <w:t>。</w:t>
            </w:r>
          </w:p>
          <w:p w14:paraId="7E7753FE">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firstLine="422" w:firstLineChars="200"/>
              <w:jc w:val="both"/>
              <w:textAlignment w:val="auto"/>
              <w:outlineLvl w:val="3"/>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zh-CN" w:eastAsia="zh-CN" w:bidi="ar-SA"/>
              </w:rPr>
              <w:t>废</w:t>
            </w:r>
            <w:r>
              <w:rPr>
                <w:rFonts w:hint="eastAsia" w:ascii="Times New Roman" w:hAnsi="Times New Roman" w:cs="Times New Roman"/>
                <w:b/>
                <w:bCs/>
                <w:color w:val="auto"/>
                <w:kern w:val="2"/>
                <w:sz w:val="21"/>
                <w:szCs w:val="21"/>
                <w:lang w:val="en-US" w:eastAsia="zh-CN" w:bidi="ar-SA"/>
              </w:rPr>
              <w:t>包装</w:t>
            </w:r>
            <w:r>
              <w:rPr>
                <w:rFonts w:hint="eastAsia" w:ascii="Times New Roman" w:hAnsi="Times New Roman" w:cs="Times New Roman"/>
                <w:b/>
                <w:bCs/>
                <w:color w:val="auto"/>
                <w:kern w:val="2"/>
                <w:sz w:val="21"/>
                <w:szCs w:val="21"/>
                <w:lang w:val="zh-CN" w:eastAsia="zh-CN" w:bidi="ar-SA"/>
              </w:rPr>
              <w:t>桶</w:t>
            </w:r>
            <w:r>
              <w:rPr>
                <w:rFonts w:hint="default" w:ascii="Times New Roman" w:hAnsi="Times New Roman" w:eastAsia="宋体" w:cs="Times New Roman"/>
                <w:b/>
                <w:bCs/>
                <w:color w:val="auto"/>
                <w:kern w:val="2"/>
                <w:sz w:val="21"/>
                <w:szCs w:val="21"/>
                <w:lang w:val="zh-CN" w:eastAsia="zh-CN" w:bidi="ar-SA"/>
              </w:rPr>
              <w:t>（S</w:t>
            </w:r>
            <w:r>
              <w:rPr>
                <w:rFonts w:hint="eastAsia" w:ascii="Times New Roman" w:hAnsi="Times New Roman" w:cs="Times New Roman"/>
                <w:b/>
                <w:bCs/>
                <w:color w:val="auto"/>
                <w:kern w:val="2"/>
                <w:sz w:val="21"/>
                <w:szCs w:val="21"/>
                <w:lang w:val="en-US" w:eastAsia="zh-CN" w:bidi="ar-SA"/>
              </w:rPr>
              <w:t>7</w:t>
            </w:r>
            <w:r>
              <w:rPr>
                <w:rFonts w:hint="default" w:ascii="Times New Roman" w:hAnsi="Times New Roman" w:eastAsia="宋体" w:cs="Times New Roman"/>
                <w:b/>
                <w:bCs/>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主要为使用油墨以及润滑油</w:t>
            </w:r>
            <w:r>
              <w:rPr>
                <w:rFonts w:hint="eastAsia" w:ascii="Times New Roman" w:hAnsi="Times New Roman" w:cs="Times New Roman"/>
                <w:b w:val="0"/>
                <w:bCs w:val="0"/>
                <w:color w:val="auto"/>
                <w:kern w:val="2"/>
                <w:sz w:val="21"/>
                <w:szCs w:val="21"/>
                <w:lang w:val="en-US" w:eastAsia="zh-CN" w:bidi="ar-SA"/>
              </w:rPr>
              <w:t>、液压油</w:t>
            </w:r>
            <w:r>
              <w:rPr>
                <w:rFonts w:hint="default" w:ascii="Times New Roman" w:hAnsi="Times New Roman" w:eastAsia="宋体" w:cs="Times New Roman"/>
                <w:b w:val="0"/>
                <w:bCs w:val="0"/>
                <w:color w:val="auto"/>
                <w:kern w:val="2"/>
                <w:sz w:val="21"/>
                <w:szCs w:val="21"/>
                <w:lang w:val="en-US" w:eastAsia="zh-CN" w:bidi="ar-SA"/>
              </w:rPr>
              <w:t>的空桶。根据《国家危险废物名录》（202</w:t>
            </w:r>
            <w:r>
              <w:rPr>
                <w:rFonts w:hint="eastAsia" w:ascii="Times New Roman" w:hAnsi="Times New Roman" w:cs="Times New Roman"/>
                <w:b w:val="0"/>
                <w:bCs w:val="0"/>
                <w:color w:val="auto"/>
                <w:kern w:val="2"/>
                <w:sz w:val="21"/>
                <w:szCs w:val="21"/>
                <w:lang w:val="en-US" w:eastAsia="zh-CN" w:bidi="ar-SA"/>
              </w:rPr>
              <w:t>5</w:t>
            </w:r>
            <w:r>
              <w:rPr>
                <w:rFonts w:hint="default" w:ascii="Times New Roman" w:hAnsi="Times New Roman" w:eastAsia="宋体" w:cs="Times New Roman"/>
                <w:b w:val="0"/>
                <w:bCs w:val="0"/>
                <w:color w:val="auto"/>
                <w:kern w:val="2"/>
                <w:sz w:val="21"/>
                <w:szCs w:val="21"/>
                <w:lang w:val="en-US" w:eastAsia="zh-CN" w:bidi="ar-SA"/>
              </w:rPr>
              <w:t>年），属于危险废物（</w:t>
            </w:r>
            <w:r>
              <w:rPr>
                <w:rFonts w:hint="eastAsia" w:ascii="Times New Roman" w:hAnsi="Times New Roman" w:cs="Times New Roman"/>
                <w:b w:val="0"/>
                <w:bCs w:val="0"/>
                <w:color w:val="auto"/>
                <w:kern w:val="2"/>
                <w:sz w:val="21"/>
                <w:szCs w:val="21"/>
                <w:lang w:val="en-US" w:eastAsia="zh-CN" w:bidi="ar-SA"/>
              </w:rPr>
              <w:t>废油桶</w:t>
            </w:r>
            <w:r>
              <w:rPr>
                <w:rFonts w:hint="default" w:ascii="Times New Roman" w:hAnsi="Times New Roman" w:eastAsia="宋体" w:cs="Times New Roman"/>
                <w:b w:val="0"/>
                <w:bCs w:val="0"/>
                <w:color w:val="auto"/>
                <w:kern w:val="2"/>
                <w:sz w:val="21"/>
                <w:szCs w:val="21"/>
                <w:lang w:val="en-US" w:eastAsia="zh-CN" w:bidi="ar-SA"/>
              </w:rPr>
              <w:t>危废代码：</w:t>
            </w:r>
            <w:r>
              <w:rPr>
                <w:rFonts w:ascii="Times New Roman" w:hAnsi="Times New Roman" w:cs="Times New Roman"/>
                <w:color w:val="auto"/>
                <w:kern w:val="1"/>
                <w:sz w:val="21"/>
                <w:szCs w:val="21"/>
              </w:rPr>
              <w:t>900-249-08</w:t>
            </w:r>
            <w:r>
              <w:rPr>
                <w:rFonts w:hint="eastAsia" w:ascii="Times New Roman" w:hAnsi="Times New Roman" w:cs="Times New Roman"/>
                <w:b w:val="0"/>
                <w:bCs w:val="0"/>
                <w:color w:val="auto"/>
                <w:kern w:val="2"/>
                <w:sz w:val="21"/>
                <w:szCs w:val="21"/>
                <w:lang w:val="en-US" w:eastAsia="zh-CN" w:bidi="ar-SA"/>
              </w:rPr>
              <w:t>；油墨包装桶</w:t>
            </w:r>
            <w:r>
              <w:rPr>
                <w:rFonts w:hint="default" w:ascii="Times New Roman" w:hAnsi="Times New Roman" w:eastAsia="宋体" w:cs="Times New Roman"/>
                <w:b w:val="0"/>
                <w:bCs w:val="0"/>
                <w:color w:val="auto"/>
                <w:kern w:val="2"/>
                <w:sz w:val="21"/>
                <w:szCs w:val="21"/>
                <w:lang w:val="en-US" w:eastAsia="zh-CN" w:bidi="ar-SA"/>
              </w:rPr>
              <w:t>危废代码</w:t>
            </w:r>
            <w:r>
              <w:rPr>
                <w:rFonts w:hint="default" w:ascii="Times New Roman" w:hAnsi="Times New Roman" w:eastAsia="宋体" w:cs="Times New Roman"/>
                <w:color w:val="auto"/>
                <w:kern w:val="1"/>
                <w:sz w:val="21"/>
                <w:szCs w:val="21"/>
              </w:rPr>
              <w:t>900-</w:t>
            </w:r>
            <w:r>
              <w:rPr>
                <w:rFonts w:hint="eastAsia" w:ascii="Times New Roman" w:hAnsi="Times New Roman" w:cs="Times New Roman"/>
                <w:color w:val="auto"/>
                <w:kern w:val="1"/>
                <w:sz w:val="21"/>
                <w:szCs w:val="21"/>
                <w:lang w:val="en-US" w:eastAsia="zh-CN"/>
              </w:rPr>
              <w:t>041-49</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cs="Times New Roman"/>
                <w:color w:val="auto"/>
                <w:kern w:val="2"/>
                <w:sz w:val="21"/>
                <w:szCs w:val="21"/>
                <w:lang w:val="en-US" w:eastAsia="zh-CN" w:bidi="ar-SA"/>
              </w:rPr>
              <w:t>液压油桶规格为200kg/桶，桶重17kg/个；润滑油桶规格为：5kg/桶，桶重1kg/个；油墨规格为：0.5kg/桶，桶重50g/个。</w:t>
            </w:r>
            <w:r>
              <w:rPr>
                <w:rFonts w:hint="default" w:ascii="Times New Roman" w:hAnsi="Times New Roman" w:eastAsia="宋体" w:cs="Times New Roman"/>
                <w:color w:val="auto"/>
                <w:kern w:val="2"/>
                <w:sz w:val="21"/>
                <w:szCs w:val="21"/>
                <w:lang w:val="zh-CN" w:eastAsia="zh-CN" w:bidi="ar-SA"/>
              </w:rPr>
              <w:t>则废油桶产生约为</w:t>
            </w:r>
            <w:r>
              <w:rPr>
                <w:rFonts w:hint="eastAsia" w:ascii="Times New Roman" w:hAnsi="Times New Roman" w:cs="Times New Roman"/>
                <w:color w:val="auto"/>
                <w:kern w:val="2"/>
                <w:sz w:val="21"/>
                <w:szCs w:val="21"/>
                <w:lang w:val="en-US" w:eastAsia="zh-CN" w:bidi="ar-SA"/>
              </w:rPr>
              <w:t xml:space="preserve">0.0665 </w:t>
            </w:r>
            <w:r>
              <w:rPr>
                <w:rFonts w:hint="default" w:ascii="Times New Roman" w:hAnsi="Times New Roman" w:eastAsia="宋体" w:cs="Times New Roman"/>
                <w:color w:val="auto"/>
                <w:kern w:val="2"/>
                <w:sz w:val="21"/>
                <w:szCs w:val="21"/>
                <w:lang w:val="en-US" w:eastAsia="zh-CN" w:bidi="ar-SA"/>
              </w:rPr>
              <w:t>t/a</w:t>
            </w:r>
            <w:r>
              <w:rPr>
                <w:rFonts w:hint="eastAsia" w:ascii="Times New Roman" w:hAnsi="Times New Roman" w:eastAsia="宋体" w:cs="Times New Roman"/>
                <w:color w:val="auto"/>
                <w:kern w:val="2"/>
                <w:sz w:val="21"/>
                <w:szCs w:val="21"/>
                <w:lang w:val="en-US" w:eastAsia="zh-CN" w:bidi="ar-SA"/>
              </w:rPr>
              <w:t>，</w:t>
            </w:r>
            <w:r>
              <w:rPr>
                <w:rFonts w:hint="eastAsia" w:ascii="Times New Roman" w:hAnsi="Times New Roman" w:cs="Times New Roman"/>
                <w:b w:val="0"/>
                <w:bCs w:val="0"/>
                <w:color w:val="auto"/>
                <w:kern w:val="2"/>
                <w:sz w:val="21"/>
                <w:szCs w:val="21"/>
                <w:lang w:val="en-US" w:eastAsia="zh-CN" w:bidi="ar-SA"/>
              </w:rPr>
              <w:t>油墨包装桶产生约为0.001</w:t>
            </w:r>
            <w:r>
              <w:rPr>
                <w:rFonts w:hint="eastAsia" w:ascii="Times New Roman" w:hAnsi="Times New Roman" w:cs="Times New Roman"/>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项目建成后</w:t>
            </w:r>
            <w:r>
              <w:rPr>
                <w:rFonts w:hint="eastAsia"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en-US" w:eastAsia="zh-CN" w:bidi="ar-SA"/>
              </w:rPr>
              <w:t>废包装桶产生量为0.</w:t>
            </w:r>
            <w:r>
              <w:rPr>
                <w:rFonts w:hint="eastAsia" w:ascii="Times New Roman" w:hAnsi="Times New Roman" w:cs="Times New Roman"/>
                <w:color w:val="auto"/>
                <w:kern w:val="2"/>
                <w:sz w:val="21"/>
                <w:szCs w:val="21"/>
                <w:lang w:val="en-US" w:eastAsia="zh-CN" w:bidi="ar-SA"/>
              </w:rPr>
              <w:t>0675</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14:paraId="0DB45C80">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firstLine="422" w:firstLineChars="200"/>
              <w:jc w:val="both"/>
              <w:textAlignment w:val="auto"/>
              <w:outlineLvl w:val="3"/>
              <w:rPr>
                <w:rFonts w:hint="default" w:ascii="Times New Roman" w:hAnsi="Times New Roman" w:eastAsia="宋体" w:cs="Times New Roman"/>
                <w:b/>
                <w:bCs/>
                <w:color w:val="auto"/>
                <w:kern w:val="2"/>
                <w:sz w:val="21"/>
                <w:szCs w:val="21"/>
                <w:highlight w:val="yellow"/>
                <w:lang w:val="en-US" w:eastAsia="zh-CN" w:bidi="ar-SA"/>
              </w:rPr>
            </w:pPr>
            <w:r>
              <w:rPr>
                <w:rFonts w:hint="eastAsia" w:ascii="Times New Roman" w:hAnsi="Times New Roman" w:cs="Times New Roman"/>
                <w:b/>
                <w:bCs/>
                <w:color w:val="auto"/>
                <w:kern w:val="2"/>
                <w:sz w:val="21"/>
                <w:szCs w:val="21"/>
                <w:lang w:val="en-US" w:eastAsia="zh-CN" w:bidi="ar-SA"/>
              </w:rPr>
              <w:t>④</w:t>
            </w:r>
            <w:r>
              <w:rPr>
                <w:rFonts w:hint="default" w:ascii="Times New Roman" w:hAnsi="Times New Roman" w:cs="Times New Roman"/>
                <w:b/>
                <w:bCs/>
                <w:color w:val="auto"/>
                <w:kern w:val="2"/>
                <w:sz w:val="21"/>
                <w:szCs w:val="21"/>
                <w:lang w:val="en-US" w:eastAsia="zh-CN" w:bidi="ar-SA"/>
              </w:rPr>
              <w:t>废活性炭（S</w:t>
            </w:r>
            <w:r>
              <w:rPr>
                <w:rFonts w:hint="eastAsia" w:ascii="Times New Roman" w:hAnsi="Times New Roman" w:cs="Times New Roman"/>
                <w:b/>
                <w:bCs/>
                <w:color w:val="auto"/>
                <w:kern w:val="2"/>
                <w:sz w:val="21"/>
                <w:szCs w:val="21"/>
                <w:lang w:val="en-US" w:eastAsia="zh-CN" w:bidi="ar-SA"/>
              </w:rPr>
              <w:t>8</w:t>
            </w:r>
            <w:r>
              <w:rPr>
                <w:rFonts w:hint="default" w:ascii="Times New Roman" w:hAnsi="Times New Roman" w:cs="Times New Roman"/>
                <w:b/>
                <w:bCs/>
                <w:color w:val="auto"/>
                <w:kern w:val="2"/>
                <w:sz w:val="21"/>
                <w:szCs w:val="21"/>
                <w:lang w:val="en-US" w:eastAsia="zh-CN" w:bidi="ar-SA"/>
              </w:rPr>
              <w:t>）：</w:t>
            </w:r>
            <w:r>
              <w:rPr>
                <w:rFonts w:hint="default" w:ascii="Times New Roman" w:hAnsi="Times New Roman" w:cs="Times New Roman"/>
                <w:b w:val="0"/>
                <w:bCs w:val="0"/>
                <w:color w:val="auto"/>
                <w:kern w:val="2"/>
                <w:sz w:val="21"/>
                <w:szCs w:val="21"/>
                <w:highlight w:val="none"/>
                <w:lang w:val="en-US" w:eastAsia="zh-CN" w:bidi="ar-SA"/>
              </w:rPr>
              <w:t>主要为两级活性炭箱定期更换的废活性炭。根据《国家危险废物名录》（202</w:t>
            </w:r>
            <w:r>
              <w:rPr>
                <w:rFonts w:hint="eastAsia" w:ascii="Times New Roman" w:hAnsi="Times New Roman" w:cs="Times New Roman"/>
                <w:b w:val="0"/>
                <w:bCs w:val="0"/>
                <w:color w:val="auto"/>
                <w:kern w:val="2"/>
                <w:sz w:val="21"/>
                <w:szCs w:val="21"/>
                <w:highlight w:val="none"/>
                <w:lang w:val="en-US" w:eastAsia="zh-CN" w:bidi="ar-SA"/>
              </w:rPr>
              <w:t>5</w:t>
            </w:r>
            <w:r>
              <w:rPr>
                <w:rFonts w:hint="default" w:ascii="Times New Roman" w:hAnsi="Times New Roman" w:cs="Times New Roman"/>
                <w:b w:val="0"/>
                <w:bCs w:val="0"/>
                <w:color w:val="auto"/>
                <w:kern w:val="2"/>
                <w:sz w:val="21"/>
                <w:szCs w:val="21"/>
                <w:highlight w:val="none"/>
                <w:lang w:val="en-US" w:eastAsia="zh-CN" w:bidi="ar-SA"/>
              </w:rPr>
              <w:t>年），废活性炭属于危险废物（HW49，废物代码为900-039-49）。</w:t>
            </w:r>
            <w:r>
              <w:rPr>
                <w:rFonts w:hint="default" w:ascii="Times New Roman" w:hAnsi="Times New Roman" w:eastAsia="宋体" w:cs="Times New Roman"/>
                <w:b w:val="0"/>
                <w:bCs w:val="0"/>
                <w:color w:val="auto"/>
                <w:kern w:val="2"/>
                <w:sz w:val="21"/>
                <w:szCs w:val="21"/>
                <w:lang w:val="en-US" w:eastAsia="zh-CN" w:bidi="ar-SA"/>
              </w:rPr>
              <w:t>根据2021年7月9日邯郸市大气污染防治工作领导小组办公室《关于涉VOCS企业实行强化管控的通知》，本次项目使用碘值800mg/g的蜂窝活性炭，密度为500kg/m³，活性炭填充量与处理废气量体积之比应不小于1:5000，活性炭吸附装置风机风量为</w:t>
            </w:r>
            <w:r>
              <w:rPr>
                <w:rFonts w:hint="eastAsia" w:ascii="Times New Roman" w:hAnsi="Times New Roman" w:cs="Times New Roman"/>
                <w:b w:val="0"/>
                <w:bCs w:val="0"/>
                <w:color w:val="auto"/>
                <w:kern w:val="2"/>
                <w:sz w:val="21"/>
                <w:szCs w:val="21"/>
                <w:lang w:val="en-US" w:eastAsia="zh-CN" w:bidi="ar-SA"/>
              </w:rPr>
              <w:t>140</w:t>
            </w:r>
            <w:r>
              <w:rPr>
                <w:rFonts w:hint="default" w:ascii="Times New Roman" w:hAnsi="Times New Roman" w:eastAsia="宋体" w:cs="Times New Roman"/>
                <w:b w:val="0"/>
                <w:bCs w:val="0"/>
                <w:color w:val="auto"/>
                <w:kern w:val="2"/>
                <w:sz w:val="21"/>
                <w:szCs w:val="21"/>
                <w:lang w:val="en-US" w:eastAsia="zh-CN" w:bidi="ar-SA"/>
              </w:rPr>
              <w:t>00m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/h，要求活性炭填充量不小于</w:t>
            </w:r>
            <w:r>
              <w:rPr>
                <w:rFonts w:hint="eastAsia" w:ascii="Times New Roman" w:hAnsi="Times New Roman" w:cs="Times New Roman"/>
                <w:b w:val="0"/>
                <w:bCs w:val="0"/>
                <w:color w:val="auto"/>
                <w:kern w:val="2"/>
                <w:sz w:val="21"/>
                <w:szCs w:val="21"/>
                <w:lang w:val="en-US" w:eastAsia="zh-CN" w:bidi="ar-SA"/>
              </w:rPr>
              <w:t>2.8/</w:t>
            </w:r>
            <w:r>
              <w:rPr>
                <w:rFonts w:hint="default" w:ascii="Times New Roman" w:hAnsi="Times New Roman" w:eastAsia="宋体" w:cs="Times New Roman"/>
                <w:b w:val="0"/>
                <w:bCs w:val="0"/>
                <w:color w:val="auto"/>
                <w:kern w:val="2"/>
                <w:sz w:val="21"/>
                <w:szCs w:val="21"/>
                <w:lang w:val="en-US" w:eastAsia="zh-CN" w:bidi="ar-SA"/>
              </w:rPr>
              <w:t>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（约</w:t>
            </w:r>
            <w:r>
              <w:rPr>
                <w:rFonts w:hint="eastAsia" w:ascii="Times New Roman" w:hAnsi="Times New Roman" w:cs="Times New Roman"/>
                <w:b w:val="0"/>
                <w:bCs w:val="0"/>
                <w:color w:val="auto"/>
                <w:kern w:val="2"/>
                <w:sz w:val="21"/>
                <w:szCs w:val="21"/>
                <w:lang w:val="en-US" w:eastAsia="zh-CN" w:bidi="ar-SA"/>
              </w:rPr>
              <w:t>1.4</w:t>
            </w:r>
            <w:r>
              <w:rPr>
                <w:rFonts w:hint="default" w:ascii="Times New Roman" w:hAnsi="Times New Roman" w:eastAsia="宋体" w:cs="Times New Roman"/>
                <w:b w:val="0"/>
                <w:bCs w:val="0"/>
                <w:color w:val="auto"/>
                <w:kern w:val="2"/>
                <w:sz w:val="21"/>
                <w:szCs w:val="21"/>
                <w:lang w:val="en-US" w:eastAsia="zh-CN" w:bidi="ar-SA"/>
              </w:rPr>
              <w:t>t）。根据《关于印发</w:t>
            </w:r>
            <w:r>
              <w:rPr>
                <w:rFonts w:hint="eastAsia" w:ascii="Times New Roman" w:hAnsi="Times New Roman" w:cs="Times New Roman"/>
                <w:b w:val="0"/>
                <w:bCs w:val="0"/>
                <w:color w:val="auto"/>
                <w:kern w:val="2"/>
                <w:sz w:val="21"/>
                <w:szCs w:val="21"/>
                <w:lang w:val="en-US" w:eastAsia="zh-CN" w:bidi="ar-SA"/>
              </w:rPr>
              <w:t>&lt;</w:t>
            </w:r>
            <w:r>
              <w:rPr>
                <w:rFonts w:hint="default" w:ascii="Times New Roman" w:hAnsi="Times New Roman" w:eastAsia="宋体" w:cs="Times New Roman"/>
                <w:b w:val="0"/>
                <w:bCs w:val="0"/>
                <w:color w:val="auto"/>
                <w:kern w:val="2"/>
                <w:sz w:val="21"/>
                <w:szCs w:val="21"/>
                <w:lang w:val="en-US" w:eastAsia="zh-CN" w:bidi="ar-SA"/>
              </w:rPr>
              <w:t>河北省涉VOCs工业企业常用治理技术指南</w:t>
            </w:r>
            <w:r>
              <w:rPr>
                <w:rFonts w:hint="eastAsia" w:ascii="Times New Roman" w:hAnsi="Times New Roman" w:cs="Times New Roman"/>
                <w:b w:val="0"/>
                <w:bCs w:val="0"/>
                <w:color w:val="auto"/>
                <w:kern w:val="2"/>
                <w:sz w:val="21"/>
                <w:szCs w:val="21"/>
                <w:lang w:val="en-US" w:eastAsia="zh-CN" w:bidi="ar-SA"/>
              </w:rPr>
              <w:t>&gt;</w:t>
            </w:r>
            <w:r>
              <w:rPr>
                <w:rFonts w:hint="default" w:ascii="Times New Roman" w:hAnsi="Times New Roman" w:eastAsia="宋体" w:cs="Times New Roman"/>
                <w:b w:val="0"/>
                <w:bCs w:val="0"/>
                <w:color w:val="auto"/>
                <w:kern w:val="2"/>
                <w:sz w:val="21"/>
                <w:szCs w:val="21"/>
                <w:lang w:val="en-US" w:eastAsia="zh-CN" w:bidi="ar-SA"/>
              </w:rPr>
              <w:t>的通知》（冀环应急〔2022〕140号），</w:t>
            </w:r>
            <w:r>
              <w:rPr>
                <w:rFonts w:hint="eastAsia" w:ascii="Times New Roman" w:hAnsi="Times New Roman" w:cs="Times New Roman"/>
                <w:b w:val="0"/>
                <w:bCs w:val="0"/>
                <w:color w:val="auto"/>
                <w:kern w:val="2"/>
                <w:sz w:val="21"/>
                <w:szCs w:val="21"/>
                <w:lang w:val="en-US" w:eastAsia="zh-CN" w:bidi="ar-SA"/>
              </w:rPr>
              <w:t>活性炭更换周期公式为：</w:t>
            </w:r>
            <w:r>
              <w:rPr>
                <w:rFonts w:hint="eastAsia" w:ascii="Times New Roman" w:hAnsi="Times New Roman" w:cs="Times New Roman"/>
                <w:b w:val="0"/>
                <w:bCs w:val="0"/>
                <w:color w:val="auto"/>
                <w:kern w:val="2"/>
                <w:sz w:val="21"/>
                <w:szCs w:val="21"/>
                <w:lang w:val="en-US" w:eastAsia="zh-CN" w:bidi="ar-SA"/>
              </w:rPr>
              <w:br w:type="textWrapping"/>
            </w:r>
            <m:oMathPara>
              <m:oMath>
                <m:r>
                  <m:rPr>
                    <m:sty m:val="p"/>
                  </m:rPr>
                  <w:rPr>
                    <w:rFonts w:hint="default" w:ascii="Cambria Math" w:hAnsi="Cambria Math" w:cs="Times New Roman"/>
                    <w:color w:val="auto"/>
                    <w:kern w:val="2"/>
                    <w:sz w:val="21"/>
                    <w:szCs w:val="21"/>
                    <w:lang w:val="en-US" w:eastAsia="zh-CN" w:bidi="ar-SA"/>
                  </w:rPr>
                  <m:t>T</m:t>
                </m:r>
                <m:r>
                  <m:rPr>
                    <m:sty m:val="p"/>
                  </m:rPr>
                  <w:rPr>
                    <w:rFonts w:hint="default" w:ascii="Cambria Math" w:hAnsi="Cambria Math" w:cs="Times New Roman"/>
                    <w:color w:val="auto"/>
                    <w:kern w:val="2"/>
                    <w:sz w:val="21"/>
                    <w:szCs w:val="24"/>
                    <w:lang w:val="en-US" w:eastAsia="zh-CN" w:bidi="ar-SA"/>
                  </w:rPr>
                  <m:t>=</m:t>
                </m:r>
                <m:f>
                  <m:fPr>
                    <m:ctrlPr>
                      <w:rPr>
                        <w:rFonts w:hint="default" w:ascii="Cambria Math" w:hAnsi="Cambria Math" w:cs="Times New Roman"/>
                        <w:b w:val="0"/>
                        <w:bCs w:val="0"/>
                        <w:color w:val="auto"/>
                        <w:kern w:val="2"/>
                        <w:sz w:val="21"/>
                        <w:szCs w:val="24"/>
                        <w:lang w:val="en-US" w:eastAsia="zh-CN" w:bidi="ar-SA"/>
                      </w:rPr>
                    </m:ctrlPr>
                  </m:fPr>
                  <m:num>
                    <m:r>
                      <m:rPr>
                        <m:sty m:val="p"/>
                      </m:rPr>
                      <w:rPr>
                        <w:rFonts w:hint="default" w:ascii="Cambria Math" w:hAnsi="Cambria Math" w:cs="Times New Roman"/>
                        <w:color w:val="auto"/>
                        <w:kern w:val="2"/>
                        <w:sz w:val="21"/>
                        <w:szCs w:val="24"/>
                        <w:lang w:val="en-US" w:eastAsia="zh-CN" w:bidi="ar-SA"/>
                      </w:rPr>
                      <m:t>G</m:t>
                    </m:r>
                    <m:r>
                      <m:rPr>
                        <m:sty m:val="p"/>
                      </m:rPr>
                      <w:rPr>
                        <w:rFonts w:hint="default" w:ascii="Cambria Math" w:hAnsi="Cambria Math" w:cs="Times New Roman"/>
                        <w:color w:val="auto"/>
                        <w:kern w:val="2"/>
                        <w:sz w:val="21"/>
                        <w:szCs w:val="24"/>
                        <w:lang w:val="en-US" w:bidi="ar-SA"/>
                      </w:rPr>
                      <m:t>×</m:t>
                    </m:r>
                    <m:r>
                      <m:rPr>
                        <m:sty m:val="p"/>
                      </m:rPr>
                      <w:rPr>
                        <w:rFonts w:hint="default" w:ascii="Cambria Math" w:hAnsi="Cambria Math" w:cs="Times New Roman"/>
                        <w:color w:val="auto"/>
                        <w:kern w:val="2"/>
                        <w:sz w:val="21"/>
                        <w:szCs w:val="24"/>
                        <w:lang w:val="en-US" w:eastAsia="zh-CN" w:bidi="ar-SA"/>
                      </w:rPr>
                      <m:t>10%</m:t>
                    </m:r>
                    <m:ctrlPr>
                      <w:rPr>
                        <w:rFonts w:hint="default" w:ascii="Cambria Math" w:hAnsi="Cambria Math" w:cs="Times New Roman"/>
                        <w:b w:val="0"/>
                        <w:bCs w:val="0"/>
                        <w:color w:val="auto"/>
                        <w:kern w:val="2"/>
                        <w:sz w:val="21"/>
                        <w:szCs w:val="24"/>
                        <w:lang w:val="en-US" w:eastAsia="zh-CN" w:bidi="ar-SA"/>
                      </w:rPr>
                    </m:ctrlPr>
                  </m:num>
                  <m:den>
                    <m:r>
                      <m:rPr>
                        <m:sty m:val="p"/>
                      </m:rPr>
                      <w:rPr>
                        <w:rFonts w:hint="default" w:ascii="Cambria Math" w:hAnsi="Cambria Math" w:cs="Times New Roman"/>
                        <w:color w:val="auto"/>
                        <w:kern w:val="2"/>
                        <w:sz w:val="21"/>
                        <w:szCs w:val="24"/>
                        <w:lang w:val="en-US" w:eastAsia="zh-CN" w:bidi="ar-SA"/>
                      </w:rPr>
                      <m:t>C</m:t>
                    </m:r>
                    <m:r>
                      <m:rPr>
                        <m:sty m:val="p"/>
                      </m:rPr>
                      <w:rPr>
                        <w:rFonts w:hint="default" w:ascii="Cambria Math" w:hAnsi="Cambria Math" w:cs="Times New Roman"/>
                        <w:color w:val="auto"/>
                        <w:kern w:val="2"/>
                        <w:sz w:val="21"/>
                        <w:szCs w:val="24"/>
                        <w:lang w:val="en-US" w:bidi="ar-SA"/>
                      </w:rPr>
                      <m:t>×</m:t>
                    </m:r>
                    <m:r>
                      <m:rPr>
                        <m:sty m:val="p"/>
                      </m:rPr>
                      <w:rPr>
                        <w:rFonts w:hint="default" w:ascii="Cambria Math" w:hAnsi="Cambria Math" w:cs="Times New Roman"/>
                        <w:color w:val="auto"/>
                        <w:kern w:val="2"/>
                        <w:sz w:val="21"/>
                        <w:szCs w:val="24"/>
                        <w:lang w:val="en-US" w:eastAsia="zh-CN" w:bidi="ar-SA"/>
                      </w:rPr>
                      <m:t>Q</m:t>
                    </m:r>
                    <m:r>
                      <m:rPr>
                        <m:sty m:val="p"/>
                      </m:rPr>
                      <w:rPr>
                        <w:rFonts w:hint="default" w:ascii="Cambria Math" w:hAnsi="Cambria Math" w:cs="Times New Roman"/>
                        <w:color w:val="auto"/>
                        <w:kern w:val="2"/>
                        <w:sz w:val="21"/>
                        <w:szCs w:val="24"/>
                        <w:lang w:val="en-US" w:bidi="ar-SA"/>
                      </w:rPr>
                      <m:t>×</m:t>
                    </m:r>
                    <m:sSub>
                      <m:sSubPr>
                        <m:ctrlPr>
                          <w:rPr>
                            <w:rFonts w:hint="default" w:ascii="Cambria Math" w:hAnsi="Cambria Math" w:cs="Times New Roman"/>
                            <w:bCs w:val="0"/>
                            <w:color w:val="auto"/>
                            <w:kern w:val="2"/>
                            <w:sz w:val="21"/>
                            <w:szCs w:val="24"/>
                            <w:lang w:val="en-US" w:bidi="ar-SA"/>
                          </w:rPr>
                        </m:ctrlPr>
                      </m:sSubPr>
                      <m:e>
                        <m:r>
                          <m:rPr>
                            <m:sty m:val="p"/>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bCs w:val="0"/>
                            <w:color w:val="auto"/>
                            <w:kern w:val="2"/>
                            <w:sz w:val="21"/>
                            <w:szCs w:val="24"/>
                            <w:lang w:val="en-US" w:bidi="ar-SA"/>
                          </w:rPr>
                        </m:ctrlPr>
                      </m:e>
                      <m:sub>
                        <m:r>
                          <m:rPr>
                            <m:sty m:val="p"/>
                          </m:rPr>
                          <w:rPr>
                            <w:rFonts w:hint="default" w:ascii="Cambria Math" w:hAnsi="Cambria Math" w:cs="Times New Roman"/>
                            <w:color w:val="auto"/>
                            <w:kern w:val="2"/>
                            <w:sz w:val="21"/>
                            <w:szCs w:val="24"/>
                            <w:lang w:val="en-US" w:eastAsia="zh-CN" w:bidi="ar-SA"/>
                          </w:rPr>
                          <m:t>1</m:t>
                        </m:r>
                        <m:ctrlPr>
                          <w:rPr>
                            <w:rFonts w:hint="default" w:ascii="Cambria Math" w:hAnsi="Cambria Math" w:cs="Times New Roman"/>
                            <w:bCs w:val="0"/>
                            <w:color w:val="auto"/>
                            <w:kern w:val="2"/>
                            <w:sz w:val="21"/>
                            <w:szCs w:val="24"/>
                            <w:lang w:val="en-US" w:bidi="ar-SA"/>
                          </w:rPr>
                        </m:ctrlPr>
                      </m:sub>
                    </m:sSub>
                    <m:ctrlPr>
                      <w:rPr>
                        <w:rFonts w:hint="default" w:ascii="Cambria Math" w:hAnsi="Cambria Math" w:cs="Times New Roman"/>
                        <w:b w:val="0"/>
                        <w:bCs w:val="0"/>
                        <w:color w:val="auto"/>
                        <w:kern w:val="2"/>
                        <w:sz w:val="21"/>
                        <w:szCs w:val="24"/>
                        <w:lang w:val="en-US" w:eastAsia="zh-CN" w:bidi="ar-SA"/>
                      </w:rPr>
                    </m:ctrlPr>
                  </m:den>
                </m:f>
                <m:r>
                  <m:rPr>
                    <m:sty m:val="p"/>
                  </m:rPr>
                  <w:rPr>
                    <w:rFonts w:hint="default" w:ascii="Cambria Math" w:hAnsi="Cambria Math" w:cs="Times New Roman"/>
                    <w:color w:val="auto"/>
                    <w:kern w:val="2"/>
                    <w:sz w:val="21"/>
                    <w:szCs w:val="24"/>
                    <w:lang w:val="en-US" w:eastAsia="zh-CN" w:bidi="ar-SA"/>
                  </w:rPr>
                  <m:t>=</m:t>
                </m:r>
                <m:f>
                  <m:fPr>
                    <m:ctrlPr>
                      <w:rPr>
                        <w:rFonts w:hint="default" w:ascii="Cambria Math" w:hAnsi="Cambria Math" w:cs="Times New Roman"/>
                        <w:b w:val="0"/>
                        <w:bCs w:val="0"/>
                        <w:color w:val="auto"/>
                        <w:kern w:val="2"/>
                        <w:sz w:val="21"/>
                        <w:szCs w:val="24"/>
                        <w:lang w:val="en-US" w:eastAsia="zh-CN" w:bidi="ar-SA"/>
                      </w:rPr>
                    </m:ctrlPr>
                  </m:fPr>
                  <m:num>
                    <m:r>
                      <m:rPr>
                        <m:sty m:val="p"/>
                      </m:rPr>
                      <w:rPr>
                        <w:rFonts w:hint="default" w:ascii="Cambria Math" w:hAnsi="Cambria Math" w:cs="Times New Roman"/>
                        <w:color w:val="auto"/>
                        <w:kern w:val="2"/>
                        <w:sz w:val="21"/>
                        <w:szCs w:val="24"/>
                        <w:lang w:val="en-US" w:eastAsia="zh-CN" w:bidi="ar-SA"/>
                      </w:rPr>
                      <m:t>1.4</m:t>
                    </m:r>
                    <m:r>
                      <m:rPr>
                        <m:sty m:val="p"/>
                      </m:rPr>
                      <w:rPr>
                        <w:rFonts w:hint="default" w:ascii="Cambria Math" w:hAnsi="Cambria Math" w:cs="Times New Roman"/>
                        <w:color w:val="auto"/>
                        <w:kern w:val="2"/>
                        <w:sz w:val="21"/>
                        <w:szCs w:val="24"/>
                        <w:lang w:val="en-US" w:bidi="ar-SA"/>
                      </w:rPr>
                      <m:t>×</m:t>
                    </m:r>
                    <m:r>
                      <m:rPr>
                        <m:sty m:val="p"/>
                      </m:rPr>
                      <w:rPr>
                        <w:rFonts w:hint="default" w:ascii="Cambria Math" w:hAnsi="Cambria Math" w:cs="Times New Roman"/>
                        <w:color w:val="auto"/>
                        <w:kern w:val="2"/>
                        <w:sz w:val="21"/>
                        <w:szCs w:val="24"/>
                        <w:lang w:val="en-US" w:eastAsia="zh-CN" w:bidi="ar-SA"/>
                      </w:rPr>
                      <m:t>0.1</m:t>
                    </m:r>
                    <m:r>
                      <m:rPr>
                        <m:sty m:val="p"/>
                      </m:rPr>
                      <w:rPr>
                        <w:rFonts w:hint="default" w:ascii="Cambria Math" w:hAnsi="Cambria Math" w:cs="Times New Roman"/>
                        <w:color w:val="auto"/>
                        <w:kern w:val="2"/>
                        <w:sz w:val="21"/>
                        <w:szCs w:val="24"/>
                        <w:lang w:val="en-US" w:bidi="ar-SA"/>
                      </w:rPr>
                      <m:t>×</m:t>
                    </m:r>
                    <m:sSup>
                      <m:sSupPr>
                        <m:ctrlPr>
                          <w:rPr>
                            <w:rFonts w:hint="default" w:ascii="Cambria Math" w:hAnsi="Cambria Math" w:cs="Times New Roman"/>
                            <w:bCs w:val="0"/>
                            <w:color w:val="auto"/>
                            <w:kern w:val="2"/>
                            <w:sz w:val="21"/>
                            <w:szCs w:val="24"/>
                            <w:lang w:val="en-US" w:bidi="ar-SA"/>
                          </w:rPr>
                        </m:ctrlPr>
                      </m:sSupPr>
                      <m:e>
                        <m:r>
                          <m:rPr>
                            <m:sty m:val="p"/>
                          </m:rPr>
                          <w:rPr>
                            <w:rFonts w:hint="default" w:ascii="Cambria Math" w:hAnsi="Cambria Math" w:cs="Times New Roman"/>
                            <w:color w:val="auto"/>
                            <w:kern w:val="2"/>
                            <w:sz w:val="21"/>
                            <w:szCs w:val="24"/>
                            <w:lang w:val="en-US" w:eastAsia="zh-CN" w:bidi="ar-SA"/>
                          </w:rPr>
                          <m:t>10</m:t>
                        </m:r>
                        <m:ctrlPr>
                          <w:rPr>
                            <w:rFonts w:hint="default" w:ascii="Cambria Math" w:hAnsi="Cambria Math" w:cs="Times New Roman"/>
                            <w:bCs w:val="0"/>
                            <w:color w:val="auto"/>
                            <w:kern w:val="2"/>
                            <w:sz w:val="21"/>
                            <w:szCs w:val="24"/>
                            <w:lang w:val="en-US" w:bidi="ar-SA"/>
                          </w:rPr>
                        </m:ctrlPr>
                      </m:e>
                      <m:sup>
                        <m:r>
                          <m:rPr>
                            <m:sty m:val="p"/>
                          </m:rPr>
                          <w:rPr>
                            <w:rFonts w:hint="default" w:ascii="Cambria Math" w:hAnsi="Cambria Math" w:cs="Times New Roman"/>
                            <w:color w:val="auto"/>
                            <w:kern w:val="2"/>
                            <w:sz w:val="21"/>
                            <w:szCs w:val="24"/>
                            <w:lang w:val="en-US" w:eastAsia="zh-CN" w:bidi="ar-SA"/>
                          </w:rPr>
                          <m:t>9</m:t>
                        </m:r>
                        <m:ctrlPr>
                          <w:rPr>
                            <w:rFonts w:hint="default" w:ascii="Cambria Math" w:hAnsi="Cambria Math" w:cs="Times New Roman"/>
                            <w:bCs w:val="0"/>
                            <w:color w:val="auto"/>
                            <w:kern w:val="2"/>
                            <w:sz w:val="21"/>
                            <w:szCs w:val="24"/>
                            <w:lang w:val="en-US" w:bidi="ar-SA"/>
                          </w:rPr>
                        </m:ctrlPr>
                      </m:sup>
                    </m:sSup>
                    <m:ctrlPr>
                      <w:rPr>
                        <w:rFonts w:hint="default" w:ascii="Cambria Math" w:hAnsi="Cambria Math" w:cs="Times New Roman"/>
                        <w:b w:val="0"/>
                        <w:bCs w:val="0"/>
                        <w:color w:val="auto"/>
                        <w:kern w:val="2"/>
                        <w:sz w:val="21"/>
                        <w:szCs w:val="24"/>
                        <w:lang w:val="en-US" w:eastAsia="zh-CN" w:bidi="ar-SA"/>
                      </w:rPr>
                    </m:ctrlPr>
                  </m:num>
                  <m:den>
                    <m:r>
                      <m:rPr>
                        <m:sty m:val="p"/>
                      </m:rPr>
                      <w:rPr>
                        <w:rFonts w:hint="default" w:ascii="Cambria Math" w:hAnsi="Cambria Math" w:cs="Times New Roman"/>
                        <w:color w:val="auto"/>
                        <w:kern w:val="2"/>
                        <w:sz w:val="21"/>
                        <w:szCs w:val="24"/>
                        <w:lang w:val="en-US" w:eastAsia="zh-CN" w:bidi="ar-SA"/>
                      </w:rPr>
                      <m:t>2.0732</m:t>
                    </m:r>
                    <m:r>
                      <m:rPr>
                        <m:sty m:val="p"/>
                      </m:rPr>
                      <w:rPr>
                        <w:rFonts w:hint="default" w:ascii="Cambria Math" w:hAnsi="Cambria Math" w:cs="Times New Roman"/>
                        <w:color w:val="auto"/>
                        <w:kern w:val="2"/>
                        <w:sz w:val="21"/>
                        <w:szCs w:val="24"/>
                        <w:lang w:val="en-US" w:bidi="ar-SA"/>
                      </w:rPr>
                      <m:t>×</m:t>
                    </m:r>
                    <m:r>
                      <m:rPr>
                        <m:sty m:val="p"/>
                      </m:rPr>
                      <w:rPr>
                        <w:rFonts w:hint="default" w:ascii="Cambria Math" w:hAnsi="Cambria Math" w:cs="Times New Roman"/>
                        <w:color w:val="auto"/>
                        <w:kern w:val="2"/>
                        <w:sz w:val="21"/>
                        <w:szCs w:val="24"/>
                        <w:lang w:val="en-US" w:eastAsia="zh-CN" w:bidi="ar-SA"/>
                      </w:rPr>
                      <m:t>14000</m:t>
                    </m:r>
                    <m:r>
                      <m:rPr>
                        <m:sty m:val="p"/>
                      </m:rPr>
                      <w:rPr>
                        <w:rFonts w:hint="default" w:ascii="Cambria Math" w:hAnsi="Cambria Math" w:cs="Times New Roman"/>
                        <w:color w:val="auto"/>
                        <w:kern w:val="2"/>
                        <w:sz w:val="21"/>
                        <w:szCs w:val="24"/>
                        <w:lang w:val="en-US" w:bidi="ar-SA"/>
                      </w:rPr>
                      <m:t>×</m:t>
                    </m:r>
                    <m:r>
                      <m:rPr>
                        <m:sty m:val="p"/>
                      </m:rPr>
                      <w:rPr>
                        <w:rFonts w:hint="default" w:ascii="Cambria Math" w:hAnsi="Cambria Math" w:cs="Times New Roman"/>
                        <w:color w:val="auto"/>
                        <w:kern w:val="2"/>
                        <w:sz w:val="21"/>
                        <w:szCs w:val="24"/>
                        <w:lang w:val="en-US" w:eastAsia="zh-CN" w:bidi="ar-SA"/>
                      </w:rPr>
                      <m:t>8</m:t>
                    </m:r>
                    <m:ctrlPr>
                      <w:rPr>
                        <w:rFonts w:hint="default" w:ascii="Cambria Math" w:hAnsi="Cambria Math" w:cs="Times New Roman"/>
                        <w:b w:val="0"/>
                        <w:bCs w:val="0"/>
                        <w:color w:val="auto"/>
                        <w:kern w:val="2"/>
                        <w:sz w:val="21"/>
                        <w:szCs w:val="24"/>
                        <w:lang w:val="en-US" w:eastAsia="zh-CN" w:bidi="ar-SA"/>
                      </w:rPr>
                    </m:ctrlPr>
                  </m:den>
                </m:f>
                <m:r>
                  <m:rPr>
                    <m:sty m:val="p"/>
                  </m:rPr>
                  <w:rPr>
                    <w:rFonts w:hint="default" w:ascii="Cambria Math" w:hAnsi="Cambria Math" w:cs="Times New Roman"/>
                    <w:color w:val="auto"/>
                    <w:kern w:val="2"/>
                    <w:sz w:val="21"/>
                    <w:szCs w:val="24"/>
                    <w:lang w:val="en-US" w:bidi="ar-SA"/>
                  </w:rPr>
                  <m:t>=</m:t>
                </m:r>
                <m:r>
                  <m:rPr>
                    <m:sty m:val="p"/>
                  </m:rPr>
                  <w:rPr>
                    <w:rFonts w:hint="default" w:ascii="Cambria Math" w:hAnsi="Cambria Math" w:cs="Times New Roman"/>
                    <w:color w:val="auto"/>
                    <w:kern w:val="2"/>
                    <w:sz w:val="21"/>
                    <w:szCs w:val="24"/>
                    <w:lang w:val="en-US" w:eastAsia="zh-CN" w:bidi="ar-SA"/>
                  </w:rPr>
                  <m:t>602.9d，</m:t>
                </m:r>
              </m:oMath>
            </m:oMathPara>
            <w:r>
              <w:rPr>
                <w:rFonts w:hint="default" w:ascii="Cambria Math" w:hAnsi="Cambria Math" w:cs="Times New Roman"/>
                <w:b w:val="0"/>
                <w:i w:val="0"/>
                <w:color w:val="auto"/>
                <w:kern w:val="2"/>
                <w:sz w:val="21"/>
                <w:szCs w:val="24"/>
                <w:lang w:val="en-US" w:eastAsia="zh-CN" w:bidi="ar-SA"/>
              </w:rPr>
              <w:br w:type="textWrapping"/>
            </w:r>
            <w:r>
              <w:rPr>
                <w:rFonts w:hint="default" w:ascii="Times New Roman" w:hAnsi="Times New Roman" w:eastAsia="宋体" w:cs="Times New Roman"/>
                <w:b w:val="0"/>
                <w:bCs w:val="0"/>
                <w:color w:val="auto"/>
                <w:kern w:val="2"/>
                <w:sz w:val="21"/>
                <w:szCs w:val="21"/>
                <w:lang w:val="en-US" w:eastAsia="zh-CN" w:bidi="ar-SA"/>
              </w:rPr>
              <w:t>拟定</w:t>
            </w:r>
            <w:r>
              <w:rPr>
                <w:rFonts w:hint="eastAsia" w:ascii="Times New Roman" w:hAnsi="Times New Roman" w:eastAsia="宋体" w:cs="Times New Roman"/>
                <w:b w:val="0"/>
                <w:bCs w:val="0"/>
                <w:color w:val="auto"/>
                <w:kern w:val="2"/>
                <w:sz w:val="21"/>
                <w:szCs w:val="21"/>
                <w:lang w:val="en-US" w:eastAsia="zh-CN" w:bidi="ar-SA"/>
              </w:rPr>
              <w:t>三</w:t>
            </w:r>
            <w:r>
              <w:rPr>
                <w:rFonts w:hint="default" w:ascii="Times New Roman" w:hAnsi="Times New Roman" w:eastAsia="宋体" w:cs="Times New Roman"/>
                <w:b w:val="0"/>
                <w:bCs w:val="0"/>
                <w:color w:val="auto"/>
                <w:kern w:val="2"/>
                <w:sz w:val="21"/>
                <w:szCs w:val="21"/>
                <w:lang w:val="en-US" w:eastAsia="zh-CN" w:bidi="ar-SA"/>
              </w:rPr>
              <w:t>年更换</w:t>
            </w:r>
            <w:r>
              <w:rPr>
                <w:rFonts w:hint="eastAsia" w:ascii="Times New Roman" w:hAnsi="Times New Roman" w:eastAsia="宋体"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次</w:t>
            </w:r>
            <w:r>
              <w:rPr>
                <w:rFonts w:hint="eastAsia" w:ascii="Times New Roman" w:hAnsi="Times New Roman" w:cs="Times New Roman"/>
                <w:b w:val="0"/>
                <w:bCs w:val="0"/>
                <w:color w:val="auto"/>
                <w:kern w:val="2"/>
                <w:sz w:val="21"/>
                <w:szCs w:val="21"/>
                <w:lang w:val="en-US" w:eastAsia="zh-CN" w:bidi="ar-SA"/>
              </w:rPr>
              <w:t>活性炭，</w:t>
            </w:r>
            <w:r>
              <w:rPr>
                <w:rFonts w:hint="default" w:ascii="Times New Roman" w:hAnsi="Times New Roman" w:eastAsia="宋体" w:cs="Times New Roman"/>
                <w:b w:val="0"/>
                <w:bCs w:val="0"/>
                <w:color w:val="auto"/>
                <w:kern w:val="2"/>
                <w:sz w:val="21"/>
                <w:szCs w:val="21"/>
                <w:lang w:val="en-US" w:eastAsia="zh-CN" w:bidi="ar-SA"/>
              </w:rPr>
              <w:t>活性炭更换频次为</w:t>
            </w:r>
            <w:r>
              <w:rPr>
                <w:rFonts w:hint="eastAsia" w:ascii="Times New Roman" w:hAnsi="Times New Roman" w:cs="Times New Roman"/>
                <w:b w:val="0"/>
                <w:bCs w:val="0"/>
                <w:color w:val="auto"/>
                <w:kern w:val="2"/>
                <w:sz w:val="21"/>
                <w:szCs w:val="21"/>
                <w:lang w:val="en-US" w:eastAsia="zh-CN" w:bidi="ar-SA"/>
              </w:rPr>
              <w:t>每550天</w:t>
            </w:r>
            <w:r>
              <w:rPr>
                <w:rFonts w:hint="default" w:ascii="Times New Roman" w:hAnsi="Times New Roman" w:eastAsia="宋体" w:cs="Times New Roman"/>
                <w:b w:val="0"/>
                <w:bCs w:val="0"/>
                <w:color w:val="auto"/>
                <w:kern w:val="2"/>
                <w:sz w:val="21"/>
                <w:szCs w:val="21"/>
                <w:lang w:val="en-US" w:eastAsia="zh-CN" w:bidi="ar-SA"/>
              </w:rPr>
              <w:t>1次，定期更换活性炭量</w:t>
            </w:r>
            <w:r>
              <w:rPr>
                <w:rFonts w:hint="eastAsia" w:ascii="Times New Roman" w:hAnsi="Times New Roman" w:cs="Times New Roman"/>
                <w:b w:val="0"/>
                <w:bCs w:val="0"/>
                <w:color w:val="auto"/>
                <w:kern w:val="2"/>
                <w:sz w:val="21"/>
                <w:szCs w:val="21"/>
                <w:lang w:val="en-US" w:eastAsia="zh-CN" w:bidi="ar-SA"/>
              </w:rPr>
              <w:t>约为1.4t，</w:t>
            </w:r>
            <w:r>
              <w:rPr>
                <w:rFonts w:hint="default" w:ascii="Times New Roman" w:hAnsi="Times New Roman" w:eastAsia="宋体" w:cs="Times New Roman"/>
                <w:b w:val="0"/>
                <w:bCs w:val="0"/>
                <w:color w:val="auto"/>
                <w:kern w:val="2"/>
                <w:sz w:val="21"/>
                <w:szCs w:val="21"/>
                <w:lang w:val="en-US" w:eastAsia="zh-CN" w:bidi="ar-SA"/>
              </w:rPr>
              <w:t>根据物料守恒的原则，活性炭吸附非甲烷总烃量为</w:t>
            </w:r>
            <w:r>
              <w:rPr>
                <w:rFonts w:hint="eastAsia" w:ascii="Times New Roman" w:hAnsi="Times New Roman" w:cs="Times New Roman"/>
                <w:b w:val="0"/>
                <w:bCs w:val="0"/>
                <w:color w:val="auto"/>
                <w:kern w:val="2"/>
                <w:sz w:val="21"/>
                <w:szCs w:val="21"/>
                <w:lang w:val="en-US" w:eastAsia="zh-CN" w:bidi="ar-SA"/>
              </w:rPr>
              <w:t>0.7043</w:t>
            </w:r>
            <w:r>
              <w:rPr>
                <w:rFonts w:hint="default" w:ascii="Times New Roman" w:hAnsi="Times New Roman" w:eastAsia="宋体" w:cs="Times New Roman"/>
                <w:b w:val="0"/>
                <w:bCs w:val="0"/>
                <w:color w:val="auto"/>
                <w:kern w:val="2"/>
                <w:sz w:val="21"/>
                <w:szCs w:val="21"/>
                <w:lang w:val="en-US" w:eastAsia="zh-CN" w:bidi="ar-SA"/>
              </w:rPr>
              <w:t>t/a，</w:t>
            </w:r>
            <w:r>
              <w:rPr>
                <w:rFonts w:hint="eastAsia" w:ascii="Times New Roman" w:hAnsi="Times New Roman" w:cs="Times New Roman"/>
                <w:b w:val="0"/>
                <w:bCs w:val="0"/>
                <w:color w:val="auto"/>
                <w:kern w:val="2"/>
                <w:sz w:val="21"/>
                <w:szCs w:val="21"/>
                <w:lang w:val="en-US" w:eastAsia="zh-CN" w:bidi="ar-SA"/>
              </w:rPr>
              <w:t xml:space="preserve">废活性炭年产生量为1.6377 </w:t>
            </w:r>
            <w:r>
              <w:rPr>
                <w:rFonts w:hint="default" w:ascii="Times New Roman" w:hAnsi="Times New Roman" w:eastAsia="宋体" w:cs="Times New Roman"/>
                <w:b w:val="0"/>
                <w:bCs w:val="0"/>
                <w:color w:val="auto"/>
                <w:kern w:val="2"/>
                <w:sz w:val="21"/>
                <w:szCs w:val="21"/>
                <w:lang w:val="en-US" w:eastAsia="zh-CN" w:bidi="ar-SA"/>
              </w:rPr>
              <w:t>t（活性炭量+废气吸附量）。废活性炭暂存于危废间，定期由具有危险废物处理资质的单位回收处理。</w:t>
            </w:r>
          </w:p>
          <w:p w14:paraId="153FDE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0" w:leftChars="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val="0"/>
                <w:bCs w:val="0"/>
                <w:color w:val="auto"/>
                <w:kern w:val="2"/>
                <w:sz w:val="21"/>
                <w:szCs w:val="21"/>
                <w:vertAlign w:val="baseline"/>
                <w:lang w:val="en-US" w:eastAsia="zh-CN" w:bidi="ar-SA"/>
              </w:rPr>
              <w:t>项目所产生的固体废物全部得到综合利用和妥善处置，不排入外环境</w:t>
            </w:r>
            <w:r>
              <w:rPr>
                <w:rFonts w:hint="default" w:ascii="Times New Roman" w:hAnsi="Times New Roman" w:cs="Times New Roman"/>
                <w:color w:val="auto"/>
                <w:kern w:val="2"/>
                <w:sz w:val="21"/>
                <w:szCs w:val="21"/>
                <w:vertAlign w:val="baseline"/>
                <w:lang w:val="en-US" w:eastAsia="zh-CN" w:bidi="ar-SA"/>
              </w:rPr>
              <w:t>。</w:t>
            </w:r>
          </w:p>
          <w:p w14:paraId="4EBBEA02">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firstLine="422" w:firstLineChars="200"/>
              <w:jc w:val="both"/>
              <w:textAlignment w:val="auto"/>
              <w:outlineLvl w:val="3"/>
              <w:rPr>
                <w:rFonts w:hint="default" w:ascii="Times New Roman" w:hAnsi="Times New Roman" w:eastAsia="宋体" w:cs="Times New Roman"/>
                <w:b/>
                <w:bCs/>
                <w:snapToGrid/>
                <w:color w:val="auto"/>
                <w:kern w:val="2"/>
                <w:sz w:val="21"/>
                <w:szCs w:val="21"/>
                <w:lang w:val="en-US" w:eastAsia="zh-CN" w:bidi="ar-SA"/>
              </w:rPr>
            </w:pPr>
            <w:r>
              <w:rPr>
                <w:rFonts w:hint="default" w:ascii="Times New Roman" w:hAnsi="Times New Roman" w:eastAsia="宋体" w:cs="Times New Roman"/>
                <w:b/>
                <w:bCs/>
                <w:snapToGrid/>
                <w:color w:val="auto"/>
                <w:kern w:val="2"/>
                <w:sz w:val="21"/>
                <w:szCs w:val="21"/>
                <w:lang w:val="en-US" w:eastAsia="zh-CN" w:bidi="ar-SA"/>
              </w:rPr>
              <w:t>2、环境管理要求</w:t>
            </w:r>
          </w:p>
          <w:p w14:paraId="60E4F072">
            <w:pPr>
              <w:pStyle w:val="19"/>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b w:val="0"/>
                <w:bCs w:val="0"/>
                <w:snapToGrid/>
                <w:color w:val="auto"/>
                <w:kern w:val="2"/>
                <w:sz w:val="21"/>
                <w:szCs w:val="21"/>
                <w:lang w:val="en-US" w:eastAsia="zh-CN" w:bidi="ar-SA"/>
              </w:rPr>
              <w:t>（1）</w:t>
            </w:r>
            <w:r>
              <w:rPr>
                <w:rFonts w:hint="default" w:ascii="Times New Roman" w:hAnsi="Times New Roman" w:eastAsia="宋体" w:cs="Times New Roman"/>
                <w:color w:val="auto"/>
                <w:kern w:val="0"/>
                <w:sz w:val="21"/>
                <w:szCs w:val="21"/>
                <w:highlight w:val="none"/>
                <w:lang w:val="en-US" w:eastAsia="zh-CN" w:bidi="ar"/>
              </w:rPr>
              <w:t>一般固废暂存要求</w:t>
            </w:r>
          </w:p>
          <w:p w14:paraId="64150E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本项目各类一般工业固体废物分类收集、定点堆放在厂房一般固废暂存区，定期外售综合利用。根据《一般工业固体废物贮存和填埋污染控制标准》(GB 18599-2020)要求，采取防扬散、防流失、防渗漏等措施。禁止危险废物和生活垃圾混入一般固废暂存区。</w:t>
            </w:r>
          </w:p>
          <w:p w14:paraId="6936A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baseline"/>
              <w:rPr>
                <w:rFonts w:hint="default" w:ascii="Times New Roman" w:hAnsi="Times New Roman" w:cs="Times New Roman"/>
                <w:b w:val="0"/>
                <w:bCs w:val="0"/>
                <w:snapToGrid/>
                <w:color w:val="auto"/>
                <w:kern w:val="2"/>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
              </w:rPr>
              <w:t>采用库房、包装工具（罐、桶、包装袋等）贮存一般工业固体废物的，贮存过程应满足相应防渗漏、防雨淋、防扬尘等环境保护要求；危险废物和生活垃圾不得进入一般固废暂存区；不相容的一般工业固体废物应设置不同的分区进行贮存；贮存场应设置清晰、完整的一般工业固体废物标志牌等。排污单位生产运营期间一般工业固体废物自行贮存/利用/处置设施的环境管理和相关设施运行维护要求还应符合GB 15562.2、GB 18599、GB 30485 和HJ 2035等相关标准规范要求。</w:t>
            </w:r>
          </w:p>
          <w:p w14:paraId="028280CA">
            <w:pPr>
              <w:pStyle w:val="1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val="0"/>
                <w:bCs w:val="0"/>
                <w:snapToGrid/>
                <w:color w:val="auto"/>
                <w:kern w:val="2"/>
                <w:sz w:val="21"/>
                <w:szCs w:val="21"/>
                <w:lang w:val="en-US" w:eastAsia="zh-CN" w:bidi="ar-SA"/>
              </w:rPr>
              <w:t>（2）</w:t>
            </w:r>
            <w:r>
              <w:rPr>
                <w:rFonts w:hint="default" w:ascii="Times New Roman" w:hAnsi="Times New Roman" w:eastAsia="宋体" w:cs="Times New Roman"/>
                <w:b w:val="0"/>
                <w:bCs w:val="0"/>
                <w:snapToGrid/>
                <w:color w:val="auto"/>
                <w:kern w:val="2"/>
                <w:sz w:val="21"/>
                <w:szCs w:val="21"/>
                <w:lang w:val="en-US" w:eastAsia="zh-CN" w:bidi="ar-SA"/>
              </w:rPr>
              <w:t>危废暂存间贮存管理要求</w:t>
            </w:r>
            <w:r>
              <w:rPr>
                <w:rFonts w:hint="default" w:ascii="Times New Roman" w:hAnsi="Times New Roman" w:cs="Times New Roman"/>
                <w:b/>
                <w:bCs/>
                <w:color w:val="auto"/>
                <w:sz w:val="21"/>
                <w:szCs w:val="21"/>
                <w:lang w:val="en-US" w:eastAsia="zh-CN"/>
              </w:rPr>
              <w:t xml:space="preserve"> </w:t>
            </w:r>
          </w:p>
          <w:p w14:paraId="12D8DF56">
            <w:pPr>
              <w:pStyle w:val="1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z w:val="21"/>
                <w:szCs w:val="21"/>
                <w:lang w:val="en-US" w:eastAsia="zh-CN"/>
              </w:rPr>
              <w:t>①</w:t>
            </w:r>
            <w:r>
              <w:rPr>
                <w:rFonts w:hint="default" w:ascii="Times New Roman" w:hAnsi="Times New Roman" w:cs="Times New Roman"/>
                <w:color w:val="auto"/>
                <w:sz w:val="21"/>
                <w:szCs w:val="21"/>
              </w:rPr>
              <w:t>危险废物判定</w:t>
            </w:r>
          </w:p>
          <w:p w14:paraId="5873995E">
            <w:pPr>
              <w:pStyle w:val="19"/>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rPr>
              <w:t>根据《建设项目危险废物环境影响评价指南》要求，按照《中华人民共和国固体废物污染环境防治法》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固体废物鉴别标准通则》（GB34330），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2021年版</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《危险废物鉴别标准 通则》（GB5085.7）等进行属性判定。厂区危险废物的名称、数量、类别、形态、危险特性和污染防治措施等内容一览表如下：</w:t>
            </w:r>
          </w:p>
          <w:p w14:paraId="35D218A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left="0" w:leftChars="0" w:firstLine="0" w:firstLineChars="0"/>
              <w:jc w:val="center"/>
              <w:textAlignment w:val="auto"/>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4.1</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rPr>
              <w:t xml:space="preserve"> 厂区危险废物汇总表</w:t>
            </w:r>
          </w:p>
          <w:tbl>
            <w:tblPr>
              <w:tblStyle w:val="3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250"/>
              <w:gridCol w:w="771"/>
              <w:gridCol w:w="1350"/>
              <w:gridCol w:w="684"/>
              <w:gridCol w:w="1120"/>
              <w:gridCol w:w="720"/>
              <w:gridCol w:w="1215"/>
              <w:gridCol w:w="870"/>
              <w:gridCol w:w="806"/>
            </w:tblGrid>
            <w:tr w14:paraId="5555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14:paraId="71159C82">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250" w:type="dxa"/>
                  <w:noWrap w:val="0"/>
                  <w:vAlign w:val="center"/>
                </w:tcPr>
                <w:p w14:paraId="34509D49">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危险废物名称</w:t>
                  </w:r>
                </w:p>
              </w:tc>
              <w:tc>
                <w:tcPr>
                  <w:tcW w:w="771" w:type="dxa"/>
                  <w:noWrap w:val="0"/>
                  <w:vAlign w:val="center"/>
                </w:tcPr>
                <w:p w14:paraId="02337035">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危险废物类别</w:t>
                  </w:r>
                </w:p>
              </w:tc>
              <w:tc>
                <w:tcPr>
                  <w:tcW w:w="1350" w:type="dxa"/>
                  <w:noWrap w:val="0"/>
                  <w:vAlign w:val="center"/>
                </w:tcPr>
                <w:p w14:paraId="13766C00">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危险废物代码</w:t>
                  </w:r>
                </w:p>
              </w:tc>
              <w:tc>
                <w:tcPr>
                  <w:tcW w:w="684" w:type="dxa"/>
                  <w:noWrap w:val="0"/>
                  <w:vAlign w:val="center"/>
                </w:tcPr>
                <w:p w14:paraId="516AEE2F">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rPr>
                    <w:t>产生量</w:t>
                  </w:r>
                  <w:r>
                    <w:rPr>
                      <w:rFonts w:hint="default" w:ascii="Times New Roman" w:hAnsi="Times New Roman" w:cs="Times New Roman"/>
                      <w:b/>
                      <w:bCs/>
                      <w:color w:val="auto"/>
                      <w:sz w:val="21"/>
                      <w:szCs w:val="21"/>
                      <w:highlight w:val="none"/>
                      <w:lang w:val="en-US" w:eastAsia="zh-CN"/>
                    </w:rPr>
                    <w:t>t/a</w:t>
                  </w:r>
                </w:p>
              </w:tc>
              <w:tc>
                <w:tcPr>
                  <w:tcW w:w="1120" w:type="dxa"/>
                  <w:noWrap w:val="0"/>
                  <w:vAlign w:val="center"/>
                </w:tcPr>
                <w:p w14:paraId="60E70658">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产生工序及装置</w:t>
                  </w:r>
                </w:p>
              </w:tc>
              <w:tc>
                <w:tcPr>
                  <w:tcW w:w="720" w:type="dxa"/>
                  <w:noWrap w:val="0"/>
                  <w:vAlign w:val="center"/>
                </w:tcPr>
                <w:p w14:paraId="5BBC37E0">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形态</w:t>
                  </w:r>
                </w:p>
              </w:tc>
              <w:tc>
                <w:tcPr>
                  <w:tcW w:w="1215" w:type="dxa"/>
                  <w:noWrap w:val="0"/>
                  <w:vAlign w:val="center"/>
                </w:tcPr>
                <w:p w14:paraId="753E5A5A">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有害</w:t>
                  </w:r>
                </w:p>
                <w:p w14:paraId="10F3FDA3">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成分</w:t>
                  </w:r>
                </w:p>
              </w:tc>
              <w:tc>
                <w:tcPr>
                  <w:tcW w:w="870" w:type="dxa"/>
                  <w:noWrap w:val="0"/>
                  <w:vAlign w:val="center"/>
                </w:tcPr>
                <w:p w14:paraId="46DCEDCE">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产废</w:t>
                  </w:r>
                </w:p>
                <w:p w14:paraId="7CFCCAFB">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周期</w:t>
                  </w:r>
                </w:p>
              </w:tc>
              <w:tc>
                <w:tcPr>
                  <w:tcW w:w="806" w:type="dxa"/>
                  <w:noWrap w:val="0"/>
                  <w:vAlign w:val="center"/>
                </w:tcPr>
                <w:p w14:paraId="564CC845">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污染防治措施</w:t>
                  </w:r>
                </w:p>
              </w:tc>
            </w:tr>
            <w:tr w14:paraId="5FA3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14:paraId="7FE13DFD">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1</w:t>
                  </w:r>
                </w:p>
              </w:tc>
              <w:tc>
                <w:tcPr>
                  <w:tcW w:w="1250" w:type="dxa"/>
                  <w:noWrap w:val="0"/>
                  <w:vAlign w:val="center"/>
                </w:tcPr>
                <w:p w14:paraId="1B58B103">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bidi="zh-CN"/>
                    </w:rPr>
                    <w:t>废液压油</w:t>
                  </w:r>
                </w:p>
              </w:tc>
              <w:tc>
                <w:tcPr>
                  <w:tcW w:w="771" w:type="dxa"/>
                  <w:noWrap w:val="0"/>
                  <w:vAlign w:val="center"/>
                </w:tcPr>
                <w:p w14:paraId="113AEED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14:paraId="47E2AD90">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900-21</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-08</w:t>
                  </w:r>
                </w:p>
              </w:tc>
              <w:tc>
                <w:tcPr>
                  <w:tcW w:w="684" w:type="dxa"/>
                  <w:noWrap w:val="0"/>
                  <w:vAlign w:val="center"/>
                </w:tcPr>
                <w:p w14:paraId="1546DA1C">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0.5</w:t>
                  </w:r>
                </w:p>
              </w:tc>
              <w:tc>
                <w:tcPr>
                  <w:tcW w:w="1120" w:type="dxa"/>
                  <w:noWrap w:val="0"/>
                  <w:vAlign w:val="center"/>
                </w:tcPr>
                <w:p w14:paraId="26EFF849">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b w:val="0"/>
                      <w:bCs w:val="0"/>
                      <w:color w:val="auto"/>
                      <w:sz w:val="21"/>
                      <w:szCs w:val="21"/>
                      <w:lang w:eastAsia="zh-CN"/>
                    </w:rPr>
                    <w:t>液压设备</w:t>
                  </w:r>
                </w:p>
              </w:tc>
              <w:tc>
                <w:tcPr>
                  <w:tcW w:w="720" w:type="dxa"/>
                  <w:noWrap w:val="0"/>
                  <w:vAlign w:val="center"/>
                </w:tcPr>
                <w:p w14:paraId="545EEBA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pacing w:val="0"/>
                      <w:kern w:val="0"/>
                      <w:sz w:val="21"/>
                      <w:szCs w:val="21"/>
                      <w:lang w:val="en-US" w:eastAsia="zh-CN"/>
                    </w:rPr>
                    <w:t>液态</w:t>
                  </w:r>
                </w:p>
              </w:tc>
              <w:tc>
                <w:tcPr>
                  <w:tcW w:w="1215" w:type="dxa"/>
                  <w:noWrap w:val="0"/>
                  <w:vAlign w:val="center"/>
                </w:tcPr>
                <w:p w14:paraId="11856055">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rPr>
                    <w:t>废矿物油</w:t>
                  </w:r>
                </w:p>
              </w:tc>
              <w:tc>
                <w:tcPr>
                  <w:tcW w:w="870" w:type="dxa"/>
                  <w:noWrap w:val="0"/>
                  <w:vAlign w:val="center"/>
                </w:tcPr>
                <w:p w14:paraId="65C2151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每天</w:t>
                  </w:r>
                </w:p>
              </w:tc>
              <w:tc>
                <w:tcPr>
                  <w:tcW w:w="806" w:type="dxa"/>
                  <w:vMerge w:val="restart"/>
                  <w:noWrap w:val="0"/>
                  <w:vAlign w:val="center"/>
                </w:tcPr>
                <w:p w14:paraId="52F564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14:paraId="4AF2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22" w:type="dxa"/>
                  <w:noWrap w:val="0"/>
                  <w:vAlign w:val="center"/>
                </w:tcPr>
                <w:p w14:paraId="13974660">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eastAsia="zh-CN"/>
                    </w:rPr>
                    <w:t>2</w:t>
                  </w:r>
                </w:p>
              </w:tc>
              <w:tc>
                <w:tcPr>
                  <w:tcW w:w="1250" w:type="dxa"/>
                  <w:noWrap w:val="0"/>
                  <w:vAlign w:val="center"/>
                </w:tcPr>
                <w:p w14:paraId="6886D7CC">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废机油</w:t>
                  </w:r>
                </w:p>
              </w:tc>
              <w:tc>
                <w:tcPr>
                  <w:tcW w:w="771" w:type="dxa"/>
                  <w:noWrap w:val="0"/>
                  <w:vAlign w:val="center"/>
                </w:tcPr>
                <w:p w14:paraId="505D8C34">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14:paraId="71EEAC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z w:val="21"/>
                      <w:szCs w:val="21"/>
                      <w:lang w:val="en-US" w:eastAsia="zh-CN"/>
                    </w:rPr>
                    <w:t>900-217-08</w:t>
                  </w:r>
                </w:p>
              </w:tc>
              <w:tc>
                <w:tcPr>
                  <w:tcW w:w="684" w:type="dxa"/>
                  <w:noWrap w:val="0"/>
                  <w:vAlign w:val="center"/>
                </w:tcPr>
                <w:p w14:paraId="173C6E56">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b w:val="0"/>
                      <w:bCs w:val="0"/>
                      <w:color w:val="auto"/>
                      <w:kern w:val="2"/>
                      <w:sz w:val="21"/>
                      <w:szCs w:val="21"/>
                      <w:lang w:val="en-US" w:eastAsia="zh-CN" w:bidi="ar-SA"/>
                    </w:rPr>
                    <w:t>0.12</w:t>
                  </w:r>
                </w:p>
              </w:tc>
              <w:tc>
                <w:tcPr>
                  <w:tcW w:w="1120" w:type="dxa"/>
                  <w:noWrap w:val="0"/>
                  <w:vAlign w:val="center"/>
                </w:tcPr>
                <w:p w14:paraId="1EE5DC95">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sz w:val="21"/>
                      <w:szCs w:val="21"/>
                      <w:lang w:eastAsia="zh-CN"/>
                    </w:rPr>
                    <w:t>检维修</w:t>
                  </w:r>
                </w:p>
              </w:tc>
              <w:tc>
                <w:tcPr>
                  <w:tcW w:w="720" w:type="dxa"/>
                  <w:noWrap w:val="0"/>
                  <w:vAlign w:val="center"/>
                </w:tcPr>
                <w:p w14:paraId="5132CA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pacing w:val="0"/>
                      <w:kern w:val="0"/>
                      <w:sz w:val="21"/>
                      <w:szCs w:val="21"/>
                      <w:lang w:val="en-US" w:eastAsia="zh-CN"/>
                    </w:rPr>
                    <w:t>液</w:t>
                  </w:r>
                  <w:r>
                    <w:rPr>
                      <w:rFonts w:hint="default" w:ascii="Times New Roman" w:hAnsi="Times New Roman" w:cs="Times New Roman"/>
                      <w:color w:val="auto"/>
                      <w:spacing w:val="0"/>
                      <w:kern w:val="0"/>
                      <w:sz w:val="21"/>
                      <w:szCs w:val="21"/>
                      <w:lang w:eastAsia="zh-CN"/>
                    </w:rPr>
                    <w:t>态</w:t>
                  </w:r>
                </w:p>
              </w:tc>
              <w:tc>
                <w:tcPr>
                  <w:tcW w:w="1215" w:type="dxa"/>
                  <w:noWrap w:val="0"/>
                  <w:vAlign w:val="center"/>
                </w:tcPr>
                <w:p w14:paraId="05D1E7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rPr>
                    <w:t>废矿物油</w:t>
                  </w:r>
                </w:p>
              </w:tc>
              <w:tc>
                <w:tcPr>
                  <w:tcW w:w="870" w:type="dxa"/>
                  <w:noWrap w:val="0"/>
                  <w:vAlign w:val="center"/>
                </w:tcPr>
                <w:p w14:paraId="34BBB78F">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4个月</w:t>
                  </w:r>
                </w:p>
              </w:tc>
              <w:tc>
                <w:tcPr>
                  <w:tcW w:w="806" w:type="dxa"/>
                  <w:vMerge w:val="continue"/>
                  <w:noWrap w:val="0"/>
                  <w:vAlign w:val="center"/>
                </w:tcPr>
                <w:p w14:paraId="17DF07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p>
              </w:tc>
            </w:tr>
            <w:tr w14:paraId="2B7D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22" w:type="dxa"/>
                  <w:noWrap w:val="0"/>
                  <w:vAlign w:val="center"/>
                </w:tcPr>
                <w:p w14:paraId="6259E2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1250" w:type="dxa"/>
                  <w:noWrap w:val="0"/>
                  <w:vAlign w:val="center"/>
                </w:tcPr>
                <w:p w14:paraId="4EE3FBE4">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废包装桶</w:t>
                  </w:r>
                </w:p>
              </w:tc>
              <w:tc>
                <w:tcPr>
                  <w:tcW w:w="771" w:type="dxa"/>
                  <w:noWrap w:val="0"/>
                  <w:vAlign w:val="center"/>
                </w:tcPr>
                <w:p w14:paraId="18F985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HW08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sz w:val="21"/>
                      <w:szCs w:val="21"/>
                      <w:highlight w:val="none"/>
                      <w:lang w:val="en-US" w:eastAsia="zh-CN"/>
                    </w:rPr>
                    <w:t>HW</w:t>
                  </w:r>
                  <w:r>
                    <w:rPr>
                      <w:rFonts w:hint="eastAsia" w:ascii="Times New Roman" w:hAnsi="Times New Roman" w:cs="Times New Roman"/>
                      <w:color w:val="auto"/>
                      <w:sz w:val="21"/>
                      <w:szCs w:val="21"/>
                      <w:highlight w:val="none"/>
                      <w:lang w:val="en-US" w:eastAsia="zh-CN"/>
                    </w:rPr>
                    <w:t>49</w:t>
                  </w:r>
                </w:p>
              </w:tc>
              <w:tc>
                <w:tcPr>
                  <w:tcW w:w="1350" w:type="dxa"/>
                  <w:noWrap w:val="0"/>
                  <w:vAlign w:val="center"/>
                </w:tcPr>
                <w:p w14:paraId="3A3EB490">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ascii="Times New Roman" w:hAnsi="Times New Roman" w:cs="Times New Roman"/>
                      <w:color w:val="auto"/>
                      <w:kern w:val="1"/>
                      <w:sz w:val="21"/>
                      <w:szCs w:val="21"/>
                    </w:rPr>
                    <w:t>900-249-08</w:t>
                  </w:r>
                  <w:r>
                    <w:rPr>
                      <w:rFonts w:hint="eastAsia" w:ascii="Times New Roman" w:hAnsi="Times New Roman" w:cs="Times New Roman"/>
                      <w:b w:val="0"/>
                      <w:bCs w:val="0"/>
                      <w:color w:val="auto"/>
                      <w:kern w:val="2"/>
                      <w:sz w:val="21"/>
                      <w:szCs w:val="21"/>
                      <w:lang w:val="en-US" w:eastAsia="zh-CN" w:bidi="ar-SA"/>
                    </w:rPr>
                    <w:t>；</w:t>
                  </w:r>
                  <w:r>
                    <w:rPr>
                      <w:rFonts w:hint="default" w:ascii="Times New Roman" w:hAnsi="Times New Roman" w:eastAsia="宋体" w:cs="Times New Roman"/>
                      <w:color w:val="auto"/>
                      <w:kern w:val="1"/>
                      <w:sz w:val="21"/>
                      <w:szCs w:val="21"/>
                    </w:rPr>
                    <w:t>900-</w:t>
                  </w:r>
                  <w:r>
                    <w:rPr>
                      <w:rFonts w:hint="eastAsia" w:ascii="Times New Roman" w:hAnsi="Times New Roman" w:cs="Times New Roman"/>
                      <w:color w:val="auto"/>
                      <w:kern w:val="1"/>
                      <w:sz w:val="21"/>
                      <w:szCs w:val="21"/>
                      <w:lang w:val="en-US" w:eastAsia="zh-CN"/>
                    </w:rPr>
                    <w:t>041-49</w:t>
                  </w:r>
                </w:p>
              </w:tc>
              <w:tc>
                <w:tcPr>
                  <w:tcW w:w="684" w:type="dxa"/>
                  <w:noWrap w:val="0"/>
                  <w:vAlign w:val="center"/>
                </w:tcPr>
                <w:p w14:paraId="3B8DF664">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color w:val="auto"/>
                      <w:kern w:val="2"/>
                      <w:sz w:val="21"/>
                      <w:szCs w:val="21"/>
                      <w:lang w:val="en-US" w:eastAsia="zh-CN" w:bidi="ar-SA"/>
                    </w:rPr>
                    <w:t>0.</w:t>
                  </w:r>
                  <w:r>
                    <w:rPr>
                      <w:rFonts w:hint="eastAsia" w:ascii="Times New Roman" w:hAnsi="Times New Roman" w:cs="Times New Roman"/>
                      <w:color w:val="auto"/>
                      <w:kern w:val="2"/>
                      <w:sz w:val="21"/>
                      <w:szCs w:val="21"/>
                      <w:lang w:val="en-US" w:eastAsia="zh-CN" w:bidi="ar-SA"/>
                    </w:rPr>
                    <w:t>0675</w:t>
                  </w:r>
                </w:p>
              </w:tc>
              <w:tc>
                <w:tcPr>
                  <w:tcW w:w="1120" w:type="dxa"/>
                  <w:noWrap w:val="0"/>
                  <w:vAlign w:val="center"/>
                </w:tcPr>
                <w:p w14:paraId="3CED9019">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包装</w:t>
                  </w:r>
                </w:p>
              </w:tc>
              <w:tc>
                <w:tcPr>
                  <w:tcW w:w="720" w:type="dxa"/>
                  <w:noWrap w:val="0"/>
                  <w:vAlign w:val="center"/>
                </w:tcPr>
                <w:p w14:paraId="5117201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pacing w:val="0"/>
                      <w:kern w:val="0"/>
                      <w:sz w:val="21"/>
                      <w:szCs w:val="21"/>
                      <w:lang w:eastAsia="zh-CN"/>
                    </w:rPr>
                    <w:t>固态</w:t>
                  </w:r>
                </w:p>
              </w:tc>
              <w:tc>
                <w:tcPr>
                  <w:tcW w:w="1215" w:type="dxa"/>
                  <w:noWrap w:val="0"/>
                  <w:vAlign w:val="center"/>
                </w:tcPr>
                <w:p w14:paraId="37543F4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rPr>
                    <w:t>废矿物油</w:t>
                  </w:r>
                </w:p>
              </w:tc>
              <w:tc>
                <w:tcPr>
                  <w:tcW w:w="870" w:type="dxa"/>
                  <w:noWrap w:val="0"/>
                  <w:vAlign w:val="center"/>
                </w:tcPr>
                <w:p w14:paraId="60FB88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4个月</w:t>
                  </w:r>
                </w:p>
              </w:tc>
              <w:tc>
                <w:tcPr>
                  <w:tcW w:w="806" w:type="dxa"/>
                  <w:vMerge w:val="continue"/>
                  <w:noWrap w:val="0"/>
                  <w:vAlign w:val="center"/>
                </w:tcPr>
                <w:p w14:paraId="117223C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p>
              </w:tc>
            </w:tr>
            <w:tr w14:paraId="16AF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22" w:type="dxa"/>
                  <w:noWrap w:val="0"/>
                  <w:vAlign w:val="center"/>
                </w:tcPr>
                <w:p w14:paraId="3DC54C2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1250" w:type="dxa"/>
                  <w:noWrap w:val="0"/>
                  <w:vAlign w:val="center"/>
                </w:tcPr>
                <w:p w14:paraId="6C548BF3">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废活性炭</w:t>
                  </w:r>
                </w:p>
              </w:tc>
              <w:tc>
                <w:tcPr>
                  <w:tcW w:w="771" w:type="dxa"/>
                  <w:noWrap w:val="0"/>
                  <w:vAlign w:val="center"/>
                </w:tcPr>
                <w:p w14:paraId="3F730B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HW</w:t>
                  </w:r>
                  <w:r>
                    <w:rPr>
                      <w:rFonts w:hint="eastAsia" w:ascii="Times New Roman" w:hAnsi="Times New Roman" w:cs="Times New Roman"/>
                      <w:color w:val="auto"/>
                      <w:kern w:val="2"/>
                      <w:sz w:val="21"/>
                      <w:szCs w:val="21"/>
                      <w:lang w:val="en-US" w:eastAsia="zh-CN" w:bidi="ar-SA"/>
                    </w:rPr>
                    <w:t>49</w:t>
                  </w:r>
                </w:p>
              </w:tc>
              <w:tc>
                <w:tcPr>
                  <w:tcW w:w="1350" w:type="dxa"/>
                  <w:noWrap w:val="0"/>
                  <w:vAlign w:val="center"/>
                </w:tcPr>
                <w:p w14:paraId="01746C71">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ascii="Times New Roman" w:hAnsi="Times New Roman" w:cs="Times New Roman"/>
                      <w:color w:val="auto"/>
                      <w:kern w:val="1"/>
                      <w:sz w:val="21"/>
                      <w:szCs w:val="21"/>
                    </w:rPr>
                  </w:pPr>
                  <w:r>
                    <w:rPr>
                      <w:rFonts w:hint="default" w:ascii="Times New Roman" w:hAnsi="Times New Roman" w:cs="Times New Roman"/>
                      <w:b w:val="0"/>
                      <w:bCs w:val="0"/>
                      <w:color w:val="auto"/>
                      <w:kern w:val="2"/>
                      <w:sz w:val="21"/>
                      <w:szCs w:val="21"/>
                      <w:lang w:val="en-US" w:eastAsia="zh-CN" w:bidi="ar-SA"/>
                    </w:rPr>
                    <w:t>900-039-49</w:t>
                  </w:r>
                </w:p>
              </w:tc>
              <w:tc>
                <w:tcPr>
                  <w:tcW w:w="684" w:type="dxa"/>
                  <w:noWrap w:val="0"/>
                  <w:vAlign w:val="center"/>
                </w:tcPr>
                <w:p w14:paraId="4C01E86C">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1.6377</w:t>
                  </w:r>
                </w:p>
              </w:tc>
              <w:tc>
                <w:tcPr>
                  <w:tcW w:w="1120" w:type="dxa"/>
                  <w:noWrap w:val="0"/>
                  <w:vAlign w:val="center"/>
                </w:tcPr>
                <w:p w14:paraId="1D26ED3B">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sz w:val="21"/>
                      <w:szCs w:val="21"/>
                      <w:lang w:eastAsia="zh-CN"/>
                    </w:rPr>
                    <w:t>活性炭吸附装置</w:t>
                  </w:r>
                </w:p>
              </w:tc>
              <w:tc>
                <w:tcPr>
                  <w:tcW w:w="720" w:type="dxa"/>
                  <w:noWrap w:val="0"/>
                  <w:vAlign w:val="center"/>
                </w:tcPr>
                <w:p w14:paraId="0349DCD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eastAsia="zh-CN"/>
                    </w:rPr>
                  </w:pPr>
                  <w:r>
                    <w:rPr>
                      <w:rFonts w:hint="default" w:ascii="Times New Roman" w:hAnsi="Times New Roman" w:cs="Times New Roman"/>
                      <w:color w:val="auto"/>
                      <w:spacing w:val="0"/>
                      <w:kern w:val="0"/>
                      <w:sz w:val="21"/>
                      <w:szCs w:val="21"/>
                      <w:lang w:val="en-US" w:eastAsia="zh-CN"/>
                    </w:rPr>
                    <w:t>液</w:t>
                  </w:r>
                  <w:r>
                    <w:rPr>
                      <w:rFonts w:hint="default" w:ascii="Times New Roman" w:hAnsi="Times New Roman" w:cs="Times New Roman"/>
                      <w:color w:val="auto"/>
                      <w:spacing w:val="0"/>
                      <w:kern w:val="0"/>
                      <w:sz w:val="21"/>
                      <w:szCs w:val="21"/>
                      <w:lang w:eastAsia="zh-CN"/>
                    </w:rPr>
                    <w:t>态</w:t>
                  </w:r>
                </w:p>
              </w:tc>
              <w:tc>
                <w:tcPr>
                  <w:tcW w:w="1215" w:type="dxa"/>
                  <w:noWrap w:val="0"/>
                  <w:vAlign w:val="center"/>
                </w:tcPr>
                <w:p w14:paraId="6E108E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非甲烷总烃</w:t>
                  </w:r>
                </w:p>
              </w:tc>
              <w:tc>
                <w:tcPr>
                  <w:tcW w:w="870" w:type="dxa"/>
                  <w:noWrap w:val="0"/>
                  <w:vAlign w:val="center"/>
                </w:tcPr>
                <w:p w14:paraId="567B77E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4个月</w:t>
                  </w:r>
                </w:p>
              </w:tc>
              <w:tc>
                <w:tcPr>
                  <w:tcW w:w="806" w:type="dxa"/>
                  <w:vMerge w:val="continue"/>
                  <w:noWrap w:val="0"/>
                  <w:vAlign w:val="center"/>
                </w:tcPr>
                <w:p w14:paraId="7B7919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p>
              </w:tc>
            </w:tr>
          </w:tbl>
          <w:p w14:paraId="3F6596BE">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4.1</w:t>
            </w: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rPr>
              <w:t xml:space="preserve"> 建设项目危险废物贮存场所（设施）基本情况</w:t>
            </w:r>
          </w:p>
          <w:tbl>
            <w:tblPr>
              <w:tblStyle w:val="3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1305"/>
              <w:gridCol w:w="1761"/>
              <w:gridCol w:w="1005"/>
              <w:gridCol w:w="1290"/>
              <w:gridCol w:w="915"/>
              <w:gridCol w:w="675"/>
              <w:gridCol w:w="960"/>
              <w:gridCol w:w="761"/>
            </w:tblGrid>
            <w:tr w14:paraId="0B5E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8" w:type="dxa"/>
                  <w:noWrap w:val="0"/>
                  <w:vAlign w:val="center"/>
                </w:tcPr>
                <w:p w14:paraId="68DCDE9F">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305" w:type="dxa"/>
                  <w:noWrap w:val="0"/>
                  <w:vAlign w:val="center"/>
                </w:tcPr>
                <w:p w14:paraId="2ED5E542">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贮存场所（设施）名称</w:t>
                  </w:r>
                </w:p>
              </w:tc>
              <w:tc>
                <w:tcPr>
                  <w:tcW w:w="1761" w:type="dxa"/>
                  <w:noWrap w:val="0"/>
                  <w:vAlign w:val="center"/>
                </w:tcPr>
                <w:p w14:paraId="50C74838">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危险废物名称</w:t>
                  </w:r>
                </w:p>
              </w:tc>
              <w:tc>
                <w:tcPr>
                  <w:tcW w:w="1005" w:type="dxa"/>
                  <w:noWrap w:val="0"/>
                  <w:vAlign w:val="center"/>
                </w:tcPr>
                <w:p w14:paraId="22C74209">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危险废物类别</w:t>
                  </w:r>
                </w:p>
              </w:tc>
              <w:tc>
                <w:tcPr>
                  <w:tcW w:w="1290" w:type="dxa"/>
                  <w:noWrap w:val="0"/>
                  <w:vAlign w:val="center"/>
                </w:tcPr>
                <w:p w14:paraId="159A2D89">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危险废物代码</w:t>
                  </w:r>
                </w:p>
              </w:tc>
              <w:tc>
                <w:tcPr>
                  <w:tcW w:w="915" w:type="dxa"/>
                  <w:noWrap w:val="0"/>
                  <w:vAlign w:val="center"/>
                </w:tcPr>
                <w:p w14:paraId="2D808763">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rPr>
                    <w:t>占地面积</w:t>
                  </w:r>
                  <w:r>
                    <w:rPr>
                      <w:rFonts w:hint="default" w:ascii="Times New Roman" w:hAnsi="Times New Roman" w:cs="Times New Roman"/>
                      <w:b/>
                      <w:bCs/>
                      <w:color w:val="auto"/>
                      <w:sz w:val="21"/>
                      <w:szCs w:val="21"/>
                      <w:lang w:val="en-US" w:eastAsia="zh-CN"/>
                    </w:rPr>
                    <w:t>m</w:t>
                  </w:r>
                  <w:r>
                    <w:rPr>
                      <w:rFonts w:hint="default" w:ascii="Times New Roman" w:hAnsi="Times New Roman" w:cs="Times New Roman"/>
                      <w:b/>
                      <w:bCs/>
                      <w:color w:val="auto"/>
                      <w:sz w:val="21"/>
                      <w:szCs w:val="21"/>
                      <w:vertAlign w:val="superscript"/>
                      <w:lang w:val="en-US" w:eastAsia="zh-CN"/>
                    </w:rPr>
                    <w:t>2</w:t>
                  </w:r>
                </w:p>
              </w:tc>
              <w:tc>
                <w:tcPr>
                  <w:tcW w:w="675" w:type="dxa"/>
                  <w:noWrap w:val="0"/>
                  <w:vAlign w:val="center"/>
                </w:tcPr>
                <w:p w14:paraId="010ABFF6">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14:paraId="00C1975B">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方式</w:t>
                  </w:r>
                </w:p>
              </w:tc>
              <w:tc>
                <w:tcPr>
                  <w:tcW w:w="960" w:type="dxa"/>
                  <w:noWrap w:val="0"/>
                  <w:vAlign w:val="center"/>
                </w:tcPr>
                <w:p w14:paraId="0FF50558">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贮存能力（吨）</w:t>
                  </w:r>
                </w:p>
              </w:tc>
              <w:tc>
                <w:tcPr>
                  <w:tcW w:w="761" w:type="dxa"/>
                  <w:noWrap w:val="0"/>
                  <w:vAlign w:val="center"/>
                </w:tcPr>
                <w:p w14:paraId="25F5F606">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14:paraId="1703CC20">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周期</w:t>
                  </w:r>
                </w:p>
              </w:tc>
            </w:tr>
            <w:tr w14:paraId="0BC9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8" w:type="dxa"/>
                  <w:noWrap w:val="0"/>
                  <w:vAlign w:val="center"/>
                </w:tcPr>
                <w:p w14:paraId="213939D4">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highlight w:val="none"/>
                      <w:lang w:val="en-US" w:eastAsia="zh-CN"/>
                    </w:rPr>
                    <w:t>1</w:t>
                  </w:r>
                </w:p>
              </w:tc>
              <w:tc>
                <w:tcPr>
                  <w:tcW w:w="1305" w:type="dxa"/>
                  <w:vMerge w:val="restart"/>
                  <w:noWrap w:val="0"/>
                  <w:vAlign w:val="center"/>
                </w:tcPr>
                <w:p w14:paraId="473D5591">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危废间</w:t>
                  </w:r>
                </w:p>
              </w:tc>
              <w:tc>
                <w:tcPr>
                  <w:tcW w:w="1761" w:type="dxa"/>
                  <w:noWrap w:val="0"/>
                  <w:vAlign w:val="center"/>
                </w:tcPr>
                <w:p w14:paraId="2689ED75">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bidi="zh-CN"/>
                    </w:rPr>
                    <w:t>废液压油</w:t>
                  </w:r>
                </w:p>
              </w:tc>
              <w:tc>
                <w:tcPr>
                  <w:tcW w:w="1005" w:type="dxa"/>
                  <w:noWrap w:val="0"/>
                  <w:vAlign w:val="center"/>
                </w:tcPr>
                <w:p w14:paraId="435B62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14:paraId="7CD2AD82">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900-21</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-08</w:t>
                  </w:r>
                </w:p>
              </w:tc>
              <w:tc>
                <w:tcPr>
                  <w:tcW w:w="915" w:type="dxa"/>
                  <w:noWrap w:val="0"/>
                  <w:vAlign w:val="center"/>
                </w:tcPr>
                <w:p w14:paraId="263FD867">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675" w:type="dxa"/>
                  <w:noWrap w:val="0"/>
                  <w:vAlign w:val="center"/>
                </w:tcPr>
                <w:p w14:paraId="00F09BD7">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14:paraId="675D6D65">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14:paraId="11F4852B">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6个月</w:t>
                  </w:r>
                </w:p>
              </w:tc>
            </w:tr>
            <w:tr w14:paraId="1118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358" w:type="dxa"/>
                  <w:noWrap w:val="0"/>
                  <w:vAlign w:val="center"/>
                </w:tcPr>
                <w:p w14:paraId="4DE3F317">
                  <w:pPr>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highlight w:val="none"/>
                      <w:lang w:val="en-US" w:eastAsia="zh-CN"/>
                    </w:rPr>
                    <w:t>2</w:t>
                  </w:r>
                </w:p>
              </w:tc>
              <w:tc>
                <w:tcPr>
                  <w:tcW w:w="1305" w:type="dxa"/>
                  <w:vMerge w:val="continue"/>
                  <w:noWrap w:val="0"/>
                  <w:vAlign w:val="center"/>
                </w:tcPr>
                <w:p w14:paraId="7E2A58FC">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761" w:type="dxa"/>
                  <w:noWrap w:val="0"/>
                  <w:vAlign w:val="center"/>
                </w:tcPr>
                <w:p w14:paraId="5A470E9A">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废机油</w:t>
                  </w:r>
                </w:p>
              </w:tc>
              <w:tc>
                <w:tcPr>
                  <w:tcW w:w="1005" w:type="dxa"/>
                  <w:noWrap w:val="0"/>
                  <w:vAlign w:val="center"/>
                </w:tcPr>
                <w:p w14:paraId="22B3A8F9">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14:paraId="4E2603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cs="Times New Roman"/>
                      <w:color w:val="auto"/>
                      <w:sz w:val="21"/>
                      <w:szCs w:val="21"/>
                      <w:lang w:val="en-US" w:eastAsia="zh-CN"/>
                    </w:rPr>
                    <w:t>900-217-08</w:t>
                  </w:r>
                </w:p>
              </w:tc>
              <w:tc>
                <w:tcPr>
                  <w:tcW w:w="915" w:type="dxa"/>
                  <w:noWrap w:val="0"/>
                  <w:vAlign w:val="center"/>
                </w:tcPr>
                <w:p w14:paraId="5BB30378">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675" w:type="dxa"/>
                  <w:noWrap w:val="0"/>
                  <w:vAlign w:val="center"/>
                </w:tcPr>
                <w:p w14:paraId="40890CCA">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14:paraId="6D75D5AB">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761" w:type="dxa"/>
                  <w:noWrap w:val="0"/>
                  <w:vAlign w:val="center"/>
                </w:tcPr>
                <w:p w14:paraId="31689CC9">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6个月</w:t>
                  </w:r>
                </w:p>
              </w:tc>
            </w:tr>
            <w:tr w14:paraId="5836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358" w:type="dxa"/>
                  <w:noWrap w:val="0"/>
                  <w:vAlign w:val="center"/>
                </w:tcPr>
                <w:p w14:paraId="4E3F71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1305" w:type="dxa"/>
                  <w:vMerge w:val="continue"/>
                  <w:noWrap w:val="0"/>
                  <w:vAlign w:val="center"/>
                </w:tcPr>
                <w:p w14:paraId="18CBEB37">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lang w:val="en-US" w:eastAsia="zh-CN"/>
                    </w:rPr>
                  </w:pPr>
                </w:p>
              </w:tc>
              <w:tc>
                <w:tcPr>
                  <w:tcW w:w="1761" w:type="dxa"/>
                  <w:noWrap w:val="0"/>
                  <w:vAlign w:val="center"/>
                </w:tcPr>
                <w:p w14:paraId="492AC227">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废包装桶</w:t>
                  </w:r>
                </w:p>
              </w:tc>
              <w:tc>
                <w:tcPr>
                  <w:tcW w:w="1005" w:type="dxa"/>
                  <w:noWrap w:val="0"/>
                  <w:vAlign w:val="center"/>
                </w:tcPr>
                <w:p w14:paraId="443324A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kern w:val="2"/>
                      <w:sz w:val="21"/>
                      <w:szCs w:val="21"/>
                      <w:lang w:val="en-US" w:eastAsia="zh-CN" w:bidi="ar-SA"/>
                    </w:rPr>
                    <w:t>HW08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sz w:val="21"/>
                      <w:szCs w:val="21"/>
                      <w:highlight w:val="none"/>
                      <w:lang w:val="en-US" w:eastAsia="zh-CN"/>
                    </w:rPr>
                    <w:t>HW</w:t>
                  </w:r>
                  <w:r>
                    <w:rPr>
                      <w:rFonts w:hint="eastAsia" w:ascii="Times New Roman" w:hAnsi="Times New Roman" w:cs="Times New Roman"/>
                      <w:color w:val="auto"/>
                      <w:sz w:val="21"/>
                      <w:szCs w:val="21"/>
                      <w:highlight w:val="none"/>
                      <w:lang w:val="en-US" w:eastAsia="zh-CN"/>
                    </w:rPr>
                    <w:t>49</w:t>
                  </w:r>
                </w:p>
              </w:tc>
              <w:tc>
                <w:tcPr>
                  <w:tcW w:w="1290" w:type="dxa"/>
                  <w:noWrap w:val="0"/>
                  <w:vAlign w:val="center"/>
                </w:tcPr>
                <w:p w14:paraId="6C5FCA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ascii="Times New Roman" w:hAnsi="Times New Roman" w:cs="Times New Roman"/>
                      <w:color w:val="auto"/>
                      <w:kern w:val="1"/>
                      <w:sz w:val="21"/>
                      <w:szCs w:val="21"/>
                    </w:rPr>
                    <w:t>900-249-08</w:t>
                  </w:r>
                  <w:r>
                    <w:rPr>
                      <w:rFonts w:hint="eastAsia" w:ascii="Times New Roman" w:hAnsi="Times New Roman" w:cs="Times New Roman"/>
                      <w:b w:val="0"/>
                      <w:bCs w:val="0"/>
                      <w:color w:val="auto"/>
                      <w:kern w:val="2"/>
                      <w:sz w:val="21"/>
                      <w:szCs w:val="21"/>
                      <w:lang w:val="en-US" w:eastAsia="zh-CN" w:bidi="ar-SA"/>
                    </w:rPr>
                    <w:t>；</w:t>
                  </w:r>
                  <w:r>
                    <w:rPr>
                      <w:rFonts w:hint="default" w:ascii="Times New Roman" w:hAnsi="Times New Roman" w:eastAsia="宋体" w:cs="Times New Roman"/>
                      <w:color w:val="auto"/>
                      <w:kern w:val="1"/>
                      <w:sz w:val="21"/>
                      <w:szCs w:val="21"/>
                    </w:rPr>
                    <w:t>900-</w:t>
                  </w:r>
                  <w:r>
                    <w:rPr>
                      <w:rFonts w:hint="eastAsia" w:ascii="Times New Roman" w:hAnsi="Times New Roman" w:cs="Times New Roman"/>
                      <w:color w:val="auto"/>
                      <w:kern w:val="1"/>
                      <w:sz w:val="21"/>
                      <w:szCs w:val="21"/>
                      <w:lang w:val="en-US" w:eastAsia="zh-CN"/>
                    </w:rPr>
                    <w:t>041-49</w:t>
                  </w:r>
                </w:p>
              </w:tc>
              <w:tc>
                <w:tcPr>
                  <w:tcW w:w="915" w:type="dxa"/>
                  <w:noWrap w:val="0"/>
                  <w:vAlign w:val="center"/>
                </w:tcPr>
                <w:p w14:paraId="29C16C12">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675" w:type="dxa"/>
                  <w:noWrap w:val="0"/>
                  <w:vAlign w:val="center"/>
                </w:tcPr>
                <w:p w14:paraId="6EAD10F5">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14:paraId="4E252024">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0.5</w:t>
                  </w:r>
                </w:p>
              </w:tc>
              <w:tc>
                <w:tcPr>
                  <w:tcW w:w="761" w:type="dxa"/>
                  <w:noWrap w:val="0"/>
                  <w:vAlign w:val="center"/>
                </w:tcPr>
                <w:p w14:paraId="704A33F5">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6个月</w:t>
                  </w:r>
                </w:p>
              </w:tc>
            </w:tr>
            <w:tr w14:paraId="6A81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358" w:type="dxa"/>
                  <w:noWrap w:val="0"/>
                  <w:vAlign w:val="center"/>
                </w:tcPr>
                <w:p w14:paraId="730FBB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1305" w:type="dxa"/>
                  <w:vMerge w:val="continue"/>
                  <w:noWrap w:val="0"/>
                  <w:vAlign w:val="center"/>
                </w:tcPr>
                <w:p w14:paraId="20F41925">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lang w:val="en-US" w:eastAsia="zh-CN"/>
                    </w:rPr>
                  </w:pPr>
                </w:p>
              </w:tc>
              <w:tc>
                <w:tcPr>
                  <w:tcW w:w="1761" w:type="dxa"/>
                  <w:noWrap w:val="0"/>
                  <w:vAlign w:val="center"/>
                </w:tcPr>
                <w:p w14:paraId="73811D3D">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eastAsia" w:ascii="Times New Roman" w:hAnsi="Times New Roman"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废活性炭</w:t>
                  </w:r>
                </w:p>
              </w:tc>
              <w:tc>
                <w:tcPr>
                  <w:tcW w:w="1005" w:type="dxa"/>
                  <w:noWrap w:val="0"/>
                  <w:vAlign w:val="center"/>
                </w:tcPr>
                <w:p w14:paraId="4F26B4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HW</w:t>
                  </w:r>
                  <w:r>
                    <w:rPr>
                      <w:rFonts w:hint="default" w:ascii="Times New Roman" w:hAnsi="Times New Roman" w:cs="Times New Roman"/>
                      <w:color w:val="auto"/>
                      <w:sz w:val="21"/>
                      <w:szCs w:val="21"/>
                      <w:highlight w:val="none"/>
                      <w:lang w:val="en-US" w:eastAsia="zh-CN"/>
                    </w:rPr>
                    <w:t>49</w:t>
                  </w:r>
                </w:p>
              </w:tc>
              <w:tc>
                <w:tcPr>
                  <w:tcW w:w="1290" w:type="dxa"/>
                  <w:noWrap w:val="0"/>
                  <w:vAlign w:val="center"/>
                </w:tcPr>
                <w:p w14:paraId="3F6211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ascii="Times New Roman" w:hAnsi="Times New Roman" w:cs="Times New Roman"/>
                      <w:color w:val="auto"/>
                      <w:kern w:val="1"/>
                      <w:sz w:val="21"/>
                      <w:szCs w:val="21"/>
                    </w:rPr>
                  </w:pPr>
                  <w:r>
                    <w:rPr>
                      <w:rFonts w:hint="default" w:ascii="Times New Roman" w:hAnsi="Times New Roman" w:cs="Times New Roman"/>
                      <w:b w:val="0"/>
                      <w:bCs w:val="0"/>
                      <w:color w:val="auto"/>
                      <w:kern w:val="2"/>
                      <w:sz w:val="21"/>
                      <w:szCs w:val="21"/>
                      <w:lang w:val="en-US" w:eastAsia="zh-CN" w:bidi="ar-SA"/>
                    </w:rPr>
                    <w:t>900-039-49</w:t>
                  </w:r>
                </w:p>
              </w:tc>
              <w:tc>
                <w:tcPr>
                  <w:tcW w:w="915" w:type="dxa"/>
                  <w:noWrap w:val="0"/>
                  <w:vAlign w:val="center"/>
                </w:tcPr>
                <w:p w14:paraId="35B30F31">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3</w:t>
                  </w:r>
                </w:p>
              </w:tc>
              <w:tc>
                <w:tcPr>
                  <w:tcW w:w="675" w:type="dxa"/>
                  <w:noWrap w:val="0"/>
                  <w:vAlign w:val="center"/>
                </w:tcPr>
                <w:p w14:paraId="03C7CB97">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14:paraId="657DF886">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14:paraId="1A6BF26B">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6个月</w:t>
                  </w:r>
                </w:p>
              </w:tc>
            </w:tr>
          </w:tbl>
          <w:p w14:paraId="3A706D8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建设单位计划建设</w:t>
            </w:r>
            <w:r>
              <w:rPr>
                <w:rFonts w:hint="eastAsia" w:ascii="Times New Roman" w:hAnsi="Times New Roman" w:cs="Times New Roman"/>
                <w:b w:val="0"/>
                <w:bCs w:val="0"/>
                <w:color w:val="auto"/>
                <w:sz w:val="21"/>
                <w:szCs w:val="21"/>
                <w:lang w:val="en-US" w:eastAsia="zh-CN"/>
              </w:rPr>
              <w:t>10</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lang w:val="en-US" w:eastAsia="zh-CN"/>
              </w:rPr>
              <w:t>的危废间，满足危废储存要求。</w:t>
            </w:r>
          </w:p>
          <w:p w14:paraId="1198FD4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b w:val="0"/>
                <w:bCs w:val="0"/>
                <w:color w:val="auto"/>
                <w:sz w:val="21"/>
                <w:szCs w:val="21"/>
                <w:lang w:val="en-US" w:eastAsia="zh-CN"/>
              </w:rPr>
              <w:t>②</w:t>
            </w:r>
            <w:r>
              <w:rPr>
                <w:rFonts w:hint="default" w:ascii="Times New Roman" w:hAnsi="Times New Roman" w:eastAsia="宋体" w:cs="Times New Roman"/>
                <w:color w:val="auto"/>
                <w:sz w:val="21"/>
                <w:szCs w:val="21"/>
              </w:rPr>
              <w:t>危险废物贮存设施要求</w:t>
            </w:r>
          </w:p>
          <w:p w14:paraId="66109F80">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依据</w:t>
            </w:r>
            <w:r>
              <w:rPr>
                <w:rFonts w:hint="default" w:ascii="Times New Roman" w:hAnsi="Times New Roman" w:cs="Times New Roman"/>
                <w:color w:val="auto"/>
                <w:sz w:val="21"/>
                <w:szCs w:val="21"/>
                <w:highlight w:val="none"/>
                <w:lang w:eastAsia="zh-CN"/>
              </w:rPr>
              <w:t>《危险废物贮存污染控制标准》（GB 18597-2023）</w:t>
            </w:r>
            <w:r>
              <w:rPr>
                <w:rFonts w:hint="default" w:ascii="Times New Roman" w:hAnsi="Times New Roman" w:cs="Times New Roman"/>
                <w:color w:val="auto"/>
                <w:sz w:val="21"/>
                <w:szCs w:val="21"/>
                <w:highlight w:val="none"/>
              </w:rPr>
              <w:t>中规定，中关于危险废物贮存设施的规定，本项目厂内需要建设“危险废物</w:t>
            </w:r>
            <w:r>
              <w:rPr>
                <w:rFonts w:hint="default" w:ascii="Times New Roman" w:hAnsi="Times New Roman" w:cs="Times New Roman"/>
                <w:color w:val="auto"/>
                <w:sz w:val="21"/>
                <w:szCs w:val="21"/>
                <w:highlight w:val="none"/>
                <w:lang w:val="en-US" w:eastAsia="zh-CN"/>
              </w:rPr>
              <w:t>暂存</w:t>
            </w:r>
            <w:r>
              <w:rPr>
                <w:rFonts w:hint="default" w:ascii="Times New Roman" w:hAnsi="Times New Roman" w:cs="Times New Roman"/>
                <w:color w:val="auto"/>
                <w:sz w:val="21"/>
                <w:szCs w:val="21"/>
                <w:highlight w:val="none"/>
              </w:rPr>
              <w:t>间”，该储存间应符合以下要求：</w:t>
            </w:r>
          </w:p>
          <w:p w14:paraId="66401157">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a.</w:t>
            </w:r>
            <w:r>
              <w:rPr>
                <w:rFonts w:hint="default" w:ascii="Times New Roman" w:hAnsi="Times New Roman" w:cs="Times New Roman"/>
                <w:color w:val="auto"/>
                <w:sz w:val="21"/>
                <w:szCs w:val="21"/>
                <w:highlight w:val="none"/>
              </w:rPr>
              <w:t>贮存设施应根据危险废物的类别、数量、形态、物理化学性质和污染防治等要求设置必要的贮存分区，避免不相容的危险废物接触、混合</w:t>
            </w:r>
            <w:r>
              <w:rPr>
                <w:rFonts w:hint="default" w:ascii="Times New Roman" w:hAnsi="Times New Roman" w:cs="Times New Roman"/>
                <w:color w:val="auto"/>
                <w:sz w:val="21"/>
                <w:szCs w:val="21"/>
                <w:highlight w:val="none"/>
                <w:lang w:eastAsia="zh-CN"/>
              </w:rPr>
              <w:t>；</w:t>
            </w:r>
          </w:p>
          <w:p w14:paraId="47F5E495">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b.</w:t>
            </w:r>
            <w:r>
              <w:rPr>
                <w:rFonts w:hint="default" w:ascii="Times New Roman" w:hAnsi="Times New Roman" w:cs="Times New Roman"/>
                <w:color w:val="auto"/>
                <w:sz w:val="21"/>
                <w:szCs w:val="21"/>
                <w:highlight w:val="none"/>
              </w:rPr>
              <w:t>贮存库内不同贮存分区之间应采取隔离措施。隔离措施可根据危险废物特性采用过道、隔板或隔墙等方式</w:t>
            </w:r>
            <w:r>
              <w:rPr>
                <w:rFonts w:hint="default" w:ascii="Times New Roman" w:hAnsi="Times New Roman" w:cs="Times New Roman"/>
                <w:color w:val="auto"/>
                <w:sz w:val="21"/>
                <w:szCs w:val="21"/>
                <w:highlight w:val="none"/>
                <w:lang w:eastAsia="zh-CN"/>
              </w:rPr>
              <w:t>；</w:t>
            </w:r>
          </w:p>
          <w:p w14:paraId="6B176022">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c.</w:t>
            </w:r>
            <w:r>
              <w:rPr>
                <w:rFonts w:hint="default" w:ascii="Times New Roman" w:hAnsi="Times New Roman" w:cs="Times New Roman"/>
                <w:color w:val="auto"/>
                <w:sz w:val="21"/>
                <w:szCs w:val="21"/>
                <w:highlight w:val="none"/>
              </w:rPr>
              <w:t>在贮存库内或通过贮存分区方式贮存液态危险废物的，应具有液体泄漏堵截设施，堵截设施最小容积不应低于对应贮存区域最大液态废物容器容积或液态废物总储量1/10（二者取较大者）；</w:t>
            </w:r>
          </w:p>
          <w:p w14:paraId="71FC7263">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d.</w:t>
            </w:r>
            <w:r>
              <w:rPr>
                <w:rFonts w:hint="default" w:ascii="Times New Roman" w:hAnsi="Times New Roman" w:cs="Times New Roman"/>
                <w:color w:val="auto"/>
                <w:sz w:val="21"/>
                <w:szCs w:val="21"/>
                <w:highlight w:val="none"/>
              </w:rPr>
              <w:t>贮存设施或贮存分区内地面、墙面裙脚、堵截泄漏的围堰、接触危险废物的隔板和墙体等应采用坚固的材料建造，表面无裂缝</w:t>
            </w:r>
            <w:r>
              <w:rPr>
                <w:rFonts w:hint="default" w:ascii="Times New Roman" w:hAnsi="Times New Roman" w:cs="Times New Roman"/>
                <w:color w:val="auto"/>
                <w:sz w:val="21"/>
                <w:szCs w:val="21"/>
                <w:highlight w:val="none"/>
                <w:lang w:eastAsia="zh-CN"/>
              </w:rPr>
              <w:t>；</w:t>
            </w:r>
          </w:p>
          <w:p w14:paraId="34425204">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e.</w:t>
            </w:r>
            <w:r>
              <w:rPr>
                <w:rFonts w:hint="default" w:ascii="Times New Roman" w:hAnsi="Times New Roman" w:cs="Times New Roman"/>
                <w:color w:val="auto"/>
                <w:sz w:val="21"/>
                <w:szCs w:val="21"/>
                <w:highlight w:val="none"/>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m厚黏土层（渗透系数不大于10</w:t>
            </w:r>
            <w:r>
              <w:rPr>
                <w:rFonts w:hint="default" w:ascii="Times New Roman" w:hAnsi="Times New Roman" w:cs="Times New Roman"/>
                <w:color w:val="auto"/>
                <w:sz w:val="21"/>
                <w:szCs w:val="21"/>
                <w:highlight w:val="none"/>
                <w:vertAlign w:val="superscript"/>
              </w:rPr>
              <w:t>-7</w:t>
            </w:r>
            <w:r>
              <w:rPr>
                <w:rFonts w:hint="default" w:ascii="Times New Roman" w:hAnsi="Times New Roman" w:cs="Times New Roman"/>
                <w:color w:val="auto"/>
                <w:sz w:val="21"/>
                <w:szCs w:val="21"/>
                <w:highlight w:val="none"/>
              </w:rPr>
              <w:t>cm/s），或至少2mm厚高密度聚乙烯膜等人工防渗材料（渗透系数不大于10</w:t>
            </w:r>
            <w:r>
              <w:rPr>
                <w:rFonts w:hint="default" w:ascii="Times New Roman" w:hAnsi="Times New Roman" w:cs="Times New Roman"/>
                <w:color w:val="auto"/>
                <w:sz w:val="21"/>
                <w:szCs w:val="21"/>
                <w:highlight w:val="none"/>
                <w:vertAlign w:val="superscript"/>
              </w:rPr>
              <w:t>-10</w:t>
            </w:r>
            <w:r>
              <w:rPr>
                <w:rFonts w:hint="default" w:ascii="Times New Roman" w:hAnsi="Times New Roman" w:cs="Times New Roman"/>
                <w:color w:val="auto"/>
                <w:sz w:val="21"/>
                <w:szCs w:val="21"/>
                <w:highlight w:val="none"/>
              </w:rPr>
              <w:t>cm/s），或其他防渗性能等效的材料</w:t>
            </w:r>
            <w:r>
              <w:rPr>
                <w:rFonts w:hint="default" w:ascii="Times New Roman" w:hAnsi="Times New Roman" w:cs="Times New Roman"/>
                <w:color w:val="auto"/>
                <w:sz w:val="21"/>
                <w:szCs w:val="21"/>
                <w:highlight w:val="none"/>
                <w:lang w:eastAsia="zh-CN"/>
              </w:rPr>
              <w:t>；</w:t>
            </w:r>
          </w:p>
          <w:p w14:paraId="5A68E04D">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f.</w:t>
            </w:r>
            <w:r>
              <w:rPr>
                <w:rFonts w:hint="default" w:ascii="Times New Roman" w:hAnsi="Times New Roman" w:cs="Times New Roman"/>
                <w:color w:val="auto"/>
                <w:sz w:val="21"/>
                <w:szCs w:val="21"/>
                <w:highlight w:val="none"/>
              </w:rPr>
              <w:t>同一贮存设施宜采用相同的防渗、防腐工艺（包括防渗、防腐结构或材料），防渗、防腐材料应覆盖所有可能与废物及其渗滤液、渗漏液等接触的构筑物表面；采用不同防渗、防腐工艺应分别建设贮存分区</w:t>
            </w:r>
            <w:r>
              <w:rPr>
                <w:rFonts w:hint="default" w:ascii="Times New Roman" w:hAnsi="Times New Roman" w:cs="Times New Roman"/>
                <w:color w:val="auto"/>
                <w:sz w:val="21"/>
                <w:szCs w:val="21"/>
                <w:highlight w:val="none"/>
                <w:lang w:eastAsia="zh-CN"/>
              </w:rPr>
              <w:t>；</w:t>
            </w:r>
          </w:p>
          <w:p w14:paraId="0D39A3E8">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g.</w:t>
            </w:r>
            <w:r>
              <w:rPr>
                <w:rFonts w:hint="default" w:ascii="Times New Roman" w:hAnsi="Times New Roman" w:cs="Times New Roman"/>
                <w:color w:val="auto"/>
                <w:sz w:val="21"/>
                <w:szCs w:val="21"/>
                <w:highlight w:val="none"/>
              </w:rPr>
              <w:t>贮存设施应采取技术和管理措施防止无关人员进入。</w:t>
            </w:r>
          </w:p>
          <w:p w14:paraId="39FB188B">
            <w:pPr>
              <w:keepNext w:val="0"/>
              <w:keepLines w:val="0"/>
              <w:suppressLineNumbers w:val="0"/>
              <w:autoSpaceDE/>
              <w:autoSpaceDN/>
              <w:spacing w:beforeAutospacing="0" w:afterAutospacing="0" w:line="400" w:lineRule="exact"/>
              <w:ind w:left="110" w:leftChars="50" w:firstLine="420" w:firstLineChars="200"/>
              <w:jc w:val="both"/>
              <w:outlineLvl w:val="2"/>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此外，</w:t>
            </w:r>
            <w:r>
              <w:rPr>
                <w:rFonts w:hint="eastAsia" w:ascii="Times New Roman" w:hAnsi="Times New Roman" w:cs="Times New Roman"/>
                <w:color w:val="auto"/>
                <w:sz w:val="21"/>
                <w:szCs w:val="21"/>
                <w:highlight w:val="none"/>
                <w:lang w:val="en-US" w:eastAsia="zh-CN"/>
              </w:rPr>
              <w:t>本项目要求对于危险废物储存设置以下要求：</w:t>
            </w:r>
          </w:p>
          <w:p w14:paraId="4CE4D9B8">
            <w:pPr>
              <w:keepNext w:val="0"/>
              <w:keepLines w:val="0"/>
              <w:suppressLineNumbers w:val="0"/>
              <w:autoSpaceDE/>
              <w:autoSpaceDN/>
              <w:spacing w:beforeAutospacing="0" w:afterAutospacing="0" w:line="400" w:lineRule="exact"/>
              <w:ind w:left="110" w:leftChars="50" w:firstLine="420" w:firstLineChars="200"/>
              <w:jc w:val="both"/>
              <w:outlineLvl w:val="2"/>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a.定期检查废机油、废液压油、废活性炭、废包装桶，发现破损及时处理。将泄漏液体收集在密封容器中，尽快清洁现场，阻止污染物外泄。</w:t>
            </w:r>
          </w:p>
          <w:p w14:paraId="5B6C6EEB">
            <w:pPr>
              <w:keepNext w:val="0"/>
              <w:keepLines w:val="0"/>
              <w:suppressLineNumbers w:val="0"/>
              <w:autoSpaceDE/>
              <w:autoSpaceDN/>
              <w:spacing w:beforeAutospacing="0" w:afterAutospacing="0" w:line="400" w:lineRule="exact"/>
              <w:ind w:left="110" w:leftChars="50" w:firstLine="420" w:firstLineChars="200"/>
              <w:jc w:val="both"/>
              <w:outlineLvl w:val="2"/>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b.对职工加强职业培训和安全教育。培养职工要有高度的安全生产责任心，并且要熟悉相应的业务，有熟练的操作技能，具备有关物料、设备、设施、工艺参数变动及泄漏等的危险、危害知识，在紧急情况下能采取正确的应急方法。</w:t>
            </w:r>
          </w:p>
          <w:p w14:paraId="378B4851">
            <w:pPr>
              <w:keepNext w:val="0"/>
              <w:keepLines w:val="0"/>
              <w:suppressLineNumbers w:val="0"/>
              <w:autoSpaceDE/>
              <w:autoSpaceDN/>
              <w:spacing w:beforeAutospacing="0" w:afterAutospacing="0" w:line="400" w:lineRule="exact"/>
              <w:ind w:left="110" w:leftChars="50" w:firstLine="420" w:firstLineChars="200"/>
              <w:jc w:val="both"/>
              <w:outlineLvl w:val="2"/>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c.危废暂存间地面进行重点防渗处理，地面采用三合土铺底，再在上层铺15cm的水泥进行硬化，并铺设2mm厚高密度聚乙烯膜等人工防渗材料（防渗系数不大于10</w:t>
            </w:r>
            <w:r>
              <w:rPr>
                <w:rFonts w:hint="eastAsia" w:ascii="Times New Roman" w:hAnsi="Times New Roman" w:cs="Times New Roman"/>
                <w:color w:val="auto"/>
                <w:sz w:val="21"/>
                <w:szCs w:val="21"/>
                <w:highlight w:val="none"/>
                <w:vertAlign w:val="superscript"/>
                <w:lang w:val="en-US" w:eastAsia="zh-CN"/>
              </w:rPr>
              <w:t>-10</w:t>
            </w:r>
            <w:r>
              <w:rPr>
                <w:rFonts w:hint="eastAsia" w:ascii="Times New Roman" w:hAnsi="Times New Roman" w:cs="Times New Roman"/>
                <w:color w:val="auto"/>
                <w:sz w:val="21"/>
                <w:szCs w:val="21"/>
                <w:highlight w:val="none"/>
                <w:lang w:val="en-US" w:eastAsia="zh-CN"/>
              </w:rPr>
              <w:t>cm/s）。</w:t>
            </w:r>
          </w:p>
          <w:p w14:paraId="238ACFB6">
            <w:pPr>
              <w:keepNext w:val="0"/>
              <w:keepLines w:val="0"/>
              <w:suppressLineNumbers w:val="0"/>
              <w:autoSpaceDE/>
              <w:autoSpaceDN/>
              <w:spacing w:beforeAutospacing="0" w:afterAutospacing="0" w:line="400" w:lineRule="exact"/>
              <w:ind w:left="110" w:leftChars="50" w:firstLine="420" w:firstLineChars="200"/>
              <w:jc w:val="both"/>
              <w:outlineLvl w:val="2"/>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d.废机油、废液压油、废活性炭、环氧树脂一旦泄漏，迅速将其转移至其他桶内，及时用沙子、泥土或其它可用来拦堵的材料设置障碍，以防止扩散，可将风险控制在原料暂存区内或危废间范围内，用粘土、沙或其它适当的吸附材料来吸收残余物，泄漏的危险废物及污染的土壤作为危险废物委托资质单位进行处理。</w:t>
            </w:r>
          </w:p>
          <w:p w14:paraId="2F86EB1F">
            <w:pPr>
              <w:keepNext w:val="0"/>
              <w:keepLines w:val="0"/>
              <w:suppressLineNumbers w:val="0"/>
              <w:autoSpaceDE/>
              <w:autoSpaceDN/>
              <w:spacing w:beforeAutospacing="0" w:afterAutospacing="0" w:line="400" w:lineRule="exact"/>
              <w:ind w:left="110" w:leftChars="50" w:firstLine="420" w:firstLineChars="200"/>
              <w:jc w:val="both"/>
              <w:outlineLvl w:val="2"/>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e.生产车间按规范配置灭火器材和消防装备。一旦起火，不要惊慌失措，如果火势不大，应迅速利用备有的简易灭火器材，采取有效措施控制和扑救火灾。若火势较大应迅速拨打火警电话。发现火源时，现场人员应利用附近灭火器材积极扑灭初期火灾，并迅速向值班领导报告。在难以控制时应立即佩戴自救器，按照火灾事故的避灾路线，迅速撤出灾区。</w:t>
            </w:r>
          </w:p>
          <w:p w14:paraId="07866E79">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本项目在危险废物储存和处置方面</w:t>
            </w:r>
            <w:r>
              <w:rPr>
                <w:rFonts w:hint="default" w:ascii="Times New Roman" w:hAnsi="Times New Roman" w:cs="Times New Roman"/>
                <w:color w:val="auto"/>
                <w:sz w:val="21"/>
                <w:szCs w:val="21"/>
                <w:highlight w:val="none"/>
                <w:lang w:val="en-US" w:eastAsia="zh-CN"/>
              </w:rPr>
              <w:t>还应</w:t>
            </w:r>
            <w:r>
              <w:rPr>
                <w:rFonts w:hint="default" w:ascii="Times New Roman" w:hAnsi="Times New Roman" w:cs="Times New Roman"/>
                <w:color w:val="auto"/>
                <w:sz w:val="21"/>
                <w:szCs w:val="21"/>
                <w:highlight w:val="none"/>
              </w:rPr>
              <w:t>严格执行《危险废物污染防治技术政策》</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环发[2001]199号</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要求，执行以下规定：</w:t>
            </w:r>
          </w:p>
          <w:p w14:paraId="035C34C8">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a.</w:t>
            </w:r>
            <w:r>
              <w:rPr>
                <w:rFonts w:hint="default" w:ascii="Times New Roman" w:hAnsi="Times New Roman" w:cs="Times New Roman"/>
                <w:color w:val="auto"/>
                <w:sz w:val="21"/>
                <w:szCs w:val="21"/>
                <w:highlight w:val="none"/>
                <w:lang w:val="en-US" w:eastAsia="zh-CN"/>
              </w:rPr>
              <w:t>应建有堵截泄漏的裙脚，地面与裙脚要用坚固防渗的材料建造。应有隔离设施、报警装置和防风、防晒、防雨设施；</w:t>
            </w:r>
          </w:p>
          <w:p w14:paraId="6B4D5DEA">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b.</w:t>
            </w:r>
            <w:r>
              <w:rPr>
                <w:rFonts w:hint="default" w:ascii="Times New Roman" w:hAnsi="Times New Roman" w:cs="Times New Roman"/>
                <w:color w:val="auto"/>
                <w:sz w:val="21"/>
                <w:szCs w:val="21"/>
                <w:highlight w:val="none"/>
                <w:lang w:val="en-US" w:eastAsia="zh-CN"/>
              </w:rPr>
              <w:t>基础防渗层为粘土层的,其厚度应在1米以上，渗透系数应小于1.0×10</w:t>
            </w:r>
            <w:r>
              <w:rPr>
                <w:rFonts w:hint="default" w:ascii="Times New Roman" w:hAnsi="Times New Roman" w:cs="Times New Roman"/>
                <w:color w:val="auto"/>
                <w:sz w:val="21"/>
                <w:szCs w:val="21"/>
                <w:highlight w:val="none"/>
                <w:vertAlign w:val="superscript"/>
                <w:lang w:val="en-US" w:eastAsia="zh-CN"/>
              </w:rPr>
              <w:t>-7</w:t>
            </w:r>
            <w:r>
              <w:rPr>
                <w:rFonts w:hint="default" w:ascii="Times New Roman" w:hAnsi="Times New Roman" w:cs="Times New Roman"/>
                <w:color w:val="auto"/>
                <w:sz w:val="21"/>
                <w:szCs w:val="21"/>
                <w:highlight w:val="none"/>
                <w:lang w:val="en-US" w:eastAsia="zh-CN"/>
              </w:rPr>
              <w:t>厘米/秒；基础防渗层也可用厚度在2毫米以上的高密度聚乙烯或其他人工防渗材料组成，渗透系数应小于1.0×10</w:t>
            </w:r>
            <w:r>
              <w:rPr>
                <w:rFonts w:hint="default" w:ascii="Times New Roman" w:hAnsi="Times New Roman" w:cs="Times New Roman"/>
                <w:color w:val="auto"/>
                <w:sz w:val="21"/>
                <w:szCs w:val="21"/>
                <w:highlight w:val="none"/>
                <w:vertAlign w:val="superscript"/>
                <w:lang w:val="en-US" w:eastAsia="zh-CN"/>
              </w:rPr>
              <w:t>-10</w:t>
            </w:r>
            <w:r>
              <w:rPr>
                <w:rFonts w:hint="default" w:ascii="Times New Roman" w:hAnsi="Times New Roman" w:cs="Times New Roman"/>
                <w:color w:val="auto"/>
                <w:sz w:val="21"/>
                <w:szCs w:val="21"/>
                <w:highlight w:val="none"/>
                <w:lang w:val="en-US" w:eastAsia="zh-CN"/>
              </w:rPr>
              <w:t>厘米/秒；</w:t>
            </w:r>
          </w:p>
          <w:p w14:paraId="118527AB">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c.</w:t>
            </w:r>
            <w:r>
              <w:rPr>
                <w:rFonts w:hint="default" w:ascii="Times New Roman" w:hAnsi="Times New Roman" w:cs="Times New Roman"/>
                <w:color w:val="auto"/>
                <w:sz w:val="21"/>
                <w:szCs w:val="21"/>
                <w:highlight w:val="none"/>
                <w:lang w:val="en-US" w:eastAsia="zh-CN"/>
              </w:rPr>
              <w:t>用于存放液体、半固体危险废物的地方，还须有耐腐蚀的硬化地面，地面无裂隙；</w:t>
            </w:r>
          </w:p>
          <w:p w14:paraId="01199758">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d.</w:t>
            </w:r>
            <w:r>
              <w:rPr>
                <w:rFonts w:hint="default" w:ascii="Times New Roman" w:hAnsi="Times New Roman" w:cs="Times New Roman"/>
                <w:color w:val="auto"/>
                <w:sz w:val="21"/>
                <w:szCs w:val="21"/>
                <w:highlight w:val="none"/>
                <w:lang w:val="en-US" w:eastAsia="zh-CN"/>
              </w:rPr>
              <w:t>不相容的危险废物堆放区必须有隔离间隔断；</w:t>
            </w:r>
          </w:p>
          <w:p w14:paraId="3B945FFA">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e.</w:t>
            </w:r>
            <w:r>
              <w:rPr>
                <w:rFonts w:hint="default" w:ascii="Times New Roman" w:hAnsi="Times New Roman" w:cs="Times New Roman"/>
                <w:color w:val="auto"/>
                <w:sz w:val="21"/>
                <w:szCs w:val="21"/>
                <w:highlight w:val="none"/>
                <w:lang w:val="en-US" w:eastAsia="zh-CN"/>
              </w:rPr>
              <w:t>贮存易燃易爆的危险废物的场所应配备消防设备。</w:t>
            </w:r>
          </w:p>
          <w:p w14:paraId="6EBCE6F2">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按危险废物的种类和特性进行分区贮存，采用防腐、防渗地面和裙脚，设置防止泄露物质扩散至外环境的拦截、导流、收集设施；贮存堆场要防风、防雨、防晒；从事收集、贮存、利用、处置危险废物经营活动的单位，贮存危险废物不得超过一年（报经颁发危险废物经营许可证的生态环境主管部门批准或法律法规另有规定的除外）等。</w:t>
            </w:r>
          </w:p>
          <w:p w14:paraId="4947589B">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cs="Times New Roman"/>
                <w:color w:val="auto"/>
                <w:kern w:val="2"/>
                <w:sz w:val="21"/>
                <w:szCs w:val="21"/>
                <w:lang w:val="en-US" w:bidi="ar-SA"/>
              </w:rPr>
            </w:pPr>
            <w:r>
              <w:rPr>
                <w:rFonts w:hint="default" w:ascii="Times New Roman" w:hAnsi="Times New Roman" w:cs="Times New Roman"/>
                <w:color w:val="auto"/>
                <w:kern w:val="2"/>
                <w:sz w:val="21"/>
                <w:szCs w:val="21"/>
                <w:lang w:val="en-US" w:eastAsia="zh-CN" w:bidi="ar-SA"/>
              </w:rPr>
              <w:t>排污单位生产运营期间危险废物自行贮存设施的环境管理和相关设施运行维护还应符合 GB 15562.2、GB 18484、GB 18597、GB 30485、HJ 2025 和 HJ 2042 等相关标准规范要求。</w:t>
            </w:r>
          </w:p>
          <w:p w14:paraId="563A844F">
            <w:pPr>
              <w:keepNext w:val="0"/>
              <w:keepLines w:val="0"/>
              <w:suppressLineNumbers w:val="0"/>
              <w:autoSpaceDE/>
              <w:autoSpaceDN/>
              <w:spacing w:beforeAutospacing="0" w:afterAutospacing="0" w:line="400" w:lineRule="exact"/>
              <w:ind w:left="110" w:leftChars="50" w:firstLine="420" w:firstLineChars="200"/>
              <w:jc w:val="both"/>
              <w:outlineLvl w:val="2"/>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lang w:val="en-US" w:bidi="ar-SA"/>
              </w:rPr>
              <w:t>危险废物贮存设施都必须按《环境保护图形标志—固体废物贮存（处置）场》（GB15562.2-1995）</w:t>
            </w:r>
            <w:r>
              <w:rPr>
                <w:rFonts w:hint="eastAsia" w:ascii="Times New Roman" w:hAnsi="Times New Roman" w:cs="Times New Roman"/>
                <w:color w:val="auto"/>
                <w:kern w:val="2"/>
                <w:sz w:val="21"/>
                <w:szCs w:val="21"/>
                <w:lang w:val="en-US" w:bidi="ar-SA"/>
              </w:rPr>
              <w:t>及修改单、《危险废物识别标志设置技术规范》（HJ 1276—2022）</w:t>
            </w:r>
            <w:r>
              <w:rPr>
                <w:rFonts w:hint="default" w:ascii="Times New Roman" w:hAnsi="Times New Roman" w:cs="Times New Roman"/>
                <w:color w:val="auto"/>
                <w:kern w:val="2"/>
                <w:sz w:val="21"/>
                <w:szCs w:val="21"/>
                <w:lang w:val="en-US" w:bidi="ar-SA"/>
              </w:rPr>
              <w:t>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14:paraId="4D7656F9">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ind w:left="0" w:leftChars="0" w:right="0" w:rightChars="0"/>
              <w:jc w:val="center"/>
              <w:textAlignment w:val="auto"/>
              <w:rPr>
                <w:rFonts w:hint="default" w:ascii="Times New Roman" w:hAnsi="Times New Roman" w:cs="Times New Roman"/>
                <w:b/>
                <w:bCs/>
                <w:color w:val="auto"/>
                <w:spacing w:val="2"/>
                <w:sz w:val="21"/>
                <w:szCs w:val="21"/>
                <w:highlight w:val="none"/>
              </w:rPr>
            </w:pPr>
            <w:r>
              <w:rPr>
                <w:rFonts w:hint="default" w:ascii="Times New Roman" w:hAnsi="Times New Roman" w:cs="Times New Roman"/>
                <w:b/>
                <w:bCs/>
                <w:color w:val="auto"/>
                <w:sz w:val="21"/>
                <w:szCs w:val="21"/>
                <w:highlight w:val="none"/>
              </w:rPr>
              <w:t>表</w:t>
            </w:r>
            <w:r>
              <w:rPr>
                <w:rFonts w:hint="default" w:ascii="Times New Roman" w:hAnsi="Times New Roman" w:cs="Times New Roman"/>
                <w:b/>
                <w:bCs/>
                <w:color w:val="auto"/>
                <w:sz w:val="21"/>
                <w:szCs w:val="21"/>
                <w:highlight w:val="none"/>
                <w:lang w:val="en-US" w:eastAsia="zh-CN"/>
              </w:rPr>
              <w:t>4.</w:t>
            </w:r>
            <w:r>
              <w:rPr>
                <w:rFonts w:hint="eastAsia" w:ascii="Times New Roman" w:hAnsi="Times New Roman" w:cs="Times New Roman"/>
                <w:b/>
                <w:bCs/>
                <w:color w:val="auto"/>
                <w:sz w:val="21"/>
                <w:szCs w:val="21"/>
                <w:highlight w:val="none"/>
                <w:lang w:val="en-US" w:eastAsia="zh-CN"/>
              </w:rPr>
              <w:t>17</w:t>
            </w:r>
            <w:r>
              <w:rPr>
                <w:rFonts w:hint="default" w:ascii="Times New Roman" w:hAnsi="Times New Roman" w:cs="Times New Roman"/>
                <w:b/>
                <w:bCs/>
                <w:color w:val="auto"/>
                <w:sz w:val="21"/>
                <w:szCs w:val="21"/>
                <w:highlight w:val="none"/>
              </w:rPr>
              <w:t xml:space="preserve"> </w:t>
            </w:r>
            <w:r>
              <w:rPr>
                <w:rFonts w:hint="default" w:ascii="Times New Roman" w:hAnsi="Times New Roman" w:cs="Times New Roman"/>
                <w:b/>
                <w:bCs/>
                <w:color w:val="auto"/>
                <w:spacing w:val="2"/>
                <w:sz w:val="21"/>
                <w:szCs w:val="21"/>
                <w:highlight w:val="none"/>
                <w:lang w:val="en-US" w:eastAsia="zh-CN"/>
              </w:rPr>
              <w:t>危险废物贮存分区标示要求一览表</w:t>
            </w:r>
          </w:p>
          <w:tbl>
            <w:tblPr>
              <w:tblStyle w:val="34"/>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3216"/>
              <w:gridCol w:w="3843"/>
            </w:tblGrid>
            <w:tr w14:paraId="19A2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72" w:type="dxa"/>
                  <w:tcBorders>
                    <w:top w:val="single" w:color="auto" w:sz="4" w:space="0"/>
                    <w:left w:val="single" w:color="auto" w:sz="4" w:space="0"/>
                    <w:bottom w:val="single" w:color="auto" w:sz="4" w:space="0"/>
                    <w:right w:val="single" w:color="auto" w:sz="4" w:space="0"/>
                  </w:tcBorders>
                  <w:noWrap w:val="0"/>
                  <w:vAlign w:val="center"/>
                </w:tcPr>
                <w:p w14:paraId="677258A1">
                  <w:pPr>
                    <w:keepNext w:val="0"/>
                    <w:keepLines w:val="0"/>
                    <w:suppressLineNumbers w:val="0"/>
                    <w:snapToGrid w:val="0"/>
                    <w:spacing w:beforeAutospacing="0" w:afterAutospacing="0"/>
                    <w:jc w:val="center"/>
                    <w:rPr>
                      <w:rFonts w:hint="default" w:ascii="Times New Roman" w:hAnsi="Times New Roman" w:cs="Times New Roman"/>
                      <w:b/>
                      <w:bCs/>
                      <w:color w:val="auto"/>
                      <w:spacing w:val="2"/>
                      <w:sz w:val="21"/>
                      <w:szCs w:val="21"/>
                      <w:highlight w:val="none"/>
                      <w:shd w:val="clear" w:color="auto" w:fill="auto"/>
                    </w:rPr>
                  </w:pPr>
                  <w:r>
                    <w:rPr>
                      <w:rFonts w:hint="default" w:ascii="Times New Roman" w:hAnsi="Times New Roman" w:cs="Times New Roman"/>
                      <w:b/>
                      <w:bCs/>
                      <w:color w:val="auto"/>
                      <w:spacing w:val="2"/>
                      <w:sz w:val="21"/>
                      <w:szCs w:val="21"/>
                      <w:highlight w:val="none"/>
                      <w:shd w:val="clear" w:color="auto" w:fill="auto"/>
                    </w:rPr>
                    <w:t>场合</w:t>
                  </w:r>
                </w:p>
              </w:tc>
              <w:tc>
                <w:tcPr>
                  <w:tcW w:w="3216" w:type="dxa"/>
                  <w:tcBorders>
                    <w:top w:val="single" w:color="auto" w:sz="4" w:space="0"/>
                    <w:left w:val="single" w:color="auto" w:sz="4" w:space="0"/>
                    <w:bottom w:val="single" w:color="auto" w:sz="4" w:space="0"/>
                    <w:right w:val="single" w:color="auto" w:sz="4" w:space="0"/>
                  </w:tcBorders>
                  <w:noWrap w:val="0"/>
                  <w:vAlign w:val="center"/>
                </w:tcPr>
                <w:p w14:paraId="31B52806">
                  <w:pPr>
                    <w:keepNext w:val="0"/>
                    <w:keepLines w:val="0"/>
                    <w:suppressLineNumbers w:val="0"/>
                    <w:snapToGrid w:val="0"/>
                    <w:spacing w:beforeAutospacing="0" w:afterAutospacing="0"/>
                    <w:jc w:val="center"/>
                    <w:rPr>
                      <w:rFonts w:hint="default" w:ascii="Times New Roman" w:hAnsi="Times New Roman" w:cs="Times New Roman"/>
                      <w:b/>
                      <w:bCs/>
                      <w:color w:val="auto"/>
                      <w:spacing w:val="2"/>
                      <w:sz w:val="21"/>
                      <w:szCs w:val="21"/>
                      <w:highlight w:val="none"/>
                      <w:shd w:val="clear" w:color="auto" w:fill="auto"/>
                    </w:rPr>
                  </w:pPr>
                  <w:r>
                    <w:rPr>
                      <w:rFonts w:hint="default" w:ascii="Times New Roman" w:hAnsi="Times New Roman" w:cs="Times New Roman"/>
                      <w:b/>
                      <w:bCs/>
                      <w:color w:val="auto"/>
                      <w:spacing w:val="2"/>
                      <w:sz w:val="21"/>
                      <w:szCs w:val="21"/>
                      <w:highlight w:val="none"/>
                      <w:shd w:val="clear" w:color="auto" w:fill="auto"/>
                    </w:rPr>
                    <w:t>样式</w:t>
                  </w:r>
                </w:p>
              </w:tc>
              <w:tc>
                <w:tcPr>
                  <w:tcW w:w="3843" w:type="dxa"/>
                  <w:tcBorders>
                    <w:top w:val="single" w:color="auto" w:sz="4" w:space="0"/>
                    <w:left w:val="single" w:color="auto" w:sz="4" w:space="0"/>
                    <w:bottom w:val="single" w:color="auto" w:sz="4" w:space="0"/>
                    <w:right w:val="single" w:color="auto" w:sz="4" w:space="0"/>
                  </w:tcBorders>
                  <w:noWrap w:val="0"/>
                  <w:vAlign w:val="center"/>
                </w:tcPr>
                <w:p w14:paraId="4E7B2BC2">
                  <w:pPr>
                    <w:keepNext w:val="0"/>
                    <w:keepLines w:val="0"/>
                    <w:suppressLineNumbers w:val="0"/>
                    <w:snapToGrid w:val="0"/>
                    <w:spacing w:beforeAutospacing="0" w:afterAutospacing="0"/>
                    <w:jc w:val="center"/>
                    <w:rPr>
                      <w:rFonts w:hint="default" w:ascii="Times New Roman" w:hAnsi="Times New Roman" w:cs="Times New Roman"/>
                      <w:b/>
                      <w:bCs/>
                      <w:color w:val="auto"/>
                      <w:spacing w:val="2"/>
                      <w:sz w:val="21"/>
                      <w:szCs w:val="21"/>
                      <w:highlight w:val="none"/>
                      <w:shd w:val="clear" w:color="auto" w:fill="auto"/>
                    </w:rPr>
                  </w:pPr>
                  <w:r>
                    <w:rPr>
                      <w:rFonts w:hint="default" w:ascii="Times New Roman" w:hAnsi="Times New Roman" w:cs="Times New Roman"/>
                      <w:b/>
                      <w:bCs/>
                      <w:color w:val="auto"/>
                      <w:spacing w:val="2"/>
                      <w:sz w:val="21"/>
                      <w:szCs w:val="21"/>
                      <w:highlight w:val="none"/>
                      <w:shd w:val="clear" w:color="auto" w:fill="auto"/>
                    </w:rPr>
                    <w:t>要求</w:t>
                  </w:r>
                </w:p>
              </w:tc>
            </w:tr>
            <w:tr w14:paraId="1F3E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2172" w:type="dxa"/>
                  <w:tcBorders>
                    <w:top w:val="single" w:color="auto" w:sz="4" w:space="0"/>
                    <w:left w:val="single" w:color="auto" w:sz="4" w:space="0"/>
                    <w:bottom w:val="single" w:color="auto" w:sz="4" w:space="0"/>
                    <w:right w:val="single" w:color="auto" w:sz="4" w:space="0"/>
                  </w:tcBorders>
                  <w:noWrap w:val="0"/>
                  <w:vAlign w:val="center"/>
                </w:tcPr>
                <w:p w14:paraId="3502EC82">
                  <w:pPr>
                    <w:keepNext w:val="0"/>
                    <w:keepLines w:val="0"/>
                    <w:suppressLineNumbers w:val="0"/>
                    <w:snapToGrid w:val="0"/>
                    <w:spacing w:beforeAutospacing="0" w:afterAutospacing="0"/>
                    <w:jc w:val="center"/>
                    <w:rPr>
                      <w:rFonts w:hint="default" w:ascii="Times New Roman" w:hAnsi="Times New Roman" w:cs="Times New Roman"/>
                      <w:b/>
                      <w:bCs/>
                      <w:color w:val="auto"/>
                      <w:sz w:val="21"/>
                      <w:szCs w:val="21"/>
                      <w:highlight w:val="none"/>
                      <w:shd w:val="clear" w:color="auto" w:fill="auto"/>
                    </w:rPr>
                  </w:pPr>
                  <w:r>
                    <w:rPr>
                      <w:rFonts w:hint="default" w:ascii="Times New Roman" w:hAnsi="Times New Roman" w:cs="Times New Roman"/>
                      <w:b/>
                      <w:bCs/>
                      <w:color w:val="auto"/>
                      <w:sz w:val="21"/>
                      <w:szCs w:val="21"/>
                      <w:highlight w:val="none"/>
                      <w:shd w:val="clear" w:color="auto" w:fill="auto"/>
                    </w:rPr>
                    <w:t>危险废物标签</w:t>
                  </w:r>
                </w:p>
              </w:tc>
              <w:tc>
                <w:tcPr>
                  <w:tcW w:w="3216" w:type="dxa"/>
                  <w:tcBorders>
                    <w:top w:val="single" w:color="auto" w:sz="4" w:space="0"/>
                    <w:left w:val="single" w:color="auto" w:sz="4" w:space="0"/>
                    <w:bottom w:val="single" w:color="auto" w:sz="4" w:space="0"/>
                    <w:right w:val="single" w:color="auto" w:sz="4" w:space="0"/>
                  </w:tcBorders>
                  <w:noWrap w:val="0"/>
                  <w:vAlign w:val="center"/>
                </w:tcPr>
                <w:p w14:paraId="73CBD830">
                  <w:pPr>
                    <w:keepNext w:val="0"/>
                    <w:keepLines w:val="0"/>
                    <w:suppressLineNumbers w:val="0"/>
                    <w:snapToGrid w:val="0"/>
                    <w:spacing w:beforeAutospacing="0" w:afterAutospacing="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drawing>
                      <wp:inline distT="0" distB="0" distL="114300" distR="114300">
                        <wp:extent cx="1868170" cy="1695450"/>
                        <wp:effectExtent l="0" t="0" r="17780" b="0"/>
                        <wp:docPr id="4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1"/>
                                <pic:cNvPicPr>
                                  <a:picLocks noChangeAspect="1"/>
                                </pic:cNvPicPr>
                              </pic:nvPicPr>
                              <pic:blipFill>
                                <a:blip r:embed="rId15"/>
                                <a:stretch>
                                  <a:fillRect/>
                                </a:stretch>
                              </pic:blipFill>
                              <pic:spPr>
                                <a:xfrm>
                                  <a:off x="0" y="0"/>
                                  <a:ext cx="1868170" cy="1695450"/>
                                </a:xfrm>
                                <a:prstGeom prst="rect">
                                  <a:avLst/>
                                </a:prstGeom>
                                <a:noFill/>
                                <a:ln>
                                  <a:noFill/>
                                </a:ln>
                              </pic:spPr>
                            </pic:pic>
                          </a:graphicData>
                        </a:graphic>
                      </wp:inline>
                    </w:drawing>
                  </w:r>
                </w:p>
              </w:tc>
              <w:tc>
                <w:tcPr>
                  <w:tcW w:w="3843" w:type="dxa"/>
                  <w:tcBorders>
                    <w:top w:val="single" w:color="auto" w:sz="4" w:space="0"/>
                    <w:left w:val="single" w:color="auto" w:sz="4" w:space="0"/>
                    <w:bottom w:val="single" w:color="auto" w:sz="4" w:space="0"/>
                    <w:right w:val="single" w:color="auto" w:sz="4" w:space="0"/>
                  </w:tcBorders>
                  <w:noWrap w:val="0"/>
                  <w:vAlign w:val="center"/>
                </w:tcPr>
                <w:p w14:paraId="5CEF44D9">
                  <w:pPr>
                    <w:keepNext w:val="0"/>
                    <w:keepLines w:val="0"/>
                    <w:suppressLineNumbers w:val="0"/>
                    <w:snapToGrid w:val="0"/>
                    <w:spacing w:beforeAutospacing="0" w:afterAutospacing="0"/>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a、危险废物标签所选用的材质宜具有一定的耐用性和防水性。标签可采用不干胶印刷品，或印刷品外加防水塑料袋或塑封等。</w:t>
                  </w:r>
                </w:p>
                <w:p w14:paraId="1D87872B">
                  <w:pPr>
                    <w:keepNext w:val="0"/>
                    <w:keepLines w:val="0"/>
                    <w:suppressLineNumbers w:val="0"/>
                    <w:snapToGrid w:val="0"/>
                    <w:spacing w:beforeAutospacing="0" w:afterAutospacing="0"/>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b、危险废物标签背景色应采用醒目的橘黄色。</w:t>
                  </w:r>
                </w:p>
                <w:p w14:paraId="68AE1BD1">
                  <w:pPr>
                    <w:keepNext w:val="0"/>
                    <w:keepLines w:val="0"/>
                    <w:suppressLineNumbers w:val="0"/>
                    <w:snapToGrid w:val="0"/>
                    <w:spacing w:beforeAutospacing="0" w:afterAutospacing="0"/>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c、危险废物标签字体宜采用黑体字，其中“危险废物”字样应加粗放大。</w:t>
                  </w:r>
                </w:p>
              </w:tc>
            </w:tr>
            <w:tr w14:paraId="690A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172" w:type="dxa"/>
                  <w:tcBorders>
                    <w:top w:val="single" w:color="auto" w:sz="4" w:space="0"/>
                    <w:left w:val="single" w:color="auto" w:sz="4" w:space="0"/>
                    <w:bottom w:val="single" w:color="auto" w:sz="4" w:space="0"/>
                    <w:right w:val="single" w:color="auto" w:sz="4" w:space="0"/>
                  </w:tcBorders>
                  <w:noWrap w:val="0"/>
                  <w:vAlign w:val="center"/>
                </w:tcPr>
                <w:p w14:paraId="34CF7AD0">
                  <w:pPr>
                    <w:keepNext w:val="0"/>
                    <w:keepLines w:val="0"/>
                    <w:suppressLineNumbers w:val="0"/>
                    <w:snapToGrid w:val="0"/>
                    <w:spacing w:beforeAutospacing="0" w:afterAutospacing="0"/>
                    <w:jc w:val="center"/>
                    <w:rPr>
                      <w:rFonts w:hint="default" w:ascii="Times New Roman" w:hAnsi="Times New Roman" w:cs="Times New Roman"/>
                      <w:b/>
                      <w:bCs/>
                      <w:color w:val="auto"/>
                      <w:sz w:val="21"/>
                      <w:szCs w:val="21"/>
                      <w:highlight w:val="none"/>
                      <w:shd w:val="clear" w:color="auto" w:fill="auto"/>
                    </w:rPr>
                  </w:pPr>
                  <w:r>
                    <w:rPr>
                      <w:rFonts w:hint="default" w:ascii="Times New Roman" w:hAnsi="Times New Roman" w:cs="Times New Roman"/>
                      <w:b/>
                      <w:bCs/>
                      <w:color w:val="auto"/>
                      <w:sz w:val="21"/>
                      <w:szCs w:val="21"/>
                      <w:highlight w:val="none"/>
                      <w:shd w:val="clear" w:color="auto" w:fill="auto"/>
                    </w:rPr>
                    <w:t>危险废物贮存分区标志</w:t>
                  </w:r>
                </w:p>
              </w:tc>
              <w:tc>
                <w:tcPr>
                  <w:tcW w:w="3216" w:type="dxa"/>
                  <w:tcBorders>
                    <w:top w:val="single" w:color="auto" w:sz="4" w:space="0"/>
                    <w:left w:val="single" w:color="auto" w:sz="4" w:space="0"/>
                    <w:bottom w:val="single" w:color="auto" w:sz="4" w:space="0"/>
                    <w:right w:val="single" w:color="auto" w:sz="4" w:space="0"/>
                  </w:tcBorders>
                  <w:noWrap w:val="0"/>
                  <w:vAlign w:val="center"/>
                </w:tcPr>
                <w:p w14:paraId="3DA91C3D">
                  <w:pPr>
                    <w:keepNext w:val="0"/>
                    <w:keepLines w:val="0"/>
                    <w:suppressLineNumbers w:val="0"/>
                    <w:snapToGrid w:val="0"/>
                    <w:spacing w:beforeAutospacing="0" w:afterAutospacing="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drawing>
                      <wp:inline distT="0" distB="0" distL="114300" distR="114300">
                        <wp:extent cx="1892300" cy="1875155"/>
                        <wp:effectExtent l="0" t="0" r="12700" b="10795"/>
                        <wp:docPr id="49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2"/>
                                <pic:cNvPicPr>
                                  <a:picLocks noChangeAspect="1"/>
                                </pic:cNvPicPr>
                              </pic:nvPicPr>
                              <pic:blipFill>
                                <a:blip r:embed="rId16"/>
                                <a:stretch>
                                  <a:fillRect/>
                                </a:stretch>
                              </pic:blipFill>
                              <pic:spPr>
                                <a:xfrm>
                                  <a:off x="0" y="0"/>
                                  <a:ext cx="1892300" cy="1875155"/>
                                </a:xfrm>
                                <a:prstGeom prst="rect">
                                  <a:avLst/>
                                </a:prstGeom>
                                <a:noFill/>
                                <a:ln>
                                  <a:noFill/>
                                </a:ln>
                              </pic:spPr>
                            </pic:pic>
                          </a:graphicData>
                        </a:graphic>
                      </wp:inline>
                    </w:drawing>
                  </w:r>
                </w:p>
              </w:tc>
              <w:tc>
                <w:tcPr>
                  <w:tcW w:w="3843" w:type="dxa"/>
                  <w:tcBorders>
                    <w:top w:val="single" w:color="auto" w:sz="4" w:space="0"/>
                    <w:left w:val="single" w:color="auto" w:sz="4" w:space="0"/>
                    <w:bottom w:val="single" w:color="auto" w:sz="4" w:space="0"/>
                    <w:right w:val="single" w:color="auto" w:sz="4" w:space="0"/>
                  </w:tcBorders>
                  <w:noWrap w:val="0"/>
                  <w:vAlign w:val="center"/>
                </w:tcPr>
                <w:p w14:paraId="70E8FE16">
                  <w:pPr>
                    <w:keepNext w:val="0"/>
                    <w:keepLines w:val="0"/>
                    <w:suppressLineNumbers w:val="0"/>
                    <w:snapToGrid w:val="0"/>
                    <w:spacing w:beforeAutospacing="0" w:afterAutospacing="0"/>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a、危险废物分区标志的字体宜采用黑体字，其中“危险废物贮存分区标志”字样应加粗放大并居中显示。</w:t>
                  </w:r>
                </w:p>
                <w:p w14:paraId="4CDD535F">
                  <w:pPr>
                    <w:keepNext w:val="0"/>
                    <w:keepLines w:val="0"/>
                    <w:suppressLineNumbers w:val="0"/>
                    <w:snapToGrid w:val="0"/>
                    <w:spacing w:beforeAutospacing="0" w:afterAutospacing="0"/>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b、危险废物分区标志背景色应采用黄色，RGB 颜色值为（255, 255, 0）。废物种类信息应采用醒目的橘黄色，RGB 颜色值为（255, 150, 0）。字体颜色为黑色，RGB 颜色值为（0, 0, 0）。</w:t>
                  </w:r>
                </w:p>
                <w:p w14:paraId="10798685">
                  <w:pPr>
                    <w:keepNext w:val="0"/>
                    <w:keepLines w:val="0"/>
                    <w:suppressLineNumbers w:val="0"/>
                    <w:snapToGrid w:val="0"/>
                    <w:spacing w:beforeAutospacing="0" w:afterAutospacing="0"/>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c、危险废物贮存分区标志的图形和文字应清晰、完整，保证在足够的观察距离条件下不影响阅读。“危险废物贮存分区标志”字样与其他信息宜加黑色分界线区分，分界线的宽度不小于 2 mm。</w:t>
                  </w:r>
                </w:p>
              </w:tc>
            </w:tr>
            <w:tr w14:paraId="6CE9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2172" w:type="dxa"/>
                  <w:tcBorders>
                    <w:top w:val="single" w:color="auto" w:sz="4" w:space="0"/>
                    <w:left w:val="single" w:color="auto" w:sz="4" w:space="0"/>
                    <w:bottom w:val="single" w:color="auto" w:sz="4" w:space="0"/>
                    <w:right w:val="single" w:color="auto" w:sz="4" w:space="0"/>
                  </w:tcBorders>
                  <w:noWrap w:val="0"/>
                  <w:vAlign w:val="center"/>
                </w:tcPr>
                <w:p w14:paraId="5207B8B5">
                  <w:pPr>
                    <w:keepNext w:val="0"/>
                    <w:keepLines w:val="0"/>
                    <w:suppressLineNumbers w:val="0"/>
                    <w:snapToGrid w:val="0"/>
                    <w:spacing w:beforeAutospacing="0" w:afterAutospacing="0"/>
                    <w:jc w:val="center"/>
                    <w:rPr>
                      <w:rFonts w:hint="default" w:ascii="Times New Roman" w:hAnsi="Times New Roman" w:cs="Times New Roman"/>
                      <w:b/>
                      <w:bCs/>
                      <w:color w:val="auto"/>
                      <w:sz w:val="21"/>
                      <w:szCs w:val="21"/>
                      <w:highlight w:val="none"/>
                      <w:shd w:val="clear" w:color="auto" w:fill="auto"/>
                    </w:rPr>
                  </w:pPr>
                  <w:r>
                    <w:rPr>
                      <w:rFonts w:hint="default" w:ascii="Times New Roman" w:hAnsi="Times New Roman" w:cs="Times New Roman"/>
                      <w:b/>
                      <w:bCs/>
                      <w:color w:val="auto"/>
                      <w:sz w:val="21"/>
                      <w:szCs w:val="21"/>
                      <w:highlight w:val="none"/>
                      <w:shd w:val="clear" w:color="auto" w:fill="auto"/>
                    </w:rPr>
                    <w:t>危险废物贮存设施标志</w:t>
                  </w:r>
                </w:p>
              </w:tc>
              <w:tc>
                <w:tcPr>
                  <w:tcW w:w="3216" w:type="dxa"/>
                  <w:tcBorders>
                    <w:top w:val="single" w:color="auto" w:sz="4" w:space="0"/>
                    <w:left w:val="single" w:color="auto" w:sz="4" w:space="0"/>
                    <w:bottom w:val="single" w:color="auto" w:sz="4" w:space="0"/>
                    <w:right w:val="single" w:color="auto" w:sz="4" w:space="0"/>
                  </w:tcBorders>
                  <w:noWrap w:val="0"/>
                  <w:vAlign w:val="center"/>
                </w:tcPr>
                <w:p w14:paraId="3AAB11D2">
                  <w:pPr>
                    <w:keepNext w:val="0"/>
                    <w:keepLines w:val="0"/>
                    <w:suppressLineNumbers w:val="0"/>
                    <w:snapToGrid w:val="0"/>
                    <w:spacing w:beforeAutospacing="0" w:afterAutospacing="0"/>
                    <w:jc w:val="center"/>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drawing>
                      <wp:inline distT="0" distB="0" distL="114300" distR="114300">
                        <wp:extent cx="1890395" cy="1169670"/>
                        <wp:effectExtent l="0" t="0" r="14605" b="11430"/>
                        <wp:docPr id="50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3"/>
                                <pic:cNvPicPr>
                                  <a:picLocks noChangeAspect="1"/>
                                </pic:cNvPicPr>
                              </pic:nvPicPr>
                              <pic:blipFill>
                                <a:blip r:embed="rId17"/>
                                <a:stretch>
                                  <a:fillRect/>
                                </a:stretch>
                              </pic:blipFill>
                              <pic:spPr>
                                <a:xfrm>
                                  <a:off x="0" y="0"/>
                                  <a:ext cx="1890395" cy="1169670"/>
                                </a:xfrm>
                                <a:prstGeom prst="rect">
                                  <a:avLst/>
                                </a:prstGeom>
                                <a:noFill/>
                                <a:ln>
                                  <a:noFill/>
                                </a:ln>
                              </pic:spPr>
                            </pic:pic>
                          </a:graphicData>
                        </a:graphic>
                      </wp:inline>
                    </w:drawing>
                  </w:r>
                </w:p>
              </w:tc>
              <w:tc>
                <w:tcPr>
                  <w:tcW w:w="3843" w:type="dxa"/>
                  <w:tcBorders>
                    <w:top w:val="single" w:color="auto" w:sz="4" w:space="0"/>
                    <w:left w:val="single" w:color="auto" w:sz="4" w:space="0"/>
                    <w:right w:val="single" w:color="auto" w:sz="4" w:space="0"/>
                  </w:tcBorders>
                  <w:noWrap w:val="0"/>
                  <w:vAlign w:val="center"/>
                </w:tcPr>
                <w:p w14:paraId="6A31B877">
                  <w:pPr>
                    <w:keepNext w:val="0"/>
                    <w:keepLines w:val="0"/>
                    <w:suppressLineNumbers w:val="0"/>
                    <w:snapToGrid w:val="0"/>
                    <w:spacing w:beforeAutospacing="0" w:afterAutospacing="0"/>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a、危险废物设施标志背景颜色为黄色，RGB 颜色值为（255, 255, 0）。字体和边框颜色为黑色，RGB颜色值为（0, 0, 0）。</w:t>
                  </w:r>
                </w:p>
                <w:p w14:paraId="7BCC864E">
                  <w:pPr>
                    <w:keepNext w:val="0"/>
                    <w:keepLines w:val="0"/>
                    <w:suppressLineNumbers w:val="0"/>
                    <w:snapToGrid w:val="0"/>
                    <w:spacing w:beforeAutospacing="0" w:afterAutospacing="0"/>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b、危险废物设施标志字体应采用黑体字，其中危险废物设施类型的字样应加粗放大并居中显示。</w:t>
                  </w:r>
                </w:p>
                <w:p w14:paraId="184CCC99">
                  <w:pPr>
                    <w:keepNext w:val="0"/>
                    <w:keepLines w:val="0"/>
                    <w:suppressLineNumbers w:val="0"/>
                    <w:snapToGrid w:val="0"/>
                    <w:spacing w:beforeAutospacing="0" w:afterAutospacing="0"/>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c、危险废物贮存、利用、处置设施标志宜采用坚固耐用的材料（如 1.5 mm～2 mm 冷轧钢板），并做搪瓷处理或贴膜处理。一般不宜使用遇水变形、变质或易燃的材料。柱式标志牌的立柱可采用 38×4无缝钢管或其他坚固耐用的材料，并经过防腐处理。</w:t>
                  </w:r>
                </w:p>
                <w:p w14:paraId="01D5194F">
                  <w:pPr>
                    <w:keepNext w:val="0"/>
                    <w:keepLines w:val="0"/>
                    <w:suppressLineNumbers w:val="0"/>
                    <w:snapToGrid w:val="0"/>
                    <w:spacing w:beforeAutospacing="0" w:afterAutospacing="0"/>
                    <w:rPr>
                      <w:rFonts w:hint="default" w:ascii="Times New Roman" w:hAnsi="Times New Roman" w:cs="Times New Roman"/>
                      <w:color w:val="auto"/>
                      <w:sz w:val="21"/>
                      <w:szCs w:val="21"/>
                      <w:highlight w:val="none"/>
                      <w:shd w:val="clear" w:color="auto" w:fill="auto"/>
                    </w:rPr>
                  </w:pPr>
                  <w:r>
                    <w:rPr>
                      <w:rFonts w:hint="default" w:ascii="Times New Roman" w:hAnsi="Times New Roman" w:cs="Times New Roman"/>
                      <w:color w:val="auto"/>
                      <w:sz w:val="21"/>
                      <w:szCs w:val="21"/>
                      <w:highlight w:val="none"/>
                      <w:shd w:val="clear" w:color="auto" w:fill="auto"/>
                    </w:rPr>
                    <w:t>d、危险废物贮存、利用、处置设施标志的图形和文字应清晰、完整，保证在足够的观察距离条件下也不影响阅读。三角形警告性图形与其他信息间宜加黑色分界线区分，分界线的宽度宜不小于 3 mm。</w:t>
                  </w:r>
                </w:p>
              </w:tc>
            </w:tr>
          </w:tbl>
          <w:p w14:paraId="6A490650">
            <w:pPr>
              <w:pStyle w:val="19"/>
              <w:keepNext w:val="0"/>
              <w:keepLines w:val="0"/>
              <w:suppressLineNumbers w:val="0"/>
              <w:spacing w:beforeAutospacing="0" w:afterAutospacing="0" w:line="400" w:lineRule="exact"/>
              <w:ind w:left="110" w:leftChars="50" w:right="110" w:rightChars="50"/>
              <w:jc w:val="both"/>
              <w:rPr>
                <w:rFonts w:hint="default" w:ascii="Times New Roman" w:hAnsi="Times New Roman" w:cs="Times New Roman"/>
                <w:color w:val="auto"/>
                <w:kern w:val="2"/>
                <w:sz w:val="21"/>
                <w:szCs w:val="21"/>
                <w:lang w:val="en-US" w:bidi="ar-SA"/>
              </w:rPr>
            </w:pPr>
            <w:r>
              <w:rPr>
                <w:rFonts w:hint="default" w:ascii="Times New Roman" w:hAnsi="Times New Roman" w:cs="Times New Roman"/>
                <w:color w:val="auto"/>
                <w:sz w:val="21"/>
                <w:szCs w:val="21"/>
                <w:lang w:val="en-US"/>
              </w:rPr>
              <w:t>建设项目危废收集贮存后委托有资质单位处置</w:t>
            </w:r>
            <w:r>
              <w:rPr>
                <w:rFonts w:hint="default" w:ascii="Times New Roman" w:hAnsi="Times New Roman" w:cs="Times New Roman"/>
                <w:color w:val="auto"/>
                <w:sz w:val="21"/>
                <w:szCs w:val="21"/>
              </w:rPr>
              <w:t>，本项目产生的固废均得到合理处理，不排入外环境</w:t>
            </w:r>
            <w:r>
              <w:rPr>
                <w:rFonts w:hint="default" w:ascii="Times New Roman" w:hAnsi="Times New Roman" w:cs="Times New Roman"/>
                <w:color w:val="auto"/>
                <w:kern w:val="2"/>
                <w:sz w:val="21"/>
                <w:szCs w:val="21"/>
                <w:lang w:val="en-US" w:bidi="ar-SA"/>
              </w:rPr>
              <w:t>。</w:t>
            </w:r>
          </w:p>
          <w:p w14:paraId="15B7CC16">
            <w:pPr>
              <w:keepNext w:val="0"/>
              <w:keepLines w:val="0"/>
              <w:suppressLineNumbers w:val="0"/>
              <w:autoSpaceDE/>
              <w:autoSpaceDN/>
              <w:adjustRightInd w:val="0"/>
              <w:snapToGrid w:val="0"/>
              <w:spacing w:beforeAutospacing="0" w:afterAutospacing="0" w:line="400" w:lineRule="exact"/>
              <w:ind w:firstLine="420" w:firstLineChars="200"/>
              <w:rPr>
                <w:rFonts w:hint="default" w:ascii="Times New Roman" w:hAnsi="Times New Roman" w:cs="Times New Roman"/>
                <w:color w:val="auto"/>
                <w:kern w:val="2"/>
                <w:sz w:val="21"/>
                <w:szCs w:val="21"/>
                <w:lang w:val="en-US" w:bidi="ar-SA"/>
              </w:rPr>
            </w:pPr>
            <w:r>
              <w:rPr>
                <w:rFonts w:hint="default" w:ascii="Times New Roman" w:hAnsi="Times New Roman" w:cs="Times New Roman"/>
                <w:color w:val="auto"/>
                <w:kern w:val="2"/>
                <w:sz w:val="21"/>
                <w:szCs w:val="21"/>
                <w:lang w:val="en-US" w:bidi="ar-SA"/>
              </w:rPr>
              <w:t>（3）危废转运管理要求：</w:t>
            </w:r>
          </w:p>
          <w:p w14:paraId="767013E4">
            <w:pPr>
              <w:keepNext w:val="0"/>
              <w:keepLines w:val="0"/>
              <w:suppressLineNumbers w:val="0"/>
              <w:autoSpaceDE/>
              <w:autoSpaceDN/>
              <w:adjustRightInd w:val="0"/>
              <w:snapToGrid w:val="0"/>
              <w:spacing w:beforeAutospacing="0" w:afterAutospacing="0" w:line="400" w:lineRule="exact"/>
              <w:ind w:left="110" w:leftChars="50" w:firstLine="420" w:firstLineChars="200"/>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bidi="ar-SA"/>
              </w:rPr>
              <w:t>按照2022年1月1日施行的生态环境部公安部交通运输部部令第23号《</w:t>
            </w:r>
            <w:r>
              <w:rPr>
                <w:rFonts w:hint="eastAsia" w:ascii="Times New Roman" w:hAnsi="Times New Roman" w:cs="Times New Roman"/>
                <w:color w:val="auto"/>
                <w:kern w:val="2"/>
                <w:sz w:val="21"/>
                <w:szCs w:val="21"/>
                <w:lang w:val="en-US" w:bidi="ar-SA"/>
              </w:rPr>
              <w:t>危险废物转移管理办法</w:t>
            </w:r>
            <w:r>
              <w:rPr>
                <w:rFonts w:hint="default" w:ascii="Times New Roman" w:hAnsi="Times New Roman" w:cs="Times New Roman"/>
                <w:color w:val="auto"/>
                <w:kern w:val="2"/>
                <w:sz w:val="21"/>
                <w:szCs w:val="21"/>
                <w:lang w:val="en-US" w:bidi="ar-SA"/>
              </w:rPr>
              <w:t>》中的规定</w:t>
            </w:r>
            <w:r>
              <w:rPr>
                <w:rFonts w:hint="eastAsia" w:ascii="Times New Roman" w:hAnsi="Times New Roman" w:cs="Times New Roman"/>
                <w:color w:val="auto"/>
                <w:kern w:val="2"/>
                <w:sz w:val="21"/>
                <w:szCs w:val="21"/>
                <w:lang w:val="en-US" w:eastAsia="zh-CN" w:bidi="ar-SA"/>
              </w:rPr>
              <w:t>：</w:t>
            </w:r>
          </w:p>
          <w:p w14:paraId="63F966ED">
            <w:pPr>
              <w:keepNext w:val="0"/>
              <w:keepLines w:val="0"/>
              <w:suppressLineNumbers w:val="0"/>
              <w:autoSpaceDE/>
              <w:autoSpaceDN/>
              <w:adjustRightInd w:val="0"/>
              <w:snapToGrid w:val="0"/>
              <w:spacing w:beforeAutospacing="0" w:afterAutospacing="0" w:line="400" w:lineRule="exact"/>
              <w:ind w:left="110" w:leftChars="50" w:firstLine="420" w:firstLineChars="200"/>
              <w:rPr>
                <w:rFonts w:hint="eastAsia"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eastAsia="zh-CN" w:bidi="ar-SA"/>
              </w:rPr>
              <w:t>a、</w:t>
            </w:r>
            <w:r>
              <w:rPr>
                <w:rFonts w:hint="eastAsia" w:ascii="Times New Roman" w:hAnsi="Times New Roman" w:cs="Times New Roman"/>
                <w:color w:val="auto"/>
                <w:kern w:val="2"/>
                <w:sz w:val="21"/>
                <w:szCs w:val="21"/>
                <w:lang w:val="en-US" w:bidi="ar-SA"/>
              </w:rPr>
              <w:t>危险废物转移联单应当根据危险废物管理计划中填报的危险废物转移等备案信息填写、运行。</w:t>
            </w:r>
          </w:p>
          <w:p w14:paraId="020B73A6">
            <w:pPr>
              <w:keepNext w:val="0"/>
              <w:keepLines w:val="0"/>
              <w:suppressLineNumbers w:val="0"/>
              <w:autoSpaceDE/>
              <w:autoSpaceDN/>
              <w:adjustRightInd w:val="0"/>
              <w:snapToGrid w:val="0"/>
              <w:spacing w:beforeAutospacing="0" w:afterAutospacing="0" w:line="400" w:lineRule="exact"/>
              <w:ind w:left="110" w:leftChars="50" w:firstLine="420" w:firstLineChars="200"/>
              <w:rPr>
                <w:rFonts w:hint="eastAsia"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eastAsia="zh-CN" w:bidi="ar-SA"/>
              </w:rPr>
              <w:t>b、</w:t>
            </w:r>
            <w:r>
              <w:rPr>
                <w:rFonts w:hint="eastAsia" w:ascii="Times New Roman" w:hAnsi="Times New Roman" w:cs="Times New Roman"/>
                <w:color w:val="auto"/>
                <w:kern w:val="2"/>
                <w:sz w:val="21"/>
                <w:szCs w:val="21"/>
                <w:lang w:val="en-US" w:bidi="ar-SA"/>
              </w:rPr>
              <w:t>危险废物转移联单实行全国统一编号，编号由十四位阿拉伯数字组成。第一至四位数字为年份代码；第五、六位数字为移出地省级行政区划代码；第七、八位数字为移出地设区的市级行政区划代码；其余六位数字以移出地设区的市级行政区域为单位进行流水编号。</w:t>
            </w:r>
          </w:p>
          <w:p w14:paraId="528509D8">
            <w:pPr>
              <w:keepNext w:val="0"/>
              <w:keepLines w:val="0"/>
              <w:suppressLineNumbers w:val="0"/>
              <w:autoSpaceDE/>
              <w:autoSpaceDN/>
              <w:adjustRightInd w:val="0"/>
              <w:snapToGrid w:val="0"/>
              <w:spacing w:beforeAutospacing="0" w:afterAutospacing="0" w:line="400" w:lineRule="exact"/>
              <w:ind w:left="110" w:leftChars="50" w:firstLine="420" w:firstLineChars="200"/>
              <w:rPr>
                <w:rFonts w:hint="eastAsia"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eastAsia="zh-CN" w:bidi="ar-SA"/>
              </w:rPr>
              <w:t>c、</w:t>
            </w:r>
            <w:r>
              <w:rPr>
                <w:rFonts w:hint="eastAsia" w:ascii="Times New Roman" w:hAnsi="Times New Roman" w:cs="Times New Roman"/>
                <w:color w:val="auto"/>
                <w:kern w:val="2"/>
                <w:sz w:val="21"/>
                <w:szCs w:val="21"/>
                <w:lang w:val="en-US" w:bidi="ar-SA"/>
              </w:rPr>
              <w:t>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使用同一车（船或者其他运输工具）一次为多个移出人转移危险废物的，每个移出人应当分别填写、运行危险废物转移联单。</w:t>
            </w:r>
          </w:p>
          <w:p w14:paraId="2531E533">
            <w:pPr>
              <w:keepNext w:val="0"/>
              <w:keepLines w:val="0"/>
              <w:suppressLineNumbers w:val="0"/>
              <w:autoSpaceDE/>
              <w:autoSpaceDN/>
              <w:adjustRightInd w:val="0"/>
              <w:snapToGrid w:val="0"/>
              <w:spacing w:beforeAutospacing="0" w:afterAutospacing="0" w:line="400" w:lineRule="exact"/>
              <w:ind w:left="110" w:leftChars="50" w:firstLine="420" w:firstLineChars="200"/>
              <w:rPr>
                <w:rFonts w:hint="eastAsia"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eastAsia="zh-CN" w:bidi="ar-SA"/>
              </w:rPr>
              <w:t>d、</w:t>
            </w:r>
            <w:r>
              <w:rPr>
                <w:rFonts w:hint="eastAsia" w:ascii="Times New Roman" w:hAnsi="Times New Roman" w:cs="Times New Roman"/>
                <w:color w:val="auto"/>
                <w:kern w:val="2"/>
                <w:sz w:val="21"/>
                <w:szCs w:val="21"/>
                <w:lang w:val="en-US" w:bidi="ar-SA"/>
              </w:rPr>
              <w:t>采用联运方式转移危险废物的，前一承运人和后一承运人应当明确运输交接的时间和地点。后一承运人应当核实危险废物转移联单确定的移出人信息、前一承运人信息及危险废物相关信息。</w:t>
            </w:r>
          </w:p>
          <w:p w14:paraId="0C161EE3">
            <w:pPr>
              <w:keepNext w:val="0"/>
              <w:keepLines w:val="0"/>
              <w:suppressLineNumbers w:val="0"/>
              <w:autoSpaceDE/>
              <w:autoSpaceDN/>
              <w:adjustRightInd w:val="0"/>
              <w:snapToGrid w:val="0"/>
              <w:spacing w:beforeAutospacing="0" w:afterAutospacing="0" w:line="400" w:lineRule="exact"/>
              <w:ind w:left="110" w:leftChars="50" w:firstLine="420" w:firstLineChars="200"/>
              <w:rPr>
                <w:rFonts w:hint="eastAsia"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eastAsia="zh-CN" w:bidi="ar-SA"/>
              </w:rPr>
              <w:t>e、</w:t>
            </w:r>
            <w:r>
              <w:rPr>
                <w:rFonts w:hint="eastAsia" w:ascii="Times New Roman" w:hAnsi="Times New Roman" w:cs="Times New Roman"/>
                <w:color w:val="auto"/>
                <w:kern w:val="2"/>
                <w:sz w:val="21"/>
                <w:szCs w:val="21"/>
                <w:lang w:val="en-US" w:bidi="ar-SA"/>
              </w:rPr>
              <w:t>接受人应当对运抵的危险废物进行核实验收，并在接受之日起五个工作日内通过信息系统确认接受。</w:t>
            </w:r>
          </w:p>
          <w:p w14:paraId="483D5F39">
            <w:pPr>
              <w:keepNext w:val="0"/>
              <w:keepLines w:val="0"/>
              <w:suppressLineNumbers w:val="0"/>
              <w:autoSpaceDE/>
              <w:autoSpaceDN/>
              <w:adjustRightInd w:val="0"/>
              <w:snapToGrid w:val="0"/>
              <w:spacing w:beforeAutospacing="0" w:afterAutospacing="0" w:line="400" w:lineRule="exact"/>
              <w:ind w:left="110" w:leftChars="50" w:firstLine="420" w:firstLineChars="200"/>
              <w:rPr>
                <w:rFonts w:hint="eastAsia"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eastAsia="zh-CN" w:bidi="ar-SA"/>
              </w:rPr>
              <w:t>f、</w:t>
            </w:r>
            <w:r>
              <w:rPr>
                <w:rFonts w:hint="eastAsia" w:ascii="Times New Roman" w:hAnsi="Times New Roman" w:cs="Times New Roman"/>
                <w:color w:val="auto"/>
                <w:kern w:val="2"/>
                <w:sz w:val="21"/>
                <w:szCs w:val="21"/>
                <w:lang w:val="en-US" w:bidi="ar-SA"/>
              </w:rPr>
              <w:t>运抵的危险废物的名称、数量、特性、形态、包装方式与危险废物转移联单填写内容不符的，接受人应当及时告知移出人，视情况决定是否接受，同时向接受地生态环境主管部门报告。</w:t>
            </w:r>
          </w:p>
          <w:p w14:paraId="39F2D195">
            <w:pPr>
              <w:keepNext w:val="0"/>
              <w:keepLines w:val="0"/>
              <w:suppressLineNumbers w:val="0"/>
              <w:autoSpaceDE/>
              <w:autoSpaceDN/>
              <w:adjustRightInd w:val="0"/>
              <w:snapToGrid w:val="0"/>
              <w:spacing w:beforeAutospacing="0" w:afterAutospacing="0" w:line="400" w:lineRule="exact"/>
              <w:ind w:left="110" w:leftChars="50" w:firstLine="420" w:firstLineChars="200"/>
              <w:rPr>
                <w:rFonts w:hint="eastAsia"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eastAsia="zh-CN" w:bidi="ar-SA"/>
              </w:rPr>
              <w:t>g、</w:t>
            </w:r>
            <w:r>
              <w:rPr>
                <w:rFonts w:hint="eastAsia" w:ascii="Times New Roman" w:hAnsi="Times New Roman" w:cs="Times New Roman"/>
                <w:color w:val="auto"/>
                <w:kern w:val="2"/>
                <w:sz w:val="21"/>
                <w:szCs w:val="21"/>
                <w:lang w:val="en-US" w:bidi="ar-SA"/>
              </w:rPr>
              <w:t>对不通过车（船或者其他运输工具），且无法按次对危险废物计量的其他方式转移危险废物的，移出人和接受人应当分别配备计量记录设备，将每天危险废物转移的种类、重量（数量）、形态和危险特性等信息纳入相关台账记录，并根据所在地设区的市级以上地方生态环境主管部门的要求填写、运行危险废物转移联单。</w:t>
            </w:r>
          </w:p>
          <w:p w14:paraId="073D3EA9">
            <w:pPr>
              <w:keepNext w:val="0"/>
              <w:keepLines w:val="0"/>
              <w:suppressLineNumbers w:val="0"/>
              <w:autoSpaceDE/>
              <w:autoSpaceDN/>
              <w:adjustRightInd w:val="0"/>
              <w:snapToGrid w:val="0"/>
              <w:spacing w:beforeAutospacing="0" w:afterAutospacing="0" w:line="400" w:lineRule="exact"/>
              <w:ind w:left="110" w:leftChars="50" w:firstLine="420" w:firstLineChars="200"/>
              <w:rPr>
                <w:rFonts w:hint="eastAsia"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eastAsia="zh-CN" w:bidi="ar-SA"/>
              </w:rPr>
              <w:t>h、</w:t>
            </w:r>
            <w:r>
              <w:rPr>
                <w:rFonts w:hint="eastAsia" w:ascii="Times New Roman" w:hAnsi="Times New Roman" w:cs="Times New Roman"/>
                <w:color w:val="auto"/>
                <w:kern w:val="2"/>
                <w:sz w:val="21"/>
                <w:szCs w:val="21"/>
                <w:lang w:val="en-US" w:bidi="ar-SA"/>
              </w:rPr>
              <w:t>危险废物电子转移联单数据应当在信息系统中至少保存十年。</w:t>
            </w:r>
          </w:p>
          <w:p w14:paraId="552F1FC2">
            <w:pPr>
              <w:keepNext w:val="0"/>
              <w:keepLines w:val="0"/>
              <w:suppressLineNumbers w:val="0"/>
              <w:autoSpaceDE/>
              <w:autoSpaceDN/>
              <w:adjustRightInd w:val="0"/>
              <w:snapToGrid w:val="0"/>
              <w:spacing w:beforeAutospacing="0" w:afterAutospacing="0" w:line="400" w:lineRule="exact"/>
              <w:ind w:left="110" w:leftChars="50" w:firstLine="420" w:firstLineChars="200"/>
              <w:rPr>
                <w:rFonts w:hint="default"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因特殊原因无法运行危险废物电子转移联单的，可以先使用纸质转移联单，并于转移活动完成后十个工作日内在信息系统中补录电子转移联单。</w:t>
            </w:r>
          </w:p>
          <w:p w14:paraId="2A466D01">
            <w:pPr>
              <w:keepNext w:val="0"/>
              <w:keepLines w:val="0"/>
              <w:suppressLineNumbers w:val="0"/>
              <w:autoSpaceDE/>
              <w:autoSpaceDN/>
              <w:adjustRightInd w:val="0"/>
              <w:snapToGrid w:val="0"/>
              <w:spacing w:beforeAutospacing="0" w:afterAutospacing="0" w:line="400" w:lineRule="exact"/>
              <w:ind w:left="110" w:leftChars="50" w:firstLine="420" w:firstLineChars="200"/>
              <w:rPr>
                <w:rFonts w:hint="default" w:ascii="Times New Roman" w:hAnsi="Times New Roman" w:cs="Times New Roman"/>
                <w:color w:val="auto"/>
                <w:kern w:val="2"/>
                <w:sz w:val="21"/>
                <w:szCs w:val="21"/>
                <w:lang w:val="en-US" w:bidi="ar-SA"/>
              </w:rPr>
            </w:pPr>
            <w:r>
              <w:rPr>
                <w:rFonts w:hint="default" w:ascii="Times New Roman" w:hAnsi="Times New Roman" w:cs="Times New Roman"/>
                <w:color w:val="auto"/>
                <w:kern w:val="2"/>
                <w:sz w:val="21"/>
                <w:szCs w:val="21"/>
                <w:lang w:val="en-US" w:bidi="ar-SA"/>
              </w:rPr>
              <w:t>经过采取以上措施，危险废物处理与处置符合《</w:t>
            </w:r>
            <w:r>
              <w:rPr>
                <w:rFonts w:hint="default" w:ascii="Times New Roman" w:hAnsi="Times New Roman" w:cs="Times New Roman"/>
                <w:color w:val="auto"/>
                <w:sz w:val="21"/>
                <w:szCs w:val="21"/>
                <w:lang w:val="en-US"/>
              </w:rPr>
              <w:t>危险废物贮存污染控制标准》（GB18597—2023）</w:t>
            </w:r>
            <w:r>
              <w:rPr>
                <w:rFonts w:hint="default" w:ascii="Times New Roman" w:hAnsi="Times New Roman" w:cs="Times New Roman"/>
                <w:color w:val="auto"/>
                <w:kern w:val="2"/>
                <w:sz w:val="21"/>
                <w:szCs w:val="21"/>
                <w:lang w:val="en-US" w:bidi="ar-SA"/>
              </w:rPr>
              <w:t>有关要求。</w:t>
            </w:r>
          </w:p>
          <w:p w14:paraId="2BB636E8">
            <w:pPr>
              <w:keepNext w:val="0"/>
              <w:keepLines w:val="0"/>
              <w:suppressLineNumbers w:val="0"/>
              <w:autoSpaceDE/>
              <w:autoSpaceDN/>
              <w:adjustRightInd w:val="0"/>
              <w:snapToGrid w:val="0"/>
              <w:spacing w:beforeAutospacing="0" w:afterAutospacing="0" w:line="400" w:lineRule="exact"/>
              <w:ind w:left="110" w:leftChars="50" w:firstLine="420" w:firstLineChars="200"/>
              <w:rPr>
                <w:rFonts w:hint="default" w:ascii="Times New Roman" w:hAnsi="Times New Roman" w:cs="Times New Roman"/>
                <w:b/>
                <w:bCs/>
                <w:color w:val="auto"/>
                <w:kern w:val="2"/>
                <w:sz w:val="21"/>
                <w:szCs w:val="21"/>
                <w:lang w:val="en-US" w:bidi="ar-SA"/>
              </w:rPr>
            </w:pPr>
            <w:r>
              <w:rPr>
                <w:rFonts w:hint="default" w:ascii="Times New Roman" w:hAnsi="Times New Roman" w:cs="Times New Roman"/>
                <w:color w:val="auto"/>
                <w:kern w:val="2"/>
                <w:sz w:val="21"/>
                <w:szCs w:val="21"/>
                <w:lang w:val="en-US" w:bidi="ar-SA"/>
              </w:rPr>
              <w:t>由上述分析可知，工程产生的工业固体废物全部得到了妥善处置或合理安置。在建设单位认真落实评价建议，采取相应的防渗措施，日常生产过程中加强对固废临时堆放场所管理的基础上，固体废物不会对周围环境产生污染影响</w:t>
            </w:r>
            <w:r>
              <w:rPr>
                <w:rFonts w:hint="eastAsia" w:ascii="Times New Roman" w:hAnsi="Times New Roman" w:cs="Times New Roman"/>
                <w:color w:val="auto"/>
                <w:kern w:val="2"/>
                <w:sz w:val="21"/>
                <w:szCs w:val="21"/>
                <w:lang w:val="en-US" w:bidi="ar-SA"/>
              </w:rPr>
              <w:t>。</w:t>
            </w:r>
          </w:p>
          <w:p w14:paraId="42BD057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0" w:leftChars="0" w:firstLine="422"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cs="Times New Roman"/>
                <w:b/>
                <w:bCs/>
                <w:color w:val="auto"/>
                <w:kern w:val="2"/>
                <w:sz w:val="21"/>
                <w:szCs w:val="21"/>
                <w:lang w:val="en-US" w:eastAsia="zh-CN" w:bidi="ar-SA"/>
              </w:rPr>
              <w:t>五</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bCs/>
                <w:color w:val="auto"/>
                <w:kern w:val="2"/>
                <w:sz w:val="21"/>
                <w:szCs w:val="21"/>
                <w:lang w:val="zh-CN" w:eastAsia="zh-CN" w:bidi="ar-SA"/>
              </w:rPr>
              <w:t>地下水</w:t>
            </w:r>
            <w:r>
              <w:rPr>
                <w:rFonts w:hint="default" w:ascii="Times New Roman" w:hAnsi="Times New Roman" w:cs="Times New Roman"/>
                <w:b/>
                <w:bCs/>
                <w:color w:val="auto"/>
                <w:kern w:val="2"/>
                <w:sz w:val="21"/>
                <w:szCs w:val="21"/>
                <w:lang w:val="zh-CN" w:eastAsia="zh-CN" w:bidi="ar-SA"/>
              </w:rPr>
              <w:t>、土壤</w:t>
            </w:r>
          </w:p>
          <w:p w14:paraId="7161AC82">
            <w:pPr>
              <w:pStyle w:val="4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0" w:leftChars="0" w:right="0" w:rightChars="0" w:firstLine="482"/>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cs="Times New Roman"/>
                <w:b/>
                <w:bCs/>
                <w:color w:val="auto"/>
                <w:kern w:val="2"/>
                <w:sz w:val="21"/>
                <w:szCs w:val="21"/>
                <w:lang w:val="en-US" w:eastAsia="zh-CN" w:bidi="ar-SA"/>
              </w:rPr>
              <w:t>1、</w:t>
            </w:r>
            <w:r>
              <w:rPr>
                <w:rFonts w:hint="default" w:ascii="Times New Roman" w:hAnsi="Times New Roman" w:eastAsia="宋体" w:cs="Times New Roman"/>
                <w:b/>
                <w:bCs/>
                <w:color w:val="auto"/>
                <w:kern w:val="2"/>
                <w:sz w:val="21"/>
                <w:szCs w:val="21"/>
                <w:lang w:val="zh-CN" w:eastAsia="zh-CN" w:bidi="ar-SA"/>
              </w:rPr>
              <w:t>地下水、土壤污染途径分析</w:t>
            </w:r>
          </w:p>
          <w:p w14:paraId="0CCB4CA7">
            <w:pPr>
              <w:pStyle w:val="4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项目环境影响类型为“污染影响型”</w:t>
            </w:r>
            <w:r>
              <w:rPr>
                <w:rFonts w:hint="eastAsia" w:ascii="Times New Roman" w:hAnsi="Times New Roman" w:cs="Times New Roman"/>
                <w:snapToGrid w:val="0"/>
                <w:color w:val="auto"/>
                <w:sz w:val="21"/>
                <w:szCs w:val="21"/>
                <w:lang w:eastAsia="zh-CN"/>
              </w:rPr>
              <w:t>。</w:t>
            </w:r>
            <w:r>
              <w:rPr>
                <w:rFonts w:hint="default" w:ascii="Times New Roman" w:hAnsi="Times New Roman" w:eastAsia="宋体" w:cs="Times New Roman"/>
                <w:color w:val="auto"/>
                <w:kern w:val="2"/>
                <w:sz w:val="21"/>
                <w:szCs w:val="21"/>
                <w:lang w:val="zh-CN" w:eastAsia="zh-CN" w:bidi="ar-SA"/>
              </w:rPr>
              <w:t>项目不涉及大气沉降影响、地面漫流影响。</w:t>
            </w:r>
          </w:p>
          <w:p w14:paraId="1952EB21">
            <w:pPr>
              <w:pStyle w:val="4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cs="Times New Roman"/>
                <w:b/>
                <w:bCs/>
                <w:color w:val="auto"/>
                <w:kern w:val="2"/>
                <w:sz w:val="21"/>
                <w:szCs w:val="21"/>
                <w:lang w:val="en-US" w:eastAsia="zh-CN" w:bidi="ar-SA"/>
              </w:rPr>
              <w:t>2、地下水、土壤污染防治措施</w:t>
            </w:r>
          </w:p>
          <w:p w14:paraId="6D75FF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40" w:lineRule="exact"/>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2"/>
                <w:sz w:val="21"/>
                <w:szCs w:val="21"/>
                <w:lang w:bidi="ar-SA"/>
              </w:rPr>
              <w:t>为了避免污染地下水、土壤，</w:t>
            </w:r>
            <w:r>
              <w:rPr>
                <w:rFonts w:hint="default" w:ascii="Times New Roman" w:hAnsi="Times New Roman" w:cs="Times New Roman"/>
                <w:color w:val="auto"/>
                <w:sz w:val="21"/>
                <w:szCs w:val="21"/>
                <w:lang w:val="en-US"/>
              </w:rPr>
              <w:t>参照《环境影响评价技术导则地下水环境》（HJ610-2016）、《危险废物贮存污染控制标准》（GB18597-2023）的要求</w:t>
            </w:r>
            <w:r>
              <w:rPr>
                <w:rFonts w:hint="default" w:ascii="Times New Roman" w:hAnsi="Times New Roman" w:eastAsia="宋体" w:cs="Times New Roman"/>
                <w:color w:val="auto"/>
                <w:sz w:val="21"/>
                <w:szCs w:val="21"/>
                <w:lang w:val="en-US" w:eastAsia="zh-CN"/>
              </w:rPr>
              <w:t>，企业</w:t>
            </w:r>
            <w:r>
              <w:rPr>
                <w:rFonts w:hint="eastAsia" w:ascii="Times New Roman" w:hAnsi="Times New Roman" w:cs="Times New Roman"/>
                <w:color w:val="auto"/>
                <w:sz w:val="21"/>
                <w:szCs w:val="21"/>
                <w:lang w:val="en-US" w:eastAsia="zh-CN"/>
              </w:rPr>
              <w:t>租赁厂房现已完成一般地面硬化。本项目检维修用机油、液压油不在厂区内储存，不单独设置油料库，租赁车间现已按照一般防渗区要求建成，防渗要求等效黏土防渗层Mb≥1.5m；K≤1×10</w:t>
            </w:r>
            <w:r>
              <w:rPr>
                <w:rFonts w:hint="eastAsia" w:ascii="Times New Roman" w:hAnsi="Times New Roman" w:cs="Times New Roman"/>
                <w:color w:val="auto"/>
                <w:sz w:val="21"/>
                <w:szCs w:val="21"/>
                <w:vertAlign w:val="superscript"/>
                <w:lang w:val="en-US" w:eastAsia="zh-CN"/>
              </w:rPr>
              <w:t>-7</w:t>
            </w:r>
            <w:r>
              <w:rPr>
                <w:rFonts w:hint="eastAsia" w:ascii="Times New Roman" w:hAnsi="Times New Roman" w:cs="Times New Roman"/>
                <w:color w:val="auto"/>
                <w:sz w:val="21"/>
                <w:szCs w:val="21"/>
                <w:lang w:val="en-US" w:eastAsia="zh-CN"/>
              </w:rPr>
              <w:t>cm/s，厂房外道路已完成一般地面硬化；危废间按照重点防渗区要求进行防渗建设。</w:t>
            </w:r>
            <w:r>
              <w:rPr>
                <w:rFonts w:hint="default" w:ascii="Times New Roman" w:hAnsi="Times New Roman" w:eastAsia="宋体" w:cs="Times New Roman"/>
                <w:color w:val="auto"/>
                <w:sz w:val="21"/>
                <w:szCs w:val="21"/>
                <w:lang w:val="en-US"/>
              </w:rPr>
              <w:t>按下述要求完善厂区相应的防控措施</w:t>
            </w:r>
            <w:r>
              <w:rPr>
                <w:rFonts w:hint="default" w:ascii="Times New Roman" w:hAnsi="Times New Roman" w:eastAsia="宋体" w:cs="Times New Roman"/>
                <w:color w:val="auto"/>
                <w:sz w:val="21"/>
                <w:szCs w:val="21"/>
                <w:lang w:val="en-US" w:eastAsia="zh-CN"/>
              </w:rPr>
              <w:t>，分区防渗图见附图。</w:t>
            </w:r>
          </w:p>
          <w:p w14:paraId="0F23CCDA">
            <w:pPr>
              <w:pStyle w:val="33"/>
              <w:keepNext w:val="0"/>
              <w:keepLines w:val="0"/>
              <w:pageBreakBefore w:val="0"/>
              <w:widowControl w:val="0"/>
              <w:suppressLineNumbers w:val="0"/>
              <w:kinsoku/>
              <w:wordWrap/>
              <w:overflowPunct/>
              <w:topLinePunct w:val="0"/>
              <w:autoSpaceDE/>
              <w:autoSpaceDN/>
              <w:bidi w:val="0"/>
              <w:adjustRightInd/>
              <w:snapToGrid/>
              <w:spacing w:beforeAutospacing="0" w:after="0" w:afterLines="0" w:afterAutospacing="0" w:line="400" w:lineRule="exact"/>
              <w:ind w:left="0" w:leftChars="0" w:firstLine="0" w:firstLineChars="0"/>
              <w:jc w:val="center"/>
              <w:textAlignment w:val="baseline"/>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2"/>
                <w:sz w:val="21"/>
                <w:szCs w:val="21"/>
                <w:highlight w:val="none"/>
                <w:lang w:val="en-US" w:eastAsia="zh-CN" w:bidi="ar-SA"/>
              </w:rPr>
              <w:t>表4.</w:t>
            </w:r>
            <w:r>
              <w:rPr>
                <w:rFonts w:hint="eastAsia" w:ascii="Times New Roman" w:hAnsi="Times New Roman" w:cs="Times New Roman"/>
                <w:b/>
                <w:color w:val="auto"/>
                <w:kern w:val="2"/>
                <w:sz w:val="21"/>
                <w:szCs w:val="21"/>
                <w:highlight w:val="none"/>
                <w:lang w:val="en-US" w:eastAsia="zh-CN" w:bidi="ar-SA"/>
              </w:rPr>
              <w:t>18</w:t>
            </w:r>
            <w:r>
              <w:rPr>
                <w:rFonts w:hint="default" w:ascii="Times New Roman" w:hAnsi="Times New Roman" w:eastAsia="宋体" w:cs="Times New Roman"/>
                <w:b/>
                <w:color w:val="auto"/>
                <w:kern w:val="2"/>
                <w:sz w:val="21"/>
                <w:szCs w:val="21"/>
                <w:highlight w:val="none"/>
                <w:lang w:val="en-US" w:eastAsia="zh-CN" w:bidi="ar-SA"/>
              </w:rPr>
              <w:t xml:space="preserve"> 本项目污染防治分区情况一览表</w:t>
            </w:r>
          </w:p>
          <w:tbl>
            <w:tblPr>
              <w:tblStyle w:val="34"/>
              <w:tblW w:w="4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852"/>
              <w:gridCol w:w="1923"/>
              <w:gridCol w:w="5085"/>
            </w:tblGrid>
            <w:tr w14:paraId="024B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98" w:type="pct"/>
                  <w:vAlign w:val="center"/>
                </w:tcPr>
                <w:p w14:paraId="2FF3BF91">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982" w:type="pct"/>
                  <w:vAlign w:val="center"/>
                </w:tcPr>
                <w:p w14:paraId="336AC3FB">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防治分区</w:t>
                  </w:r>
                </w:p>
              </w:tc>
              <w:tc>
                <w:tcPr>
                  <w:tcW w:w="1020" w:type="pct"/>
                  <w:vAlign w:val="center"/>
                </w:tcPr>
                <w:p w14:paraId="519B5663">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分区位置</w:t>
                  </w:r>
                </w:p>
              </w:tc>
              <w:tc>
                <w:tcPr>
                  <w:tcW w:w="2698" w:type="pct"/>
                  <w:vAlign w:val="center"/>
                </w:tcPr>
                <w:p w14:paraId="69F7E8A3">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防渗要求</w:t>
                  </w:r>
                </w:p>
              </w:tc>
            </w:tr>
            <w:tr w14:paraId="18D3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98" w:type="pct"/>
                  <w:vAlign w:val="center"/>
                </w:tcPr>
                <w:p w14:paraId="1FF1249E">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1</w:t>
                  </w:r>
                </w:p>
              </w:tc>
              <w:tc>
                <w:tcPr>
                  <w:tcW w:w="982" w:type="pct"/>
                  <w:vAlign w:val="center"/>
                </w:tcPr>
                <w:p w14:paraId="4F14F175">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rPr>
                    <w:t>重点防渗区</w:t>
                  </w:r>
                </w:p>
              </w:tc>
              <w:tc>
                <w:tcPr>
                  <w:tcW w:w="1020" w:type="pct"/>
                  <w:vAlign w:val="center"/>
                </w:tcPr>
                <w:p w14:paraId="40F41C32">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 w:val="0"/>
                      <w:bCs w:val="0"/>
                      <w:color w:val="auto"/>
                      <w:kern w:val="2"/>
                      <w:sz w:val="21"/>
                      <w:szCs w:val="21"/>
                      <w:lang w:val="en-US" w:eastAsia="zh-CN" w:bidi="ar-SA"/>
                    </w:rPr>
                    <w:t>危废间</w:t>
                  </w:r>
                </w:p>
              </w:tc>
              <w:tc>
                <w:tcPr>
                  <w:tcW w:w="2698" w:type="pct"/>
                  <w:vAlign w:val="center"/>
                </w:tcPr>
                <w:p w14:paraId="2CADDAF8">
                  <w:pPr>
                    <w:adjustRightInd w:val="0"/>
                    <w:ind w:left="0" w:leftChars="0" w:right="0" w:rightChars="0"/>
                    <w:jc w:val="center"/>
                    <w:rPr>
                      <w:rFonts w:hint="default" w:ascii="Times New Roman" w:hAnsi="Times New Roman" w:eastAsia="宋体" w:cs="Times New Roman"/>
                      <w:color w:val="auto"/>
                      <w:sz w:val="22"/>
                      <w:szCs w:val="21"/>
                      <w:highlight w:val="none"/>
                      <w:lang w:val="zh-CN" w:eastAsia="zh-CN" w:bidi="zh-CN"/>
                    </w:rPr>
                  </w:pPr>
                  <w:r>
                    <w:rPr>
                      <w:rFonts w:hint="default" w:ascii="Times New Roman" w:hAnsi="Times New Roman" w:cs="Times New Roman"/>
                      <w:color w:val="auto"/>
                      <w:kern w:val="2"/>
                      <w:sz w:val="21"/>
                      <w:szCs w:val="21"/>
                      <w:lang w:val="en-US" w:eastAsia="zh-CN" w:bidi="ar-SA"/>
                    </w:rPr>
                    <w:t>危废间设为密闭隔间</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在防渗结构上（包括房间的底部及四周壁）均设置隔离层，并与地面隔离层连成整体；三合土夯实铺底，其上构筑15cm厚防渗混凝土（防渗等级不低于P8），然后敷设2mm厚环氧树脂涂覆，危废间四周设防腐蚀围堰，并设置分区，渗透系数K≤1×10</w:t>
                  </w:r>
                  <w:r>
                    <w:rPr>
                      <w:rFonts w:hint="default" w:ascii="Times New Roman" w:hAnsi="Times New Roman" w:eastAsia="宋体" w:cs="Times New Roman"/>
                      <w:color w:val="auto"/>
                      <w:kern w:val="2"/>
                      <w:sz w:val="21"/>
                      <w:szCs w:val="21"/>
                      <w:vertAlign w:val="superscript"/>
                      <w:lang w:val="zh-CN" w:eastAsia="zh-CN" w:bidi="ar-SA"/>
                    </w:rPr>
                    <w:t>-10</w:t>
                  </w:r>
                  <w:r>
                    <w:rPr>
                      <w:rFonts w:hint="default" w:ascii="Times New Roman" w:hAnsi="Times New Roman" w:eastAsia="宋体" w:cs="Times New Roman"/>
                      <w:color w:val="auto"/>
                      <w:kern w:val="2"/>
                      <w:sz w:val="21"/>
                      <w:szCs w:val="21"/>
                      <w:lang w:val="zh-CN" w:eastAsia="zh-CN" w:bidi="ar-SA"/>
                    </w:rPr>
                    <w:t>cm/s。</w:t>
                  </w:r>
                </w:p>
              </w:tc>
            </w:tr>
            <w:tr w14:paraId="4A58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vAlign w:val="center"/>
                </w:tcPr>
                <w:p w14:paraId="1550962B">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3</w:t>
                  </w:r>
                </w:p>
              </w:tc>
              <w:tc>
                <w:tcPr>
                  <w:tcW w:w="982" w:type="pct"/>
                  <w:vAlign w:val="center"/>
                </w:tcPr>
                <w:p w14:paraId="4F90A78E">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一般防渗区</w:t>
                  </w:r>
                </w:p>
              </w:tc>
              <w:tc>
                <w:tcPr>
                  <w:tcW w:w="1020" w:type="pct"/>
                  <w:vAlign w:val="center"/>
                </w:tcPr>
                <w:p w14:paraId="216524D9">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lang w:val="zh-CN" w:eastAsia="zh-CN" w:bidi="ar-SA"/>
                    </w:rPr>
                    <w:t>生产车间</w:t>
                  </w:r>
                </w:p>
              </w:tc>
              <w:tc>
                <w:tcPr>
                  <w:tcW w:w="2698" w:type="pct"/>
                  <w:vAlign w:val="center"/>
                </w:tcPr>
                <w:p w14:paraId="48C177C1">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生产车间防渗层采用等效黏土防渗层Mb≥1.5m；K≤1×10</w:t>
                  </w:r>
                  <w:r>
                    <w:rPr>
                      <w:rFonts w:hint="default" w:ascii="Times New Roman" w:hAnsi="Times New Roman" w:eastAsia="宋体" w:cs="Times New Roman"/>
                      <w:color w:val="auto"/>
                      <w:kern w:val="2"/>
                      <w:sz w:val="21"/>
                      <w:szCs w:val="21"/>
                      <w:vertAlign w:val="superscript"/>
                      <w:lang w:val="zh-CN" w:eastAsia="zh-CN" w:bidi="ar-SA"/>
                    </w:rPr>
                    <w:t>-7</w:t>
                  </w:r>
                  <w:r>
                    <w:rPr>
                      <w:rFonts w:hint="default" w:ascii="Times New Roman" w:hAnsi="Times New Roman" w:eastAsia="宋体" w:cs="Times New Roman"/>
                      <w:color w:val="auto"/>
                      <w:kern w:val="2"/>
                      <w:sz w:val="21"/>
                      <w:szCs w:val="21"/>
                      <w:lang w:val="zh-CN" w:eastAsia="zh-CN" w:bidi="ar-SA"/>
                    </w:rPr>
                    <w:t>cm/s的防渗性能。</w:t>
                  </w:r>
                </w:p>
              </w:tc>
            </w:tr>
            <w:tr w14:paraId="132E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vAlign w:val="center"/>
                </w:tcPr>
                <w:p w14:paraId="44BB50BC">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5</w:t>
                  </w:r>
                </w:p>
              </w:tc>
              <w:tc>
                <w:tcPr>
                  <w:tcW w:w="982" w:type="pct"/>
                  <w:vAlign w:val="center"/>
                </w:tcPr>
                <w:p w14:paraId="0EF080E8">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rPr>
                    <w:t>简单防渗区</w:t>
                  </w:r>
                </w:p>
              </w:tc>
              <w:tc>
                <w:tcPr>
                  <w:tcW w:w="1020" w:type="pct"/>
                  <w:vAlign w:val="center"/>
                </w:tcPr>
                <w:p w14:paraId="36BB0442">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0" w:afterAutospacing="0" w:line="240" w:lineRule="auto"/>
                    <w:ind w:left="-110" w:leftChars="-50" w:right="-110" w:rightChars="-50"/>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cs="Times New Roman"/>
                      <w:color w:val="auto"/>
                      <w:kern w:val="2"/>
                      <w:sz w:val="21"/>
                      <w:szCs w:val="21"/>
                      <w:lang w:val="en-US" w:eastAsia="zh-CN" w:bidi="ar-SA"/>
                    </w:rPr>
                    <w:t>办公室/门卫</w:t>
                  </w:r>
                </w:p>
              </w:tc>
              <w:tc>
                <w:tcPr>
                  <w:tcW w:w="2698" w:type="pct"/>
                  <w:vAlign w:val="center"/>
                </w:tcPr>
                <w:p w14:paraId="3C5AF091">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现已完成</w:t>
                  </w:r>
                  <w:r>
                    <w:rPr>
                      <w:rFonts w:hint="default" w:ascii="Times New Roman" w:hAnsi="Times New Roman" w:eastAsia="宋体" w:cs="Times New Roman"/>
                      <w:bCs/>
                      <w:color w:val="auto"/>
                      <w:sz w:val="21"/>
                      <w:szCs w:val="21"/>
                    </w:rPr>
                    <w:t>一般地面硬化</w:t>
                  </w:r>
                </w:p>
              </w:tc>
            </w:tr>
          </w:tbl>
          <w:p w14:paraId="421D43D5">
            <w:pPr>
              <w:pStyle w:val="4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0" w:leftChars="0" w:right="0" w:rightChars="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p>
          <w:p w14:paraId="4A55C620">
            <w:pPr>
              <w:pStyle w:val="4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0" w:leftChars="0" w:right="0" w:rightChars="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本项目厂区不同功能区均采取有效的防渗措施，发生破损、造成垂直入渗的概率极小，且项目不产生持久性的污染物，对地下水及土壤环境影响较小。</w:t>
            </w:r>
          </w:p>
          <w:p w14:paraId="74B8F2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eastAsia="zh-CN"/>
              </w:rPr>
              <w:t>六</w:t>
            </w:r>
            <w:r>
              <w:rPr>
                <w:rFonts w:hint="default" w:ascii="Times New Roman" w:hAnsi="Times New Roman" w:cs="Times New Roman"/>
                <w:b/>
                <w:color w:val="auto"/>
                <w:sz w:val="21"/>
                <w:szCs w:val="21"/>
              </w:rPr>
              <w:t>、生态</w:t>
            </w:r>
          </w:p>
          <w:p w14:paraId="16928EA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本项目所在地无珍稀物种以及自然保护区等环境敏感区，不会影响生物多样性；项目厂区内全部硬化，未硬化的已经全部绿化，绿化后将起到抑尘降噪、美化环境的作用，可以改善周围生态环境。</w:t>
            </w:r>
          </w:p>
          <w:p w14:paraId="78CE92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综上所述，本项目不会对区域的生态环境造成不利影响。 </w:t>
            </w:r>
          </w:p>
          <w:p w14:paraId="3ECB85BB">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0" w:leftChars="0"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val="en-US" w:eastAsia="zh-CN"/>
              </w:rPr>
              <w:t>七</w:t>
            </w:r>
            <w:r>
              <w:rPr>
                <w:rFonts w:hint="default" w:ascii="Times New Roman" w:hAnsi="Times New Roman" w:cs="Times New Roman"/>
                <w:b/>
                <w:color w:val="auto"/>
                <w:sz w:val="21"/>
                <w:szCs w:val="21"/>
              </w:rPr>
              <w:t>、环境风险</w:t>
            </w:r>
          </w:p>
          <w:p w14:paraId="55D3AF8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14:paraId="183A79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14:paraId="0FACA9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72" w:firstLineChars="225"/>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废</w:t>
            </w:r>
            <w:r>
              <w:rPr>
                <w:rFonts w:hint="eastAsia" w:ascii="Times New Roman" w:hAnsi="Times New Roman" w:cs="Times New Roman"/>
                <w:b/>
                <w:bCs/>
                <w:color w:val="auto"/>
                <w:sz w:val="21"/>
                <w:szCs w:val="21"/>
                <w:lang w:eastAsia="zh-CN"/>
              </w:rPr>
              <w:t>液压油</w:t>
            </w:r>
            <w:r>
              <w:rPr>
                <w:rFonts w:hint="default" w:ascii="Times New Roman" w:hAnsi="Times New Roman" w:cs="Times New Roman"/>
                <w:b/>
                <w:bCs/>
                <w:color w:val="auto"/>
                <w:sz w:val="21"/>
                <w:szCs w:val="21"/>
                <w:lang w:eastAsia="zh-CN"/>
              </w:rPr>
              <w:t>、废机油、废</w:t>
            </w:r>
            <w:r>
              <w:rPr>
                <w:rFonts w:hint="eastAsia" w:ascii="Times New Roman" w:hAnsi="Times New Roman" w:cs="Times New Roman"/>
                <w:b/>
                <w:bCs/>
                <w:color w:val="auto"/>
                <w:sz w:val="21"/>
                <w:szCs w:val="21"/>
                <w:lang w:val="en-US" w:eastAsia="zh-CN"/>
              </w:rPr>
              <w:t>包装</w:t>
            </w:r>
            <w:r>
              <w:rPr>
                <w:rFonts w:hint="eastAsia" w:ascii="Times New Roman" w:hAnsi="Times New Roman" w:cs="Times New Roman"/>
                <w:b/>
                <w:bCs/>
                <w:color w:val="auto"/>
                <w:sz w:val="21"/>
                <w:szCs w:val="21"/>
                <w:lang w:eastAsia="zh-CN"/>
              </w:rPr>
              <w:t>桶</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eastAsia" w:ascii="Times New Roman" w:hAnsi="Times New Roman" w:cs="Times New Roman"/>
                <w:b w:val="0"/>
                <w:bCs w:val="0"/>
                <w:color w:val="auto"/>
                <w:sz w:val="21"/>
                <w:szCs w:val="21"/>
                <w:lang w:val="en-US" w:eastAsia="zh-CN"/>
              </w:rPr>
              <w:t>；</w:t>
            </w:r>
            <w:r>
              <w:rPr>
                <w:rFonts w:hint="eastAsia" w:ascii="Times New Roman" w:hAnsi="Times New Roman" w:cs="Times New Roman"/>
                <w:b/>
                <w:bCs/>
                <w:color w:val="auto"/>
                <w:sz w:val="21"/>
                <w:szCs w:val="21"/>
                <w:lang w:eastAsia="zh-CN"/>
              </w:rPr>
              <w:t>废活性炭</w:t>
            </w:r>
            <w:r>
              <w:rPr>
                <w:rFonts w:hint="eastAsia" w:ascii="Times New Roman" w:hAnsi="Times New Roman" w:cs="Times New Roman"/>
                <w:b w:val="0"/>
                <w:bCs w:val="0"/>
                <w:color w:val="auto"/>
                <w:sz w:val="21"/>
                <w:szCs w:val="21"/>
                <w:lang w:val="en-US" w:eastAsia="zh-CN"/>
              </w:rPr>
              <w:t>，临界量为50t；</w:t>
            </w:r>
            <w:r>
              <w:rPr>
                <w:rFonts w:hint="eastAsia" w:ascii="Times New Roman" w:hAnsi="Times New Roman" w:cs="Times New Roman"/>
                <w:b/>
                <w:bCs/>
                <w:color w:val="auto"/>
                <w:sz w:val="21"/>
                <w:szCs w:val="21"/>
                <w:lang w:val="en-US" w:eastAsia="zh-CN"/>
              </w:rPr>
              <w:t>油墨（丁酮）</w:t>
            </w:r>
            <w:r>
              <w:rPr>
                <w:rFonts w:hint="eastAsia" w:ascii="Times New Roman" w:hAnsi="Times New Roman" w:cs="Times New Roman"/>
                <w:b w:val="0"/>
                <w:bCs w:val="0"/>
                <w:color w:val="auto"/>
                <w:sz w:val="21"/>
                <w:szCs w:val="21"/>
                <w:lang w:val="en-US" w:eastAsia="zh-CN"/>
              </w:rPr>
              <w:t>，临界量为10t</w:t>
            </w:r>
            <w:r>
              <w:rPr>
                <w:rFonts w:hint="default" w:ascii="Times New Roman" w:hAnsi="Times New Roman" w:cs="Times New Roman"/>
                <w:color w:val="auto"/>
                <w:sz w:val="21"/>
                <w:szCs w:val="21"/>
              </w:rPr>
              <w:t>。</w:t>
            </w:r>
          </w:p>
          <w:p w14:paraId="3D1F012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422" w:firstLineChars="20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表</w:t>
            </w:r>
            <w:r>
              <w:rPr>
                <w:rFonts w:hint="default" w:ascii="Times New Roman" w:hAnsi="Times New Roman" w:cs="Times New Roman"/>
                <w:b/>
                <w:color w:val="auto"/>
                <w:sz w:val="21"/>
                <w:szCs w:val="21"/>
                <w:highlight w:val="none"/>
                <w:lang w:val="en-US" w:eastAsia="zh-CN"/>
              </w:rPr>
              <w:t>4.</w:t>
            </w:r>
            <w:r>
              <w:rPr>
                <w:rFonts w:hint="eastAsia"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xml:space="preserve"> 风险物质与临界量对比计算结果一览表</w:t>
            </w:r>
          </w:p>
          <w:tbl>
            <w:tblPr>
              <w:tblStyle w:val="34"/>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9"/>
              <w:gridCol w:w="1140"/>
              <w:gridCol w:w="3357"/>
              <w:gridCol w:w="983"/>
              <w:gridCol w:w="1659"/>
            </w:tblGrid>
            <w:tr w14:paraId="4376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1559" w:type="dxa"/>
                  <w:noWrap w:val="0"/>
                  <w:vAlign w:val="center"/>
                </w:tcPr>
                <w:p w14:paraId="02F25CF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物质名称</w:t>
                  </w:r>
                </w:p>
              </w:tc>
              <w:tc>
                <w:tcPr>
                  <w:tcW w:w="1140" w:type="dxa"/>
                  <w:noWrap w:val="0"/>
                  <w:vAlign w:val="center"/>
                </w:tcPr>
                <w:p w14:paraId="02636E4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right="0"/>
                    <w:jc w:val="center"/>
                    <w:textAlignment w:val="auto"/>
                    <w:rPr>
                      <w:rFonts w:hint="default" w:ascii="Times New Roman" w:hAnsi="Times New Roman" w:cs="Times New Roman"/>
                      <w:b/>
                      <w:bCs/>
                      <w:color w:val="auto"/>
                      <w:spacing w:val="4"/>
                      <w:sz w:val="21"/>
                      <w:szCs w:val="21"/>
                      <w:highlight w:val="none"/>
                    </w:rPr>
                  </w:pPr>
                  <w:r>
                    <w:rPr>
                      <w:rFonts w:hint="default" w:ascii="Times New Roman" w:hAnsi="Times New Roman" w:cs="Times New Roman"/>
                      <w:b/>
                      <w:bCs/>
                      <w:color w:val="auto"/>
                      <w:spacing w:val="4"/>
                      <w:sz w:val="21"/>
                      <w:szCs w:val="21"/>
                      <w:highlight w:val="none"/>
                    </w:rPr>
                    <w:t>CAS号</w:t>
                  </w:r>
                </w:p>
              </w:tc>
              <w:tc>
                <w:tcPr>
                  <w:tcW w:w="3357" w:type="dxa"/>
                  <w:noWrap w:val="0"/>
                  <w:vAlign w:val="center"/>
                </w:tcPr>
                <w:p w14:paraId="5E4BFD4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right="0"/>
                    <w:jc w:val="center"/>
                    <w:textAlignment w:val="auto"/>
                    <w:rPr>
                      <w:rFonts w:hint="default" w:ascii="Times New Roman" w:hAnsi="Times New Roman" w:cs="Times New Roman"/>
                      <w:b/>
                      <w:bCs/>
                      <w:color w:val="auto"/>
                      <w:spacing w:val="4"/>
                      <w:sz w:val="21"/>
                      <w:szCs w:val="21"/>
                      <w:highlight w:val="none"/>
                    </w:rPr>
                  </w:pPr>
                  <w:r>
                    <w:rPr>
                      <w:rFonts w:hint="default" w:ascii="Times New Roman" w:hAnsi="Times New Roman" w:cs="Times New Roman"/>
                      <w:b/>
                      <w:bCs/>
                      <w:color w:val="auto"/>
                      <w:spacing w:val="4"/>
                      <w:sz w:val="21"/>
                      <w:szCs w:val="21"/>
                      <w:highlight w:val="none"/>
                    </w:rPr>
                    <w:t>最大存储量t</w:t>
                  </w:r>
                </w:p>
              </w:tc>
              <w:tc>
                <w:tcPr>
                  <w:tcW w:w="983" w:type="dxa"/>
                  <w:noWrap w:val="0"/>
                  <w:vAlign w:val="center"/>
                </w:tcPr>
                <w:p w14:paraId="44BCAB0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right="0"/>
                    <w:jc w:val="center"/>
                    <w:textAlignment w:val="auto"/>
                    <w:rPr>
                      <w:rFonts w:hint="default" w:ascii="Times New Roman" w:hAnsi="Times New Roman" w:cs="Times New Roman"/>
                      <w:b/>
                      <w:bCs/>
                      <w:color w:val="auto"/>
                      <w:spacing w:val="4"/>
                      <w:sz w:val="21"/>
                      <w:szCs w:val="21"/>
                      <w:highlight w:val="none"/>
                    </w:rPr>
                  </w:pPr>
                  <w:r>
                    <w:rPr>
                      <w:rFonts w:hint="default" w:ascii="Times New Roman" w:hAnsi="Times New Roman" w:cs="Times New Roman"/>
                      <w:b/>
                      <w:bCs/>
                      <w:color w:val="auto"/>
                      <w:spacing w:val="4"/>
                      <w:sz w:val="21"/>
                      <w:szCs w:val="21"/>
                      <w:highlight w:val="none"/>
                    </w:rPr>
                    <w:t>临界量t</w:t>
                  </w:r>
                </w:p>
              </w:tc>
              <w:tc>
                <w:tcPr>
                  <w:tcW w:w="1659" w:type="dxa"/>
                  <w:noWrap w:val="0"/>
                  <w:vAlign w:val="center"/>
                </w:tcPr>
                <w:p w14:paraId="5E3E9FB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right="0"/>
                    <w:jc w:val="center"/>
                    <w:textAlignment w:val="auto"/>
                    <w:rPr>
                      <w:rFonts w:hint="default" w:ascii="Times New Roman" w:hAnsi="Times New Roman" w:cs="Times New Roman"/>
                      <w:b/>
                      <w:bCs/>
                      <w:color w:val="auto"/>
                      <w:spacing w:val="4"/>
                      <w:sz w:val="21"/>
                      <w:szCs w:val="21"/>
                      <w:highlight w:val="none"/>
                    </w:rPr>
                  </w:pPr>
                  <w:r>
                    <w:rPr>
                      <w:rFonts w:hint="default" w:ascii="Times New Roman" w:hAnsi="Times New Roman" w:cs="Times New Roman"/>
                      <w:b/>
                      <w:bCs/>
                      <w:color w:val="auto"/>
                      <w:sz w:val="21"/>
                      <w:szCs w:val="21"/>
                      <w:highlight w:val="none"/>
                    </w:rPr>
                    <w:t>Q</w:t>
                  </w:r>
                </w:p>
              </w:tc>
            </w:tr>
            <w:tr w14:paraId="7E68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1559" w:type="dxa"/>
                  <w:noWrap w:val="0"/>
                  <w:vAlign w:val="center"/>
                </w:tcPr>
                <w:p w14:paraId="00AA1CE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油类物质（</w:t>
                  </w:r>
                  <w:r>
                    <w:rPr>
                      <w:rFonts w:hint="eastAsia" w:ascii="Times New Roman" w:hAnsi="Times New Roman" w:cs="Times New Roman"/>
                      <w:color w:val="auto"/>
                      <w:sz w:val="21"/>
                      <w:szCs w:val="21"/>
                      <w:highlight w:val="none"/>
                      <w:lang w:val="en-US" w:eastAsia="zh-CN"/>
                    </w:rPr>
                    <w:t>废机油、废液压油、废油桶</w:t>
                  </w:r>
                  <w:r>
                    <w:rPr>
                      <w:rFonts w:hint="default" w:ascii="Times New Roman" w:hAnsi="Times New Roman" w:cs="Times New Roman"/>
                      <w:color w:val="auto"/>
                      <w:sz w:val="21"/>
                      <w:szCs w:val="21"/>
                      <w:highlight w:val="none"/>
                      <w:lang w:val="en-US" w:eastAsia="zh-CN"/>
                    </w:rPr>
                    <w:t>）</w:t>
                  </w:r>
                </w:p>
              </w:tc>
              <w:tc>
                <w:tcPr>
                  <w:tcW w:w="1140" w:type="dxa"/>
                  <w:noWrap w:val="0"/>
                  <w:vAlign w:val="center"/>
                </w:tcPr>
                <w:p w14:paraId="30BC153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w:t>
                  </w:r>
                </w:p>
              </w:tc>
              <w:tc>
                <w:tcPr>
                  <w:tcW w:w="3357" w:type="dxa"/>
                  <w:noWrap w:val="0"/>
                  <w:vAlign w:val="center"/>
                </w:tcPr>
                <w:p w14:paraId="683E15C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宋体" w:cs="Times New Roman"/>
                      <w:color w:val="auto"/>
                      <w:spacing w:val="4"/>
                      <w:sz w:val="21"/>
                      <w:szCs w:val="21"/>
                      <w:highlight w:val="none"/>
                      <w:lang w:val="en-US" w:eastAsia="zh-CN"/>
                    </w:rPr>
                  </w:pPr>
                  <w:r>
                    <w:rPr>
                      <w:rFonts w:hint="eastAsia" w:ascii="Times New Roman" w:hAnsi="Times New Roman" w:cs="Times New Roman"/>
                      <w:color w:val="auto"/>
                      <w:spacing w:val="4"/>
                      <w:sz w:val="21"/>
                      <w:szCs w:val="21"/>
                      <w:highlight w:val="none"/>
                      <w:lang w:val="en-US" w:eastAsia="zh-CN"/>
                    </w:rPr>
                    <w:t>3</w:t>
                  </w:r>
                </w:p>
              </w:tc>
              <w:tc>
                <w:tcPr>
                  <w:tcW w:w="983" w:type="dxa"/>
                  <w:noWrap w:val="0"/>
                  <w:vAlign w:val="center"/>
                </w:tcPr>
                <w:p w14:paraId="1181298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宋体" w:cs="Times New Roman"/>
                      <w:color w:val="auto"/>
                      <w:spacing w:val="4"/>
                      <w:sz w:val="21"/>
                      <w:szCs w:val="21"/>
                      <w:highlight w:val="none"/>
                      <w:lang w:val="en-US" w:eastAsia="zh-CN"/>
                    </w:rPr>
                  </w:pPr>
                  <w:r>
                    <w:rPr>
                      <w:rFonts w:hint="default" w:ascii="Times New Roman" w:hAnsi="Times New Roman" w:cs="Times New Roman"/>
                      <w:color w:val="auto"/>
                      <w:spacing w:val="4"/>
                      <w:sz w:val="21"/>
                      <w:szCs w:val="21"/>
                      <w:highlight w:val="none"/>
                      <w:lang w:val="en-US" w:eastAsia="zh-CN"/>
                    </w:rPr>
                    <w:t>2500</w:t>
                  </w:r>
                </w:p>
              </w:tc>
              <w:tc>
                <w:tcPr>
                  <w:tcW w:w="1659" w:type="dxa"/>
                  <w:noWrap w:val="0"/>
                  <w:vAlign w:val="center"/>
                </w:tcPr>
                <w:p w14:paraId="2B2AD87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0.0012</w:t>
                  </w:r>
                </w:p>
              </w:tc>
            </w:tr>
            <w:tr w14:paraId="48DD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1559" w:type="dxa"/>
                  <w:noWrap w:val="0"/>
                  <w:vAlign w:val="center"/>
                </w:tcPr>
                <w:p w14:paraId="011324A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油墨</w:t>
                  </w:r>
                </w:p>
              </w:tc>
              <w:tc>
                <w:tcPr>
                  <w:tcW w:w="1140" w:type="dxa"/>
                  <w:noWrap w:val="0"/>
                  <w:vAlign w:val="center"/>
                </w:tcPr>
                <w:p w14:paraId="59C99A9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w:t>
                  </w:r>
                </w:p>
              </w:tc>
              <w:tc>
                <w:tcPr>
                  <w:tcW w:w="3357" w:type="dxa"/>
                  <w:noWrap w:val="0"/>
                  <w:vAlign w:val="center"/>
                </w:tcPr>
                <w:p w14:paraId="0395DF8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color w:val="auto"/>
                      <w:spacing w:val="4"/>
                      <w:sz w:val="21"/>
                      <w:szCs w:val="21"/>
                      <w:highlight w:val="none"/>
                      <w:lang w:val="en-US" w:eastAsia="zh-CN"/>
                    </w:rPr>
                  </w:pPr>
                  <w:r>
                    <w:rPr>
                      <w:rFonts w:hint="eastAsia" w:ascii="Times New Roman" w:hAnsi="Times New Roman" w:cs="Times New Roman"/>
                      <w:color w:val="auto"/>
                      <w:spacing w:val="4"/>
                      <w:sz w:val="21"/>
                      <w:szCs w:val="21"/>
                      <w:highlight w:val="none"/>
                      <w:lang w:val="en-US" w:eastAsia="zh-CN"/>
                    </w:rPr>
                    <w:t>1</w:t>
                  </w:r>
                </w:p>
              </w:tc>
              <w:tc>
                <w:tcPr>
                  <w:tcW w:w="983" w:type="dxa"/>
                  <w:noWrap w:val="0"/>
                  <w:vAlign w:val="center"/>
                </w:tcPr>
                <w:p w14:paraId="2703693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color w:val="auto"/>
                      <w:spacing w:val="4"/>
                      <w:sz w:val="21"/>
                      <w:szCs w:val="21"/>
                      <w:highlight w:val="none"/>
                      <w:lang w:val="en-US" w:eastAsia="zh-CN"/>
                    </w:rPr>
                  </w:pPr>
                  <w:r>
                    <w:rPr>
                      <w:rFonts w:hint="eastAsia" w:ascii="Times New Roman" w:hAnsi="Times New Roman" w:cs="Times New Roman"/>
                      <w:color w:val="auto"/>
                      <w:spacing w:val="4"/>
                      <w:sz w:val="21"/>
                      <w:szCs w:val="21"/>
                      <w:highlight w:val="none"/>
                      <w:lang w:val="en-US" w:eastAsia="zh-CN"/>
                    </w:rPr>
                    <w:t>10</w:t>
                  </w:r>
                </w:p>
              </w:tc>
              <w:tc>
                <w:tcPr>
                  <w:tcW w:w="1659" w:type="dxa"/>
                  <w:noWrap w:val="0"/>
                  <w:vAlign w:val="center"/>
                </w:tcPr>
                <w:p w14:paraId="6D299AD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0.1</w:t>
                  </w:r>
                </w:p>
              </w:tc>
            </w:tr>
            <w:tr w14:paraId="6748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1559" w:type="dxa"/>
                  <w:noWrap w:val="0"/>
                  <w:vAlign w:val="center"/>
                </w:tcPr>
                <w:p w14:paraId="2737B77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废活性炭</w:t>
                  </w:r>
                </w:p>
              </w:tc>
              <w:tc>
                <w:tcPr>
                  <w:tcW w:w="1140" w:type="dxa"/>
                  <w:noWrap w:val="0"/>
                  <w:vAlign w:val="center"/>
                </w:tcPr>
                <w:p w14:paraId="762E188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eastAsia" w:ascii="Times New Roman" w:hAnsi="Times New Roman" w:eastAsia="宋体" w:cs="Times New Roman"/>
                      <w:color w:val="auto"/>
                      <w:spacing w:val="4"/>
                      <w:sz w:val="21"/>
                      <w:szCs w:val="21"/>
                      <w:highlight w:val="none"/>
                      <w:lang w:val="en-US" w:eastAsia="zh-CN"/>
                    </w:rPr>
                  </w:pPr>
                  <w:r>
                    <w:rPr>
                      <w:rFonts w:hint="eastAsia" w:ascii="Times New Roman" w:hAnsi="Times New Roman" w:cs="Times New Roman"/>
                      <w:color w:val="auto"/>
                      <w:spacing w:val="4"/>
                      <w:sz w:val="21"/>
                      <w:szCs w:val="21"/>
                      <w:highlight w:val="none"/>
                      <w:lang w:val="en-US" w:eastAsia="zh-CN"/>
                    </w:rPr>
                    <w:t>/</w:t>
                  </w:r>
                </w:p>
              </w:tc>
              <w:tc>
                <w:tcPr>
                  <w:tcW w:w="3357" w:type="dxa"/>
                  <w:noWrap w:val="0"/>
                  <w:vAlign w:val="center"/>
                </w:tcPr>
                <w:p w14:paraId="4E8B819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color w:val="auto"/>
                      <w:spacing w:val="4"/>
                      <w:sz w:val="21"/>
                      <w:szCs w:val="21"/>
                      <w:highlight w:val="none"/>
                      <w:lang w:val="en-US" w:eastAsia="zh-CN"/>
                    </w:rPr>
                  </w:pPr>
                  <w:r>
                    <w:rPr>
                      <w:rFonts w:hint="eastAsia" w:ascii="Times New Roman" w:hAnsi="Times New Roman" w:cs="Times New Roman"/>
                      <w:color w:val="auto"/>
                      <w:spacing w:val="4"/>
                      <w:sz w:val="21"/>
                      <w:szCs w:val="21"/>
                      <w:highlight w:val="none"/>
                      <w:lang w:val="en-US" w:eastAsia="zh-CN"/>
                    </w:rPr>
                    <w:t>2.5</w:t>
                  </w:r>
                </w:p>
              </w:tc>
              <w:tc>
                <w:tcPr>
                  <w:tcW w:w="983" w:type="dxa"/>
                  <w:noWrap w:val="0"/>
                  <w:vAlign w:val="center"/>
                </w:tcPr>
                <w:p w14:paraId="77AA97A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color w:val="auto"/>
                      <w:spacing w:val="4"/>
                      <w:sz w:val="21"/>
                      <w:szCs w:val="21"/>
                      <w:highlight w:val="none"/>
                      <w:lang w:val="en-US" w:eastAsia="zh-CN"/>
                    </w:rPr>
                  </w:pPr>
                  <w:r>
                    <w:rPr>
                      <w:rFonts w:hint="eastAsia" w:ascii="Times New Roman" w:hAnsi="Times New Roman" w:cs="Times New Roman"/>
                      <w:color w:val="auto"/>
                      <w:spacing w:val="4"/>
                      <w:sz w:val="21"/>
                      <w:szCs w:val="21"/>
                      <w:highlight w:val="none"/>
                      <w:lang w:val="en-US" w:eastAsia="zh-CN"/>
                    </w:rPr>
                    <w:t>50</w:t>
                  </w:r>
                </w:p>
              </w:tc>
              <w:tc>
                <w:tcPr>
                  <w:tcW w:w="1659" w:type="dxa"/>
                  <w:noWrap w:val="0"/>
                  <w:vAlign w:val="center"/>
                </w:tcPr>
                <w:p w14:paraId="032AD52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0.05</w:t>
                  </w:r>
                </w:p>
              </w:tc>
            </w:tr>
            <w:tr w14:paraId="7CB9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7039" w:type="dxa"/>
                  <w:gridSpan w:val="4"/>
                  <w:noWrap w:val="0"/>
                  <w:vAlign w:val="center"/>
                </w:tcPr>
                <w:p w14:paraId="33F5088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color w:val="auto"/>
                      <w:spacing w:val="4"/>
                      <w:sz w:val="21"/>
                      <w:szCs w:val="21"/>
                      <w:highlight w:val="none"/>
                      <w:lang w:val="en-US" w:eastAsia="zh-CN"/>
                    </w:rPr>
                  </w:pPr>
                  <w:r>
                    <w:rPr>
                      <w:rFonts w:hint="default" w:ascii="Times New Roman" w:hAnsi="Times New Roman" w:cs="Times New Roman"/>
                      <w:color w:val="auto"/>
                      <w:spacing w:val="4"/>
                      <w:sz w:val="21"/>
                      <w:szCs w:val="21"/>
                      <w:highlight w:val="none"/>
                      <w:lang w:val="en-US" w:eastAsia="zh-CN"/>
                    </w:rPr>
                    <w:t>合计</w:t>
                  </w:r>
                </w:p>
              </w:tc>
              <w:tc>
                <w:tcPr>
                  <w:tcW w:w="1659" w:type="dxa"/>
                  <w:noWrap w:val="0"/>
                  <w:vAlign w:val="center"/>
                </w:tcPr>
                <w:p w14:paraId="1968268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0.1512（＜1）</w:t>
                  </w:r>
                </w:p>
              </w:tc>
            </w:tr>
          </w:tbl>
          <w:p w14:paraId="5C97F1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14:paraId="34162D9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本项目生产、使用、储存过程中涉及的</w:t>
            </w:r>
            <w:r>
              <w:rPr>
                <w:rFonts w:hint="eastAsia" w:ascii="Times New Roman" w:hAnsi="Times New Roman" w:cs="Times New Roman"/>
                <w:color w:val="auto"/>
                <w:sz w:val="21"/>
                <w:szCs w:val="21"/>
                <w:lang w:val="en-US" w:eastAsia="zh-CN"/>
              </w:rPr>
              <w:t>环氧树脂</w:t>
            </w:r>
            <w:r>
              <w:rPr>
                <w:rFonts w:hint="default" w:ascii="Times New Roman" w:hAnsi="Times New Roman" w:cs="Times New Roman"/>
                <w:color w:val="auto"/>
                <w:sz w:val="21"/>
                <w:szCs w:val="21"/>
                <w:lang w:val="en-US" w:eastAsia="zh-CN"/>
              </w:rPr>
              <w:t>，不属于《建设项目环境风险评价技术导则》（HJ169-2018）附录B关注的危险物质。存在的主要风险是在生产、储存过程中，原料区与成品区发生火灾，燃烧后释放有害废气，将产生一定的环境风险。</w:t>
            </w:r>
            <w:r>
              <w:rPr>
                <w:rFonts w:hint="eastAsia" w:ascii="Times New Roman" w:hAnsi="Times New Roman" w:cs="Times New Roman"/>
                <w:color w:val="auto"/>
                <w:sz w:val="21"/>
                <w:szCs w:val="21"/>
                <w:lang w:val="en-US" w:eastAsia="zh-CN"/>
              </w:rPr>
              <w:t>环氧树脂</w:t>
            </w:r>
            <w:r>
              <w:rPr>
                <w:rFonts w:hint="default" w:ascii="Times New Roman" w:hAnsi="Times New Roman" w:cs="Times New Roman"/>
                <w:color w:val="auto"/>
                <w:sz w:val="21"/>
                <w:szCs w:val="21"/>
                <w:lang w:val="en-US" w:eastAsia="zh-CN"/>
              </w:rPr>
              <w:t>在生产和储存过程中潜在的危险主要为火灾风险及火灾次生环境风险，燃烧受高热分解放出有毒的气体，将威胁作业人员的生命安全，造成重大生命、财产损失，并对周围环境空气产生影响。</w:t>
            </w:r>
          </w:p>
          <w:p w14:paraId="4BD193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72" w:firstLineChars="225"/>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rPr>
              <w:t>本项目涉及的</w:t>
            </w:r>
            <w:r>
              <w:rPr>
                <w:rFonts w:hint="default" w:ascii="Times New Roman" w:hAnsi="Times New Roman" w:cs="Times New Roman"/>
                <w:color w:val="auto"/>
                <w:sz w:val="21"/>
                <w:szCs w:val="21"/>
                <w:highlight w:val="none"/>
              </w:rPr>
              <w:t>危险物质成分及危险性见下表。</w:t>
            </w:r>
          </w:p>
          <w:p w14:paraId="511CE73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w:t>
            </w:r>
            <w:r>
              <w:rPr>
                <w:rFonts w:hint="default" w:ascii="Times New Roman" w:hAnsi="Times New Roman" w:cs="Times New Roman"/>
                <w:b/>
                <w:bCs/>
                <w:color w:val="auto"/>
                <w:sz w:val="21"/>
                <w:szCs w:val="21"/>
                <w:highlight w:val="none"/>
                <w:lang w:val="en-US" w:eastAsia="zh-CN"/>
              </w:rPr>
              <w:t>4.2</w:t>
            </w:r>
            <w:r>
              <w:rPr>
                <w:rFonts w:hint="eastAsia" w:ascii="Times New Roman" w:hAnsi="Times New Roman" w:cs="Times New Roman"/>
                <w:b/>
                <w:bCs/>
                <w:color w:val="auto"/>
                <w:sz w:val="21"/>
                <w:szCs w:val="21"/>
                <w:highlight w:val="none"/>
                <w:lang w:val="en-US" w:eastAsia="zh-CN"/>
              </w:rPr>
              <w:t>0</w:t>
            </w:r>
            <w:r>
              <w:rPr>
                <w:rFonts w:hint="default" w:ascii="Times New Roman" w:hAnsi="Times New Roman" w:cs="Times New Roman"/>
                <w:b/>
                <w:bCs/>
                <w:color w:val="auto"/>
                <w:sz w:val="21"/>
                <w:szCs w:val="21"/>
                <w:highlight w:val="none"/>
              </w:rPr>
              <w:t xml:space="preserve"> 危险物质成分及危险性表</w:t>
            </w:r>
          </w:p>
          <w:tbl>
            <w:tblPr>
              <w:tblStyle w:val="34"/>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5"/>
              <w:gridCol w:w="5876"/>
              <w:gridCol w:w="2355"/>
            </w:tblGrid>
            <w:tr w14:paraId="4138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14:paraId="33B0F608">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14:paraId="2147DD22">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14:paraId="1FAB67D3">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14:paraId="434F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14:paraId="66DED299">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14:paraId="5C6829FB">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14:paraId="02F66EFF">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r w14:paraId="0ACE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14:paraId="5D8995E7">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2-丁酮</w:t>
                  </w:r>
                </w:p>
              </w:tc>
              <w:tc>
                <w:tcPr>
                  <w:tcW w:w="3150" w:type="pct"/>
                  <w:noWrap w:val="0"/>
                  <w:vAlign w:val="center"/>
                </w:tcPr>
                <w:p w14:paraId="73D8D1D9">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无色液体，有似丙酮的气味。熔点（℃）：－85.9</w:t>
                  </w:r>
                  <w:r>
                    <w:rPr>
                      <w:rFonts w:hint="eastAsia" w:ascii="Times New Roman" w:hAnsi="Times New Roman" w:cs="Times New Roman"/>
                      <w:color w:val="auto"/>
                      <w:sz w:val="21"/>
                      <w:szCs w:val="21"/>
                      <w:lang w:eastAsia="zh-CN"/>
                    </w:rPr>
                    <w:t>，沸点（℃）：79.6，临界温度（℃）：260，</w:t>
                  </w:r>
                  <w:r>
                    <w:rPr>
                      <w:rFonts w:hint="default" w:ascii="Times New Roman" w:hAnsi="Times New Roman" w:eastAsia="宋体" w:cs="Times New Roman"/>
                      <w:color w:val="auto"/>
                      <w:sz w:val="21"/>
                      <w:szCs w:val="21"/>
                    </w:rPr>
                    <w:t>溶于水、乙醇、乙醚，可混溶于油类。</w:t>
                  </w:r>
                </w:p>
              </w:tc>
              <w:tc>
                <w:tcPr>
                  <w:tcW w:w="1261" w:type="pct"/>
                  <w:noWrap w:val="0"/>
                  <w:vAlign w:val="center"/>
                </w:tcPr>
                <w:p w14:paraId="69D24781">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易燃，其蒸气与空气可形成爆炸性混合物。遇明火、高热或与氧化剂接触，有引起燃烧爆炸的危险。其蒸汽比空气重，能在较低处扩散到相当远的地方，遇明火会引着回燃。</w:t>
                  </w:r>
                </w:p>
              </w:tc>
            </w:tr>
            <w:tr w14:paraId="232A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14:paraId="52DAA002">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环氧树脂</w:t>
                  </w:r>
                </w:p>
              </w:tc>
              <w:tc>
                <w:tcPr>
                  <w:tcW w:w="3150" w:type="pct"/>
                  <w:noWrap w:val="0"/>
                  <w:vAlign w:val="center"/>
                </w:tcPr>
                <w:p w14:paraId="3DDE0356">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分子式</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C</w:t>
                  </w:r>
                  <w:r>
                    <w:rPr>
                      <w:rFonts w:hint="eastAsia" w:ascii="Times New Roman" w:hAnsi="Times New Roman" w:cs="Times New Roman"/>
                      <w:color w:val="auto"/>
                      <w:sz w:val="21"/>
                      <w:szCs w:val="21"/>
                      <w:vertAlign w:val="subscript"/>
                      <w:lang w:val="en-US" w:eastAsia="zh-CN"/>
                    </w:rPr>
                    <w:t>54</w:t>
                  </w:r>
                  <w:r>
                    <w:rPr>
                      <w:rFonts w:hint="default" w:ascii="Times New Roman" w:hAnsi="Times New Roman" w:eastAsia="宋体" w:cs="Times New Roman"/>
                      <w:color w:val="auto"/>
                      <w:sz w:val="21"/>
                      <w:szCs w:val="21"/>
                    </w:rPr>
                    <w:t>H</w:t>
                  </w:r>
                  <w:r>
                    <w:rPr>
                      <w:rFonts w:hint="eastAsia" w:ascii="Times New Roman" w:hAnsi="Times New Roman" w:cs="Times New Roman"/>
                      <w:color w:val="auto"/>
                      <w:sz w:val="21"/>
                      <w:szCs w:val="21"/>
                      <w:vertAlign w:val="subscript"/>
                      <w:lang w:val="en-US" w:eastAsia="zh-CN"/>
                    </w:rPr>
                    <w:t>60</w:t>
                  </w:r>
                  <w:r>
                    <w:rPr>
                      <w:rFonts w:hint="default" w:ascii="Times New Roman" w:hAnsi="Times New Roman" w:eastAsia="宋体" w:cs="Times New Roman"/>
                      <w:color w:val="auto"/>
                      <w:sz w:val="21"/>
                      <w:szCs w:val="21"/>
                    </w:rPr>
                    <w:t>O</w:t>
                  </w:r>
                  <w:r>
                    <w:rPr>
                      <w:rFonts w:hint="eastAsia" w:ascii="Times New Roman" w:hAnsi="Times New Roman" w:cs="Times New Roman"/>
                      <w:color w:val="auto"/>
                      <w:sz w:val="21"/>
                      <w:szCs w:val="21"/>
                      <w:vertAlign w:val="subscript"/>
                      <w:lang w:val="en-US" w:eastAsia="zh-CN"/>
                    </w:rPr>
                    <w:t>9</w:t>
                  </w:r>
                  <w:r>
                    <w:rPr>
                      <w:rFonts w:hint="default" w:ascii="Times New Roman" w:hAnsi="Times New Roman" w:eastAsia="宋体" w:cs="Times New Roman"/>
                      <w:color w:val="auto"/>
                      <w:sz w:val="21"/>
                      <w:szCs w:val="21"/>
                    </w:rPr>
                    <w:t>，外观</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无色或淡黄色黏性液体，有环气味，熔点</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-16℃，沸点</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320℃，闪点</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266℃，易溶于各种有机溶剂，微溶于水。常温常压下稳定。对眼睛和皮肤有刺激性皮肤接触可能引起过敏。</w:t>
                  </w:r>
                </w:p>
              </w:tc>
              <w:tc>
                <w:tcPr>
                  <w:tcW w:w="1261" w:type="pct"/>
                  <w:noWrap w:val="0"/>
                  <w:vAlign w:val="center"/>
                </w:tcPr>
                <w:p w14:paraId="38F68E7F">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易燃，遇明火、高热能燃烧。受高热分解放出有毒的气体。粉体与空气可形成爆炸性混合物，当达到一定浓度时，遇火星会发生爆炸。</w:t>
                  </w:r>
                </w:p>
              </w:tc>
            </w:tr>
          </w:tbl>
          <w:p w14:paraId="086131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本项目危险废物主要为</w:t>
            </w:r>
            <w:r>
              <w:rPr>
                <w:rFonts w:hint="eastAsia" w:ascii="Times New Roman" w:hAnsi="Times New Roman" w:cs="Times New Roman"/>
                <w:color w:val="auto"/>
                <w:sz w:val="21"/>
                <w:szCs w:val="21"/>
                <w:highlight w:val="none"/>
                <w:lang w:eastAsia="zh-CN"/>
              </w:rPr>
              <w:t>废活性炭、废润滑油、废油桶</w:t>
            </w:r>
            <w:r>
              <w:rPr>
                <w:rFonts w:hint="default" w:ascii="Times New Roman" w:hAnsi="Times New Roman" w:eastAsia="宋体" w:cs="Times New Roman"/>
                <w:color w:val="auto"/>
                <w:kern w:val="2"/>
                <w:sz w:val="21"/>
                <w:szCs w:val="21"/>
                <w:highlight w:val="none"/>
              </w:rPr>
              <w:t>，危险废物存放于危废暂存间，正常存放情况下，不会对周边环境产生不良影响。若随意丢弃，不按规范摆放和贮存，可能造成危险废物中含有的有毒有害物质的泄漏、流失，若直接进入环境，可能造成残留物污染土壤、地下水，影响土壤、地下水，对周边环境将造成影响。</w:t>
            </w:r>
          </w:p>
          <w:p w14:paraId="43EE5A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2" w:firstLineChars="200"/>
              <w:textAlignment w:val="auto"/>
              <w:rPr>
                <w:rFonts w:hint="default"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lang w:val="en-US" w:eastAsia="zh-CN"/>
              </w:rPr>
              <w:t>2、</w:t>
            </w:r>
            <w:r>
              <w:rPr>
                <w:rFonts w:hint="default" w:ascii="Times New Roman" w:hAnsi="Times New Roman" w:cs="Times New Roman"/>
                <w:b/>
                <w:bCs/>
                <w:color w:val="auto"/>
                <w:sz w:val="21"/>
                <w:szCs w:val="21"/>
                <w:highlight w:val="none"/>
                <w:lang w:val="en-US" w:eastAsia="zh-CN"/>
              </w:rPr>
              <w:t>环境风险分布情况及可能影响途径</w:t>
            </w:r>
          </w:p>
          <w:p w14:paraId="148214F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2" w:firstLineChars="200"/>
              <w:textAlignment w:val="auto"/>
              <w:rPr>
                <w:rFonts w:hint="eastAsia" w:ascii="Times New Roman" w:hAnsi="Times New Roman"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（1）生产装置单元</w:t>
            </w:r>
          </w:p>
          <w:p w14:paraId="4C8B7A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各传动设备、液压设备破损、阀门损坏造成润滑油泄露，主要风险物质为</w:t>
            </w:r>
            <w:r>
              <w:rPr>
                <w:rFonts w:hint="eastAsia" w:ascii="Times New Roman" w:hAnsi="Times New Roman" w:cs="Times New Roman"/>
                <w:b w:val="0"/>
                <w:bCs w:val="0"/>
                <w:color w:val="auto"/>
                <w:sz w:val="21"/>
                <w:szCs w:val="21"/>
                <w:highlight w:val="none"/>
                <w:lang w:eastAsia="zh-CN"/>
              </w:rPr>
              <w:t>油类物质</w:t>
            </w:r>
            <w:r>
              <w:rPr>
                <w:rFonts w:hint="eastAsia" w:ascii="Times New Roman" w:hAnsi="Times New Roman" w:cs="Times New Roman"/>
                <w:color w:val="auto"/>
                <w:sz w:val="21"/>
                <w:szCs w:val="21"/>
                <w:highlight w:val="none"/>
                <w:lang w:eastAsia="zh-CN"/>
              </w:rPr>
              <w:t>，下渗污染土壤、地下水，遇明火或氧化物发生火灾或爆炸，事故发生概率较低，主要原因是违规操作或设施维护不到位造成的。</w:t>
            </w:r>
          </w:p>
          <w:p w14:paraId="7DA743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2" w:firstLineChars="200"/>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（2）物料储存单元</w:t>
            </w:r>
          </w:p>
          <w:p w14:paraId="4973DB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物料储存单元存在的环境风险为火灾风险，物料燃烧释放的大量浓烟、CO等有害气体，危险物质为</w:t>
            </w:r>
            <w:r>
              <w:rPr>
                <w:rFonts w:hint="eastAsia" w:ascii="Times New Roman" w:hAnsi="Times New Roman" w:cs="Times New Roman"/>
                <w:color w:val="auto"/>
                <w:sz w:val="21"/>
                <w:szCs w:val="21"/>
                <w:highlight w:val="none"/>
                <w:lang w:val="en-US" w:eastAsia="zh-CN"/>
              </w:rPr>
              <w:t>环氧树脂</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成品半成品</w:t>
            </w:r>
            <w:r>
              <w:rPr>
                <w:rFonts w:hint="eastAsia" w:ascii="Times New Roman" w:hAnsi="Times New Roman" w:cs="Times New Roman"/>
                <w:color w:val="auto"/>
                <w:sz w:val="21"/>
                <w:szCs w:val="21"/>
                <w:highlight w:val="none"/>
                <w:lang w:eastAsia="zh-CN"/>
              </w:rPr>
              <w:t>，事故发生概率很低，原辅料、产品存放量较低，即使发生事故也不会造成重大影响。诱发火灾的因素主要有：违章吸烟、动火；设备维修时，未采取有效防护措施；电器线路和电气设施在开关断开、接触不良、短路、漏电时产生火花，以及静电放电火花；未采取有效避雷措施，或者避雷措施失效而导致雷击失火等。</w:t>
            </w:r>
          </w:p>
          <w:p w14:paraId="6EDB50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2" w:firstLineChars="200"/>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（3）危废储存单元</w:t>
            </w:r>
          </w:p>
          <w:p w14:paraId="41ECBDA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危险废物暂存间存放的</w:t>
            </w:r>
            <w:r>
              <w:rPr>
                <w:rFonts w:hint="eastAsia" w:ascii="Times New Roman" w:hAnsi="Times New Roman" w:cs="Times New Roman"/>
                <w:color w:val="auto"/>
                <w:sz w:val="21"/>
                <w:szCs w:val="21"/>
                <w:highlight w:val="none"/>
                <w:lang w:eastAsia="zh-CN"/>
              </w:rPr>
              <w:t>废活性炭、废润滑油、废油桶</w:t>
            </w:r>
            <w:r>
              <w:rPr>
                <w:rFonts w:hint="eastAsia" w:ascii="Times New Roman" w:hAnsi="Times New Roman" w:cs="Times New Roman"/>
                <w:b w:val="0"/>
                <w:bCs w:val="0"/>
                <w:color w:val="auto"/>
                <w:sz w:val="21"/>
                <w:szCs w:val="21"/>
                <w:highlight w:val="none"/>
                <w:lang w:val="en-US" w:eastAsia="zh-CN"/>
              </w:rPr>
              <w:t>等危险废物，破损后会有油类物质、有毒有害物质泄露的风险，地面防渗层破损，</w:t>
            </w:r>
            <w:r>
              <w:rPr>
                <w:rFonts w:hint="eastAsia" w:ascii="Times New Roman" w:hAnsi="Times New Roman" w:cs="Times New Roman"/>
                <w:color w:val="auto"/>
                <w:sz w:val="21"/>
                <w:szCs w:val="21"/>
                <w:highlight w:val="none"/>
                <w:lang w:eastAsia="zh-CN"/>
              </w:rPr>
              <w:t>下渗污染土壤、地下水；危废间</w:t>
            </w:r>
            <w:r>
              <w:rPr>
                <w:rFonts w:hint="eastAsia" w:ascii="Times New Roman" w:hAnsi="Times New Roman" w:eastAsia="宋体" w:cs="Times New Roman"/>
                <w:color w:val="auto"/>
                <w:sz w:val="21"/>
                <w:szCs w:val="21"/>
                <w:highlight w:val="none"/>
                <w:lang w:eastAsia="zh-CN"/>
              </w:rPr>
              <w:t>温度过高热、遇明火或与氧化剂接触，均有引燃危险，燃烧产生浓烟及有毒有害气体，内压增大有开裂或爆炸危险。</w:t>
            </w:r>
            <w:r>
              <w:rPr>
                <w:rFonts w:hint="eastAsia" w:ascii="Times New Roman" w:hAnsi="Times New Roman" w:cs="Times New Roman"/>
                <w:color w:val="auto"/>
                <w:sz w:val="21"/>
                <w:szCs w:val="21"/>
                <w:highlight w:val="none"/>
                <w:lang w:eastAsia="zh-CN"/>
              </w:rPr>
              <w:t>事故发生概率很低，主要原因是防渗层破损、员工违规操作或储存装置维护不到位造成的。</w:t>
            </w:r>
          </w:p>
          <w:p w14:paraId="3E687D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项目生产系统</w:t>
            </w:r>
            <w:r>
              <w:rPr>
                <w:rFonts w:hint="default" w:ascii="Times New Roman" w:hAnsi="Times New Roman" w:cs="Times New Roman"/>
                <w:color w:val="auto"/>
                <w:sz w:val="21"/>
                <w:szCs w:val="21"/>
                <w:highlight w:val="none"/>
                <w:lang w:val="en-US" w:eastAsia="zh-CN"/>
              </w:rPr>
              <w:t>环境风险分布情况及可能影响途径</w:t>
            </w:r>
            <w:r>
              <w:rPr>
                <w:rFonts w:hint="default" w:ascii="Times New Roman" w:hAnsi="Times New Roman" w:cs="Times New Roman"/>
                <w:color w:val="auto"/>
                <w:sz w:val="21"/>
                <w:szCs w:val="21"/>
                <w:highlight w:val="none"/>
              </w:rPr>
              <w:t>见下表。</w:t>
            </w:r>
            <w:r>
              <w:rPr>
                <w:rFonts w:hint="eastAsia" w:ascii="Times New Roman" w:hAnsi="Times New Roman" w:cs="Times New Roman"/>
                <w:color w:val="auto"/>
                <w:sz w:val="21"/>
                <w:szCs w:val="21"/>
                <w:highlight w:val="none"/>
                <w:lang w:eastAsia="zh-CN"/>
              </w:rPr>
              <w:t>项目周边不涉及地表水系，不会因地表漫流影响地表水。</w:t>
            </w:r>
          </w:p>
          <w:p w14:paraId="5BBA3B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4.2</w:t>
            </w: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34"/>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8"/>
              <w:gridCol w:w="1764"/>
              <w:gridCol w:w="859"/>
              <w:gridCol w:w="979"/>
              <w:gridCol w:w="2961"/>
              <w:gridCol w:w="1612"/>
            </w:tblGrid>
            <w:tr w14:paraId="5649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14:paraId="307ADE7B">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14:paraId="54C7EFC1">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49" w:type="pct"/>
                  <w:noWrap w:val="0"/>
                  <w:vAlign w:val="center"/>
                </w:tcPr>
                <w:p w14:paraId="193DAB38">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2" w:type="pct"/>
                  <w:noWrap w:val="0"/>
                  <w:vAlign w:val="center"/>
                </w:tcPr>
                <w:p w14:paraId="4DC6E282">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1" w:type="pct"/>
                  <w:noWrap w:val="0"/>
                  <w:vAlign w:val="center"/>
                </w:tcPr>
                <w:p w14:paraId="4D5EFFD7">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14:paraId="3C2CDCBE">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14:paraId="686F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716" w:type="pct"/>
                  <w:noWrap w:val="0"/>
                  <w:vAlign w:val="center"/>
                </w:tcPr>
                <w:p w14:paraId="677ECC91">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生产设备</w:t>
                  </w:r>
                </w:p>
              </w:tc>
              <w:tc>
                <w:tcPr>
                  <w:tcW w:w="924" w:type="pct"/>
                  <w:noWrap w:val="0"/>
                  <w:vAlign w:val="center"/>
                </w:tcPr>
                <w:p w14:paraId="41A0E50E">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液压</w:t>
                  </w:r>
                  <w:r>
                    <w:rPr>
                      <w:rFonts w:hint="default" w:ascii="Times New Roman" w:hAnsi="Times New Roman" w:cs="Times New Roman"/>
                      <w:color w:val="auto"/>
                      <w:sz w:val="21"/>
                      <w:szCs w:val="21"/>
                      <w:lang w:eastAsia="zh-CN"/>
                    </w:rPr>
                    <w:t>油</w:t>
                  </w:r>
                </w:p>
              </w:tc>
              <w:tc>
                <w:tcPr>
                  <w:tcW w:w="449" w:type="pct"/>
                  <w:vMerge w:val="restart"/>
                  <w:noWrap w:val="0"/>
                  <w:vAlign w:val="center"/>
                </w:tcPr>
                <w:p w14:paraId="5A39655A">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eastAsia="zh-CN"/>
                    </w:rPr>
                    <w:t>油类物质</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丁酮</w:t>
                  </w:r>
                </w:p>
              </w:tc>
              <w:tc>
                <w:tcPr>
                  <w:tcW w:w="512" w:type="pct"/>
                  <w:vMerge w:val="restart"/>
                  <w:noWrap w:val="0"/>
                  <w:vAlign w:val="center"/>
                </w:tcPr>
                <w:p w14:paraId="53788715">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w:t>
                  </w:r>
                </w:p>
              </w:tc>
              <w:tc>
                <w:tcPr>
                  <w:tcW w:w="1551" w:type="pct"/>
                  <w:vMerge w:val="restart"/>
                  <w:noWrap w:val="0"/>
                  <w:vAlign w:val="center"/>
                </w:tcPr>
                <w:p w14:paraId="1380E8ED">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w:t>
                  </w:r>
                  <w:r>
                    <w:rPr>
                      <w:rFonts w:hint="default"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14:paraId="0FFCD08F">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地表水、</w:t>
                  </w:r>
                  <w:r>
                    <w:rPr>
                      <w:rFonts w:hint="default"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14:paraId="42F0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14:paraId="32C7F1E5">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14:paraId="40F12615">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废液压油、废机油、废</w:t>
                  </w:r>
                  <w:r>
                    <w:rPr>
                      <w:rFonts w:hint="eastAsia" w:ascii="Times New Roman" w:hAnsi="Times New Roman" w:cs="Times New Roman"/>
                      <w:color w:val="auto"/>
                      <w:sz w:val="21"/>
                      <w:szCs w:val="21"/>
                      <w:lang w:val="en-US" w:eastAsia="zh-CN"/>
                    </w:rPr>
                    <w:t>包装</w:t>
                  </w:r>
                  <w:r>
                    <w:rPr>
                      <w:rFonts w:hint="default" w:ascii="Times New Roman" w:hAnsi="Times New Roman" w:eastAsia="宋体" w:cs="Times New Roman"/>
                      <w:color w:val="auto"/>
                      <w:sz w:val="21"/>
                      <w:szCs w:val="21"/>
                      <w:lang w:eastAsia="zh-CN"/>
                    </w:rPr>
                    <w:t>桶</w:t>
                  </w:r>
                </w:p>
              </w:tc>
              <w:tc>
                <w:tcPr>
                  <w:tcW w:w="449" w:type="pct"/>
                  <w:vMerge w:val="continue"/>
                  <w:noWrap w:val="0"/>
                  <w:vAlign w:val="center"/>
                </w:tcPr>
                <w:p w14:paraId="68BCF7A2">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2" w:type="pct"/>
                  <w:vMerge w:val="continue"/>
                  <w:noWrap w:val="0"/>
                  <w:vAlign w:val="center"/>
                </w:tcPr>
                <w:p w14:paraId="6592C856">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1" w:type="pct"/>
                  <w:vMerge w:val="continue"/>
                  <w:noWrap w:val="0"/>
                  <w:vAlign w:val="center"/>
                </w:tcPr>
                <w:p w14:paraId="1FC2A112">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14:paraId="2BE29549">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r w14:paraId="7387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1368" w:type="dxa"/>
                  <w:noWrap w:val="0"/>
                  <w:vAlign w:val="center"/>
                </w:tcPr>
                <w:p w14:paraId="0000590B">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val="0"/>
                      <w:bCs w:val="0"/>
                      <w:color w:val="auto"/>
                      <w:sz w:val="21"/>
                      <w:szCs w:val="21"/>
                      <w:highlight w:val="none"/>
                      <w:lang w:val="en-US" w:eastAsia="zh-CN"/>
                    </w:rPr>
                    <w:t>物料储存单元</w:t>
                  </w:r>
                </w:p>
              </w:tc>
              <w:tc>
                <w:tcPr>
                  <w:tcW w:w="1764" w:type="dxa"/>
                  <w:noWrap w:val="0"/>
                  <w:vAlign w:val="center"/>
                </w:tcPr>
                <w:p w14:paraId="5D9AC447">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b w:val="0"/>
                      <w:bCs w:val="0"/>
                      <w:color w:val="auto"/>
                      <w:sz w:val="21"/>
                      <w:szCs w:val="21"/>
                      <w:highlight w:val="none"/>
                      <w:lang w:val="en-US" w:eastAsia="zh-CN"/>
                    </w:rPr>
                    <w:t>生产区、原料仓库、成品仓库</w:t>
                  </w:r>
                </w:p>
              </w:tc>
              <w:tc>
                <w:tcPr>
                  <w:tcW w:w="859" w:type="dxa"/>
                  <w:noWrap w:val="0"/>
                  <w:vAlign w:val="center"/>
                </w:tcPr>
                <w:p w14:paraId="2DF19E04">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2"/>
                      <w:sz w:val="21"/>
                      <w:szCs w:val="21"/>
                      <w:highlight w:val="none"/>
                      <w:lang w:val="en-US" w:eastAsia="zh-CN" w:bidi="ar-SA"/>
                    </w:rPr>
                    <w:t>环氧树脂</w:t>
                  </w:r>
                </w:p>
              </w:tc>
              <w:tc>
                <w:tcPr>
                  <w:tcW w:w="979" w:type="dxa"/>
                  <w:noWrap w:val="0"/>
                  <w:vAlign w:val="center"/>
                </w:tcPr>
                <w:p w14:paraId="53703657">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人群健康风险、生态风险、综合环境风险</w:t>
                  </w:r>
                </w:p>
              </w:tc>
              <w:tc>
                <w:tcPr>
                  <w:tcW w:w="2961" w:type="dxa"/>
                  <w:noWrap w:val="0"/>
                  <w:vAlign w:val="center"/>
                </w:tcPr>
                <w:p w14:paraId="2192DA17">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火灾、爆炸等引发的伴生/次生污染物排放</w:t>
                  </w:r>
                </w:p>
              </w:tc>
              <w:tc>
                <w:tcPr>
                  <w:tcW w:w="1612" w:type="dxa"/>
                  <w:noWrap w:val="0"/>
                  <w:vAlign w:val="center"/>
                </w:tcPr>
                <w:p w14:paraId="6298073F">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环境空气</w:t>
                  </w:r>
                </w:p>
              </w:tc>
            </w:tr>
          </w:tbl>
          <w:p w14:paraId="7083F2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2" w:firstLineChars="200"/>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14:paraId="3C149C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r>
              <w:rPr>
                <w:rFonts w:hint="eastAsia" w:ascii="Times New Roman" w:hAnsi="Times New Roman" w:cs="Times New Roman"/>
                <w:color w:val="auto"/>
                <w:sz w:val="21"/>
                <w:szCs w:val="21"/>
                <w:lang w:eastAsia="zh-CN"/>
              </w:rPr>
              <w:t>：</w:t>
            </w:r>
          </w:p>
          <w:p w14:paraId="374A8DB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做好防渗措施；定期对生产设备、储存容器进行检查，防止跑冒滴漏。</w:t>
            </w:r>
          </w:p>
          <w:p w14:paraId="31CAB3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及各种设备均应符合《建筑设计防火规范》中的规定。严格按照国家消防安全的有关规定建设消防设施，一切消防设施不准挪动、乱用，并定期进行检查和更换。</w:t>
            </w:r>
          </w:p>
          <w:p w14:paraId="56C4336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）事故应急预案：</w:t>
            </w:r>
          </w:p>
          <w:p w14:paraId="2E61C13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事故应急预案是在发生事故后，按照预先制订的方案采取的一系列的措施，将事故的损失降低到最小程度。本工程应急预案重点如下：</w:t>
            </w:r>
          </w:p>
          <w:p w14:paraId="75569BF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①必须制定应急计划、方案和程序</w:t>
            </w:r>
          </w:p>
          <w:p w14:paraId="7AFE73C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为了使突发事故发生后能有条不紊的处理事故，在工程投产之前就应制定好事故应急计划和方案，以备在发生事故后有备无患。</w:t>
            </w:r>
          </w:p>
          <w:p w14:paraId="5E1A5E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②成立重大事故应急求援小组</w:t>
            </w:r>
          </w:p>
          <w:p w14:paraId="512464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成立由厂长、分管厂长及生产、安全、环保、保卫等部门组成的重大事故应急救援小组，一旦发生事故，救援小组便及时例行其相应的职责，处理事故。</w:t>
            </w:r>
          </w:p>
          <w:p w14:paraId="55347AF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③事故发生后应采取紧急隔离和疏散措施</w:t>
            </w:r>
          </w:p>
          <w:p w14:paraId="5A3796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val="0"/>
                <w:bCs w:val="0"/>
                <w:color w:val="auto"/>
                <w:sz w:val="21"/>
                <w:szCs w:val="21"/>
                <w:lang w:eastAsia="zh-CN"/>
              </w:rPr>
              <w:t>一旦发生突发事故，应及时发出警报，并在救援小组的领导下，紧急隔离危险物品，切断电源，疏散人群，抢救受害人员</w:t>
            </w:r>
          </w:p>
          <w:p w14:paraId="1B7C13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）管理措施：</w:t>
            </w:r>
          </w:p>
          <w:p w14:paraId="7A1F14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①</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14:paraId="009EF63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②</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14:paraId="32F245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③</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14:paraId="576382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④</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14:paraId="1790698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2" w:firstLineChars="20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highlight w:val="none"/>
              </w:rPr>
              <w:t>突发环境事件应急预案</w:t>
            </w:r>
          </w:p>
          <w:p w14:paraId="429D439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制定应急预案的目的是为了在发生风险事故时，能以最快的速度发挥最大的效能，有序的实施救援，尽快控制事态的发展，降低事故造成的危害，减少事故造成的损失。建设项目突发事件应急预案见</w:t>
            </w:r>
            <w:r>
              <w:rPr>
                <w:rFonts w:hint="default" w:ascii="Times New Roman" w:hAnsi="Times New Roman" w:cs="Times New Roman"/>
                <w:color w:val="auto"/>
                <w:sz w:val="21"/>
                <w:szCs w:val="21"/>
                <w:highlight w:val="none"/>
                <w:lang w:eastAsia="zh-CN"/>
              </w:rPr>
              <w:t>下表。</w:t>
            </w:r>
          </w:p>
          <w:p w14:paraId="4E955E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firstLine="422" w:firstLineChars="20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kern w:val="0"/>
                <w:sz w:val="21"/>
                <w:szCs w:val="21"/>
                <w:highlight w:val="none"/>
              </w:rPr>
              <w:t>表</w:t>
            </w:r>
            <w:r>
              <w:rPr>
                <w:rFonts w:hint="default" w:ascii="Times New Roman" w:hAnsi="Times New Roman" w:cs="Times New Roman"/>
                <w:b/>
                <w:color w:val="auto"/>
                <w:kern w:val="0"/>
                <w:sz w:val="21"/>
                <w:szCs w:val="21"/>
                <w:highlight w:val="none"/>
                <w:lang w:val="en-US" w:eastAsia="zh-CN"/>
              </w:rPr>
              <w:t>4.2</w:t>
            </w:r>
            <w:r>
              <w:rPr>
                <w:rFonts w:hint="eastAsia" w:ascii="Times New Roman" w:hAnsi="Times New Roman" w:cs="Times New Roman"/>
                <w:b/>
                <w:color w:val="auto"/>
                <w:kern w:val="0"/>
                <w:sz w:val="21"/>
                <w:szCs w:val="21"/>
                <w:highlight w:val="none"/>
                <w:lang w:val="en-US" w:eastAsia="zh-CN"/>
              </w:rPr>
              <w:t>2</w:t>
            </w:r>
            <w:r>
              <w:rPr>
                <w:rFonts w:hint="default" w:ascii="Times New Roman" w:hAnsi="Times New Roman" w:cs="Times New Roman"/>
                <w:b/>
                <w:color w:val="auto"/>
                <w:kern w:val="0"/>
                <w:sz w:val="21"/>
                <w:szCs w:val="21"/>
                <w:highlight w:val="none"/>
                <w:lang w:val="en-US" w:eastAsia="zh-CN"/>
              </w:rPr>
              <w:t xml:space="preserve"> </w:t>
            </w:r>
            <w:r>
              <w:rPr>
                <w:rFonts w:hint="default" w:ascii="Times New Roman" w:hAnsi="Times New Roman" w:cs="Times New Roman"/>
                <w:b/>
                <w:color w:val="auto"/>
                <w:sz w:val="21"/>
                <w:szCs w:val="21"/>
                <w:highlight w:val="none"/>
                <w:lang w:val="en-US" w:eastAsia="zh-CN"/>
              </w:rPr>
              <w:t xml:space="preserve"> </w:t>
            </w:r>
            <w:r>
              <w:rPr>
                <w:rFonts w:hint="default" w:ascii="Times New Roman" w:hAnsi="Times New Roman" w:cs="Times New Roman"/>
                <w:b/>
                <w:color w:val="auto"/>
                <w:sz w:val="21"/>
                <w:szCs w:val="21"/>
                <w:highlight w:val="none"/>
              </w:rPr>
              <w:t>突发事故应急预案</w:t>
            </w:r>
          </w:p>
          <w:tbl>
            <w:tblPr>
              <w:tblStyle w:val="34"/>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698"/>
              <w:gridCol w:w="7164"/>
            </w:tblGrid>
            <w:tr w14:paraId="7E4B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18" w:type="pct"/>
                  <w:noWrap w:val="0"/>
                  <w:tcMar>
                    <w:left w:w="0" w:type="dxa"/>
                    <w:right w:w="0" w:type="dxa"/>
                  </w:tcMar>
                  <w:vAlign w:val="center"/>
                </w:tcPr>
                <w:p w14:paraId="590EAC4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897" w:type="pct"/>
                  <w:noWrap w:val="0"/>
                  <w:tcMar>
                    <w:left w:w="0" w:type="dxa"/>
                    <w:right w:w="0" w:type="dxa"/>
                  </w:tcMar>
                  <w:vAlign w:val="center"/>
                </w:tcPr>
                <w:p w14:paraId="0E6C8CA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w:t>
                  </w:r>
                </w:p>
              </w:tc>
              <w:tc>
                <w:tcPr>
                  <w:tcW w:w="3784" w:type="pct"/>
                  <w:noWrap w:val="0"/>
                  <w:tcMar>
                    <w:left w:w="0" w:type="dxa"/>
                    <w:right w:w="0" w:type="dxa"/>
                  </w:tcMar>
                  <w:vAlign w:val="center"/>
                </w:tcPr>
                <w:p w14:paraId="7CE22F3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内容及要求</w:t>
                  </w:r>
                </w:p>
              </w:tc>
            </w:tr>
            <w:tr w14:paraId="09C8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18" w:type="pct"/>
                  <w:noWrap w:val="0"/>
                  <w:tcMar>
                    <w:left w:w="0" w:type="dxa"/>
                    <w:right w:w="0" w:type="dxa"/>
                  </w:tcMar>
                  <w:vAlign w:val="center"/>
                </w:tcPr>
                <w:p w14:paraId="7A3D367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897" w:type="pct"/>
                  <w:noWrap w:val="0"/>
                  <w:tcMar>
                    <w:left w:w="0" w:type="dxa"/>
                    <w:right w:w="0" w:type="dxa"/>
                  </w:tcMar>
                  <w:vAlign w:val="center"/>
                </w:tcPr>
                <w:p w14:paraId="0D760DF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危险源概况</w:t>
                  </w:r>
                </w:p>
              </w:tc>
              <w:tc>
                <w:tcPr>
                  <w:tcW w:w="3784" w:type="pct"/>
                  <w:noWrap w:val="0"/>
                  <w:tcMar>
                    <w:left w:w="0" w:type="dxa"/>
                    <w:right w:w="0" w:type="dxa"/>
                  </w:tcMar>
                  <w:vAlign w:val="center"/>
                </w:tcPr>
                <w:p w14:paraId="7556F92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bCs w:val="0"/>
                      <w:color w:val="auto"/>
                      <w:sz w:val="21"/>
                      <w:szCs w:val="21"/>
                      <w:lang w:val="en-US" w:eastAsia="zh-CN"/>
                    </w:rPr>
                    <w:t>项目生产系统风险性主要存在于运营期储存、使用的液压油、润滑油，危废间储存的的废液压油、废润滑油等风险物质。</w:t>
                  </w:r>
                </w:p>
              </w:tc>
            </w:tr>
            <w:tr w14:paraId="61A7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18" w:type="pct"/>
                  <w:noWrap w:val="0"/>
                  <w:tcMar>
                    <w:left w:w="0" w:type="dxa"/>
                    <w:right w:w="0" w:type="dxa"/>
                  </w:tcMar>
                  <w:vAlign w:val="center"/>
                </w:tcPr>
                <w:p w14:paraId="1BFFEEA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897" w:type="pct"/>
                  <w:noWrap w:val="0"/>
                  <w:tcMar>
                    <w:left w:w="0" w:type="dxa"/>
                    <w:right w:w="0" w:type="dxa"/>
                  </w:tcMar>
                  <w:vAlign w:val="center"/>
                </w:tcPr>
                <w:p w14:paraId="11339B5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应急计划区</w:t>
                  </w:r>
                </w:p>
              </w:tc>
              <w:tc>
                <w:tcPr>
                  <w:tcW w:w="3784" w:type="pct"/>
                  <w:noWrap w:val="0"/>
                  <w:tcMar>
                    <w:left w:w="0" w:type="dxa"/>
                    <w:right w:w="0" w:type="dxa"/>
                  </w:tcMar>
                  <w:vAlign w:val="center"/>
                </w:tcPr>
                <w:p w14:paraId="337EA39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bCs/>
                      <w:color w:val="auto"/>
                      <w:sz w:val="21"/>
                      <w:szCs w:val="21"/>
                      <w:highlight w:val="none"/>
                      <w:lang w:eastAsia="zh-CN"/>
                    </w:rPr>
                    <w:t>危废间、废压缩机储存区等</w:t>
                  </w:r>
                </w:p>
              </w:tc>
            </w:tr>
            <w:tr w14:paraId="46E0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18" w:type="pct"/>
                  <w:noWrap w:val="0"/>
                  <w:tcMar>
                    <w:left w:w="0" w:type="dxa"/>
                    <w:right w:w="0" w:type="dxa"/>
                  </w:tcMar>
                  <w:vAlign w:val="center"/>
                </w:tcPr>
                <w:p w14:paraId="33F1DB3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897" w:type="pct"/>
                  <w:noWrap w:val="0"/>
                  <w:tcMar>
                    <w:left w:w="0" w:type="dxa"/>
                    <w:right w:w="0" w:type="dxa"/>
                  </w:tcMar>
                  <w:vAlign w:val="center"/>
                </w:tcPr>
                <w:p w14:paraId="2652C36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应急组织</w:t>
                  </w:r>
                </w:p>
              </w:tc>
              <w:tc>
                <w:tcPr>
                  <w:tcW w:w="3784" w:type="pct"/>
                  <w:noWrap w:val="0"/>
                  <w:tcMar>
                    <w:left w:w="0" w:type="dxa"/>
                    <w:right w:w="0" w:type="dxa"/>
                  </w:tcMar>
                  <w:vAlign w:val="center"/>
                </w:tcPr>
                <w:p w14:paraId="7ED93A8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厂区：成立事故应急救援指挥领导小组，下设应急救援办公</w:t>
                  </w:r>
                  <w:r>
                    <w:rPr>
                      <w:rFonts w:hint="default" w:ascii="Times New Roman" w:hAnsi="Times New Roman" w:cs="Times New Roman"/>
                      <w:color w:val="auto"/>
                      <w:sz w:val="21"/>
                      <w:szCs w:val="21"/>
                      <w:highlight w:val="none"/>
                      <w:lang w:val="en-US" w:eastAsia="zh-CN"/>
                    </w:rPr>
                    <w:t>室</w:t>
                  </w:r>
                  <w:r>
                    <w:rPr>
                      <w:rFonts w:hint="default" w:ascii="Times New Roman" w:hAnsi="Times New Roman" w:cs="Times New Roman"/>
                      <w:color w:val="auto"/>
                      <w:sz w:val="21"/>
                      <w:szCs w:val="21"/>
                      <w:highlight w:val="none"/>
                    </w:rPr>
                    <w:t>。</w:t>
                  </w:r>
                </w:p>
                <w:p w14:paraId="3161DBC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专业救助队伍：成立专业救助队伍，负责事故控制、救援、善后处理。</w:t>
                  </w:r>
                </w:p>
              </w:tc>
            </w:tr>
            <w:tr w14:paraId="5D80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8" w:type="pct"/>
                  <w:noWrap w:val="0"/>
                  <w:tcMar>
                    <w:left w:w="0" w:type="dxa"/>
                    <w:right w:w="0" w:type="dxa"/>
                  </w:tcMar>
                  <w:vAlign w:val="center"/>
                </w:tcPr>
                <w:p w14:paraId="01C4BAD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897" w:type="pct"/>
                  <w:noWrap w:val="0"/>
                  <w:tcMar>
                    <w:left w:w="0" w:type="dxa"/>
                    <w:right w:w="0" w:type="dxa"/>
                  </w:tcMar>
                  <w:vAlign w:val="center"/>
                </w:tcPr>
                <w:p w14:paraId="5D83BEC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应急状态分类及应急响应程序</w:t>
                  </w:r>
                </w:p>
              </w:tc>
              <w:tc>
                <w:tcPr>
                  <w:tcW w:w="3784" w:type="pct"/>
                  <w:noWrap w:val="0"/>
                  <w:tcMar>
                    <w:left w:w="0" w:type="dxa"/>
                    <w:right w:w="0" w:type="dxa"/>
                  </w:tcMar>
                  <w:vAlign w:val="center"/>
                </w:tcPr>
                <w:p w14:paraId="2A9BC95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按照事故发生的严重程度，规定事故的级别及相应的应急分类</w:t>
                  </w:r>
                </w:p>
                <w:p w14:paraId="0475F2F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响应程序。</w:t>
                  </w:r>
                </w:p>
              </w:tc>
            </w:tr>
            <w:tr w14:paraId="2AEF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8" w:type="pct"/>
                  <w:tcBorders>
                    <w:bottom w:val="single" w:color="auto" w:sz="4" w:space="0"/>
                  </w:tcBorders>
                  <w:noWrap w:val="0"/>
                  <w:tcMar>
                    <w:left w:w="0" w:type="dxa"/>
                    <w:right w:w="0" w:type="dxa"/>
                  </w:tcMar>
                  <w:vAlign w:val="center"/>
                </w:tcPr>
                <w:p w14:paraId="1B725AA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897" w:type="pct"/>
                  <w:tcBorders>
                    <w:bottom w:val="single" w:color="auto" w:sz="4" w:space="0"/>
                  </w:tcBorders>
                  <w:noWrap w:val="0"/>
                  <w:tcMar>
                    <w:left w:w="0" w:type="dxa"/>
                    <w:right w:w="0" w:type="dxa"/>
                  </w:tcMar>
                  <w:vAlign w:val="center"/>
                </w:tcPr>
                <w:p w14:paraId="65C5810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应急设施、设备与材料</w:t>
                  </w:r>
                </w:p>
              </w:tc>
              <w:tc>
                <w:tcPr>
                  <w:tcW w:w="3784" w:type="pct"/>
                  <w:tcBorders>
                    <w:bottom w:val="single" w:color="auto" w:sz="4" w:space="0"/>
                  </w:tcBorders>
                  <w:noWrap w:val="0"/>
                  <w:tcMar>
                    <w:left w:w="0" w:type="dxa"/>
                    <w:right w:w="0" w:type="dxa"/>
                  </w:tcMar>
                  <w:vAlign w:val="center"/>
                </w:tcPr>
                <w:p w14:paraId="67431B2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防火灾应急设施、设备与材料，主要为消防器材，自给正压式呼吸器、安全防护镜等。</w:t>
                  </w:r>
                </w:p>
              </w:tc>
            </w:tr>
            <w:tr w14:paraId="134D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8" w:type="pct"/>
                  <w:tcBorders>
                    <w:bottom w:val="single" w:color="auto" w:sz="4" w:space="0"/>
                  </w:tcBorders>
                  <w:noWrap w:val="0"/>
                  <w:tcMar>
                    <w:left w:w="0" w:type="dxa"/>
                    <w:right w:w="0" w:type="dxa"/>
                  </w:tcMar>
                  <w:vAlign w:val="center"/>
                </w:tcPr>
                <w:p w14:paraId="5BA811A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897" w:type="pct"/>
                  <w:tcBorders>
                    <w:bottom w:val="single" w:color="auto" w:sz="4" w:space="0"/>
                  </w:tcBorders>
                  <w:noWrap w:val="0"/>
                  <w:tcMar>
                    <w:left w:w="0" w:type="dxa"/>
                    <w:right w:w="0" w:type="dxa"/>
                  </w:tcMar>
                  <w:vAlign w:val="center"/>
                </w:tcPr>
                <w:p w14:paraId="40655A3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应急通讯、通知和交通</w:t>
                  </w:r>
                </w:p>
              </w:tc>
              <w:tc>
                <w:tcPr>
                  <w:tcW w:w="3784" w:type="pct"/>
                  <w:tcBorders>
                    <w:bottom w:val="single" w:color="auto" w:sz="4" w:space="0"/>
                  </w:tcBorders>
                  <w:noWrap w:val="0"/>
                  <w:tcMar>
                    <w:left w:w="0" w:type="dxa"/>
                    <w:right w:w="0" w:type="dxa"/>
                  </w:tcMar>
                  <w:vAlign w:val="center"/>
                </w:tcPr>
                <w:p w14:paraId="6730427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组成通讯联络队，并规定应急状态下的通讯方式、通知方式和交通保障、管制</w:t>
                  </w:r>
                </w:p>
              </w:tc>
            </w:tr>
            <w:tr w14:paraId="09BD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8" w:type="pct"/>
                  <w:tcBorders>
                    <w:top w:val="single" w:color="auto" w:sz="4" w:space="0"/>
                  </w:tcBorders>
                  <w:noWrap w:val="0"/>
                  <w:tcMar>
                    <w:left w:w="0" w:type="dxa"/>
                    <w:right w:w="0" w:type="dxa"/>
                  </w:tcMar>
                  <w:vAlign w:val="center"/>
                </w:tcPr>
                <w:p w14:paraId="3F141BB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897" w:type="pct"/>
                  <w:tcBorders>
                    <w:top w:val="single" w:color="auto" w:sz="4" w:space="0"/>
                  </w:tcBorders>
                  <w:noWrap w:val="0"/>
                  <w:tcMar>
                    <w:left w:w="0" w:type="dxa"/>
                    <w:right w:w="0" w:type="dxa"/>
                  </w:tcMar>
                  <w:vAlign w:val="center"/>
                </w:tcPr>
                <w:p w14:paraId="186146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应急环境监测及事故后评估</w:t>
                  </w:r>
                </w:p>
              </w:tc>
              <w:tc>
                <w:tcPr>
                  <w:tcW w:w="3784" w:type="pct"/>
                  <w:tcBorders>
                    <w:top w:val="single" w:color="auto" w:sz="4" w:space="0"/>
                  </w:tcBorders>
                  <w:noWrap w:val="0"/>
                  <w:tcMar>
                    <w:left w:w="0" w:type="dxa"/>
                    <w:right w:w="0" w:type="dxa"/>
                  </w:tcMar>
                  <w:vAlign w:val="center"/>
                </w:tcPr>
                <w:p w14:paraId="7DF3C30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有专业队伍负责对事故现场进行监测，对事故性质、参数与后果进行评估，为指挥部门提供决策依据</w:t>
                  </w:r>
                </w:p>
              </w:tc>
            </w:tr>
            <w:tr w14:paraId="542C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18" w:type="pct"/>
                  <w:noWrap w:val="0"/>
                  <w:tcMar>
                    <w:left w:w="0" w:type="dxa"/>
                    <w:right w:w="0" w:type="dxa"/>
                  </w:tcMar>
                  <w:vAlign w:val="center"/>
                </w:tcPr>
                <w:p w14:paraId="35A963D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897" w:type="pct"/>
                  <w:noWrap w:val="0"/>
                  <w:tcMar>
                    <w:left w:w="0" w:type="dxa"/>
                    <w:right w:w="0" w:type="dxa"/>
                  </w:tcMar>
                  <w:vAlign w:val="center"/>
                </w:tcPr>
                <w:p w14:paraId="0584562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应急措施</w:t>
                  </w:r>
                </w:p>
              </w:tc>
              <w:tc>
                <w:tcPr>
                  <w:tcW w:w="3784" w:type="pct"/>
                  <w:noWrap w:val="0"/>
                  <w:tcMar>
                    <w:left w:w="0" w:type="dxa"/>
                    <w:right w:w="0" w:type="dxa"/>
                  </w:tcMar>
                  <w:vAlign w:val="center"/>
                </w:tcPr>
                <w:p w14:paraId="3DDE5E2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事故现场：控制事故，防止扩大、蔓延及连锁反应。</w:t>
                  </w:r>
                </w:p>
              </w:tc>
            </w:tr>
            <w:tr w14:paraId="7C72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18" w:type="pct"/>
                  <w:noWrap w:val="0"/>
                  <w:tcMar>
                    <w:left w:w="0" w:type="dxa"/>
                    <w:right w:w="0" w:type="dxa"/>
                  </w:tcMar>
                  <w:vAlign w:val="center"/>
                </w:tcPr>
                <w:p w14:paraId="71A2A79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897" w:type="pct"/>
                  <w:noWrap w:val="0"/>
                  <w:tcMar>
                    <w:left w:w="0" w:type="dxa"/>
                    <w:right w:w="0" w:type="dxa"/>
                  </w:tcMar>
                  <w:vAlign w:val="center"/>
                </w:tcPr>
                <w:p w14:paraId="15E1132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撤离组织计划、医疗救护与公众健康</w:t>
                  </w:r>
                </w:p>
              </w:tc>
              <w:tc>
                <w:tcPr>
                  <w:tcW w:w="3784" w:type="pct"/>
                  <w:noWrap w:val="0"/>
                  <w:tcMar>
                    <w:left w:w="0" w:type="dxa"/>
                    <w:right w:w="0" w:type="dxa"/>
                  </w:tcMar>
                  <w:vAlign w:val="center"/>
                </w:tcPr>
                <w:p w14:paraId="0F2A52C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事故现场：事故处理人员制定对毒物应急剂量控制，现场及临近装置人员组织撤离计划及救护。</w:t>
                  </w:r>
                </w:p>
                <w:p w14:paraId="3DC91B8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事故临近区：受事故影响的临近区域人员及公众规定对毒物应急剂量的控制，组织撤离计划及救护。</w:t>
                  </w:r>
                </w:p>
              </w:tc>
            </w:tr>
            <w:tr w14:paraId="2811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18" w:type="pct"/>
                  <w:noWrap w:val="0"/>
                  <w:tcMar>
                    <w:left w:w="0" w:type="dxa"/>
                    <w:right w:w="0" w:type="dxa"/>
                  </w:tcMar>
                  <w:vAlign w:val="center"/>
                </w:tcPr>
                <w:p w14:paraId="624CA57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897" w:type="pct"/>
                  <w:noWrap w:val="0"/>
                  <w:tcMar>
                    <w:left w:w="0" w:type="dxa"/>
                    <w:right w:w="0" w:type="dxa"/>
                  </w:tcMar>
                  <w:vAlign w:val="center"/>
                </w:tcPr>
                <w:p w14:paraId="7D106E2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应急状态终止与恢复措施</w:t>
                  </w:r>
                </w:p>
              </w:tc>
              <w:tc>
                <w:tcPr>
                  <w:tcW w:w="3784" w:type="pct"/>
                  <w:noWrap w:val="0"/>
                  <w:tcMar>
                    <w:left w:w="0" w:type="dxa"/>
                    <w:right w:w="0" w:type="dxa"/>
                  </w:tcMar>
                  <w:vAlign w:val="center"/>
                </w:tcPr>
                <w:p w14:paraId="23D5833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规定应急状态终止程序；事故现场善后处理，恢复措施；临近区域解除事故警戒及善后恢复措施。</w:t>
                  </w:r>
                </w:p>
              </w:tc>
            </w:tr>
            <w:tr w14:paraId="490A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18" w:type="pct"/>
                  <w:noWrap w:val="0"/>
                  <w:tcMar>
                    <w:left w:w="0" w:type="dxa"/>
                    <w:right w:w="0" w:type="dxa"/>
                  </w:tcMar>
                  <w:vAlign w:val="center"/>
                </w:tcPr>
                <w:p w14:paraId="6B0BC71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w:t>
                  </w:r>
                </w:p>
              </w:tc>
              <w:tc>
                <w:tcPr>
                  <w:tcW w:w="897" w:type="pct"/>
                  <w:noWrap w:val="0"/>
                  <w:tcMar>
                    <w:left w:w="0" w:type="dxa"/>
                    <w:right w:w="0" w:type="dxa"/>
                  </w:tcMar>
                  <w:vAlign w:val="center"/>
                </w:tcPr>
                <w:p w14:paraId="791855B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人员培训与演练</w:t>
                  </w:r>
                </w:p>
              </w:tc>
              <w:tc>
                <w:tcPr>
                  <w:tcW w:w="3784" w:type="pct"/>
                  <w:noWrap w:val="0"/>
                  <w:tcMar>
                    <w:left w:w="0" w:type="dxa"/>
                    <w:right w:w="0" w:type="dxa"/>
                  </w:tcMar>
                  <w:vAlign w:val="center"/>
                </w:tcPr>
                <w:p w14:paraId="3E693C3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平时安排人员应急救援培训与演练。</w:t>
                  </w:r>
                </w:p>
              </w:tc>
            </w:tr>
            <w:tr w14:paraId="2909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18" w:type="pct"/>
                  <w:noWrap w:val="0"/>
                  <w:tcMar>
                    <w:left w:w="0" w:type="dxa"/>
                    <w:right w:w="0" w:type="dxa"/>
                  </w:tcMar>
                  <w:vAlign w:val="center"/>
                </w:tcPr>
                <w:p w14:paraId="67E3ED7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w:t>
                  </w:r>
                </w:p>
              </w:tc>
              <w:tc>
                <w:tcPr>
                  <w:tcW w:w="897" w:type="pct"/>
                  <w:noWrap w:val="0"/>
                  <w:tcMar>
                    <w:left w:w="0" w:type="dxa"/>
                    <w:right w:w="0" w:type="dxa"/>
                  </w:tcMar>
                  <w:vAlign w:val="center"/>
                </w:tcPr>
                <w:p w14:paraId="2635F52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公众教育与信息</w:t>
                  </w:r>
                </w:p>
              </w:tc>
              <w:tc>
                <w:tcPr>
                  <w:tcW w:w="3784" w:type="pct"/>
                  <w:noWrap w:val="0"/>
                  <w:tcMar>
                    <w:left w:w="0" w:type="dxa"/>
                    <w:right w:w="0" w:type="dxa"/>
                  </w:tcMar>
                  <w:vAlign w:val="center"/>
                </w:tcPr>
                <w:p w14:paraId="00359C4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对厂区临近地区开展公众教育、培训和发布有关信息</w:t>
                  </w:r>
                </w:p>
              </w:tc>
            </w:tr>
            <w:tr w14:paraId="7A70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8" w:type="pct"/>
                  <w:noWrap w:val="0"/>
                  <w:tcMar>
                    <w:left w:w="0" w:type="dxa"/>
                    <w:right w:w="0" w:type="dxa"/>
                  </w:tcMar>
                  <w:vAlign w:val="center"/>
                </w:tcPr>
                <w:p w14:paraId="58DF2B2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w:t>
                  </w:r>
                </w:p>
              </w:tc>
              <w:tc>
                <w:tcPr>
                  <w:tcW w:w="897" w:type="pct"/>
                  <w:noWrap w:val="0"/>
                  <w:tcMar>
                    <w:left w:w="0" w:type="dxa"/>
                    <w:right w:w="0" w:type="dxa"/>
                  </w:tcMar>
                  <w:vAlign w:val="center"/>
                </w:tcPr>
                <w:p w14:paraId="0B8BA10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记录和报告</w:t>
                  </w:r>
                </w:p>
              </w:tc>
              <w:tc>
                <w:tcPr>
                  <w:tcW w:w="3784" w:type="pct"/>
                  <w:noWrap w:val="0"/>
                  <w:tcMar>
                    <w:left w:w="0" w:type="dxa"/>
                    <w:right w:w="0" w:type="dxa"/>
                  </w:tcMar>
                  <w:vAlign w:val="center"/>
                </w:tcPr>
                <w:p w14:paraId="0013567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110" w:right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设应急事故专门记录，建档案和专门报告制度，设专门部门负责管理</w:t>
                  </w:r>
                </w:p>
              </w:tc>
            </w:tr>
          </w:tbl>
          <w:p w14:paraId="2785033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14:paraId="3FD75BB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bCs/>
                <w:color w:val="auto"/>
                <w:spacing w:val="-10"/>
                <w:szCs w:val="21"/>
                <w:lang w:eastAsia="zh-CN"/>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r>
              <w:rPr>
                <w:rFonts w:hint="eastAsia" w:ascii="Times New Roman" w:hAnsi="Times New Roman" w:cs="Times New Roman"/>
                <w:color w:val="auto"/>
                <w:sz w:val="21"/>
                <w:szCs w:val="21"/>
                <w:lang w:eastAsia="zh-CN"/>
              </w:rPr>
              <w:t>。</w:t>
            </w:r>
          </w:p>
        </w:tc>
      </w:tr>
    </w:tbl>
    <w:p w14:paraId="264F0B46">
      <w:pPr>
        <w:pStyle w:val="5"/>
        <w:rPr>
          <w:rFonts w:hint="default"/>
          <w:color w:val="auto"/>
        </w:rPr>
        <w:sectPr>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14:paraId="2FE35B67">
      <w:pPr>
        <w:pStyle w:val="12"/>
        <w:spacing w:before="8"/>
        <w:rPr>
          <w:rFonts w:hint="default" w:ascii="Times New Roman" w:hAnsi="Times New Roman" w:cs="Times New Roman"/>
          <w:color w:val="auto"/>
          <w:sz w:val="25"/>
        </w:rPr>
      </w:pPr>
    </w:p>
    <w:p w14:paraId="4FB6E867">
      <w:pPr>
        <w:pStyle w:val="12"/>
        <w:numPr>
          <w:ilvl w:val="0"/>
          <w:numId w:val="3"/>
        </w:numPr>
        <w:spacing w:before="58"/>
        <w:ind w:left="635" w:right="653"/>
        <w:jc w:val="center"/>
        <w:rPr>
          <w:rFonts w:hint="default" w:ascii="Times New Roman" w:hAnsi="Times New Roman" w:cs="Times New Roman"/>
          <w:color w:val="auto"/>
        </w:rPr>
      </w:pPr>
      <w:r>
        <w:rPr>
          <w:rFonts w:hint="default" w:ascii="Times New Roman" w:hAnsi="Times New Roman" w:cs="Times New Roman"/>
          <w:color w:val="auto"/>
        </w:rPr>
        <w:t>环境保护措施监督检查清单</w:t>
      </w:r>
    </w:p>
    <w:tbl>
      <w:tblPr>
        <w:tblStyle w:val="34"/>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219"/>
        <w:gridCol w:w="1290"/>
        <w:gridCol w:w="2024"/>
        <w:gridCol w:w="2551"/>
      </w:tblGrid>
      <w:tr w14:paraId="74126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tcBorders>
              <w:tl2br w:val="single" w:color="auto" w:sz="4" w:space="0"/>
            </w:tcBorders>
            <w:noWrap w:val="0"/>
            <w:vAlign w:val="top"/>
          </w:tcPr>
          <w:p w14:paraId="527BC6B1">
            <w:pPr>
              <w:keepNext w:val="0"/>
              <w:keepLines w:val="0"/>
              <w:suppressLineNumbers w:val="0"/>
              <w:adjustRightInd w:val="0"/>
              <w:snapToGrid w:val="0"/>
              <w:spacing w:beforeAutospacing="0" w:afterAutospacing="0"/>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内容</w:t>
            </w:r>
          </w:p>
          <w:p w14:paraId="2C54B201">
            <w:pPr>
              <w:keepNext w:val="0"/>
              <w:keepLines w:val="0"/>
              <w:suppressLineNumbers w:val="0"/>
              <w:adjustRightInd w:val="0"/>
              <w:snapToGrid w:val="0"/>
              <w:spacing w:beforeAutospacing="0" w:afterAutospacing="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要素</w:t>
            </w:r>
          </w:p>
        </w:tc>
        <w:tc>
          <w:tcPr>
            <w:tcW w:w="2219" w:type="dxa"/>
            <w:noWrap w:val="0"/>
            <w:vAlign w:val="center"/>
          </w:tcPr>
          <w:p w14:paraId="66E8B296">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排放口(编号、</w:t>
            </w:r>
          </w:p>
          <w:p w14:paraId="69052718">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名称)/污染源</w:t>
            </w:r>
          </w:p>
        </w:tc>
        <w:tc>
          <w:tcPr>
            <w:tcW w:w="1290" w:type="dxa"/>
            <w:noWrap w:val="0"/>
            <w:vAlign w:val="center"/>
          </w:tcPr>
          <w:p w14:paraId="2218A593">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c>
          <w:tcPr>
            <w:tcW w:w="2024" w:type="dxa"/>
            <w:noWrap w:val="0"/>
            <w:vAlign w:val="center"/>
          </w:tcPr>
          <w:p w14:paraId="58C07337">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环境保护措施</w:t>
            </w:r>
          </w:p>
        </w:tc>
        <w:tc>
          <w:tcPr>
            <w:tcW w:w="2551" w:type="dxa"/>
            <w:noWrap w:val="0"/>
            <w:vAlign w:val="center"/>
          </w:tcPr>
          <w:p w14:paraId="433DFDDA">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执行标准</w:t>
            </w:r>
          </w:p>
        </w:tc>
      </w:tr>
      <w:tr w14:paraId="55ECA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5" w:type="dxa"/>
            <w:vMerge w:val="restart"/>
            <w:noWrap w:val="0"/>
            <w:vAlign w:val="center"/>
          </w:tcPr>
          <w:p w14:paraId="17002BE2">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大气环境</w:t>
            </w:r>
          </w:p>
        </w:tc>
        <w:tc>
          <w:tcPr>
            <w:tcW w:w="2219" w:type="dxa"/>
            <w:vMerge w:val="restart"/>
            <w:noWrap w:val="0"/>
            <w:vAlign w:val="center"/>
          </w:tcPr>
          <w:p w14:paraId="251CAC39">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sz w:val="21"/>
                <w:szCs w:val="21"/>
                <w:lang w:eastAsia="zh-CN"/>
              </w:rPr>
              <w:t>美缝剂生产线废气排放口</w:t>
            </w:r>
            <w:r>
              <w:rPr>
                <w:rFonts w:hint="default" w:ascii="Times New Roman" w:hAnsi="Times New Roman" w:eastAsia="宋体" w:cs="Times New Roman"/>
                <w:color w:val="auto"/>
                <w:sz w:val="21"/>
                <w:szCs w:val="21"/>
                <w:lang w:eastAsia="zh-CN"/>
              </w:rPr>
              <w:t>（DA001）</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b w:val="0"/>
                <w:bCs w:val="0"/>
                <w:color w:val="auto"/>
                <w:kern w:val="2"/>
                <w:sz w:val="21"/>
                <w:szCs w:val="21"/>
                <w:highlight w:val="none"/>
                <w:lang w:val="en-US" w:eastAsia="zh-CN" w:bidi="en-US"/>
              </w:rPr>
              <w:t>投料废气、搅拌废气</w:t>
            </w:r>
          </w:p>
        </w:tc>
        <w:tc>
          <w:tcPr>
            <w:tcW w:w="1290" w:type="dxa"/>
            <w:noWrap w:val="0"/>
            <w:vAlign w:val="center"/>
          </w:tcPr>
          <w:p w14:paraId="5ADBA8C3">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2"/>
                <w:sz w:val="21"/>
                <w:szCs w:val="24"/>
                <w:lang w:val="en-US" w:eastAsia="zh-CN" w:bidi="ar-SA"/>
              </w:rPr>
              <w:t>颗粒物</w:t>
            </w:r>
          </w:p>
        </w:tc>
        <w:tc>
          <w:tcPr>
            <w:tcW w:w="2024" w:type="dxa"/>
            <w:vMerge w:val="restart"/>
            <w:noWrap w:val="0"/>
            <w:vAlign w:val="center"/>
          </w:tcPr>
          <w:p w14:paraId="10929A21">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b w:val="0"/>
                <w:bCs w:val="0"/>
                <w:color w:val="auto"/>
                <w:sz w:val="21"/>
                <w:szCs w:val="21"/>
                <w:lang w:val="en-US" w:eastAsia="zh-CN"/>
              </w:rPr>
              <w:t>集气罩+布袋除尘器+两级活性炭箱</w:t>
            </w:r>
            <w:r>
              <w:rPr>
                <w:rFonts w:hint="default" w:ascii="Times New Roman" w:hAnsi="Times New Roman" w:cs="Times New Roman"/>
                <w:color w:val="auto"/>
                <w:spacing w:val="0"/>
                <w:kern w:val="21"/>
                <w:sz w:val="21"/>
                <w:szCs w:val="21"/>
                <w:highlight w:val="none"/>
                <w:lang w:val="en-US" w:eastAsia="zh-CN"/>
              </w:rPr>
              <w:t>+</w:t>
            </w:r>
            <w:r>
              <w:rPr>
                <w:rFonts w:hint="eastAsia" w:ascii="Times New Roman" w:hAnsi="Times New Roman" w:cs="Times New Roman"/>
                <w:color w:val="auto"/>
                <w:spacing w:val="0"/>
                <w:kern w:val="21"/>
                <w:sz w:val="21"/>
                <w:szCs w:val="21"/>
                <w:highlight w:val="none"/>
                <w:lang w:val="en-US" w:eastAsia="zh-CN"/>
              </w:rPr>
              <w:t>15m</w:t>
            </w:r>
            <w:r>
              <w:rPr>
                <w:rFonts w:hint="default" w:ascii="Times New Roman" w:hAnsi="Times New Roman" w:cs="Times New Roman"/>
                <w:color w:val="auto"/>
                <w:spacing w:val="0"/>
                <w:kern w:val="21"/>
                <w:sz w:val="21"/>
                <w:szCs w:val="21"/>
                <w:highlight w:val="none"/>
                <w:lang w:val="en-US" w:eastAsia="zh-CN"/>
              </w:rPr>
              <w:t>高排气筒</w:t>
            </w:r>
          </w:p>
        </w:tc>
        <w:tc>
          <w:tcPr>
            <w:tcW w:w="2551" w:type="dxa"/>
            <w:vMerge w:val="restart"/>
            <w:noWrap w:val="0"/>
            <w:vAlign w:val="center"/>
          </w:tcPr>
          <w:p w14:paraId="321AB72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cs="Times New Roman"/>
                <w:color w:val="auto"/>
                <w:sz w:val="21"/>
                <w:szCs w:val="21"/>
              </w:rPr>
              <w:t>《涂料、油墨及胶粘剂工业大气污染物排放标准》（GB 37824-2019）表2大气污染物特别排放限值</w:t>
            </w:r>
          </w:p>
        </w:tc>
      </w:tr>
      <w:tr w14:paraId="149F1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45" w:type="dxa"/>
            <w:vMerge w:val="continue"/>
            <w:noWrap w:val="0"/>
            <w:vAlign w:val="center"/>
          </w:tcPr>
          <w:p w14:paraId="21AC0BF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color w:val="auto"/>
              </w:rPr>
            </w:pPr>
          </w:p>
        </w:tc>
        <w:tc>
          <w:tcPr>
            <w:tcW w:w="2219" w:type="dxa"/>
            <w:vMerge w:val="continue"/>
            <w:noWrap w:val="0"/>
            <w:vAlign w:val="center"/>
          </w:tcPr>
          <w:p w14:paraId="497322D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color w:val="auto"/>
              </w:rPr>
            </w:pPr>
          </w:p>
        </w:tc>
        <w:tc>
          <w:tcPr>
            <w:tcW w:w="1290" w:type="dxa"/>
            <w:noWrap w:val="0"/>
            <w:vAlign w:val="center"/>
          </w:tcPr>
          <w:p w14:paraId="554C935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非甲烷总烃</w:t>
            </w:r>
          </w:p>
        </w:tc>
        <w:tc>
          <w:tcPr>
            <w:tcW w:w="2024" w:type="dxa"/>
            <w:vMerge w:val="continue"/>
            <w:noWrap w:val="0"/>
            <w:vAlign w:val="center"/>
          </w:tcPr>
          <w:p w14:paraId="3451427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p>
        </w:tc>
        <w:tc>
          <w:tcPr>
            <w:tcW w:w="2551" w:type="dxa"/>
            <w:vMerge w:val="continue"/>
            <w:noWrap w:val="0"/>
            <w:vAlign w:val="center"/>
          </w:tcPr>
          <w:p w14:paraId="37DF38B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p>
        </w:tc>
      </w:tr>
      <w:tr w14:paraId="55EE8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Merge w:val="continue"/>
            <w:noWrap w:val="0"/>
            <w:vAlign w:val="center"/>
          </w:tcPr>
          <w:p w14:paraId="67F2D952">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219" w:type="dxa"/>
            <w:vMerge w:val="restart"/>
            <w:noWrap w:val="0"/>
            <w:vAlign w:val="center"/>
          </w:tcPr>
          <w:p w14:paraId="495C75F2">
            <w:pPr>
              <w:keepNext w:val="0"/>
              <w:keepLines w:val="0"/>
              <w:suppressLineNumbers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厂界</w:t>
            </w:r>
            <w:r>
              <w:rPr>
                <w:rFonts w:hint="default" w:ascii="Times New Roman" w:hAnsi="Times New Roman" w:cs="Times New Roman"/>
                <w:color w:val="auto"/>
                <w:sz w:val="21"/>
                <w:szCs w:val="21"/>
              </w:rPr>
              <w:t>无组织废气</w:t>
            </w:r>
          </w:p>
        </w:tc>
        <w:tc>
          <w:tcPr>
            <w:tcW w:w="1290" w:type="dxa"/>
            <w:noWrap w:val="0"/>
            <w:vAlign w:val="center"/>
          </w:tcPr>
          <w:p w14:paraId="76F12AD7">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颗粒物</w:t>
            </w:r>
          </w:p>
        </w:tc>
        <w:tc>
          <w:tcPr>
            <w:tcW w:w="2024" w:type="dxa"/>
            <w:vMerge w:val="restart"/>
            <w:noWrap w:val="0"/>
            <w:vAlign w:val="center"/>
          </w:tcPr>
          <w:p w14:paraId="35554252">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eastAsia"/>
                <w:color w:val="auto"/>
                <w:spacing w:val="0"/>
                <w:kern w:val="21"/>
                <w:sz w:val="21"/>
                <w:szCs w:val="21"/>
                <w:highlight w:val="none"/>
                <w:lang w:val="en-US" w:eastAsia="zh-CN"/>
              </w:rPr>
              <w:t>车间密闭，泼洒抑尘</w:t>
            </w:r>
          </w:p>
        </w:tc>
        <w:tc>
          <w:tcPr>
            <w:tcW w:w="2551" w:type="dxa"/>
            <w:noWrap w:val="0"/>
            <w:vAlign w:val="center"/>
          </w:tcPr>
          <w:p w14:paraId="013D0B1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b w:val="0"/>
                <w:bCs w:val="0"/>
                <w:color w:val="auto"/>
                <w:sz w:val="21"/>
                <w:szCs w:val="21"/>
                <w:lang w:val="en-US" w:eastAsia="zh-CN"/>
              </w:rPr>
              <w:t>《大气污染物综合排放标准》(GB12697-1996)表2颗粒物（</w:t>
            </w:r>
            <w:r>
              <w:rPr>
                <w:rFonts w:hint="eastAsia" w:ascii="Times New Roman" w:hAnsi="Times New Roman" w:cs="Times New Roman"/>
                <w:color w:val="auto"/>
                <w:sz w:val="21"/>
                <w:szCs w:val="21"/>
                <w:lang w:eastAsia="zh-CN"/>
              </w:rPr>
              <w:t>碳黑尘、染料尘；其他</w:t>
            </w:r>
            <w:r>
              <w:rPr>
                <w:rFonts w:hint="eastAsia" w:ascii="Times New Roman" w:hAnsi="Times New Roman" w:cs="Times New Roman"/>
                <w:b w:val="0"/>
                <w:bCs w:val="0"/>
                <w:color w:val="auto"/>
                <w:sz w:val="21"/>
                <w:szCs w:val="21"/>
                <w:lang w:val="en-US" w:eastAsia="zh-CN"/>
              </w:rPr>
              <w:t>）无组织排放监控浓度限值要求</w:t>
            </w:r>
          </w:p>
        </w:tc>
      </w:tr>
      <w:tr w14:paraId="229BD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Merge w:val="continue"/>
            <w:noWrap w:val="0"/>
            <w:vAlign w:val="center"/>
          </w:tcPr>
          <w:p w14:paraId="5FA19DF3">
            <w:pPr>
              <w:keepNext w:val="0"/>
              <w:keepLines w:val="0"/>
              <w:suppressLineNumbers w:val="0"/>
              <w:adjustRightInd w:val="0"/>
              <w:snapToGrid w:val="0"/>
              <w:spacing w:beforeAutospacing="0" w:afterAutospacing="0"/>
              <w:ind w:left="0" w:leftChars="0" w:right="0" w:rightChars="0"/>
              <w:jc w:val="center"/>
              <w:rPr>
                <w:rFonts w:hint="default"/>
                <w:color w:val="auto"/>
              </w:rPr>
            </w:pPr>
          </w:p>
        </w:tc>
        <w:tc>
          <w:tcPr>
            <w:tcW w:w="2219" w:type="dxa"/>
            <w:vMerge w:val="continue"/>
            <w:noWrap w:val="0"/>
            <w:vAlign w:val="center"/>
          </w:tcPr>
          <w:p w14:paraId="524D9B99">
            <w:pPr>
              <w:keepNext w:val="0"/>
              <w:keepLines w:val="0"/>
              <w:suppressLineNumbers w:val="0"/>
              <w:adjustRightInd w:val="0"/>
              <w:snapToGrid w:val="0"/>
              <w:spacing w:beforeAutospacing="0" w:afterAutospacing="0"/>
              <w:ind w:left="0" w:leftChars="0" w:right="0" w:rightChars="0"/>
              <w:jc w:val="center"/>
              <w:rPr>
                <w:rFonts w:hint="default"/>
                <w:color w:val="auto"/>
              </w:rPr>
            </w:pPr>
          </w:p>
        </w:tc>
        <w:tc>
          <w:tcPr>
            <w:tcW w:w="1290" w:type="dxa"/>
            <w:noWrap w:val="0"/>
            <w:vAlign w:val="center"/>
          </w:tcPr>
          <w:p w14:paraId="07F7A4A0">
            <w:pPr>
              <w:keepNext w:val="0"/>
              <w:keepLines w:val="0"/>
              <w:suppressLineNumbers w:val="0"/>
              <w:adjustRightInd w:val="0"/>
              <w:snapToGrid w:val="0"/>
              <w:spacing w:beforeAutospacing="0" w:afterAutospacing="0"/>
              <w:ind w:left="0" w:leftChars="0" w:right="0" w:rightChars="0"/>
              <w:jc w:val="center"/>
              <w:rPr>
                <w:rFonts w:hint="default"/>
                <w:color w:val="auto"/>
              </w:rPr>
            </w:pPr>
            <w:r>
              <w:rPr>
                <w:rFonts w:hint="eastAsia" w:ascii="Times New Roman" w:hAnsi="Times New Roman" w:cs="Times New Roman"/>
                <w:color w:val="auto"/>
                <w:kern w:val="2"/>
                <w:sz w:val="21"/>
                <w:szCs w:val="24"/>
                <w:vertAlign w:val="baseline"/>
                <w:lang w:val="en-US" w:eastAsia="zh-CN" w:bidi="ar-SA"/>
              </w:rPr>
              <w:t>非甲烷总烃</w:t>
            </w:r>
          </w:p>
        </w:tc>
        <w:tc>
          <w:tcPr>
            <w:tcW w:w="2024" w:type="dxa"/>
            <w:vMerge w:val="continue"/>
            <w:noWrap w:val="0"/>
            <w:vAlign w:val="center"/>
          </w:tcPr>
          <w:p w14:paraId="2D3A0729">
            <w:pPr>
              <w:keepNext w:val="0"/>
              <w:keepLines w:val="0"/>
              <w:suppressLineNumbers w:val="0"/>
              <w:adjustRightInd w:val="0"/>
              <w:snapToGrid w:val="0"/>
              <w:spacing w:beforeAutospacing="0" w:afterAutospacing="0"/>
              <w:ind w:left="0" w:leftChars="0" w:right="0" w:rightChars="0"/>
              <w:jc w:val="center"/>
              <w:rPr>
                <w:rFonts w:hint="default"/>
                <w:color w:val="auto"/>
              </w:rPr>
            </w:pPr>
          </w:p>
        </w:tc>
        <w:tc>
          <w:tcPr>
            <w:tcW w:w="2551" w:type="dxa"/>
            <w:noWrap w:val="0"/>
            <w:vAlign w:val="center"/>
          </w:tcPr>
          <w:p w14:paraId="3E8A23E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b w:val="0"/>
                <w:bCs w:val="0"/>
                <w:color w:val="auto"/>
                <w:sz w:val="21"/>
                <w:szCs w:val="21"/>
                <w:lang w:val="en-US" w:eastAsia="zh-CN"/>
              </w:rPr>
              <w:t>《工业企业挥发性有机物排放控制标准》(DB13/2322-2016)表2企业边界大气污染物浓度限值</w:t>
            </w:r>
          </w:p>
        </w:tc>
      </w:tr>
      <w:tr w14:paraId="4F708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Merge w:val="continue"/>
            <w:noWrap w:val="0"/>
            <w:vAlign w:val="center"/>
          </w:tcPr>
          <w:p w14:paraId="7AA27648">
            <w:pPr>
              <w:keepNext w:val="0"/>
              <w:keepLines w:val="0"/>
              <w:suppressLineNumbers w:val="0"/>
              <w:adjustRightInd w:val="0"/>
              <w:snapToGrid w:val="0"/>
              <w:spacing w:beforeAutospacing="0" w:afterAutospacing="0"/>
              <w:ind w:left="0" w:leftChars="0" w:right="0" w:rightChars="0"/>
              <w:jc w:val="center"/>
              <w:rPr>
                <w:rFonts w:hint="default"/>
                <w:color w:val="auto"/>
              </w:rPr>
            </w:pPr>
          </w:p>
        </w:tc>
        <w:tc>
          <w:tcPr>
            <w:tcW w:w="2219" w:type="dxa"/>
            <w:noWrap w:val="0"/>
            <w:vAlign w:val="center"/>
          </w:tcPr>
          <w:p w14:paraId="74B09022">
            <w:pPr>
              <w:keepNext w:val="0"/>
              <w:keepLines w:val="0"/>
              <w:suppressLineNumbers w:val="0"/>
              <w:adjustRightInd w:val="0"/>
              <w:snapToGrid w:val="0"/>
              <w:spacing w:beforeAutospacing="0" w:afterAutospacing="0"/>
              <w:ind w:left="0" w:leftChars="0" w:right="0" w:rightChars="0"/>
              <w:jc w:val="center"/>
              <w:rPr>
                <w:rFonts w:hint="eastAsia" w:eastAsia="宋体"/>
                <w:color w:val="auto"/>
                <w:lang w:eastAsia="zh-CN"/>
              </w:rPr>
            </w:pPr>
            <w:r>
              <w:rPr>
                <w:rFonts w:hint="eastAsia"/>
                <w:color w:val="auto"/>
                <w:sz w:val="21"/>
                <w:szCs w:val="21"/>
                <w:lang w:eastAsia="zh-CN"/>
              </w:rPr>
              <w:t>厂内无组织废气</w:t>
            </w:r>
          </w:p>
        </w:tc>
        <w:tc>
          <w:tcPr>
            <w:tcW w:w="1290" w:type="dxa"/>
            <w:noWrap w:val="0"/>
            <w:vAlign w:val="center"/>
          </w:tcPr>
          <w:p w14:paraId="5D42F4DF">
            <w:pPr>
              <w:keepNext w:val="0"/>
              <w:keepLines w:val="0"/>
              <w:suppressLineNumbers w:val="0"/>
              <w:adjustRightInd w:val="0"/>
              <w:snapToGrid w:val="0"/>
              <w:spacing w:beforeAutospacing="0" w:afterAutospacing="0"/>
              <w:ind w:left="0" w:leftChars="0" w:right="0" w:rightChars="0"/>
              <w:jc w:val="center"/>
              <w:rPr>
                <w:rFonts w:hint="eastAsia" w:ascii="Times New Roman" w:hAnsi="Times New Roman" w:eastAsia="宋体" w:cs="Times New Roman"/>
                <w:b w:val="0"/>
                <w:bCs/>
                <w:color w:val="auto"/>
                <w:sz w:val="21"/>
                <w:szCs w:val="21"/>
                <w:highlight w:val="none"/>
                <w:lang w:eastAsia="zh-CN"/>
              </w:rPr>
            </w:pPr>
            <w:r>
              <w:rPr>
                <w:rFonts w:hint="eastAsia" w:ascii="Times New Roman" w:hAnsi="Times New Roman" w:cs="Times New Roman"/>
                <w:color w:val="auto"/>
                <w:kern w:val="2"/>
                <w:sz w:val="21"/>
                <w:szCs w:val="24"/>
                <w:vertAlign w:val="baseline"/>
                <w:lang w:val="en-US" w:eastAsia="zh-CN" w:bidi="ar-SA"/>
              </w:rPr>
              <w:t>非甲烷总烃</w:t>
            </w:r>
          </w:p>
        </w:tc>
        <w:tc>
          <w:tcPr>
            <w:tcW w:w="2024" w:type="dxa"/>
            <w:noWrap w:val="0"/>
            <w:vAlign w:val="center"/>
          </w:tcPr>
          <w:p w14:paraId="79E1CD8E">
            <w:pPr>
              <w:keepNext w:val="0"/>
              <w:keepLines w:val="0"/>
              <w:suppressLineNumbers w:val="0"/>
              <w:adjustRightInd w:val="0"/>
              <w:snapToGrid w:val="0"/>
              <w:spacing w:beforeAutospacing="0" w:afterAutospacing="0"/>
              <w:ind w:left="0" w:leftChars="0" w:right="0" w:rightChars="0"/>
              <w:jc w:val="center"/>
              <w:rPr>
                <w:rFonts w:hint="default"/>
                <w:color w:val="auto"/>
              </w:rPr>
            </w:pPr>
            <w:r>
              <w:rPr>
                <w:rFonts w:hint="eastAsia"/>
                <w:color w:val="auto"/>
                <w:spacing w:val="0"/>
                <w:kern w:val="21"/>
                <w:sz w:val="21"/>
                <w:szCs w:val="21"/>
                <w:highlight w:val="none"/>
                <w:lang w:val="en-US" w:eastAsia="zh-CN"/>
              </w:rPr>
              <w:t>车间密闭，泼洒抑尘</w:t>
            </w:r>
          </w:p>
        </w:tc>
        <w:tc>
          <w:tcPr>
            <w:tcW w:w="2551" w:type="dxa"/>
            <w:noWrap w:val="0"/>
            <w:vAlign w:val="center"/>
          </w:tcPr>
          <w:p w14:paraId="25ED327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《挥发性有机物无组织排放控制标准（GB 37822—2019）》</w:t>
            </w:r>
            <w:r>
              <w:rPr>
                <w:rFonts w:hint="eastAsia" w:ascii="Times New Roman" w:hAnsi="Times New Roman" w:cs="Times New Roman"/>
                <w:b w:val="0"/>
                <w:bCs/>
                <w:color w:val="auto"/>
                <w:sz w:val="21"/>
                <w:szCs w:val="21"/>
                <w:highlight w:val="none"/>
                <w:lang w:val="en-US" w:eastAsia="zh-CN"/>
              </w:rPr>
              <w:t>表A.1以及</w:t>
            </w:r>
            <w:r>
              <w:rPr>
                <w:rFonts w:hint="default" w:ascii="Times New Roman" w:hAnsi="Times New Roman" w:eastAsia="宋体" w:cs="Times New Roman"/>
                <w:b w:val="0"/>
                <w:bCs/>
                <w:color w:val="auto"/>
                <w:sz w:val="21"/>
                <w:szCs w:val="21"/>
                <w:highlight w:val="none"/>
                <w:lang w:eastAsia="zh-CN"/>
              </w:rPr>
              <w:t>《涂料、油墨及胶粘剂工业大气污染物排放标准》（GB 37824</w:t>
            </w:r>
            <w:r>
              <w:rPr>
                <w:rFonts w:hint="eastAsia"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lang w:eastAsia="zh-CN"/>
              </w:rPr>
              <w:t>2019）表 B.1 厂区内 VOCs 无组织</w:t>
            </w:r>
            <w:r>
              <w:rPr>
                <w:rFonts w:hint="eastAsia" w:ascii="Times New Roman" w:hAnsi="Times New Roman" w:eastAsia="宋体" w:cs="Times New Roman"/>
                <w:b w:val="0"/>
                <w:bCs/>
                <w:color w:val="auto"/>
                <w:sz w:val="21"/>
                <w:szCs w:val="21"/>
                <w:highlight w:val="none"/>
                <w:lang w:eastAsia="zh-CN"/>
              </w:rPr>
              <w:t>特别</w:t>
            </w:r>
            <w:r>
              <w:rPr>
                <w:rFonts w:hint="default" w:ascii="Times New Roman" w:hAnsi="Times New Roman" w:eastAsia="宋体" w:cs="Times New Roman"/>
                <w:b w:val="0"/>
                <w:bCs/>
                <w:color w:val="auto"/>
                <w:sz w:val="21"/>
                <w:szCs w:val="21"/>
                <w:highlight w:val="none"/>
                <w:lang w:eastAsia="zh-CN"/>
              </w:rPr>
              <w:t>排放限值</w:t>
            </w:r>
          </w:p>
        </w:tc>
      </w:tr>
      <w:tr w14:paraId="5A166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noWrap w:val="0"/>
            <w:vAlign w:val="center"/>
          </w:tcPr>
          <w:p w14:paraId="53EE50E9">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2219" w:type="dxa"/>
            <w:noWrap w:val="0"/>
            <w:vAlign w:val="center"/>
          </w:tcPr>
          <w:p w14:paraId="53DC831A">
            <w:pPr>
              <w:keepNext w:val="0"/>
              <w:keepLines w:val="0"/>
              <w:suppressLineNumbers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生活污水</w:t>
            </w:r>
          </w:p>
        </w:tc>
        <w:tc>
          <w:tcPr>
            <w:tcW w:w="1290" w:type="dxa"/>
            <w:noWrap w:val="0"/>
            <w:vAlign w:val="center"/>
          </w:tcPr>
          <w:p w14:paraId="4EFC54B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kern w:val="2"/>
                <w:sz w:val="21"/>
                <w:szCs w:val="21"/>
                <w:lang w:val="en-US" w:eastAsia="zh-CN" w:bidi="ar-SA"/>
              </w:rPr>
              <w:t>COD、BOD</w:t>
            </w:r>
            <w:r>
              <w:rPr>
                <w:rFonts w:hint="default" w:ascii="Times New Roman" w:hAnsi="Times New Roman" w:cs="Times New Roman"/>
                <w:color w:val="auto"/>
                <w:kern w:val="2"/>
                <w:sz w:val="21"/>
                <w:szCs w:val="21"/>
                <w:vertAlign w:val="subscript"/>
                <w:lang w:val="en-US" w:eastAsia="zh-CN" w:bidi="ar-SA"/>
              </w:rPr>
              <w:t>5</w:t>
            </w:r>
            <w:r>
              <w:rPr>
                <w:rFonts w:hint="default" w:ascii="Times New Roman" w:hAnsi="Times New Roman" w:cs="Times New Roman"/>
                <w:color w:val="auto"/>
                <w:kern w:val="2"/>
                <w:sz w:val="21"/>
                <w:szCs w:val="21"/>
                <w:lang w:val="en-US" w:eastAsia="zh-CN" w:bidi="ar-SA"/>
              </w:rPr>
              <w:t>、SS、氨氮</w:t>
            </w:r>
          </w:p>
        </w:tc>
        <w:tc>
          <w:tcPr>
            <w:tcW w:w="2024" w:type="dxa"/>
            <w:noWrap w:val="0"/>
            <w:vAlign w:val="center"/>
          </w:tcPr>
          <w:p w14:paraId="783543F0">
            <w:pPr>
              <w:adjustRightInd w:val="0"/>
              <w:snapToGrid w:val="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rPr>
              <w:t>生活污水用于厂区</w:t>
            </w:r>
            <w:r>
              <w:rPr>
                <w:rFonts w:ascii="Times New Roman" w:hAnsi="Times New Roman" w:cs="Times New Roman"/>
                <w:color w:val="auto"/>
                <w:sz w:val="21"/>
                <w:szCs w:val="21"/>
                <w:lang w:val="en-US"/>
              </w:rPr>
              <w:t>泼洒抑尘</w:t>
            </w:r>
            <w:r>
              <w:rPr>
                <w:rFonts w:hint="eastAsia" w:ascii="Times New Roman" w:hAnsi="Times New Roman" w:cs="Times New Roman"/>
                <w:color w:val="auto"/>
                <w:sz w:val="21"/>
                <w:szCs w:val="21"/>
                <w:lang w:val="en-US"/>
              </w:rPr>
              <w:t>，厂区内设防渗旱厕，定期清掏</w:t>
            </w:r>
            <w:r>
              <w:rPr>
                <w:rFonts w:hint="eastAsia" w:ascii="Times New Roman" w:hAnsi="Times New Roman" w:cs="Times New Roman"/>
                <w:color w:val="auto"/>
                <w:sz w:val="21"/>
                <w:szCs w:val="21"/>
                <w:lang w:val="en-US" w:eastAsia="zh-CN"/>
              </w:rPr>
              <w:t>；冷却水循环使用，不外排</w:t>
            </w:r>
          </w:p>
        </w:tc>
        <w:tc>
          <w:tcPr>
            <w:tcW w:w="2551" w:type="dxa"/>
            <w:noWrap w:val="0"/>
            <w:vAlign w:val="center"/>
          </w:tcPr>
          <w:p w14:paraId="3292BA75">
            <w:pPr>
              <w:adjustRightInd w:val="0"/>
              <w:snapToGrid w:val="0"/>
              <w:jc w:val="center"/>
              <w:rPr>
                <w:rFonts w:hint="default" w:ascii="Times New Roman" w:hAnsi="Times New Roman" w:eastAsia="宋体" w:cs="Times New Roman"/>
                <w:color w:val="auto"/>
                <w:sz w:val="21"/>
                <w:szCs w:val="21"/>
                <w:lang w:val="en-US" w:eastAsia="zh-CN"/>
              </w:rPr>
            </w:pPr>
            <w:r>
              <w:rPr>
                <w:rFonts w:ascii="Times New Roman" w:hAnsi="Times New Roman" w:cs="Times New Roman"/>
                <w:color w:val="auto"/>
                <w:sz w:val="21"/>
                <w:szCs w:val="21"/>
                <w:lang w:val="en-US"/>
              </w:rPr>
              <w:t>不外排</w:t>
            </w:r>
          </w:p>
        </w:tc>
      </w:tr>
      <w:tr w14:paraId="6C45D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noWrap w:val="0"/>
            <w:vAlign w:val="center"/>
          </w:tcPr>
          <w:p w14:paraId="2DED0465">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2219" w:type="dxa"/>
            <w:noWrap w:val="0"/>
            <w:vAlign w:val="center"/>
          </w:tcPr>
          <w:p w14:paraId="3C3DA005">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各生产设备噪声</w:t>
            </w:r>
          </w:p>
        </w:tc>
        <w:tc>
          <w:tcPr>
            <w:tcW w:w="1290" w:type="dxa"/>
            <w:noWrap w:val="0"/>
            <w:vAlign w:val="center"/>
          </w:tcPr>
          <w:p w14:paraId="7B2E510A">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等效噪声</w:t>
            </w:r>
          </w:p>
        </w:tc>
        <w:tc>
          <w:tcPr>
            <w:tcW w:w="2024" w:type="dxa"/>
            <w:noWrap w:val="0"/>
            <w:vAlign w:val="center"/>
          </w:tcPr>
          <w:p w14:paraId="5C26F423">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2551" w:type="dxa"/>
            <w:noWrap w:val="0"/>
            <w:vAlign w:val="center"/>
          </w:tcPr>
          <w:p w14:paraId="4D475AEC">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《工业企业厂界环境噪声排放标准》（GB12348-2008）中的</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类标准</w:t>
            </w:r>
          </w:p>
        </w:tc>
      </w:tr>
      <w:tr w14:paraId="6CE0A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45" w:type="dxa"/>
            <w:noWrap w:val="0"/>
            <w:vAlign w:val="center"/>
          </w:tcPr>
          <w:p w14:paraId="75F0C53B">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2219" w:type="dxa"/>
            <w:noWrap w:val="0"/>
            <w:vAlign w:val="center"/>
          </w:tcPr>
          <w:p w14:paraId="2220446A">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290" w:type="dxa"/>
            <w:noWrap w:val="0"/>
            <w:vAlign w:val="center"/>
          </w:tcPr>
          <w:p w14:paraId="37835A98">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w:t>
            </w:r>
          </w:p>
        </w:tc>
        <w:tc>
          <w:tcPr>
            <w:tcW w:w="2024" w:type="dxa"/>
            <w:noWrap w:val="0"/>
            <w:vAlign w:val="center"/>
          </w:tcPr>
          <w:p w14:paraId="00C93BC9">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551" w:type="dxa"/>
            <w:noWrap w:val="0"/>
            <w:vAlign w:val="center"/>
          </w:tcPr>
          <w:p w14:paraId="3DEBC939">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14:paraId="4642E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545" w:type="dxa"/>
            <w:vMerge w:val="restart"/>
            <w:noWrap w:val="0"/>
            <w:vAlign w:val="center"/>
          </w:tcPr>
          <w:p w14:paraId="501DD8A1">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2219" w:type="dxa"/>
            <w:noWrap w:val="0"/>
            <w:vAlign w:val="center"/>
          </w:tcPr>
          <w:p w14:paraId="50B0A081">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b w:val="0"/>
                <w:bCs w:val="0"/>
                <w:color w:val="auto"/>
                <w:sz w:val="21"/>
                <w:szCs w:val="21"/>
                <w:lang w:val="zh-CN" w:eastAsia="zh-CN" w:bidi="zh-CN"/>
              </w:rPr>
            </w:pPr>
            <w:r>
              <w:rPr>
                <w:rFonts w:hint="eastAsia" w:ascii="Times New Roman" w:hAnsi="Times New Roman" w:cs="Times New Roman"/>
                <w:b w:val="0"/>
                <w:bCs w:val="0"/>
                <w:color w:val="auto"/>
                <w:sz w:val="21"/>
                <w:szCs w:val="21"/>
                <w:lang w:eastAsia="zh-CN"/>
              </w:rPr>
              <w:t>废包装材料</w:t>
            </w:r>
          </w:p>
        </w:tc>
        <w:tc>
          <w:tcPr>
            <w:tcW w:w="3314" w:type="dxa"/>
            <w:gridSpan w:val="2"/>
            <w:noWrap w:val="0"/>
            <w:vAlign w:val="center"/>
          </w:tcPr>
          <w:p w14:paraId="430457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集中收集</w:t>
            </w:r>
            <w:r>
              <w:rPr>
                <w:rFonts w:hint="eastAsia" w:ascii="Times New Roman" w:hAnsi="Times New Roman" w:cs="Times New Roman"/>
                <w:b w:val="0"/>
                <w:bCs w:val="0"/>
                <w:color w:val="auto"/>
                <w:sz w:val="21"/>
                <w:szCs w:val="21"/>
                <w:lang w:val="en-US" w:eastAsia="zh-CN"/>
              </w:rPr>
              <w:t>后外售</w:t>
            </w:r>
          </w:p>
        </w:tc>
        <w:tc>
          <w:tcPr>
            <w:tcW w:w="2551" w:type="dxa"/>
            <w:vMerge w:val="restart"/>
            <w:noWrap w:val="0"/>
            <w:vAlign w:val="center"/>
          </w:tcPr>
          <w:p w14:paraId="6BF03C16">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p>
        </w:tc>
      </w:tr>
      <w:tr w14:paraId="472B6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545" w:type="dxa"/>
            <w:vMerge w:val="continue"/>
            <w:noWrap w:val="0"/>
            <w:vAlign w:val="center"/>
          </w:tcPr>
          <w:p w14:paraId="55789754">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219" w:type="dxa"/>
            <w:noWrap w:val="0"/>
            <w:vAlign w:val="center"/>
          </w:tcPr>
          <w:p w14:paraId="75F1AA26">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eastAsia="zh-CN"/>
              </w:rPr>
              <w:t>除尘灰、</w:t>
            </w:r>
            <w:r>
              <w:rPr>
                <w:rFonts w:hint="eastAsia" w:ascii="Times New Roman" w:hAnsi="Times New Roman" w:cs="Times New Roman"/>
                <w:b w:val="0"/>
                <w:bCs w:val="0"/>
                <w:color w:val="auto"/>
                <w:sz w:val="21"/>
                <w:szCs w:val="21"/>
                <w:lang w:val="en-US" w:eastAsia="zh-CN"/>
              </w:rPr>
              <w:t>生产剩余材料</w:t>
            </w:r>
          </w:p>
        </w:tc>
        <w:tc>
          <w:tcPr>
            <w:tcW w:w="3314" w:type="dxa"/>
            <w:gridSpan w:val="2"/>
            <w:noWrap w:val="0"/>
            <w:vAlign w:val="center"/>
          </w:tcPr>
          <w:p w14:paraId="53A529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集中收集后回用于生产</w:t>
            </w:r>
          </w:p>
        </w:tc>
        <w:tc>
          <w:tcPr>
            <w:tcW w:w="2551" w:type="dxa"/>
            <w:vMerge w:val="continue"/>
            <w:noWrap w:val="0"/>
            <w:vAlign w:val="center"/>
          </w:tcPr>
          <w:p w14:paraId="3E458C4C">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r>
      <w:tr w14:paraId="0E232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545" w:type="dxa"/>
            <w:vMerge w:val="continue"/>
            <w:noWrap w:val="0"/>
            <w:vAlign w:val="center"/>
          </w:tcPr>
          <w:p w14:paraId="025F3719">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219" w:type="dxa"/>
            <w:noWrap w:val="0"/>
            <w:vAlign w:val="center"/>
          </w:tcPr>
          <w:p w14:paraId="48ACFC32">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b w:val="0"/>
                <w:bCs w:val="0"/>
                <w:color w:val="auto"/>
                <w:sz w:val="21"/>
                <w:szCs w:val="21"/>
                <w:lang w:eastAsia="zh-CN"/>
              </w:rPr>
              <w:t>废液压油、</w:t>
            </w:r>
            <w:r>
              <w:rPr>
                <w:rFonts w:hint="eastAsia" w:ascii="Times New Roman" w:hAnsi="Times New Roman" w:cs="Times New Roman"/>
                <w:b w:val="0"/>
                <w:bCs w:val="0"/>
                <w:color w:val="auto"/>
                <w:sz w:val="21"/>
                <w:szCs w:val="21"/>
                <w:lang w:eastAsia="zh-CN"/>
              </w:rPr>
              <w:t>废机油、废</w:t>
            </w:r>
            <w:r>
              <w:rPr>
                <w:rFonts w:hint="eastAsia" w:ascii="Times New Roman" w:hAnsi="Times New Roman" w:cs="Times New Roman"/>
                <w:b w:val="0"/>
                <w:bCs w:val="0"/>
                <w:color w:val="auto"/>
                <w:sz w:val="21"/>
                <w:szCs w:val="21"/>
                <w:lang w:val="en-US" w:eastAsia="zh-CN"/>
              </w:rPr>
              <w:t>包装</w:t>
            </w:r>
            <w:r>
              <w:rPr>
                <w:rFonts w:hint="eastAsia" w:ascii="Times New Roman" w:hAnsi="Times New Roman" w:cs="Times New Roman"/>
                <w:b w:val="0"/>
                <w:bCs w:val="0"/>
                <w:color w:val="auto"/>
                <w:sz w:val="21"/>
                <w:szCs w:val="21"/>
                <w:lang w:eastAsia="zh-CN"/>
              </w:rPr>
              <w:t>桶、</w:t>
            </w:r>
            <w:r>
              <w:rPr>
                <w:rFonts w:hint="eastAsia" w:ascii="Times New Roman" w:hAnsi="Times New Roman" w:cs="Times New Roman"/>
                <w:b w:val="0"/>
                <w:bCs w:val="0"/>
                <w:color w:val="auto"/>
                <w:sz w:val="21"/>
                <w:szCs w:val="21"/>
                <w:lang w:val="en-US" w:eastAsia="zh-CN"/>
              </w:rPr>
              <w:t>废活性炭</w:t>
            </w:r>
          </w:p>
        </w:tc>
        <w:tc>
          <w:tcPr>
            <w:tcW w:w="3314" w:type="dxa"/>
            <w:gridSpan w:val="2"/>
            <w:noWrap w:val="0"/>
            <w:vAlign w:val="center"/>
          </w:tcPr>
          <w:p w14:paraId="1D54673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2551" w:type="dxa"/>
            <w:noWrap w:val="0"/>
            <w:vAlign w:val="center"/>
          </w:tcPr>
          <w:p w14:paraId="6BD4B928">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《危险废物贮存污染控制标准》（GB 18597—2023）</w:t>
            </w:r>
          </w:p>
        </w:tc>
      </w:tr>
      <w:tr w14:paraId="25BB1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545" w:type="dxa"/>
            <w:vMerge w:val="continue"/>
            <w:noWrap w:val="0"/>
            <w:vAlign w:val="center"/>
          </w:tcPr>
          <w:p w14:paraId="6C95AE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p>
        </w:tc>
        <w:tc>
          <w:tcPr>
            <w:tcW w:w="2219" w:type="dxa"/>
            <w:noWrap w:val="0"/>
            <w:vAlign w:val="center"/>
          </w:tcPr>
          <w:p w14:paraId="4FB2A6D9">
            <w:pPr>
              <w:keepNext w:val="0"/>
              <w:keepLines w:val="0"/>
              <w:pageBreakBefore w:val="0"/>
              <w:widowControl w:val="0"/>
              <w:suppressLineNumbers w:val="0"/>
              <w:kinsoku/>
              <w:wordWrap/>
              <w:overflowPunct/>
              <w:topLinePunct w:val="0"/>
              <w:bidi w:val="0"/>
              <w:adjustRightInd/>
              <w:snapToGrid/>
              <w:spacing w:beforeAutospacing="0" w:afterAutospacing="0" w:line="0" w:lineRule="atLeast"/>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生活垃圾</w:t>
            </w:r>
          </w:p>
        </w:tc>
        <w:tc>
          <w:tcPr>
            <w:tcW w:w="3314" w:type="dxa"/>
            <w:gridSpan w:val="2"/>
            <w:noWrap w:val="0"/>
            <w:vAlign w:val="center"/>
          </w:tcPr>
          <w:p w14:paraId="1E09F1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val="0"/>
                <w:color w:val="auto"/>
                <w:sz w:val="21"/>
                <w:szCs w:val="21"/>
                <w:vertAlign w:val="baseline"/>
                <w:lang w:val="en-US" w:eastAsia="zh-CN"/>
              </w:rPr>
              <w:t>由环卫部门统一清运</w:t>
            </w:r>
          </w:p>
        </w:tc>
        <w:tc>
          <w:tcPr>
            <w:tcW w:w="2551" w:type="dxa"/>
            <w:noWrap w:val="0"/>
            <w:vAlign w:val="center"/>
          </w:tcPr>
          <w:p w14:paraId="559B95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pacing w:val="0"/>
                <w:sz w:val="21"/>
                <w:szCs w:val="21"/>
                <w:lang w:val="en-US" w:eastAsia="zh-CN" w:bidi="zh-CN"/>
              </w:rPr>
              <w:t>/</w:t>
            </w:r>
          </w:p>
        </w:tc>
      </w:tr>
      <w:tr w14:paraId="3DCED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82" w:hRule="atLeast"/>
          <w:jc w:val="center"/>
        </w:trPr>
        <w:tc>
          <w:tcPr>
            <w:tcW w:w="1545" w:type="dxa"/>
            <w:noWrap w:val="0"/>
            <w:vAlign w:val="center"/>
          </w:tcPr>
          <w:p w14:paraId="460460A8">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14:paraId="7D15C50B">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8084" w:type="dxa"/>
            <w:gridSpan w:val="4"/>
            <w:noWrap w:val="0"/>
            <w:vAlign w:val="center"/>
          </w:tcPr>
          <w:p w14:paraId="37B852A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40" w:lineRule="exact"/>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2"/>
                <w:sz w:val="21"/>
                <w:szCs w:val="21"/>
                <w:lang w:bidi="ar-SA"/>
              </w:rPr>
              <w:t>为了避免污染地下水、土壤，</w:t>
            </w:r>
            <w:r>
              <w:rPr>
                <w:rFonts w:hint="default" w:ascii="Times New Roman" w:hAnsi="Times New Roman" w:cs="Times New Roman"/>
                <w:color w:val="auto"/>
                <w:sz w:val="21"/>
                <w:szCs w:val="21"/>
                <w:lang w:val="en-US"/>
              </w:rPr>
              <w:t>参照《环境影响评价技术导则地下水环境》（HJ610-2016）、《危险废物贮存污染控制标准》（GB18597-2023）的要求</w:t>
            </w:r>
            <w:r>
              <w:rPr>
                <w:rFonts w:hint="default" w:ascii="Times New Roman" w:hAnsi="Times New Roman" w:eastAsia="宋体" w:cs="Times New Roman"/>
                <w:color w:val="auto"/>
                <w:sz w:val="21"/>
                <w:szCs w:val="21"/>
                <w:lang w:val="en-US" w:eastAsia="zh-CN"/>
              </w:rPr>
              <w:t>，企业</w:t>
            </w:r>
            <w:r>
              <w:rPr>
                <w:rFonts w:hint="eastAsia" w:ascii="Times New Roman" w:hAnsi="Times New Roman" w:cs="Times New Roman"/>
                <w:color w:val="auto"/>
                <w:sz w:val="21"/>
                <w:szCs w:val="21"/>
                <w:lang w:val="en-US" w:eastAsia="zh-CN"/>
              </w:rPr>
              <w:t>租赁厂房现已完成一般地面硬化。本项目检维修用机油、液压油不在厂区内储存，不单独设置油料库，租赁车间现已按照一般防渗区要求建成，防渗要求等效黏土防渗层Mb≥1.5m；K≤1×10</w:t>
            </w:r>
            <w:r>
              <w:rPr>
                <w:rFonts w:hint="eastAsia" w:ascii="Times New Roman" w:hAnsi="Times New Roman" w:cs="Times New Roman"/>
                <w:color w:val="auto"/>
                <w:sz w:val="21"/>
                <w:szCs w:val="21"/>
                <w:vertAlign w:val="superscript"/>
                <w:lang w:val="en-US" w:eastAsia="zh-CN"/>
              </w:rPr>
              <w:t>-7</w:t>
            </w:r>
            <w:r>
              <w:rPr>
                <w:rFonts w:hint="eastAsia" w:ascii="Times New Roman" w:hAnsi="Times New Roman" w:cs="Times New Roman"/>
                <w:color w:val="auto"/>
                <w:sz w:val="21"/>
                <w:szCs w:val="21"/>
                <w:lang w:val="en-US" w:eastAsia="zh-CN"/>
              </w:rPr>
              <w:t>cm/s，厂房外道路已完成一般地面硬化；危废间按照重点防渗区要求进行防渗建设。</w:t>
            </w:r>
            <w:r>
              <w:rPr>
                <w:rFonts w:hint="default" w:ascii="Times New Roman" w:hAnsi="Times New Roman" w:eastAsia="宋体" w:cs="Times New Roman"/>
                <w:color w:val="auto"/>
                <w:sz w:val="21"/>
                <w:szCs w:val="21"/>
                <w:lang w:val="en-US"/>
              </w:rPr>
              <w:t>按下述要求完善厂区相应的防控措施</w:t>
            </w:r>
            <w:r>
              <w:rPr>
                <w:rFonts w:hint="default" w:ascii="Times New Roman" w:hAnsi="Times New Roman" w:eastAsia="宋体" w:cs="Times New Roman"/>
                <w:color w:val="auto"/>
                <w:sz w:val="21"/>
                <w:szCs w:val="21"/>
                <w:lang w:val="en-US" w:eastAsia="zh-CN"/>
              </w:rPr>
              <w:t>，分区防渗图见附图。</w:t>
            </w:r>
          </w:p>
          <w:p w14:paraId="65622E28">
            <w:pPr>
              <w:pStyle w:val="33"/>
              <w:keepNext w:val="0"/>
              <w:keepLines w:val="0"/>
              <w:pageBreakBefore w:val="0"/>
              <w:widowControl w:val="0"/>
              <w:suppressLineNumbers w:val="0"/>
              <w:kinsoku/>
              <w:wordWrap/>
              <w:overflowPunct/>
              <w:topLinePunct w:val="0"/>
              <w:autoSpaceDE/>
              <w:autoSpaceDN/>
              <w:bidi w:val="0"/>
              <w:adjustRightInd/>
              <w:snapToGrid/>
              <w:spacing w:beforeAutospacing="0" w:after="0" w:afterLines="0" w:afterAutospacing="0" w:line="400" w:lineRule="exact"/>
              <w:ind w:left="0" w:leftChars="0" w:firstLine="0" w:firstLineChars="0"/>
              <w:jc w:val="center"/>
              <w:textAlignment w:val="baseline"/>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2"/>
                <w:sz w:val="21"/>
                <w:szCs w:val="21"/>
                <w:highlight w:val="none"/>
                <w:lang w:val="en-US" w:eastAsia="zh-CN" w:bidi="ar-SA"/>
              </w:rPr>
              <w:t>表4.</w:t>
            </w:r>
            <w:r>
              <w:rPr>
                <w:rFonts w:hint="eastAsia" w:ascii="Times New Roman" w:hAnsi="Times New Roman" w:cs="Times New Roman"/>
                <w:b/>
                <w:color w:val="auto"/>
                <w:kern w:val="2"/>
                <w:sz w:val="21"/>
                <w:szCs w:val="21"/>
                <w:highlight w:val="none"/>
                <w:lang w:val="en-US" w:eastAsia="zh-CN" w:bidi="ar-SA"/>
              </w:rPr>
              <w:t>18</w:t>
            </w:r>
            <w:r>
              <w:rPr>
                <w:rFonts w:hint="default" w:ascii="Times New Roman" w:hAnsi="Times New Roman" w:eastAsia="宋体" w:cs="Times New Roman"/>
                <w:b/>
                <w:color w:val="auto"/>
                <w:kern w:val="2"/>
                <w:sz w:val="21"/>
                <w:szCs w:val="21"/>
                <w:highlight w:val="none"/>
                <w:lang w:val="en-US" w:eastAsia="zh-CN" w:bidi="ar-SA"/>
              </w:rPr>
              <w:t xml:space="preserve"> 本项目污染防治分区情况一览表</w:t>
            </w:r>
          </w:p>
          <w:tbl>
            <w:tblPr>
              <w:tblStyle w:val="34"/>
              <w:tblW w:w="4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494"/>
              <w:gridCol w:w="1552"/>
              <w:gridCol w:w="4103"/>
            </w:tblGrid>
            <w:tr w14:paraId="13D1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98" w:type="pct"/>
                  <w:vAlign w:val="center"/>
                </w:tcPr>
                <w:p w14:paraId="156A13FF">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982" w:type="pct"/>
                  <w:vAlign w:val="center"/>
                </w:tcPr>
                <w:p w14:paraId="58A87FCC">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防治分区</w:t>
                  </w:r>
                </w:p>
              </w:tc>
              <w:tc>
                <w:tcPr>
                  <w:tcW w:w="1020" w:type="pct"/>
                  <w:vAlign w:val="center"/>
                </w:tcPr>
                <w:p w14:paraId="2CEDD0B3">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分区位置</w:t>
                  </w:r>
                </w:p>
              </w:tc>
              <w:tc>
                <w:tcPr>
                  <w:tcW w:w="2698" w:type="pct"/>
                  <w:vAlign w:val="center"/>
                </w:tcPr>
                <w:p w14:paraId="0AAB1FE8">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防渗要求</w:t>
                  </w:r>
                </w:p>
              </w:tc>
            </w:tr>
            <w:tr w14:paraId="0891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98" w:type="pct"/>
                  <w:vAlign w:val="center"/>
                </w:tcPr>
                <w:p w14:paraId="1108CC3F">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1</w:t>
                  </w:r>
                </w:p>
              </w:tc>
              <w:tc>
                <w:tcPr>
                  <w:tcW w:w="982" w:type="pct"/>
                  <w:vAlign w:val="center"/>
                </w:tcPr>
                <w:p w14:paraId="46E39E7E">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rPr>
                    <w:t>重点防渗区</w:t>
                  </w:r>
                </w:p>
              </w:tc>
              <w:tc>
                <w:tcPr>
                  <w:tcW w:w="1020" w:type="pct"/>
                  <w:vAlign w:val="center"/>
                </w:tcPr>
                <w:p w14:paraId="0C879490">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 w:val="0"/>
                      <w:bCs w:val="0"/>
                      <w:color w:val="auto"/>
                      <w:kern w:val="2"/>
                      <w:sz w:val="21"/>
                      <w:szCs w:val="21"/>
                      <w:lang w:val="en-US" w:eastAsia="zh-CN" w:bidi="ar-SA"/>
                    </w:rPr>
                    <w:t>危废间</w:t>
                  </w:r>
                </w:p>
              </w:tc>
              <w:tc>
                <w:tcPr>
                  <w:tcW w:w="2698" w:type="pct"/>
                  <w:vAlign w:val="center"/>
                </w:tcPr>
                <w:p w14:paraId="70ED0BD8">
                  <w:pPr>
                    <w:adjustRightInd w:val="0"/>
                    <w:ind w:left="0" w:leftChars="0" w:right="0" w:rightChars="0"/>
                    <w:jc w:val="center"/>
                    <w:rPr>
                      <w:rFonts w:hint="default" w:ascii="Times New Roman" w:hAnsi="Times New Roman" w:eastAsia="宋体" w:cs="Times New Roman"/>
                      <w:color w:val="auto"/>
                      <w:sz w:val="22"/>
                      <w:szCs w:val="21"/>
                      <w:highlight w:val="none"/>
                      <w:lang w:val="zh-CN" w:eastAsia="zh-CN" w:bidi="zh-CN"/>
                    </w:rPr>
                  </w:pPr>
                  <w:r>
                    <w:rPr>
                      <w:rFonts w:hint="default" w:ascii="Times New Roman" w:hAnsi="Times New Roman" w:cs="Times New Roman"/>
                      <w:color w:val="auto"/>
                      <w:kern w:val="2"/>
                      <w:sz w:val="21"/>
                      <w:szCs w:val="21"/>
                      <w:lang w:val="en-US" w:eastAsia="zh-CN" w:bidi="ar-SA"/>
                    </w:rPr>
                    <w:t>危废间设为密闭隔间</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在防渗结构上（包括房间的底部及四周壁）均设置隔离层，并与地面隔离层连成整体；三合土夯实铺底，其上构筑15cm厚防渗混凝土（防渗等级不低于P8），然后敷设2mm厚环氧树脂涂覆，危废间四周设防腐蚀围堰，并设置分区，渗透系数K≤1×10</w:t>
                  </w:r>
                  <w:r>
                    <w:rPr>
                      <w:rFonts w:hint="default" w:ascii="Times New Roman" w:hAnsi="Times New Roman" w:eastAsia="宋体" w:cs="Times New Roman"/>
                      <w:color w:val="auto"/>
                      <w:kern w:val="2"/>
                      <w:sz w:val="21"/>
                      <w:szCs w:val="21"/>
                      <w:vertAlign w:val="superscript"/>
                      <w:lang w:val="zh-CN" w:eastAsia="zh-CN" w:bidi="ar-SA"/>
                    </w:rPr>
                    <w:t>-10</w:t>
                  </w:r>
                  <w:r>
                    <w:rPr>
                      <w:rFonts w:hint="default" w:ascii="Times New Roman" w:hAnsi="Times New Roman" w:eastAsia="宋体" w:cs="Times New Roman"/>
                      <w:color w:val="auto"/>
                      <w:kern w:val="2"/>
                      <w:sz w:val="21"/>
                      <w:szCs w:val="21"/>
                      <w:lang w:val="zh-CN" w:eastAsia="zh-CN" w:bidi="ar-SA"/>
                    </w:rPr>
                    <w:t>cm/s。</w:t>
                  </w:r>
                </w:p>
              </w:tc>
            </w:tr>
            <w:tr w14:paraId="001F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vAlign w:val="center"/>
                </w:tcPr>
                <w:p w14:paraId="1CF6F256">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3</w:t>
                  </w:r>
                </w:p>
              </w:tc>
              <w:tc>
                <w:tcPr>
                  <w:tcW w:w="982" w:type="pct"/>
                  <w:vAlign w:val="center"/>
                </w:tcPr>
                <w:p w14:paraId="0F8815E8">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一般防渗区</w:t>
                  </w:r>
                </w:p>
              </w:tc>
              <w:tc>
                <w:tcPr>
                  <w:tcW w:w="1020" w:type="pct"/>
                  <w:vAlign w:val="center"/>
                </w:tcPr>
                <w:p w14:paraId="3D7DB141">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lang w:val="zh-CN" w:eastAsia="zh-CN" w:bidi="ar-SA"/>
                    </w:rPr>
                    <w:t>生产车间</w:t>
                  </w:r>
                </w:p>
              </w:tc>
              <w:tc>
                <w:tcPr>
                  <w:tcW w:w="2698" w:type="pct"/>
                  <w:vAlign w:val="center"/>
                </w:tcPr>
                <w:p w14:paraId="30CF200B">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生产车间防渗层采用等效黏土防渗层Mb≥1.5m；K≤1×10</w:t>
                  </w:r>
                  <w:r>
                    <w:rPr>
                      <w:rFonts w:hint="default" w:ascii="Times New Roman" w:hAnsi="Times New Roman" w:eastAsia="宋体" w:cs="Times New Roman"/>
                      <w:color w:val="auto"/>
                      <w:kern w:val="2"/>
                      <w:sz w:val="21"/>
                      <w:szCs w:val="21"/>
                      <w:vertAlign w:val="superscript"/>
                      <w:lang w:val="zh-CN" w:eastAsia="zh-CN" w:bidi="ar-SA"/>
                    </w:rPr>
                    <w:t>-7</w:t>
                  </w:r>
                  <w:r>
                    <w:rPr>
                      <w:rFonts w:hint="default" w:ascii="Times New Roman" w:hAnsi="Times New Roman" w:eastAsia="宋体" w:cs="Times New Roman"/>
                      <w:color w:val="auto"/>
                      <w:kern w:val="2"/>
                      <w:sz w:val="21"/>
                      <w:szCs w:val="21"/>
                      <w:lang w:val="zh-CN" w:eastAsia="zh-CN" w:bidi="ar-SA"/>
                    </w:rPr>
                    <w:t>cm/s的防渗性能。</w:t>
                  </w:r>
                </w:p>
              </w:tc>
            </w:tr>
            <w:tr w14:paraId="1719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vAlign w:val="center"/>
                </w:tcPr>
                <w:p w14:paraId="2D082C07">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5</w:t>
                  </w:r>
                </w:p>
              </w:tc>
              <w:tc>
                <w:tcPr>
                  <w:tcW w:w="982" w:type="pct"/>
                  <w:vAlign w:val="center"/>
                </w:tcPr>
                <w:p w14:paraId="7E4C0427">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rPr>
                    <w:t>简单防渗区</w:t>
                  </w:r>
                </w:p>
              </w:tc>
              <w:tc>
                <w:tcPr>
                  <w:tcW w:w="1020" w:type="pct"/>
                  <w:vAlign w:val="center"/>
                </w:tcPr>
                <w:p w14:paraId="52D9CC68">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0" w:afterAutospacing="0" w:line="240" w:lineRule="auto"/>
                    <w:ind w:left="-110" w:leftChars="-50" w:right="-110" w:rightChars="-50"/>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cs="Times New Roman"/>
                      <w:color w:val="auto"/>
                      <w:kern w:val="2"/>
                      <w:sz w:val="21"/>
                      <w:szCs w:val="21"/>
                      <w:lang w:val="en-US" w:eastAsia="zh-CN" w:bidi="ar-SA"/>
                    </w:rPr>
                    <w:t>办公室/门卫</w:t>
                  </w:r>
                </w:p>
              </w:tc>
              <w:tc>
                <w:tcPr>
                  <w:tcW w:w="2698" w:type="pct"/>
                  <w:vAlign w:val="center"/>
                </w:tcPr>
                <w:p w14:paraId="3B4CC1CC">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340" w:lineRule="exact"/>
                    <w:ind w:left="-110" w:leftChars="-50" w:right="-110" w:rightChars="-50"/>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现已完成</w:t>
                  </w:r>
                  <w:r>
                    <w:rPr>
                      <w:rFonts w:hint="default" w:ascii="Times New Roman" w:hAnsi="Times New Roman" w:eastAsia="宋体" w:cs="Times New Roman"/>
                      <w:bCs/>
                      <w:color w:val="auto"/>
                      <w:sz w:val="21"/>
                      <w:szCs w:val="21"/>
                    </w:rPr>
                    <w:t>一般地面硬化</w:t>
                  </w:r>
                </w:p>
              </w:tc>
            </w:tr>
          </w:tbl>
          <w:p w14:paraId="32B4DC5D">
            <w:pPr>
              <w:pStyle w:val="4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0" w:leftChars="0" w:right="0" w:rightChars="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p>
          <w:p w14:paraId="17741FC6">
            <w:pPr>
              <w:pStyle w:val="4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0" w:leftChars="0" w:right="0" w:rightChars="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本项目厂区不同功能区均采取有效的防渗措施，发生破损、造成垂直入渗的概率极小，且项目不产生持久性的污染物，对地下水及土壤环境影响较小。</w:t>
            </w:r>
          </w:p>
          <w:p w14:paraId="1EDEE82B">
            <w:pPr>
              <w:pStyle w:val="47"/>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sz w:val="21"/>
                <w:szCs w:val="21"/>
                <w:lang w:val="en-US" w:eastAsia="zh-CN"/>
              </w:rPr>
            </w:pPr>
          </w:p>
        </w:tc>
      </w:tr>
      <w:tr w14:paraId="4F413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545" w:type="dxa"/>
            <w:noWrap w:val="0"/>
            <w:vAlign w:val="center"/>
          </w:tcPr>
          <w:p w14:paraId="07708937">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8084" w:type="dxa"/>
            <w:gridSpan w:val="4"/>
            <w:noWrap w:val="0"/>
            <w:vAlign w:val="center"/>
          </w:tcPr>
          <w:p w14:paraId="180A2AFB">
            <w:pPr>
              <w:keepNext w:val="0"/>
              <w:keepLines w:val="0"/>
              <w:pageBreakBefore w:val="0"/>
              <w:suppressLineNumbers w:val="0"/>
              <w:kinsoku/>
              <w:wordWrap/>
              <w:overflowPunct/>
              <w:topLinePunct w:val="0"/>
              <w:bidi w:val="0"/>
              <w:adjustRightInd w:val="0"/>
              <w:snapToGrid w:val="0"/>
              <w:spacing w:beforeAutospacing="0" w:afterAutospacing="0" w:line="300" w:lineRule="exact"/>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14:paraId="61C43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45" w:hRule="atLeast"/>
          <w:jc w:val="center"/>
        </w:trPr>
        <w:tc>
          <w:tcPr>
            <w:tcW w:w="1545" w:type="dxa"/>
            <w:noWrap w:val="0"/>
            <w:vAlign w:val="center"/>
          </w:tcPr>
          <w:p w14:paraId="1FD623F7">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环境风险</w:t>
            </w:r>
          </w:p>
          <w:p w14:paraId="72EB26CC">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防范措施</w:t>
            </w:r>
          </w:p>
        </w:tc>
        <w:tc>
          <w:tcPr>
            <w:tcW w:w="8084" w:type="dxa"/>
            <w:gridSpan w:val="4"/>
            <w:noWrap w:val="0"/>
            <w:vAlign w:val="center"/>
          </w:tcPr>
          <w:p w14:paraId="66BA99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1</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w:t>
            </w:r>
            <w:r>
              <w:rPr>
                <w:rFonts w:hint="eastAsia" w:ascii="Times New Roman" w:hAnsi="Times New Roman" w:cs="Times New Roman"/>
                <w:color w:val="auto"/>
                <w:sz w:val="21"/>
                <w:szCs w:val="21"/>
                <w:lang w:eastAsia="zh-CN"/>
              </w:rPr>
              <w:t>生产设备、储存容器</w:t>
            </w:r>
            <w:r>
              <w:rPr>
                <w:rFonts w:hint="default" w:ascii="Times New Roman" w:hAnsi="Times New Roman" w:cs="Times New Roman"/>
                <w:color w:val="auto"/>
                <w:sz w:val="21"/>
                <w:szCs w:val="21"/>
                <w:lang w:eastAsia="zh-CN"/>
              </w:rPr>
              <w:t>进行检查，防止跑冒滴漏。</w:t>
            </w:r>
          </w:p>
          <w:p w14:paraId="60EE44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及各种设备均应符合《建筑设计防火规范》中的规定。严格按照国家消防安全的有关规定建设消防设施，一切消防设施不准挪动、乱用，并定期进行检查和更换。</w:t>
            </w:r>
          </w:p>
          <w:p w14:paraId="11A918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eastAsia="zh-CN"/>
              </w:rPr>
              <w:t>事故应急预案：</w:t>
            </w:r>
          </w:p>
          <w:p w14:paraId="05CCDD4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事故应急预案是在发生事故后，按照预先制订的方案采取的一系列的措施，将事故的损失降低到最小程度。本工程应急预案重点如下：</w:t>
            </w:r>
          </w:p>
          <w:p w14:paraId="7875D7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①必须制定应急计划、方案和程序</w:t>
            </w:r>
          </w:p>
          <w:p w14:paraId="7C80116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为了使突发事故发生后能有条不紊的处理事故，在工程投产之前就应制定好事故应急计划和方案，以备在发生事故后有备无患。</w:t>
            </w:r>
          </w:p>
          <w:p w14:paraId="180C2D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②成立重大事故应急求援小组</w:t>
            </w:r>
          </w:p>
          <w:p w14:paraId="30C860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成立由厂长、分管厂长及生产、安全、环保、保卫等部门组成的重大事故应急救援小组，一旦发生事故，救援小组便及时例行其相应的职责，处理事故。</w:t>
            </w:r>
          </w:p>
          <w:p w14:paraId="7FC3DB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③事故发生后应采取紧急隔离和疏散措施</w:t>
            </w:r>
          </w:p>
          <w:p w14:paraId="6CF6627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val="0"/>
                <w:bCs w:val="0"/>
                <w:color w:val="auto"/>
                <w:sz w:val="21"/>
                <w:szCs w:val="21"/>
                <w:lang w:eastAsia="zh-CN"/>
              </w:rPr>
              <w:t>一旦发生突发事故，应及时发出警报，并在救援小组的领导下，紧急隔离危险物品，切断电源，疏散人群，抢救受害人员</w:t>
            </w:r>
          </w:p>
          <w:p w14:paraId="0696A6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eastAsia="zh-CN"/>
              </w:rPr>
              <w:t>管理措施：</w:t>
            </w:r>
          </w:p>
          <w:p w14:paraId="0ECCD9E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①</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14:paraId="3A1EEE5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②</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14:paraId="76FE8D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③</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14:paraId="0DAFD7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④</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tc>
      </w:tr>
      <w:tr w14:paraId="09544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noWrap w:val="0"/>
            <w:vAlign w:val="center"/>
          </w:tcPr>
          <w:p w14:paraId="41E68B5B">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14:paraId="585AC4CB">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8084" w:type="dxa"/>
            <w:gridSpan w:val="4"/>
            <w:noWrap w:val="0"/>
            <w:vAlign w:val="center"/>
          </w:tcPr>
          <w:p w14:paraId="4AF5C2F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2"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管理机构设置</w:t>
            </w:r>
          </w:p>
          <w:p w14:paraId="3017E89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环境管理工作应实行法人负责制，本项目应设置环保管理机构和管理人员，企业需配置1名专职或兼职管理人员。</w:t>
            </w:r>
          </w:p>
          <w:p w14:paraId="21D875A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2"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环境管理机构的基本职责</w:t>
            </w:r>
          </w:p>
          <w:p w14:paraId="59E2EC7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贯彻执行《中华人民共和国环境保护法》及其相关法律、法规，按国家的环保政策、环境标准及环境监测要求，制定环境管理规章制度，并监督执行。</w:t>
            </w:r>
          </w:p>
          <w:p w14:paraId="7375FB5C">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14:paraId="6DC1FDF1">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组织并抓好本项目污染治理和综合利用工作，负责该项目内所有环保设施的日常运行管理，定期对环保设施进行检查，负责环保设备的维修保养，保证其正常运行，并对环保设施的改进提出积极的建议。</w:t>
            </w:r>
          </w:p>
          <w:p w14:paraId="30A4930C">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负责本项目环境监测工作，及时掌握该项目污染状况，整理监测数据，建立污染源档案。</w:t>
            </w:r>
          </w:p>
          <w:p w14:paraId="3A4D9FB1">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负责对职工进行环保宣传教育工作，以及检查、监督各单位环保制度的执行情况。</w:t>
            </w:r>
          </w:p>
          <w:p w14:paraId="0987FA8B">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auto"/>
                <w:sz w:val="21"/>
                <w:szCs w:val="21"/>
                <w:lang w:eastAsia="zh-CN"/>
              </w:rPr>
              <w:t>五</w:t>
            </w:r>
            <w:r>
              <w:rPr>
                <w:rFonts w:hint="default" w:ascii="Times New Roman" w:hAnsi="Times New Roman" w:cs="Times New Roman"/>
                <w:color w:val="auto"/>
                <w:sz w:val="21"/>
                <w:szCs w:val="21"/>
              </w:rPr>
              <w:t>年。</w:t>
            </w:r>
          </w:p>
          <w:p w14:paraId="644A4F6C">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搞好厂区内绿化工作</w:t>
            </w:r>
            <w:r>
              <w:rPr>
                <w:rFonts w:hint="eastAsia" w:ascii="Times New Roman" w:hAnsi="Times New Roman" w:cs="Times New Roman"/>
                <w:color w:val="auto"/>
                <w:sz w:val="21"/>
                <w:szCs w:val="21"/>
                <w:lang w:eastAsia="zh-CN"/>
              </w:rPr>
              <w:t>。</w:t>
            </w:r>
          </w:p>
          <w:p w14:paraId="509FE22D">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2"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3、其他环境管理要求</w:t>
            </w:r>
          </w:p>
          <w:p w14:paraId="5F9CEF95">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）项目的建设遵循“三同时”制度，即项目环保措施与主体工程同时设计、同时施工、同时投产使用</w:t>
            </w:r>
            <w:r>
              <w:rPr>
                <w:rFonts w:hint="eastAsia" w:ascii="Times New Roman" w:hAnsi="Times New Roman" w:cs="Times New Roman"/>
                <w:color w:val="auto"/>
                <w:sz w:val="21"/>
                <w:szCs w:val="21"/>
                <w:lang w:eastAsia="zh-CN"/>
              </w:rPr>
              <w:t>。</w:t>
            </w:r>
          </w:p>
          <w:p w14:paraId="68490068">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排污许可制度衔接</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建设单位应按照《排污许可管理条例）》、《固定污染源排污许可分类管理名录（2019年版）》等排污许可证相关管理要求，在规定时限内申请</w:t>
            </w:r>
            <w:r>
              <w:rPr>
                <w:rFonts w:hint="eastAsia" w:ascii="Times New Roman" w:hAnsi="Times New Roman" w:cs="Times New Roman"/>
                <w:color w:val="auto"/>
                <w:sz w:val="21"/>
                <w:szCs w:val="21"/>
                <w:lang w:eastAsia="zh-CN"/>
              </w:rPr>
              <w:t>办理</w:t>
            </w:r>
            <w:r>
              <w:rPr>
                <w:rFonts w:hint="default" w:ascii="Times New Roman" w:hAnsi="Times New Roman" w:cs="Times New Roman"/>
                <w:color w:val="auto"/>
                <w:sz w:val="21"/>
                <w:szCs w:val="21"/>
              </w:rPr>
              <w:t>排污许可证。</w:t>
            </w:r>
          </w:p>
          <w:p w14:paraId="1EA2B171">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14:paraId="53E3600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14:paraId="7BFB3E01">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lang w:eastAsia="zh-CN"/>
              </w:rPr>
              <w:t>）排污口规范化要求</w:t>
            </w:r>
          </w:p>
          <w:p w14:paraId="2FE67FB5">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根据原国家环保总局下发《关于开展排放口规范化整治工作的通知》（环发[1999]24号）要求，各废气、噪声等排放口需要进行规范化。</w:t>
            </w:r>
          </w:p>
          <w:p w14:paraId="3F13FCD2">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①污染源排放口要遵循便于采集样品、便于监测计量、便于日常监督管理的原则，严格按排放口规范化整治要求进行。</w:t>
            </w:r>
          </w:p>
          <w:p w14:paraId="05736530">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②污染源排放口必须按照国家颁布的有关污染物强制性排放标准的要求，监测点位处设置监测平台及排放口标志牌。</w:t>
            </w:r>
          </w:p>
          <w:p w14:paraId="44DF707A">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2" w:firstLineChars="200"/>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eastAsia="zh-CN"/>
              </w:rPr>
              <w:drawing>
                <wp:anchor distT="0" distB="0" distL="114300" distR="114300" simplePos="0" relativeHeight="251670528" behindDoc="0" locked="0" layoutInCell="1" allowOverlap="1">
                  <wp:simplePos x="0" y="0"/>
                  <wp:positionH relativeFrom="column">
                    <wp:posOffset>320675</wp:posOffset>
                  </wp:positionH>
                  <wp:positionV relativeFrom="paragraph">
                    <wp:posOffset>140970</wp:posOffset>
                  </wp:positionV>
                  <wp:extent cx="3857625" cy="3841115"/>
                  <wp:effectExtent l="0" t="0" r="9525" b="6985"/>
                  <wp:wrapTopAndBottom/>
                  <wp:docPr id="118" name="图片 2" descr="e27baa8092054d706ebd7da03334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 descr="e27baa8092054d706ebd7da03334fe4"/>
                          <pic:cNvPicPr>
                            <a:picLocks noChangeAspect="1"/>
                          </pic:cNvPicPr>
                        </pic:nvPicPr>
                        <pic:blipFill>
                          <a:blip r:embed="rId18"/>
                          <a:srcRect l="7391" t="1849" r="7251"/>
                          <a:stretch>
                            <a:fillRect/>
                          </a:stretch>
                        </pic:blipFill>
                        <pic:spPr>
                          <a:xfrm>
                            <a:off x="0" y="0"/>
                            <a:ext cx="3857625" cy="3841115"/>
                          </a:xfrm>
                          <a:prstGeom prst="rect">
                            <a:avLst/>
                          </a:prstGeom>
                          <a:noFill/>
                          <a:ln>
                            <a:noFill/>
                          </a:ln>
                        </pic:spPr>
                      </pic:pic>
                    </a:graphicData>
                  </a:graphic>
                </wp:anchor>
              </w:drawing>
            </w:r>
            <w:r>
              <w:rPr>
                <w:rFonts w:hint="eastAsia" w:ascii="Times New Roman" w:hAnsi="Times New Roman" w:eastAsia="宋体" w:cs="Times New Roman"/>
                <w:b/>
                <w:bCs/>
                <w:color w:val="auto"/>
                <w:sz w:val="21"/>
                <w:szCs w:val="21"/>
                <w:lang w:val="en-US" w:eastAsia="zh-CN"/>
              </w:rPr>
              <w:t>图5.1 环境保护图形标志牌</w:t>
            </w:r>
          </w:p>
          <w:p w14:paraId="70F907D9">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③建立规范化排污口档案，内容包括排污单位名称，排污口性质及编号，排污口的地理位置（GPS定位经纬度），排污口所排放的主要污染物种类、数量、浓度及排放去向，立标情况，设施运行及日常现场监督检查记录等有关资料和记录。</w:t>
            </w:r>
          </w:p>
          <w:p w14:paraId="4B26AFE0">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lang w:eastAsia="zh-CN"/>
              </w:rPr>
              <w:t>）项目生产过程中排放的污染物为废气、废水、噪声及固体废物。</w:t>
            </w:r>
          </w:p>
          <w:p w14:paraId="0999C3D4">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①废气：保证排气筒高度达到标准要求，并在环保技术人员指导下设定废气的监测口位置，按标准设置采样口及采样平台，并在排气筒上设环境保护图形牌。</w:t>
            </w:r>
          </w:p>
          <w:p w14:paraId="45E0B803">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 xml:space="preserve">②噪声：保证真实准确的反映排污情况，要求在监测期间全厂生产正常稳定，生产负荷均为满负荷。采样时采样人员应及时了解全厂各工段的运行负荷。 </w:t>
            </w:r>
          </w:p>
          <w:p w14:paraId="0C98B98E">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③固废：固废及危险废物贮存场所分别设置并按照相关要求采取防晒、防淋、防渗等措施，按环保管理要求设立标志牌等。</w:t>
            </w:r>
          </w:p>
          <w:p w14:paraId="0AD89ED7">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60" w:lineRule="exact"/>
              <w:ind w:firstLine="420" w:firstLineChars="200"/>
              <w:textAlignment w:val="auto"/>
              <w:rPr>
                <w:rFonts w:hint="default" w:ascii="Times New Roman" w:hAnsi="Times New Roman" w:cs="Times New Roman"/>
                <w:color w:val="auto"/>
                <w:sz w:val="21"/>
                <w:szCs w:val="21"/>
              </w:rPr>
            </w:pPr>
          </w:p>
        </w:tc>
      </w:tr>
    </w:tbl>
    <w:p w14:paraId="642818E1">
      <w:pPr>
        <w:spacing w:after="0"/>
        <w:rPr>
          <w:rFonts w:hint="default" w:ascii="Times New Roman" w:hAnsi="Times New Roman" w:cs="Times New Roman"/>
          <w:color w:val="auto"/>
          <w:sz w:val="21"/>
        </w:rPr>
        <w:sectPr>
          <w:pgSz w:w="11910" w:h="16840"/>
          <w:pgMar w:top="1580" w:right="1320" w:bottom="1565" w:left="1340" w:header="0" w:footer="817" w:gutter="0"/>
          <w:pgBorders>
            <w:top w:val="none" w:sz="0" w:space="0"/>
            <w:left w:val="none" w:sz="0" w:space="0"/>
            <w:bottom w:val="none" w:sz="0" w:space="0"/>
            <w:right w:val="none" w:sz="0" w:space="0"/>
          </w:pgBorders>
          <w:pgNumType w:fmt="decimal"/>
          <w:cols w:space="720" w:num="1"/>
        </w:sectPr>
      </w:pPr>
    </w:p>
    <w:p w14:paraId="1B4E5E9E">
      <w:pPr>
        <w:pStyle w:val="12"/>
        <w:spacing w:before="58"/>
        <w:ind w:left="635" w:right="653"/>
        <w:jc w:val="center"/>
        <w:rPr>
          <w:rFonts w:hint="default" w:ascii="Times New Roman" w:hAnsi="Times New Roman" w:cs="Times New Roman"/>
          <w:color w:val="auto"/>
        </w:rPr>
      </w:pPr>
      <w:r>
        <w:rPr>
          <w:rFonts w:hint="default" w:ascii="Times New Roman" w:hAnsi="Times New Roman" w:cs="Times New Roman"/>
          <w:color w:val="auto"/>
        </w:rPr>
        <w:t>六、结论</w:t>
      </w:r>
    </w:p>
    <w:p w14:paraId="2DE538E2">
      <w:pPr>
        <w:pStyle w:val="12"/>
        <w:spacing w:before="10"/>
        <w:rPr>
          <w:rFonts w:hint="default" w:ascii="Times New Roman" w:hAnsi="Times New Roman" w:cs="Times New Roman"/>
          <w:color w:val="auto"/>
          <w:sz w:val="18"/>
        </w:rPr>
      </w:pPr>
      <w:r>
        <w:rPr>
          <w:rFonts w:hint="default" w:ascii="Times New Roman" w:hAnsi="Times New Roman" w:cs="Times New Roman"/>
          <w:color w:val="auto"/>
        </w:rPr>
        <mc:AlternateContent>
          <mc:Choice Requires="wps">
            <w:drawing>
              <wp:anchor distT="0" distB="0" distL="0" distR="0" simplePos="0" relativeHeight="251664384" behindDoc="1" locked="0" layoutInCell="1" allowOverlap="1">
                <wp:simplePos x="0" y="0"/>
                <wp:positionH relativeFrom="page">
                  <wp:posOffset>964565</wp:posOffset>
                </wp:positionH>
                <wp:positionV relativeFrom="paragraph">
                  <wp:posOffset>184150</wp:posOffset>
                </wp:positionV>
                <wp:extent cx="5631180" cy="8133715"/>
                <wp:effectExtent l="4445" t="4445" r="22225" b="15240"/>
                <wp:wrapTopAndBottom/>
                <wp:docPr id="59" name="文本框 3"/>
                <wp:cNvGraphicFramePr/>
                <a:graphic xmlns:a="http://schemas.openxmlformats.org/drawingml/2006/main">
                  <a:graphicData uri="http://schemas.microsoft.com/office/word/2010/wordprocessingShape">
                    <wps:wsp>
                      <wps:cNvSpPr txBox="1"/>
                      <wps:spPr>
                        <a:xfrm>
                          <a:off x="0" y="0"/>
                          <a:ext cx="5631180" cy="8133715"/>
                        </a:xfrm>
                        <a:prstGeom prst="rect">
                          <a:avLst/>
                        </a:prstGeom>
                        <a:noFill/>
                        <a:ln w="6350" cap="flat" cmpd="sng">
                          <a:solidFill>
                            <a:srgbClr val="000000"/>
                          </a:solidFill>
                          <a:prstDash val="solid"/>
                          <a:miter/>
                          <a:headEnd type="none" w="med" len="med"/>
                          <a:tailEnd type="none" w="med" len="med"/>
                        </a:ln>
                      </wps:spPr>
                      <wps:txbx>
                        <w:txbxContent>
                          <w:p w14:paraId="37726E70">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14:paraId="3520F577">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14:paraId="6E71D7A3">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14:paraId="01B737C2">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14:paraId="7AC1E6CA">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14:paraId="74AC231B">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14:paraId="46DC006A">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0" w:rightChars="0" w:firstLine="420" w:firstLineChars="200"/>
                              <w:jc w:val="both"/>
                              <w:textAlignment w:val="auto"/>
                              <w:rPr>
                                <w:rFonts w:ascii="宋体" w:hAnsi="宋体" w:eastAsia="宋体" w:cs="宋体"/>
                                <w:color w:val="auto"/>
                                <w:sz w:val="21"/>
                                <w:szCs w:val="21"/>
                                <w:highlight w:val="none"/>
                                <w:lang w:val="en-US" w:eastAsia="en-US" w:bidi="ar-SA"/>
                              </w:rPr>
                            </w:pPr>
                          </w:p>
                          <w:p w14:paraId="4D0C4A03">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20" w:firstLineChars="200"/>
                              <w:jc w:val="both"/>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本项目符合国家产业政策，项目污染源治理措施可靠有效，污染物均能够达标排放，固体废物能得到合理处置</w:t>
                            </w:r>
                            <w:r>
                              <w:rPr>
                                <w:rFonts w:hint="eastAsia" w:ascii="宋体" w:hAnsi="宋体" w:eastAsia="宋体" w:cs="宋体"/>
                                <w:color w:val="auto"/>
                                <w:sz w:val="21"/>
                                <w:szCs w:val="21"/>
                                <w:lang w:val="en-US" w:eastAsia="zh-CN"/>
                              </w:rPr>
                              <w:t>，处置</w:t>
                            </w:r>
                            <w:r>
                              <w:rPr>
                                <w:rFonts w:hint="default" w:ascii="Times New Roman" w:hAnsi="Times New Roman" w:eastAsia="宋体" w:cs="Times New Roman"/>
                                <w:color w:val="auto"/>
                                <w:sz w:val="21"/>
                                <w:szCs w:val="21"/>
                                <w:lang w:val="en-US" w:eastAsia="zh-CN"/>
                              </w:rPr>
                              <w:t>率为100%</w:t>
                            </w:r>
                            <w:r>
                              <w:rPr>
                                <w:rFonts w:hint="default" w:ascii="Times New Roman" w:hAnsi="Times New Roman" w:eastAsia="宋体" w:cs="Times New Roman"/>
                                <w:color w:val="auto"/>
                                <w:sz w:val="21"/>
                                <w:szCs w:val="21"/>
                                <w:lang w:val="en-US" w:eastAsia="en-US"/>
                              </w:rPr>
                              <w:t>，</w:t>
                            </w:r>
                            <w:r>
                              <w:rPr>
                                <w:rFonts w:hint="eastAsia" w:ascii="宋体" w:hAnsi="宋体" w:eastAsia="宋体" w:cs="宋体"/>
                                <w:color w:val="auto"/>
                                <w:sz w:val="21"/>
                                <w:szCs w:val="21"/>
                                <w:lang w:val="en-US" w:eastAsia="en-US"/>
                              </w:rPr>
                              <w:t>外排污染物对周围环境影响不大，可以满足当地的环境功能区划的要求；污染物排放总量符合污染物总量控制要求</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项目具有良好的经济和社会效益。</w:t>
                            </w:r>
                          </w:p>
                          <w:p w14:paraId="63BB113F">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0" w:rightChars="0" w:firstLine="420" w:firstLineChars="200"/>
                              <w:jc w:val="both"/>
                              <w:textAlignment w:val="auto"/>
                              <w:rPr>
                                <w:rFonts w:hint="eastAsia" w:ascii="宋体" w:hAnsi="宋体" w:eastAsia="宋体" w:cs="宋体"/>
                                <w:color w:val="auto"/>
                                <w:sz w:val="20"/>
                                <w:szCs w:val="20"/>
                                <w:highlight w:val="none"/>
                                <w:lang w:val="en-US" w:eastAsia="en-US" w:bidi="ar-SA"/>
                              </w:rPr>
                            </w:pPr>
                            <w:r>
                              <w:rPr>
                                <w:rFonts w:hint="eastAsia" w:ascii="宋体" w:hAnsi="宋体" w:eastAsia="宋体" w:cs="宋体"/>
                                <w:color w:val="auto"/>
                                <w:sz w:val="21"/>
                                <w:szCs w:val="21"/>
                                <w:lang w:val="en-US" w:eastAsia="en-US"/>
                              </w:rPr>
                              <w:t>综上所述，在全面加强监督管理，执行环保“三同时”制度和认真落实各项环保措施的条件下，从环境保护角度分析，项目的建设是可行的。</w:t>
                            </w:r>
                          </w:p>
                          <w:p w14:paraId="498C3463">
                            <w:pPr>
                              <w:pStyle w:val="12"/>
                              <w:rPr>
                                <w:sz w:val="24"/>
                              </w:rPr>
                            </w:pPr>
                          </w:p>
                          <w:p w14:paraId="1EE31D17">
                            <w:pPr>
                              <w:pStyle w:val="12"/>
                              <w:rPr>
                                <w:sz w:val="24"/>
                              </w:rPr>
                            </w:pPr>
                          </w:p>
                          <w:p w14:paraId="53BDEBF6">
                            <w:pPr>
                              <w:pStyle w:val="12"/>
                              <w:rPr>
                                <w:sz w:val="24"/>
                              </w:rPr>
                            </w:pPr>
                          </w:p>
                          <w:p w14:paraId="7E00EC60">
                            <w:pPr>
                              <w:pStyle w:val="12"/>
                              <w:rPr>
                                <w:sz w:val="24"/>
                              </w:rPr>
                            </w:pPr>
                          </w:p>
                          <w:p w14:paraId="57CBFC09">
                            <w:pPr>
                              <w:pStyle w:val="12"/>
                              <w:rPr>
                                <w:sz w:val="24"/>
                              </w:rPr>
                            </w:pPr>
                          </w:p>
                          <w:p w14:paraId="3039C811">
                            <w:pPr>
                              <w:pStyle w:val="12"/>
                              <w:rPr>
                                <w:sz w:val="24"/>
                              </w:rPr>
                            </w:pPr>
                          </w:p>
                          <w:p w14:paraId="6D504884">
                            <w:pPr>
                              <w:pStyle w:val="12"/>
                              <w:rPr>
                                <w:sz w:val="24"/>
                              </w:rPr>
                            </w:pPr>
                          </w:p>
                          <w:p w14:paraId="2331F876">
                            <w:pPr>
                              <w:pStyle w:val="12"/>
                              <w:rPr>
                                <w:sz w:val="24"/>
                              </w:rPr>
                            </w:pPr>
                          </w:p>
                          <w:p w14:paraId="15514417">
                            <w:pPr>
                              <w:pStyle w:val="12"/>
                              <w:rPr>
                                <w:sz w:val="24"/>
                              </w:rPr>
                            </w:pPr>
                          </w:p>
                          <w:p w14:paraId="0620753B">
                            <w:pPr>
                              <w:pStyle w:val="12"/>
                              <w:rPr>
                                <w:sz w:val="24"/>
                              </w:rPr>
                            </w:pPr>
                          </w:p>
                          <w:p w14:paraId="2B87AD75">
                            <w:pPr>
                              <w:pStyle w:val="12"/>
                              <w:rPr>
                                <w:sz w:val="24"/>
                              </w:rPr>
                            </w:pPr>
                          </w:p>
                          <w:p w14:paraId="1633FD31">
                            <w:pPr>
                              <w:pStyle w:val="12"/>
                              <w:rPr>
                                <w:sz w:val="24"/>
                              </w:rPr>
                            </w:pPr>
                          </w:p>
                          <w:p w14:paraId="4FCAC083">
                            <w:pPr>
                              <w:pStyle w:val="12"/>
                              <w:rPr>
                                <w:sz w:val="24"/>
                              </w:rPr>
                            </w:pPr>
                          </w:p>
                          <w:p w14:paraId="51E602DB">
                            <w:pPr>
                              <w:pStyle w:val="12"/>
                              <w:rPr>
                                <w:sz w:val="24"/>
                              </w:rPr>
                            </w:pPr>
                          </w:p>
                          <w:p w14:paraId="5873E6EF">
                            <w:pPr>
                              <w:pStyle w:val="12"/>
                              <w:rPr>
                                <w:sz w:val="24"/>
                              </w:rPr>
                            </w:pPr>
                          </w:p>
                          <w:p w14:paraId="19977106">
                            <w:pPr>
                              <w:pStyle w:val="12"/>
                              <w:rPr>
                                <w:sz w:val="24"/>
                              </w:rPr>
                            </w:pPr>
                          </w:p>
                          <w:p w14:paraId="596EB7A1">
                            <w:pPr>
                              <w:pStyle w:val="12"/>
                              <w:rPr>
                                <w:sz w:val="24"/>
                              </w:rPr>
                            </w:pPr>
                          </w:p>
                          <w:p w14:paraId="5FE98F84">
                            <w:pPr>
                              <w:pStyle w:val="12"/>
                              <w:spacing w:before="12"/>
                              <w:rPr>
                                <w:sz w:val="17"/>
                              </w:rPr>
                            </w:pPr>
                          </w:p>
                          <w:p w14:paraId="67EAEC0F">
                            <w:pPr>
                              <w:spacing w:before="0"/>
                              <w:ind w:left="98" w:right="0" w:firstLine="0"/>
                              <w:jc w:val="left"/>
                              <w:rPr>
                                <w:sz w:val="24"/>
                              </w:rPr>
                            </w:pPr>
                            <w:r>
                              <w:rPr>
                                <w:sz w:val="24"/>
                              </w:rPr>
                              <w:t xml:space="preserve"> </w:t>
                            </w:r>
                          </w:p>
                        </w:txbxContent>
                      </wps:txbx>
                      <wps:bodyPr lIns="0" tIns="0" rIns="0" bIns="0" upright="1"/>
                    </wps:wsp>
                  </a:graphicData>
                </a:graphic>
              </wp:anchor>
            </w:drawing>
          </mc:Choice>
          <mc:Fallback>
            <w:pict>
              <v:shape id="文本框 3" o:spid="_x0000_s1026" o:spt="202" type="#_x0000_t202" style="position:absolute;left:0pt;margin-left:75.95pt;margin-top:14.5pt;height:640.45pt;width:443.4pt;mso-position-horizontal-relative:page;mso-wrap-distance-bottom:0pt;mso-wrap-distance-top:0pt;z-index:-251652096;mso-width-relative:page;mso-height-relative:page;" filled="f" stroked="t" coordsize="21600,21600" o:gfxdata="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oY1F3AAAAAwBAAAP&#10;AAAAAAAAAAEAIAAAACIAAABkcnMvZG93bnJldi54bWxQSwECFAAUAAAACACHTuJA+ssm6hQCAAAz&#10;BAAADgAAAAAAAAABACAAAAArAQAAZHJzL2Uyb0RvYy54bWxQSwUGAAAAAAYABgBZAQAAsQUAAAAA&#10;">
                <v:fill on="f" focussize="0,0"/>
                <v:stroke weight="0.5pt" color="#000000" joinstyle="miter"/>
                <v:imagedata o:title=""/>
                <o:lock v:ext="edit" aspectratio="f"/>
                <v:textbox inset="0mm,0mm,0mm,0mm">
                  <w:txbxContent>
                    <w:p w14:paraId="37726E70">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14:paraId="3520F577">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14:paraId="6E71D7A3">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14:paraId="01B737C2">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14:paraId="7AC1E6CA">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14:paraId="74AC231B">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14:paraId="46DC006A">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0" w:rightChars="0" w:firstLine="420" w:firstLineChars="200"/>
                        <w:jc w:val="both"/>
                        <w:textAlignment w:val="auto"/>
                        <w:rPr>
                          <w:rFonts w:ascii="宋体" w:hAnsi="宋体" w:eastAsia="宋体" w:cs="宋体"/>
                          <w:color w:val="auto"/>
                          <w:sz w:val="21"/>
                          <w:szCs w:val="21"/>
                          <w:highlight w:val="none"/>
                          <w:lang w:val="en-US" w:eastAsia="en-US" w:bidi="ar-SA"/>
                        </w:rPr>
                      </w:pPr>
                    </w:p>
                    <w:p w14:paraId="4D0C4A03">
                      <w:pPr>
                        <w:keepNext w:val="0"/>
                        <w:keepLines w:val="0"/>
                        <w:pageBreakBefore w:val="0"/>
                        <w:widowControl w:val="0"/>
                        <w:kinsoku/>
                        <w:wordWrap/>
                        <w:overflowPunct/>
                        <w:topLinePunct w:val="0"/>
                        <w:autoSpaceDE/>
                        <w:autoSpaceDN/>
                        <w:bidi w:val="0"/>
                        <w:adjustRightInd/>
                        <w:snapToGrid/>
                        <w:spacing w:line="360" w:lineRule="auto"/>
                        <w:ind w:left="110" w:leftChars="50" w:right="0" w:rightChars="0" w:firstLine="420" w:firstLineChars="200"/>
                        <w:jc w:val="both"/>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本项目符合国家产业政策，项目污染源治理措施可靠有效，污染物均能够达标排放，固体废物能得到合理处置</w:t>
                      </w:r>
                      <w:r>
                        <w:rPr>
                          <w:rFonts w:hint="eastAsia" w:ascii="宋体" w:hAnsi="宋体" w:eastAsia="宋体" w:cs="宋体"/>
                          <w:color w:val="auto"/>
                          <w:sz w:val="21"/>
                          <w:szCs w:val="21"/>
                          <w:lang w:val="en-US" w:eastAsia="zh-CN"/>
                        </w:rPr>
                        <w:t>，处置</w:t>
                      </w:r>
                      <w:r>
                        <w:rPr>
                          <w:rFonts w:hint="default" w:ascii="Times New Roman" w:hAnsi="Times New Roman" w:eastAsia="宋体" w:cs="Times New Roman"/>
                          <w:color w:val="auto"/>
                          <w:sz w:val="21"/>
                          <w:szCs w:val="21"/>
                          <w:lang w:val="en-US" w:eastAsia="zh-CN"/>
                        </w:rPr>
                        <w:t>率为100%</w:t>
                      </w:r>
                      <w:r>
                        <w:rPr>
                          <w:rFonts w:hint="default" w:ascii="Times New Roman" w:hAnsi="Times New Roman" w:eastAsia="宋体" w:cs="Times New Roman"/>
                          <w:color w:val="auto"/>
                          <w:sz w:val="21"/>
                          <w:szCs w:val="21"/>
                          <w:lang w:val="en-US" w:eastAsia="en-US"/>
                        </w:rPr>
                        <w:t>，</w:t>
                      </w:r>
                      <w:r>
                        <w:rPr>
                          <w:rFonts w:hint="eastAsia" w:ascii="宋体" w:hAnsi="宋体" w:eastAsia="宋体" w:cs="宋体"/>
                          <w:color w:val="auto"/>
                          <w:sz w:val="21"/>
                          <w:szCs w:val="21"/>
                          <w:lang w:val="en-US" w:eastAsia="en-US"/>
                        </w:rPr>
                        <w:t>外排污染物对周围环境影响不大，可以满足当地的环境功能区划的要求；污染物排放总量符合污染物总量控制要求</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项目具有良好的经济和社会效益。</w:t>
                      </w:r>
                    </w:p>
                    <w:p w14:paraId="63BB113F">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0" w:rightChars="0" w:firstLine="420" w:firstLineChars="200"/>
                        <w:jc w:val="both"/>
                        <w:textAlignment w:val="auto"/>
                        <w:rPr>
                          <w:rFonts w:hint="eastAsia" w:ascii="宋体" w:hAnsi="宋体" w:eastAsia="宋体" w:cs="宋体"/>
                          <w:color w:val="auto"/>
                          <w:sz w:val="20"/>
                          <w:szCs w:val="20"/>
                          <w:highlight w:val="none"/>
                          <w:lang w:val="en-US" w:eastAsia="en-US" w:bidi="ar-SA"/>
                        </w:rPr>
                      </w:pPr>
                      <w:r>
                        <w:rPr>
                          <w:rFonts w:hint="eastAsia" w:ascii="宋体" w:hAnsi="宋体" w:eastAsia="宋体" w:cs="宋体"/>
                          <w:color w:val="auto"/>
                          <w:sz w:val="21"/>
                          <w:szCs w:val="21"/>
                          <w:lang w:val="en-US" w:eastAsia="en-US"/>
                        </w:rPr>
                        <w:t>综上所述，在全面加强监督管理，执行环保“三同时”制度和认真落实各项环保措施的条件下，从环境保护角度分析，项目的建设是可行的。</w:t>
                      </w:r>
                    </w:p>
                    <w:p w14:paraId="498C3463">
                      <w:pPr>
                        <w:pStyle w:val="12"/>
                        <w:rPr>
                          <w:sz w:val="24"/>
                        </w:rPr>
                      </w:pPr>
                    </w:p>
                    <w:p w14:paraId="1EE31D17">
                      <w:pPr>
                        <w:pStyle w:val="12"/>
                        <w:rPr>
                          <w:sz w:val="24"/>
                        </w:rPr>
                      </w:pPr>
                    </w:p>
                    <w:p w14:paraId="53BDEBF6">
                      <w:pPr>
                        <w:pStyle w:val="12"/>
                        <w:rPr>
                          <w:sz w:val="24"/>
                        </w:rPr>
                      </w:pPr>
                    </w:p>
                    <w:p w14:paraId="7E00EC60">
                      <w:pPr>
                        <w:pStyle w:val="12"/>
                        <w:rPr>
                          <w:sz w:val="24"/>
                        </w:rPr>
                      </w:pPr>
                    </w:p>
                    <w:p w14:paraId="57CBFC09">
                      <w:pPr>
                        <w:pStyle w:val="12"/>
                        <w:rPr>
                          <w:sz w:val="24"/>
                        </w:rPr>
                      </w:pPr>
                    </w:p>
                    <w:p w14:paraId="3039C811">
                      <w:pPr>
                        <w:pStyle w:val="12"/>
                        <w:rPr>
                          <w:sz w:val="24"/>
                        </w:rPr>
                      </w:pPr>
                    </w:p>
                    <w:p w14:paraId="6D504884">
                      <w:pPr>
                        <w:pStyle w:val="12"/>
                        <w:rPr>
                          <w:sz w:val="24"/>
                        </w:rPr>
                      </w:pPr>
                    </w:p>
                    <w:p w14:paraId="2331F876">
                      <w:pPr>
                        <w:pStyle w:val="12"/>
                        <w:rPr>
                          <w:sz w:val="24"/>
                        </w:rPr>
                      </w:pPr>
                    </w:p>
                    <w:p w14:paraId="15514417">
                      <w:pPr>
                        <w:pStyle w:val="12"/>
                        <w:rPr>
                          <w:sz w:val="24"/>
                        </w:rPr>
                      </w:pPr>
                    </w:p>
                    <w:p w14:paraId="0620753B">
                      <w:pPr>
                        <w:pStyle w:val="12"/>
                        <w:rPr>
                          <w:sz w:val="24"/>
                        </w:rPr>
                      </w:pPr>
                    </w:p>
                    <w:p w14:paraId="2B87AD75">
                      <w:pPr>
                        <w:pStyle w:val="12"/>
                        <w:rPr>
                          <w:sz w:val="24"/>
                        </w:rPr>
                      </w:pPr>
                    </w:p>
                    <w:p w14:paraId="1633FD31">
                      <w:pPr>
                        <w:pStyle w:val="12"/>
                        <w:rPr>
                          <w:sz w:val="24"/>
                        </w:rPr>
                      </w:pPr>
                    </w:p>
                    <w:p w14:paraId="4FCAC083">
                      <w:pPr>
                        <w:pStyle w:val="12"/>
                        <w:rPr>
                          <w:sz w:val="24"/>
                        </w:rPr>
                      </w:pPr>
                    </w:p>
                    <w:p w14:paraId="51E602DB">
                      <w:pPr>
                        <w:pStyle w:val="12"/>
                        <w:rPr>
                          <w:sz w:val="24"/>
                        </w:rPr>
                      </w:pPr>
                    </w:p>
                    <w:p w14:paraId="5873E6EF">
                      <w:pPr>
                        <w:pStyle w:val="12"/>
                        <w:rPr>
                          <w:sz w:val="24"/>
                        </w:rPr>
                      </w:pPr>
                    </w:p>
                    <w:p w14:paraId="19977106">
                      <w:pPr>
                        <w:pStyle w:val="12"/>
                        <w:rPr>
                          <w:sz w:val="24"/>
                        </w:rPr>
                      </w:pPr>
                    </w:p>
                    <w:p w14:paraId="596EB7A1">
                      <w:pPr>
                        <w:pStyle w:val="12"/>
                        <w:rPr>
                          <w:sz w:val="24"/>
                        </w:rPr>
                      </w:pPr>
                    </w:p>
                    <w:p w14:paraId="5FE98F84">
                      <w:pPr>
                        <w:pStyle w:val="12"/>
                        <w:spacing w:before="12"/>
                        <w:rPr>
                          <w:sz w:val="17"/>
                        </w:rPr>
                      </w:pPr>
                    </w:p>
                    <w:p w14:paraId="67EAEC0F">
                      <w:pPr>
                        <w:spacing w:before="0"/>
                        <w:ind w:left="98" w:right="0" w:firstLine="0"/>
                        <w:jc w:val="left"/>
                        <w:rPr>
                          <w:sz w:val="24"/>
                        </w:rPr>
                      </w:pPr>
                      <w:r>
                        <w:rPr>
                          <w:sz w:val="24"/>
                        </w:rPr>
                        <w:t xml:space="preserve"> </w:t>
                      </w:r>
                    </w:p>
                  </w:txbxContent>
                </v:textbox>
                <w10:wrap type="topAndBottom"/>
              </v:shape>
            </w:pict>
          </mc:Fallback>
        </mc:AlternateContent>
      </w:r>
    </w:p>
    <w:p w14:paraId="3C5A7D86">
      <w:pPr>
        <w:spacing w:after="0"/>
        <w:rPr>
          <w:rFonts w:hint="default" w:ascii="Times New Roman" w:hAnsi="Times New Roman" w:cs="Times New Roman"/>
          <w:color w:val="auto"/>
          <w:sz w:val="18"/>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14:paraId="30921FF3">
      <w:pPr>
        <w:spacing w:before="55"/>
        <w:ind w:left="151" w:right="0" w:firstLine="0"/>
        <w:jc w:val="left"/>
        <w:rPr>
          <w:rFonts w:hint="default" w:ascii="Times New Roman" w:hAnsi="Times New Roman" w:eastAsia="黑体" w:cs="Times New Roman"/>
          <w:color w:val="auto"/>
          <w:sz w:val="32"/>
        </w:rPr>
        <w:sectPr>
          <w:footerReference r:id="rId9" w:type="default"/>
          <w:footerReference r:id="rId10" w:type="even"/>
          <w:pgSz w:w="16840" w:h="11910" w:orient="landscape"/>
          <w:pgMar w:top="1100" w:right="1420" w:bottom="1000" w:left="1380" w:header="0" w:footer="817" w:gutter="0"/>
          <w:pgBorders>
            <w:top w:val="none" w:sz="0" w:space="0"/>
            <w:left w:val="none" w:sz="0" w:space="0"/>
            <w:bottom w:val="none" w:sz="0" w:space="0"/>
            <w:right w:val="none" w:sz="0" w:space="0"/>
          </w:pgBorders>
          <w:pgNumType w:fmt="decimal"/>
          <w:cols w:space="720" w:num="1"/>
        </w:sectPr>
      </w:pPr>
    </w:p>
    <w:p w14:paraId="344DBEA5">
      <w:pPr>
        <w:spacing w:before="55"/>
        <w:ind w:left="151" w:right="0" w:firstLine="0"/>
        <w:jc w:val="left"/>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附表</w:t>
      </w:r>
    </w:p>
    <w:p w14:paraId="49F3DEF6">
      <w:pPr>
        <w:pStyle w:val="12"/>
        <w:rPr>
          <w:rFonts w:hint="default" w:ascii="Times New Roman" w:hAnsi="Times New Roman" w:cs="Times New Roman"/>
          <w:color w:val="auto"/>
          <w:sz w:val="20"/>
        </w:rPr>
      </w:pPr>
    </w:p>
    <w:p w14:paraId="5F8C3FBB">
      <w:pPr>
        <w:pStyle w:val="2"/>
        <w:spacing w:before="173"/>
        <w:ind w:left="4550" w:right="4510"/>
        <w:rPr>
          <w:rFonts w:hint="default" w:ascii="Times New Roman" w:hAnsi="Times New Roman" w:cs="Times New Roman"/>
          <w:color w:val="auto"/>
        </w:rPr>
      </w:pPr>
      <w:r>
        <w:rPr>
          <w:rFonts w:hint="default" w:ascii="Times New Roman" w:hAnsi="Times New Roman" w:cs="Times New Roman"/>
          <w:color w:val="auto"/>
        </w:rPr>
        <w:t>建设项目污染物排放量汇总表</w:t>
      </w:r>
    </w:p>
    <w:p w14:paraId="0EAFA19C">
      <w:pPr>
        <w:pStyle w:val="12"/>
        <w:spacing w:before="10"/>
        <w:rPr>
          <w:rFonts w:hint="default" w:ascii="Times New Roman" w:hAnsi="Times New Roman" w:cs="Times New Roman"/>
          <w:color w:val="auto"/>
          <w:sz w:val="24"/>
        </w:rPr>
      </w:pPr>
    </w:p>
    <w:tbl>
      <w:tblPr>
        <w:tblStyle w:val="3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630"/>
        <w:gridCol w:w="1579"/>
        <w:gridCol w:w="1916"/>
        <w:gridCol w:w="1093"/>
      </w:tblGrid>
      <w:tr w14:paraId="79D37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464" w:type="dxa"/>
            <w:tcBorders>
              <w:bottom w:val="single" w:color="000000" w:sz="8" w:space="0"/>
              <w:right w:val="single" w:color="000000" w:sz="8" w:space="0"/>
              <w:tl2br w:val="single" w:color="000000" w:sz="8" w:space="0"/>
            </w:tcBorders>
            <w:vAlign w:val="center"/>
          </w:tcPr>
          <w:p w14:paraId="162B198E">
            <w:pPr>
              <w:pStyle w:val="55"/>
              <w:keepNext w:val="0"/>
              <w:keepLines w:val="0"/>
              <w:pageBreakBefore w:val="0"/>
              <w:widowControl w:val="0"/>
              <w:kinsoku/>
              <w:wordWrap w:val="0"/>
              <w:overflowPunct/>
              <w:topLinePunct w:val="0"/>
              <w:autoSpaceDE w:val="0"/>
              <w:autoSpaceDN w:val="0"/>
              <w:bidi w:val="0"/>
              <w:adjustRightInd/>
              <w:snapToGrid/>
              <w:spacing w:before="0" w:line="340" w:lineRule="exact"/>
              <w:ind w:left="0" w:right="220" w:rightChars="100" w:firstLine="0"/>
              <w:jc w:val="righ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pacing w:val="-15"/>
                <w:sz w:val="21"/>
                <w:szCs w:val="21"/>
              </w:rPr>
              <w:t>项目</w:t>
            </w:r>
          </w:p>
          <w:p w14:paraId="0D65274A">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z w:val="21"/>
                <w:szCs w:val="21"/>
              </w:rPr>
            </w:pPr>
          </w:p>
          <w:p w14:paraId="017E66AF">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211" w:firstLineChars="100"/>
              <w:jc w:val="lef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分类</w:t>
            </w:r>
          </w:p>
        </w:tc>
        <w:tc>
          <w:tcPr>
            <w:tcW w:w="1695" w:type="dxa"/>
            <w:tcBorders>
              <w:left w:val="single" w:color="000000" w:sz="8" w:space="0"/>
              <w:bottom w:val="single" w:color="000000" w:sz="4" w:space="0"/>
              <w:right w:val="single" w:color="000000" w:sz="4" w:space="0"/>
            </w:tcBorders>
            <w:vAlign w:val="center"/>
          </w:tcPr>
          <w:p w14:paraId="4C4A24F7">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污染物名称</w:t>
            </w:r>
          </w:p>
        </w:tc>
        <w:tc>
          <w:tcPr>
            <w:tcW w:w="1548" w:type="dxa"/>
            <w:tcBorders>
              <w:left w:val="single" w:color="000000" w:sz="4" w:space="0"/>
              <w:bottom w:val="single" w:color="000000" w:sz="4" w:space="0"/>
              <w:right w:val="single" w:color="000000" w:sz="4" w:space="0"/>
            </w:tcBorders>
            <w:vAlign w:val="center"/>
          </w:tcPr>
          <w:p w14:paraId="64E7AAA3">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现有工程</w:t>
            </w:r>
          </w:p>
          <w:p w14:paraId="40DF3127">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排放量（固体废物产生量）①</w:t>
            </w:r>
          </w:p>
        </w:tc>
        <w:tc>
          <w:tcPr>
            <w:tcW w:w="1277" w:type="dxa"/>
            <w:tcBorders>
              <w:left w:val="single" w:color="000000" w:sz="4" w:space="0"/>
              <w:bottom w:val="single" w:color="000000" w:sz="4" w:space="0"/>
              <w:right w:val="single" w:color="000000" w:sz="4" w:space="0"/>
            </w:tcBorders>
            <w:vAlign w:val="center"/>
          </w:tcPr>
          <w:p w14:paraId="7F7617F3">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现有工程许可排放量</w:t>
            </w:r>
          </w:p>
          <w:p w14:paraId="6E9547FF">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w w:val="100"/>
                <w:sz w:val="21"/>
                <w:szCs w:val="21"/>
              </w:rPr>
              <w:t>②</w:t>
            </w:r>
          </w:p>
        </w:tc>
        <w:tc>
          <w:tcPr>
            <w:tcW w:w="1590" w:type="dxa"/>
            <w:tcBorders>
              <w:left w:val="single" w:color="000000" w:sz="4" w:space="0"/>
              <w:bottom w:val="single" w:color="000000" w:sz="4" w:space="0"/>
              <w:right w:val="single" w:color="000000" w:sz="4" w:space="0"/>
            </w:tcBorders>
            <w:vAlign w:val="center"/>
          </w:tcPr>
          <w:p w14:paraId="5179F3EB">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在建工程</w:t>
            </w:r>
          </w:p>
          <w:p w14:paraId="4F765CEA">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排放量（固体废物产生量）③</w:t>
            </w:r>
          </w:p>
        </w:tc>
        <w:tc>
          <w:tcPr>
            <w:tcW w:w="1630" w:type="dxa"/>
            <w:tcBorders>
              <w:left w:val="single" w:color="000000" w:sz="4" w:space="0"/>
              <w:bottom w:val="single" w:color="000000" w:sz="4" w:space="0"/>
              <w:right w:val="single" w:color="000000" w:sz="4" w:space="0"/>
            </w:tcBorders>
            <w:vAlign w:val="center"/>
          </w:tcPr>
          <w:p w14:paraId="41E525CC">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本项目</w:t>
            </w:r>
          </w:p>
          <w:p w14:paraId="6E7E4A17">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排放量（固体废物产生量）④</w:t>
            </w:r>
          </w:p>
        </w:tc>
        <w:tc>
          <w:tcPr>
            <w:tcW w:w="1579" w:type="dxa"/>
            <w:tcBorders>
              <w:left w:val="single" w:color="000000" w:sz="4" w:space="0"/>
              <w:bottom w:val="single" w:color="000000" w:sz="4" w:space="0"/>
              <w:right w:val="single" w:color="000000" w:sz="4" w:space="0"/>
            </w:tcBorders>
            <w:vAlign w:val="center"/>
          </w:tcPr>
          <w:p w14:paraId="5FC18B73">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以新带老削减量</w:t>
            </w:r>
          </w:p>
          <w:p w14:paraId="1F908EE6">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（新建项目不填）⑤</w:t>
            </w:r>
          </w:p>
        </w:tc>
        <w:tc>
          <w:tcPr>
            <w:tcW w:w="1916" w:type="dxa"/>
            <w:tcBorders>
              <w:left w:val="single" w:color="000000" w:sz="4" w:space="0"/>
              <w:bottom w:val="single" w:color="000000" w:sz="4" w:space="0"/>
              <w:right w:val="single" w:color="000000" w:sz="4" w:space="0"/>
            </w:tcBorders>
            <w:vAlign w:val="center"/>
          </w:tcPr>
          <w:p w14:paraId="4445BC0D">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本项目建成后</w:t>
            </w:r>
          </w:p>
          <w:p w14:paraId="77C7314F">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全厂排放量（固体废物产生量）⑥</w:t>
            </w:r>
          </w:p>
        </w:tc>
        <w:tc>
          <w:tcPr>
            <w:tcW w:w="1093" w:type="dxa"/>
            <w:tcBorders>
              <w:left w:val="single" w:color="000000" w:sz="4" w:space="0"/>
              <w:bottom w:val="single" w:color="000000" w:sz="4" w:space="0"/>
            </w:tcBorders>
            <w:vAlign w:val="center"/>
          </w:tcPr>
          <w:p w14:paraId="384E3DA5">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变化量</w:t>
            </w:r>
          </w:p>
          <w:p w14:paraId="1842146F">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w w:val="100"/>
                <w:sz w:val="21"/>
                <w:szCs w:val="21"/>
              </w:rPr>
              <w:t>⑦</w:t>
            </w:r>
          </w:p>
        </w:tc>
      </w:tr>
      <w:tr w14:paraId="7532D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464" w:type="dxa"/>
            <w:vMerge w:val="restart"/>
            <w:tcBorders>
              <w:top w:val="single" w:color="000000" w:sz="8" w:space="0"/>
              <w:bottom w:val="single" w:color="000000" w:sz="8" w:space="0"/>
              <w:right w:val="single" w:color="000000" w:sz="4" w:space="0"/>
            </w:tcBorders>
            <w:vAlign w:val="center"/>
          </w:tcPr>
          <w:p w14:paraId="5494D785">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14:paraId="53FFA4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pacing w:val="0"/>
                <w:kern w:val="2"/>
                <w:sz w:val="21"/>
                <w:szCs w:val="21"/>
                <w:highlight w:val="none"/>
                <w:vertAlign w:val="baseline"/>
                <w:lang w:val="en-US" w:eastAsia="zh-CN"/>
              </w:rPr>
              <w:t>颗粒物</w:t>
            </w:r>
          </w:p>
        </w:tc>
        <w:tc>
          <w:tcPr>
            <w:tcW w:w="1548" w:type="dxa"/>
            <w:tcBorders>
              <w:top w:val="single" w:color="000000" w:sz="4" w:space="0"/>
              <w:left w:val="single" w:color="000000" w:sz="4" w:space="0"/>
              <w:bottom w:val="single" w:color="000000" w:sz="4" w:space="0"/>
              <w:right w:val="single" w:color="000000" w:sz="4" w:space="0"/>
            </w:tcBorders>
            <w:vAlign w:val="center"/>
          </w:tcPr>
          <w:p w14:paraId="36C6183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14:paraId="12D18681">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1EED2CE0">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vAlign w:val="center"/>
          </w:tcPr>
          <w:p w14:paraId="06807AA9">
            <w:pPr>
              <w:keepNext w:val="0"/>
              <w:keepLines w:val="0"/>
              <w:pageBreakBefore w:val="0"/>
              <w:widowControl/>
              <w:suppressLineNumbers w:val="0"/>
              <w:kinsoku/>
              <w:overflowPunct/>
              <w:topLinePunct w:val="0"/>
              <w:bidi w:val="0"/>
              <w:adjustRightInd/>
              <w:snapToGrid/>
              <w:spacing w:beforeAutospacing="0" w:afterAutospacing="0" w:line="340" w:lineRule="exact"/>
              <w:ind w:left="0" w:leftChars="0" w:right="0" w:rightChars="0"/>
              <w:jc w:val="center"/>
              <w:textAlignment w:val="center"/>
              <w:rPr>
                <w:rFonts w:hint="default" w:ascii="Times New Roman" w:hAnsi="Times New Roman" w:eastAsia="宋体" w:cs="Times New Roman"/>
                <w:b w:val="0"/>
                <w:bCs w:val="0"/>
                <w:color w:val="auto"/>
                <w:sz w:val="21"/>
                <w:szCs w:val="21"/>
                <w:lang w:val="en-US"/>
              </w:rPr>
            </w:pPr>
            <w:r>
              <w:rPr>
                <w:rFonts w:hint="eastAsia" w:ascii="Times New Roman" w:hAnsi="Times New Roman" w:cs="Times New Roman"/>
                <w:i w:val="0"/>
                <w:iCs w:val="0"/>
                <w:color w:val="auto"/>
                <w:kern w:val="0"/>
                <w:sz w:val="21"/>
                <w:szCs w:val="21"/>
                <w:u w:val="none"/>
                <w:lang w:val="en-US" w:eastAsia="zh-CN" w:bidi="ar"/>
              </w:rPr>
              <w:t xml:space="preserve">0.0500 </w:t>
            </w:r>
            <w:r>
              <w:rPr>
                <w:rFonts w:hint="default" w:ascii="Times New Roman" w:hAnsi="Times New Roman" w:eastAsia="宋体" w:cs="Times New Roman"/>
                <w:color w:val="auto"/>
                <w:sz w:val="21"/>
                <w:szCs w:val="21"/>
                <w:highlight w:val="none"/>
                <w:lang w:val="en-US" w:eastAsia="zh-CN" w:bidi="ar-SA"/>
              </w:rPr>
              <w:t>t/a</w:t>
            </w:r>
          </w:p>
        </w:tc>
        <w:tc>
          <w:tcPr>
            <w:tcW w:w="1579" w:type="dxa"/>
            <w:tcBorders>
              <w:top w:val="single" w:color="000000" w:sz="4" w:space="0"/>
              <w:left w:val="single" w:color="000000" w:sz="4" w:space="0"/>
              <w:bottom w:val="single" w:color="000000" w:sz="4" w:space="0"/>
              <w:right w:val="single" w:color="000000" w:sz="4" w:space="0"/>
            </w:tcBorders>
            <w:vAlign w:val="center"/>
          </w:tcPr>
          <w:p w14:paraId="375230CD">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jc w:val="center"/>
              <w:textAlignment w:val="auto"/>
              <w:rPr>
                <w:rFonts w:hint="default" w:ascii="Times New Roman" w:hAnsi="Times New Roman" w:eastAsia="宋体" w:cs="Times New Roman"/>
                <w:b w:val="0"/>
                <w:bCs w:val="0"/>
                <w:color w:val="auto"/>
                <w:sz w:val="21"/>
                <w:szCs w:val="21"/>
                <w:lang w:val="en-US"/>
              </w:rPr>
            </w:pPr>
            <w:r>
              <w:rPr>
                <w:rFonts w:hint="default" w:ascii="Times New Roman" w:hAnsi="Times New Roman" w:eastAsia="宋体" w:cs="Times New Roman"/>
                <w:b w:val="0"/>
                <w:bCs w:val="0"/>
                <w:color w:val="auto"/>
                <w:w w:val="100"/>
                <w:sz w:val="21"/>
                <w:szCs w:val="21"/>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3A18E41B">
            <w:pPr>
              <w:keepNext w:val="0"/>
              <w:keepLines w:val="0"/>
              <w:pageBreakBefore w:val="0"/>
              <w:widowControl/>
              <w:suppressLineNumbers w:val="0"/>
              <w:kinsoku/>
              <w:overflowPunct/>
              <w:topLinePunct w:val="0"/>
              <w:bidi w:val="0"/>
              <w:adjustRightInd/>
              <w:snapToGrid/>
              <w:spacing w:beforeAutospacing="0" w:afterAutospacing="0" w:line="340" w:lineRule="exact"/>
              <w:ind w:left="0" w:leftChars="0" w:right="0" w:rightChars="0"/>
              <w:jc w:val="center"/>
              <w:textAlignment w:val="center"/>
              <w:rPr>
                <w:rFonts w:hint="default" w:ascii="Times New Roman" w:hAnsi="Times New Roman" w:eastAsia="宋体" w:cs="Times New Roman"/>
                <w:b w:val="0"/>
                <w:bCs w:val="0"/>
                <w:color w:val="auto"/>
                <w:sz w:val="21"/>
                <w:szCs w:val="21"/>
              </w:rPr>
            </w:pPr>
            <w:r>
              <w:rPr>
                <w:rFonts w:hint="eastAsia" w:ascii="Times New Roman" w:hAnsi="Times New Roman" w:cs="Times New Roman"/>
                <w:i w:val="0"/>
                <w:iCs w:val="0"/>
                <w:color w:val="auto"/>
                <w:kern w:val="0"/>
                <w:sz w:val="21"/>
                <w:szCs w:val="21"/>
                <w:u w:val="none"/>
                <w:lang w:val="en-US" w:eastAsia="zh-CN" w:bidi="ar"/>
              </w:rPr>
              <w:t xml:space="preserve">0.0500 </w:t>
            </w:r>
            <w:r>
              <w:rPr>
                <w:rFonts w:hint="default" w:ascii="Times New Roman" w:hAnsi="Times New Roman" w:eastAsia="宋体" w:cs="Times New Roman"/>
                <w:color w:val="auto"/>
                <w:sz w:val="21"/>
                <w:szCs w:val="21"/>
                <w:highlight w:val="none"/>
                <w:lang w:val="en-US" w:eastAsia="zh-CN" w:bidi="ar-SA"/>
              </w:rPr>
              <w:t>t/a</w:t>
            </w:r>
          </w:p>
        </w:tc>
        <w:tc>
          <w:tcPr>
            <w:tcW w:w="1093" w:type="dxa"/>
            <w:tcBorders>
              <w:top w:val="single" w:color="000000" w:sz="4" w:space="0"/>
              <w:left w:val="single" w:color="000000" w:sz="4" w:space="0"/>
              <w:bottom w:val="single" w:color="000000" w:sz="4" w:space="0"/>
            </w:tcBorders>
            <w:vAlign w:val="center"/>
          </w:tcPr>
          <w:p w14:paraId="0960710F">
            <w:pPr>
              <w:keepNext w:val="0"/>
              <w:keepLines w:val="0"/>
              <w:pageBreakBefore w:val="0"/>
              <w:widowControl/>
              <w:suppressLineNumbers w:val="0"/>
              <w:kinsoku/>
              <w:overflowPunct/>
              <w:topLinePunct w:val="0"/>
              <w:bidi w:val="0"/>
              <w:adjustRightInd/>
              <w:snapToGrid/>
              <w:spacing w:beforeAutospacing="0" w:afterAutospacing="0" w:line="340" w:lineRule="exact"/>
              <w:ind w:left="0" w:leftChars="0" w:right="0" w:right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r>
      <w:tr w14:paraId="2AF02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464" w:type="dxa"/>
            <w:vMerge w:val="continue"/>
            <w:tcBorders>
              <w:top w:val="single" w:color="000000" w:sz="8" w:space="0"/>
              <w:bottom w:val="single" w:color="000000" w:sz="8" w:space="0"/>
              <w:right w:val="single" w:color="000000" w:sz="4" w:space="0"/>
            </w:tcBorders>
            <w:vAlign w:val="center"/>
          </w:tcPr>
          <w:p w14:paraId="0542A0C6">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0993077B">
            <w:pPr>
              <w:pStyle w:val="55"/>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b w:val="0"/>
                <w:bCs/>
                <w:color w:val="auto"/>
                <w:spacing w:val="0"/>
                <w:kern w:val="2"/>
                <w:sz w:val="21"/>
                <w:szCs w:val="21"/>
                <w:highlight w:val="none"/>
                <w:vertAlign w:val="baseline"/>
                <w:lang w:val="en-US" w:eastAsia="zh-CN"/>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14:paraId="7C9A536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b w:val="0"/>
                <w:bCs w:val="0"/>
                <w:color w:val="auto"/>
                <w:w w:val="100"/>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14:paraId="646F9F45">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b w:val="0"/>
                <w:bCs w:val="0"/>
                <w:color w:val="auto"/>
                <w:w w:val="100"/>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0B86B4A6">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b w:val="0"/>
                <w:bCs w:val="0"/>
                <w:color w:val="auto"/>
                <w:w w:val="100"/>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vAlign w:val="center"/>
          </w:tcPr>
          <w:p w14:paraId="066E8995">
            <w:pPr>
              <w:keepNext w:val="0"/>
              <w:keepLines w:val="0"/>
              <w:pageBreakBefore w:val="0"/>
              <w:widowControl/>
              <w:suppressLineNumbers w:val="0"/>
              <w:kinsoku/>
              <w:overflowPunct/>
              <w:topLinePunct w:val="0"/>
              <w:bidi w:val="0"/>
              <w:adjustRightInd/>
              <w:snapToGrid/>
              <w:spacing w:beforeAutospacing="0" w:afterAutospacing="0" w:line="340" w:lineRule="exact"/>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1646</w:t>
            </w:r>
            <w:r>
              <w:rPr>
                <w:rFonts w:hint="default" w:ascii="Times New Roman" w:hAnsi="Times New Roman" w:eastAsia="宋体" w:cs="Times New Roman"/>
                <w:i w:val="0"/>
                <w:iCs w:val="0"/>
                <w:color w:val="auto"/>
                <w:kern w:val="0"/>
                <w:sz w:val="21"/>
                <w:szCs w:val="21"/>
                <w:u w:val="none"/>
                <w:lang w:val="en-US" w:eastAsia="zh-CN" w:bidi="ar"/>
              </w:rPr>
              <w:t xml:space="preserve"> </w:t>
            </w:r>
            <w:r>
              <w:rPr>
                <w:rFonts w:hint="default" w:ascii="Times New Roman" w:hAnsi="Times New Roman" w:eastAsia="宋体" w:cs="Times New Roman"/>
                <w:color w:val="auto"/>
                <w:sz w:val="21"/>
                <w:szCs w:val="21"/>
                <w:highlight w:val="none"/>
                <w:lang w:val="en-US" w:eastAsia="zh-CN" w:bidi="ar-SA"/>
              </w:rPr>
              <w:t>t/a</w:t>
            </w:r>
          </w:p>
        </w:tc>
        <w:tc>
          <w:tcPr>
            <w:tcW w:w="1579" w:type="dxa"/>
            <w:tcBorders>
              <w:top w:val="single" w:color="000000" w:sz="4" w:space="0"/>
              <w:left w:val="single" w:color="000000" w:sz="4" w:space="0"/>
              <w:bottom w:val="single" w:color="000000" w:sz="4" w:space="0"/>
              <w:right w:val="single" w:color="000000" w:sz="4" w:space="0"/>
            </w:tcBorders>
            <w:vAlign w:val="center"/>
          </w:tcPr>
          <w:p w14:paraId="4030B705">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b w:val="0"/>
                <w:bCs w:val="0"/>
                <w:color w:val="auto"/>
                <w:w w:val="100"/>
                <w:sz w:val="21"/>
                <w:szCs w:val="21"/>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7591964D">
            <w:pPr>
              <w:keepNext w:val="0"/>
              <w:keepLines w:val="0"/>
              <w:pageBreakBefore w:val="0"/>
              <w:widowControl/>
              <w:suppressLineNumbers w:val="0"/>
              <w:kinsoku/>
              <w:overflowPunct/>
              <w:topLinePunct w:val="0"/>
              <w:bidi w:val="0"/>
              <w:adjustRightInd/>
              <w:snapToGrid/>
              <w:spacing w:beforeAutospacing="0" w:afterAutospacing="0" w:line="340" w:lineRule="exact"/>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1646</w:t>
            </w:r>
            <w:r>
              <w:rPr>
                <w:rFonts w:hint="default" w:ascii="Times New Roman" w:hAnsi="Times New Roman" w:eastAsia="宋体" w:cs="Times New Roman"/>
                <w:i w:val="0"/>
                <w:iCs w:val="0"/>
                <w:color w:val="auto"/>
                <w:kern w:val="0"/>
                <w:sz w:val="21"/>
                <w:szCs w:val="21"/>
                <w:u w:val="none"/>
                <w:lang w:val="en-US" w:eastAsia="zh-CN" w:bidi="ar"/>
              </w:rPr>
              <w:t xml:space="preserve"> </w:t>
            </w:r>
            <w:r>
              <w:rPr>
                <w:rFonts w:hint="default" w:ascii="Times New Roman" w:hAnsi="Times New Roman" w:eastAsia="宋体" w:cs="Times New Roman"/>
                <w:color w:val="auto"/>
                <w:sz w:val="21"/>
                <w:szCs w:val="21"/>
                <w:highlight w:val="none"/>
                <w:lang w:val="en-US" w:eastAsia="zh-CN" w:bidi="ar-SA"/>
              </w:rPr>
              <w:t>t/a</w:t>
            </w:r>
          </w:p>
        </w:tc>
        <w:tc>
          <w:tcPr>
            <w:tcW w:w="1093" w:type="dxa"/>
            <w:tcBorders>
              <w:top w:val="single" w:color="000000" w:sz="4" w:space="0"/>
              <w:left w:val="single" w:color="000000" w:sz="4" w:space="0"/>
              <w:bottom w:val="single" w:color="000000" w:sz="4" w:space="0"/>
            </w:tcBorders>
            <w:vAlign w:val="center"/>
          </w:tcPr>
          <w:p w14:paraId="0351F080">
            <w:pPr>
              <w:keepNext w:val="0"/>
              <w:keepLines w:val="0"/>
              <w:pageBreakBefore w:val="0"/>
              <w:widowControl/>
              <w:suppressLineNumbers w:val="0"/>
              <w:kinsoku/>
              <w:overflowPunct/>
              <w:topLinePunct w:val="0"/>
              <w:bidi w:val="0"/>
              <w:adjustRightInd/>
              <w:snapToGrid/>
              <w:spacing w:beforeAutospacing="0" w:afterAutospacing="0" w:line="340" w:lineRule="exact"/>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b w:val="0"/>
                <w:bCs w:val="0"/>
                <w:color w:val="auto"/>
                <w:w w:val="100"/>
                <w:sz w:val="21"/>
                <w:szCs w:val="21"/>
                <w:lang w:val="en-US" w:eastAsia="zh-CN"/>
              </w:rPr>
              <w:t>/</w:t>
            </w:r>
          </w:p>
        </w:tc>
      </w:tr>
      <w:tr w14:paraId="06B02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464" w:type="dxa"/>
            <w:vMerge w:val="restart"/>
            <w:tcBorders>
              <w:top w:val="single" w:color="000000" w:sz="8" w:space="0"/>
              <w:bottom w:val="single" w:color="000000" w:sz="8" w:space="0"/>
              <w:right w:val="single" w:color="000000" w:sz="4" w:space="0"/>
            </w:tcBorders>
            <w:vAlign w:val="center"/>
          </w:tcPr>
          <w:p w14:paraId="621202B5">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14:paraId="1BBD42D8">
            <w:pPr>
              <w:pStyle w:val="28"/>
              <w:keepNext w:val="0"/>
              <w:keepLines w:val="0"/>
              <w:pageBreakBefore w:val="0"/>
              <w:widowControl w:val="0"/>
              <w:tabs>
                <w:tab w:val="right" w:leader="dot" w:pos="8507"/>
              </w:tabs>
              <w:kinsoku/>
              <w:wordWrap/>
              <w:overflowPunct/>
              <w:topLinePunct w:val="0"/>
              <w:autoSpaceDE/>
              <w:autoSpaceDN/>
              <w:bidi w:val="0"/>
              <w:adjustRightInd/>
              <w:snapToGrid/>
              <w:spacing w:line="340" w:lineRule="exact"/>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aps w:val="0"/>
                <w:smallCaps w:val="0"/>
                <w:color w:val="auto"/>
                <w:spacing w:val="0"/>
                <w:sz w:val="21"/>
                <w:szCs w:val="21"/>
                <w:highlight w:val="none"/>
                <w:lang w:val="zh-CN"/>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14:paraId="7BD919A3">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14:paraId="73D5B678">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6BF664B5">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vAlign w:val="center"/>
          </w:tcPr>
          <w:p w14:paraId="332611A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579" w:type="dxa"/>
            <w:tcBorders>
              <w:top w:val="single" w:color="000000" w:sz="4" w:space="0"/>
              <w:left w:val="single" w:color="000000" w:sz="4" w:space="0"/>
              <w:bottom w:val="single" w:color="000000" w:sz="4" w:space="0"/>
              <w:right w:val="single" w:color="000000" w:sz="4" w:space="0"/>
            </w:tcBorders>
            <w:vAlign w:val="center"/>
          </w:tcPr>
          <w:p w14:paraId="32466943">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4C4D000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093" w:type="dxa"/>
            <w:tcBorders>
              <w:top w:val="single" w:color="000000" w:sz="4" w:space="0"/>
              <w:left w:val="single" w:color="000000" w:sz="4" w:space="0"/>
              <w:bottom w:val="single" w:color="000000" w:sz="4" w:space="0"/>
            </w:tcBorders>
            <w:vAlign w:val="center"/>
          </w:tcPr>
          <w:p w14:paraId="3FC9B2A1">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b w:val="0"/>
                <w:bCs w:val="0"/>
                <w:color w:val="auto"/>
                <w:w w:val="100"/>
                <w:sz w:val="21"/>
                <w:szCs w:val="21"/>
                <w:lang w:val="en-US" w:eastAsia="zh-CN"/>
              </w:rPr>
              <w:t>/</w:t>
            </w:r>
          </w:p>
        </w:tc>
      </w:tr>
      <w:tr w14:paraId="1D2A2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464" w:type="dxa"/>
            <w:vMerge w:val="continue"/>
            <w:tcBorders>
              <w:top w:val="single" w:color="000000" w:sz="8" w:space="0"/>
              <w:bottom w:val="single" w:color="000000" w:sz="8" w:space="0"/>
              <w:right w:val="single" w:color="000000" w:sz="4" w:space="0"/>
            </w:tcBorders>
            <w:vAlign w:val="center"/>
          </w:tcPr>
          <w:p w14:paraId="5CC78522">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1074BA60">
            <w:pPr>
              <w:pStyle w:val="28"/>
              <w:keepNext w:val="0"/>
              <w:keepLines w:val="0"/>
              <w:pageBreakBefore w:val="0"/>
              <w:widowControl w:val="0"/>
              <w:tabs>
                <w:tab w:val="right" w:leader="dot" w:pos="8507"/>
              </w:tabs>
              <w:kinsoku/>
              <w:wordWrap/>
              <w:overflowPunct/>
              <w:topLinePunct w:val="0"/>
              <w:autoSpaceDE/>
              <w:autoSpaceDN/>
              <w:bidi w:val="0"/>
              <w:adjustRightInd/>
              <w:snapToGrid/>
              <w:spacing w:line="340" w:lineRule="exact"/>
              <w:ind w:left="-110" w:leftChars="-50" w:right="-110" w:rightChars="-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aps w:val="0"/>
                <w:smallCaps w:val="0"/>
                <w:color w:val="auto"/>
                <w:spacing w:val="0"/>
                <w:sz w:val="21"/>
                <w:szCs w:val="21"/>
                <w:highlight w:val="none"/>
                <w:lang w:val="en-US" w:eastAsia="zh-CN"/>
              </w:rPr>
              <w:t>BOD</w:t>
            </w:r>
            <w:r>
              <w:rPr>
                <w:rFonts w:hint="default" w:ascii="Times New Roman" w:hAnsi="Times New Roman" w:eastAsia="宋体" w:cs="Times New Roman"/>
                <w:b w:val="0"/>
                <w:bCs w:val="0"/>
                <w:caps w:val="0"/>
                <w:smallCaps w:val="0"/>
                <w:color w:val="auto"/>
                <w:spacing w:val="0"/>
                <w:sz w:val="21"/>
                <w:szCs w:val="21"/>
                <w:highlight w:val="none"/>
                <w:vertAlign w:val="subscript"/>
                <w:lang w:val="en-US" w:eastAsia="zh-CN"/>
              </w:rPr>
              <w:t>5</w:t>
            </w:r>
          </w:p>
        </w:tc>
        <w:tc>
          <w:tcPr>
            <w:tcW w:w="1548" w:type="dxa"/>
            <w:tcBorders>
              <w:top w:val="single" w:color="000000" w:sz="4" w:space="0"/>
              <w:left w:val="single" w:color="000000" w:sz="4" w:space="0"/>
              <w:bottom w:val="single" w:color="000000" w:sz="4" w:space="0"/>
              <w:right w:val="single" w:color="000000" w:sz="4" w:space="0"/>
            </w:tcBorders>
            <w:vAlign w:val="center"/>
          </w:tcPr>
          <w:p w14:paraId="72FD449D">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14:paraId="407859FD">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5B5954EF">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vAlign w:val="center"/>
          </w:tcPr>
          <w:p w14:paraId="57F6AC5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579" w:type="dxa"/>
            <w:tcBorders>
              <w:top w:val="single" w:color="000000" w:sz="4" w:space="0"/>
              <w:left w:val="single" w:color="000000" w:sz="4" w:space="0"/>
              <w:bottom w:val="single" w:color="000000" w:sz="4" w:space="0"/>
              <w:right w:val="single" w:color="000000" w:sz="4" w:space="0"/>
            </w:tcBorders>
            <w:vAlign w:val="center"/>
          </w:tcPr>
          <w:p w14:paraId="765B5385">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2C7C665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093" w:type="dxa"/>
            <w:tcBorders>
              <w:top w:val="single" w:color="000000" w:sz="4" w:space="0"/>
              <w:left w:val="single" w:color="000000" w:sz="4" w:space="0"/>
              <w:bottom w:val="single" w:color="000000" w:sz="4" w:space="0"/>
            </w:tcBorders>
            <w:vAlign w:val="center"/>
          </w:tcPr>
          <w:p w14:paraId="6B50E308">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b w:val="0"/>
                <w:bCs w:val="0"/>
                <w:color w:val="auto"/>
                <w:w w:val="100"/>
                <w:sz w:val="21"/>
                <w:szCs w:val="21"/>
                <w:lang w:val="en-US" w:eastAsia="zh-CN"/>
              </w:rPr>
              <w:t>/</w:t>
            </w:r>
          </w:p>
        </w:tc>
      </w:tr>
      <w:tr w14:paraId="0A608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464" w:type="dxa"/>
            <w:vMerge w:val="continue"/>
            <w:tcBorders>
              <w:top w:val="single" w:color="000000" w:sz="8" w:space="0"/>
              <w:bottom w:val="single" w:color="000000" w:sz="8" w:space="0"/>
              <w:right w:val="single" w:color="000000" w:sz="4" w:space="0"/>
            </w:tcBorders>
            <w:vAlign w:val="center"/>
          </w:tcPr>
          <w:p w14:paraId="7E606232">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30F7912E">
            <w:pPr>
              <w:pStyle w:val="28"/>
              <w:keepNext w:val="0"/>
              <w:keepLines w:val="0"/>
              <w:pageBreakBefore w:val="0"/>
              <w:widowControl w:val="0"/>
              <w:tabs>
                <w:tab w:val="right" w:leader="dot" w:pos="8507"/>
              </w:tabs>
              <w:kinsoku/>
              <w:wordWrap/>
              <w:overflowPunct/>
              <w:topLinePunct w:val="0"/>
              <w:autoSpaceDE/>
              <w:autoSpaceDN/>
              <w:bidi w:val="0"/>
              <w:adjustRightInd/>
              <w:snapToGrid/>
              <w:spacing w:line="340" w:lineRule="exact"/>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spacing w:val="0"/>
                <w:sz w:val="21"/>
                <w:szCs w:val="21"/>
                <w:highlight w:val="none"/>
                <w:lang w:val="zh-CN"/>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14:paraId="521A3780">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14:paraId="255C26C3">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75F2218F">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vAlign w:val="center"/>
          </w:tcPr>
          <w:p w14:paraId="557C667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579" w:type="dxa"/>
            <w:tcBorders>
              <w:top w:val="single" w:color="000000" w:sz="4" w:space="0"/>
              <w:left w:val="single" w:color="000000" w:sz="4" w:space="0"/>
              <w:bottom w:val="single" w:color="000000" w:sz="4" w:space="0"/>
              <w:right w:val="single" w:color="000000" w:sz="4" w:space="0"/>
            </w:tcBorders>
            <w:vAlign w:val="center"/>
          </w:tcPr>
          <w:p w14:paraId="652029F0">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138796F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093" w:type="dxa"/>
            <w:tcBorders>
              <w:top w:val="single" w:color="000000" w:sz="4" w:space="0"/>
              <w:left w:val="single" w:color="000000" w:sz="4" w:space="0"/>
              <w:bottom w:val="single" w:color="000000" w:sz="4" w:space="0"/>
            </w:tcBorders>
            <w:vAlign w:val="center"/>
          </w:tcPr>
          <w:p w14:paraId="57FDC387">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r>
      <w:tr w14:paraId="45E25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 w:hRule="atLeast"/>
          <w:jc w:val="center"/>
        </w:trPr>
        <w:tc>
          <w:tcPr>
            <w:tcW w:w="1464" w:type="dxa"/>
            <w:vMerge w:val="continue"/>
            <w:tcBorders>
              <w:bottom w:val="single" w:color="000000" w:sz="8" w:space="0"/>
              <w:right w:val="single" w:color="000000" w:sz="4" w:space="0"/>
            </w:tcBorders>
            <w:vAlign w:val="center"/>
          </w:tcPr>
          <w:p w14:paraId="62DE8ACE">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445C47F9">
            <w:pPr>
              <w:pStyle w:val="28"/>
              <w:keepNext w:val="0"/>
              <w:keepLines w:val="0"/>
              <w:pageBreakBefore w:val="0"/>
              <w:widowControl w:val="0"/>
              <w:tabs>
                <w:tab w:val="right" w:leader="dot" w:pos="8507"/>
              </w:tabs>
              <w:kinsoku/>
              <w:wordWrap/>
              <w:overflowPunct/>
              <w:topLinePunct w:val="0"/>
              <w:autoSpaceDE/>
              <w:autoSpaceDN/>
              <w:bidi w:val="0"/>
              <w:adjustRightInd/>
              <w:snapToGrid/>
              <w:spacing w:line="340" w:lineRule="exact"/>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spacing w:val="0"/>
                <w:sz w:val="21"/>
                <w:szCs w:val="21"/>
                <w:highlight w:val="none"/>
                <w:lang w:val="zh-CN"/>
              </w:rPr>
              <w:t>SS</w:t>
            </w:r>
          </w:p>
        </w:tc>
        <w:tc>
          <w:tcPr>
            <w:tcW w:w="1548" w:type="dxa"/>
            <w:tcBorders>
              <w:top w:val="single" w:color="000000" w:sz="4" w:space="0"/>
              <w:left w:val="single" w:color="000000" w:sz="4" w:space="0"/>
              <w:bottom w:val="single" w:color="000000" w:sz="4" w:space="0"/>
              <w:right w:val="single" w:color="000000" w:sz="4" w:space="0"/>
            </w:tcBorders>
            <w:vAlign w:val="center"/>
          </w:tcPr>
          <w:p w14:paraId="706BD111">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14:paraId="2EF764CB">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06FCD4BE">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vAlign w:val="center"/>
          </w:tcPr>
          <w:p w14:paraId="24EFE04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579" w:type="dxa"/>
            <w:tcBorders>
              <w:top w:val="single" w:color="000000" w:sz="4" w:space="0"/>
              <w:left w:val="single" w:color="000000" w:sz="4" w:space="0"/>
              <w:bottom w:val="single" w:color="000000" w:sz="4" w:space="0"/>
              <w:right w:val="single" w:color="000000" w:sz="4" w:space="0"/>
            </w:tcBorders>
            <w:vAlign w:val="center"/>
          </w:tcPr>
          <w:p w14:paraId="16401CF1">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03A5248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40" w:lineRule="exact"/>
              <w:ind w:left="0" w:leftChars="0" w:right="0" w:right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093" w:type="dxa"/>
            <w:tcBorders>
              <w:top w:val="single" w:color="000000" w:sz="4" w:space="0"/>
              <w:left w:val="single" w:color="000000" w:sz="4" w:space="0"/>
              <w:bottom w:val="single" w:color="000000" w:sz="4" w:space="0"/>
            </w:tcBorders>
            <w:vAlign w:val="center"/>
          </w:tcPr>
          <w:p w14:paraId="00C8DBFF">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w w:val="100"/>
                <w:sz w:val="21"/>
                <w:szCs w:val="21"/>
                <w:lang w:val="en-US" w:eastAsia="zh-CN"/>
              </w:rPr>
              <w:t>/</w:t>
            </w:r>
          </w:p>
        </w:tc>
      </w:tr>
      <w:tr w14:paraId="5156F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464" w:type="dxa"/>
            <w:vMerge w:val="restart"/>
            <w:tcBorders>
              <w:top w:val="single" w:color="000000" w:sz="8" w:space="0"/>
              <w:right w:val="single" w:color="000000" w:sz="4" w:space="0"/>
            </w:tcBorders>
            <w:vAlign w:val="center"/>
          </w:tcPr>
          <w:p w14:paraId="42C8E69E">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14:paraId="45661F59">
            <w:pPr>
              <w:keepNext w:val="0"/>
              <w:keepLines w:val="0"/>
              <w:pageBreakBefore w:val="0"/>
              <w:widowControl w:val="0"/>
              <w:suppressLineNumbers w:val="0"/>
              <w:kinsoku/>
              <w:wordWrap/>
              <w:overflowPunct/>
              <w:topLinePunct w:val="0"/>
              <w:bidi w:val="0"/>
              <w:adjustRightInd/>
              <w:snapToGrid/>
              <w:spacing w:beforeAutospacing="0" w:afterAutospacing="0" w:line="340" w:lineRule="exact"/>
              <w:ind w:left="-110" w:leftChars="-50" w:right="-110" w:rightChars="-50"/>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废包装材料</w:t>
            </w:r>
          </w:p>
        </w:tc>
        <w:tc>
          <w:tcPr>
            <w:tcW w:w="1548" w:type="dxa"/>
            <w:tcBorders>
              <w:top w:val="single" w:color="000000" w:sz="4" w:space="0"/>
              <w:left w:val="single" w:color="000000" w:sz="4" w:space="0"/>
              <w:bottom w:val="single" w:color="000000" w:sz="4" w:space="0"/>
              <w:right w:val="single" w:color="000000" w:sz="4" w:space="0"/>
            </w:tcBorders>
            <w:vAlign w:val="center"/>
          </w:tcPr>
          <w:p w14:paraId="6D05CDB3">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14:paraId="2EC54355">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71E5BD19">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vAlign w:val="center"/>
          </w:tcPr>
          <w:p w14:paraId="348B3B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color w:val="auto"/>
                <w:sz w:val="21"/>
                <w:szCs w:val="21"/>
                <w:lang w:val="en-US" w:eastAsia="zh-CN"/>
              </w:rPr>
              <w:t>0.5 t/a</w:t>
            </w:r>
          </w:p>
        </w:tc>
        <w:tc>
          <w:tcPr>
            <w:tcW w:w="1579" w:type="dxa"/>
            <w:tcBorders>
              <w:top w:val="single" w:color="000000" w:sz="4" w:space="0"/>
              <w:left w:val="single" w:color="000000" w:sz="4" w:space="0"/>
              <w:bottom w:val="single" w:color="000000" w:sz="4" w:space="0"/>
              <w:right w:val="single" w:color="000000" w:sz="4" w:space="0"/>
            </w:tcBorders>
            <w:vAlign w:val="center"/>
          </w:tcPr>
          <w:p w14:paraId="1A81A71D">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17A617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color w:val="auto"/>
                <w:sz w:val="21"/>
                <w:szCs w:val="21"/>
                <w:lang w:val="en-US" w:eastAsia="zh-CN"/>
              </w:rPr>
              <w:t>0.5 t/a</w:t>
            </w:r>
          </w:p>
        </w:tc>
        <w:tc>
          <w:tcPr>
            <w:tcW w:w="1093" w:type="dxa"/>
            <w:tcBorders>
              <w:top w:val="single" w:color="000000" w:sz="4" w:space="0"/>
              <w:left w:val="single" w:color="000000" w:sz="4" w:space="0"/>
              <w:bottom w:val="single" w:color="000000" w:sz="4" w:space="0"/>
            </w:tcBorders>
            <w:vAlign w:val="center"/>
          </w:tcPr>
          <w:p w14:paraId="50B84F9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r>
      <w:tr w14:paraId="707A4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464" w:type="dxa"/>
            <w:vMerge w:val="continue"/>
            <w:tcBorders>
              <w:right w:val="single" w:color="000000" w:sz="4" w:space="0"/>
            </w:tcBorders>
            <w:vAlign w:val="center"/>
          </w:tcPr>
          <w:p w14:paraId="2DB1B84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color w:val="auto"/>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32DAF15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除尘灰</w:t>
            </w:r>
          </w:p>
        </w:tc>
        <w:tc>
          <w:tcPr>
            <w:tcW w:w="1548" w:type="dxa"/>
            <w:tcBorders>
              <w:top w:val="single" w:color="000000" w:sz="4" w:space="0"/>
              <w:left w:val="single" w:color="000000" w:sz="4" w:space="0"/>
              <w:bottom w:val="single" w:color="000000" w:sz="4" w:space="0"/>
              <w:right w:val="single" w:color="000000" w:sz="4" w:space="0"/>
            </w:tcBorders>
            <w:vAlign w:val="center"/>
          </w:tcPr>
          <w:p w14:paraId="0F052EAC">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14:paraId="1F962F2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63590AB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vAlign w:val="center"/>
          </w:tcPr>
          <w:p w14:paraId="1DB5F0C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color w:val="auto"/>
                <w:sz w:val="21"/>
                <w:szCs w:val="21"/>
                <w:lang w:val="en-US" w:eastAsia="zh-CN"/>
              </w:rPr>
              <w:t>0.9088 t/a</w:t>
            </w:r>
          </w:p>
        </w:tc>
        <w:tc>
          <w:tcPr>
            <w:tcW w:w="1579" w:type="dxa"/>
            <w:tcBorders>
              <w:top w:val="single" w:color="000000" w:sz="4" w:space="0"/>
              <w:left w:val="single" w:color="000000" w:sz="4" w:space="0"/>
              <w:bottom w:val="single" w:color="000000" w:sz="4" w:space="0"/>
              <w:right w:val="single" w:color="000000" w:sz="4" w:space="0"/>
            </w:tcBorders>
            <w:vAlign w:val="center"/>
          </w:tcPr>
          <w:p w14:paraId="37A12A0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7874764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color w:val="auto"/>
                <w:sz w:val="21"/>
                <w:szCs w:val="21"/>
                <w:lang w:val="en-US" w:eastAsia="zh-CN"/>
              </w:rPr>
              <w:t>0.9088 t/a</w:t>
            </w:r>
          </w:p>
        </w:tc>
        <w:tc>
          <w:tcPr>
            <w:tcW w:w="1093" w:type="dxa"/>
            <w:tcBorders>
              <w:top w:val="single" w:color="000000" w:sz="4" w:space="0"/>
              <w:left w:val="single" w:color="000000" w:sz="4" w:space="0"/>
              <w:bottom w:val="single" w:color="000000" w:sz="4" w:space="0"/>
            </w:tcBorders>
            <w:vAlign w:val="center"/>
          </w:tcPr>
          <w:p w14:paraId="5F3F8F1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w w:val="100"/>
                <w:sz w:val="21"/>
                <w:szCs w:val="21"/>
                <w:lang w:val="en-US" w:eastAsia="zh-CN"/>
              </w:rPr>
              <w:t>/</w:t>
            </w:r>
          </w:p>
        </w:tc>
      </w:tr>
      <w:tr w14:paraId="010F2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464" w:type="dxa"/>
            <w:vMerge w:val="continue"/>
            <w:tcBorders>
              <w:right w:val="single" w:color="000000" w:sz="4" w:space="0"/>
            </w:tcBorders>
            <w:vAlign w:val="center"/>
          </w:tcPr>
          <w:p w14:paraId="3B32198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color w:val="auto"/>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730E567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生产剩余材料</w:t>
            </w:r>
          </w:p>
        </w:tc>
        <w:tc>
          <w:tcPr>
            <w:tcW w:w="1548" w:type="dxa"/>
            <w:tcBorders>
              <w:top w:val="single" w:color="000000" w:sz="4" w:space="0"/>
              <w:left w:val="single" w:color="000000" w:sz="4" w:space="0"/>
              <w:bottom w:val="single" w:color="000000" w:sz="4" w:space="0"/>
              <w:right w:val="single" w:color="000000" w:sz="4" w:space="0"/>
            </w:tcBorders>
            <w:vAlign w:val="center"/>
          </w:tcPr>
          <w:p w14:paraId="1A5D6E1E">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b w:val="0"/>
                <w:bCs w:val="0"/>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14:paraId="1F81CC8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b w:val="0"/>
                <w:bCs w:val="0"/>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379F2C7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b w:val="0"/>
                <w:bCs w:val="0"/>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vAlign w:val="center"/>
          </w:tcPr>
          <w:p w14:paraId="09A0947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2 t/a</w:t>
            </w:r>
          </w:p>
        </w:tc>
        <w:tc>
          <w:tcPr>
            <w:tcW w:w="1579" w:type="dxa"/>
            <w:tcBorders>
              <w:top w:val="single" w:color="000000" w:sz="4" w:space="0"/>
              <w:left w:val="single" w:color="000000" w:sz="4" w:space="0"/>
              <w:bottom w:val="single" w:color="000000" w:sz="4" w:space="0"/>
              <w:right w:val="single" w:color="000000" w:sz="4" w:space="0"/>
            </w:tcBorders>
            <w:vAlign w:val="center"/>
          </w:tcPr>
          <w:p w14:paraId="3111BBD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b w:val="0"/>
                <w:bCs w:val="0"/>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47EFE27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2 t/a</w:t>
            </w:r>
          </w:p>
        </w:tc>
        <w:tc>
          <w:tcPr>
            <w:tcW w:w="1093" w:type="dxa"/>
            <w:tcBorders>
              <w:top w:val="single" w:color="000000" w:sz="4" w:space="0"/>
              <w:left w:val="single" w:color="000000" w:sz="4" w:space="0"/>
              <w:bottom w:val="single" w:color="000000" w:sz="4" w:space="0"/>
            </w:tcBorders>
            <w:vAlign w:val="center"/>
          </w:tcPr>
          <w:p w14:paraId="31A7556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b w:val="0"/>
                <w:bCs w:val="0"/>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r>
      <w:tr w14:paraId="34CC0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464" w:type="dxa"/>
            <w:vMerge w:val="restart"/>
            <w:tcBorders>
              <w:right w:val="single" w:color="000000" w:sz="4" w:space="0"/>
            </w:tcBorders>
            <w:vAlign w:val="center"/>
          </w:tcPr>
          <w:p w14:paraId="6D36AB68">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14:paraId="7799E7F2">
            <w:pPr>
              <w:keepNext w:val="0"/>
              <w:keepLines w:val="0"/>
              <w:pageBreakBefore w:val="0"/>
              <w:widowControl w:val="0"/>
              <w:suppressLineNumbers w:val="0"/>
              <w:kinsoku/>
              <w:wordWrap/>
              <w:overflowPunct/>
              <w:topLinePunct w:val="0"/>
              <w:bidi w:val="0"/>
              <w:adjustRightInd/>
              <w:snapToGrid/>
              <w:spacing w:beforeAutospacing="0" w:afterAutospacing="0" w:line="340" w:lineRule="exact"/>
              <w:ind w:left="0" w:leftChars="0" w:right="0" w:rightChars="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b w:val="0"/>
                <w:bCs w:val="0"/>
                <w:color w:val="auto"/>
                <w:sz w:val="21"/>
                <w:szCs w:val="21"/>
                <w:lang w:eastAsia="zh-CN"/>
              </w:rPr>
              <w:t>废液压油</w:t>
            </w:r>
          </w:p>
        </w:tc>
        <w:tc>
          <w:tcPr>
            <w:tcW w:w="1548" w:type="dxa"/>
            <w:tcBorders>
              <w:top w:val="single" w:color="000000" w:sz="4" w:space="0"/>
              <w:left w:val="single" w:color="000000" w:sz="4" w:space="0"/>
              <w:bottom w:val="single" w:color="000000" w:sz="4" w:space="0"/>
              <w:right w:val="single" w:color="000000" w:sz="4" w:space="0"/>
            </w:tcBorders>
            <w:vAlign w:val="center"/>
          </w:tcPr>
          <w:p w14:paraId="584A6DB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14:paraId="30D7E02D">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4E9DE2DB">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vAlign w:val="center"/>
          </w:tcPr>
          <w:p w14:paraId="4AE95C38">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340" w:lineRule="exact"/>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 xml:space="preserve">0.5 </w:t>
            </w:r>
            <w:r>
              <w:rPr>
                <w:rFonts w:hint="default" w:ascii="Times New Roman" w:hAnsi="Times New Roman" w:eastAsia="宋体" w:cs="Times New Roman"/>
                <w:color w:val="auto"/>
                <w:sz w:val="21"/>
                <w:szCs w:val="21"/>
                <w:highlight w:val="none"/>
                <w:lang w:val="en-US" w:eastAsia="zh-CN" w:bidi="ar-SA"/>
              </w:rPr>
              <w:t>t/a</w:t>
            </w:r>
          </w:p>
        </w:tc>
        <w:tc>
          <w:tcPr>
            <w:tcW w:w="1579" w:type="dxa"/>
            <w:tcBorders>
              <w:top w:val="single" w:color="000000" w:sz="4" w:space="0"/>
              <w:left w:val="single" w:color="000000" w:sz="4" w:space="0"/>
              <w:bottom w:val="single" w:color="000000" w:sz="4" w:space="0"/>
              <w:right w:val="single" w:color="000000" w:sz="4" w:space="0"/>
            </w:tcBorders>
            <w:vAlign w:val="center"/>
          </w:tcPr>
          <w:p w14:paraId="30DB7A2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1EE6E38F">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340" w:lineRule="exact"/>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 xml:space="preserve">0.5 </w:t>
            </w:r>
            <w:r>
              <w:rPr>
                <w:rFonts w:hint="default" w:ascii="Times New Roman" w:hAnsi="Times New Roman" w:eastAsia="宋体" w:cs="Times New Roman"/>
                <w:color w:val="auto"/>
                <w:sz w:val="21"/>
                <w:szCs w:val="21"/>
                <w:highlight w:val="none"/>
                <w:lang w:val="en-US" w:eastAsia="zh-CN" w:bidi="ar-SA"/>
              </w:rPr>
              <w:t>t/a</w:t>
            </w:r>
          </w:p>
        </w:tc>
        <w:tc>
          <w:tcPr>
            <w:tcW w:w="1093" w:type="dxa"/>
            <w:tcBorders>
              <w:top w:val="single" w:color="000000" w:sz="4" w:space="0"/>
              <w:left w:val="single" w:color="000000" w:sz="4" w:space="0"/>
              <w:bottom w:val="single" w:color="000000" w:sz="4" w:space="0"/>
            </w:tcBorders>
            <w:vAlign w:val="center"/>
          </w:tcPr>
          <w:p w14:paraId="5AD974D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b w:val="0"/>
                <w:bCs w:val="0"/>
                <w:color w:val="auto"/>
                <w:w w:val="100"/>
                <w:sz w:val="21"/>
                <w:szCs w:val="21"/>
                <w:lang w:val="en-US" w:eastAsia="zh-CN"/>
              </w:rPr>
              <w:t>/</w:t>
            </w:r>
          </w:p>
        </w:tc>
      </w:tr>
      <w:tr w14:paraId="5005F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464" w:type="dxa"/>
            <w:vMerge w:val="continue"/>
            <w:tcBorders>
              <w:right w:val="single" w:color="000000" w:sz="4" w:space="0"/>
            </w:tcBorders>
            <w:vAlign w:val="center"/>
          </w:tcPr>
          <w:p w14:paraId="51DF2A2D">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4616BF12">
            <w:pPr>
              <w:keepNext w:val="0"/>
              <w:keepLines w:val="0"/>
              <w:pageBreakBefore w:val="0"/>
              <w:widowControl w:val="0"/>
              <w:suppressLineNumbers w:val="0"/>
              <w:kinsoku/>
              <w:wordWrap/>
              <w:overflowPunct/>
              <w:topLinePunct w:val="0"/>
              <w:bidi w:val="0"/>
              <w:adjustRightInd/>
              <w:snapToGrid/>
              <w:spacing w:beforeAutospacing="0" w:afterAutospacing="0" w:line="340" w:lineRule="exact"/>
              <w:ind w:left="0" w:leftChars="0" w:right="0" w:right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废</w:t>
            </w:r>
            <w:r>
              <w:rPr>
                <w:rFonts w:hint="eastAsia" w:ascii="Times New Roman" w:hAnsi="Times New Roman" w:cs="Times New Roman"/>
                <w:b w:val="0"/>
                <w:bCs w:val="0"/>
                <w:color w:val="auto"/>
                <w:sz w:val="21"/>
                <w:szCs w:val="21"/>
                <w:lang w:eastAsia="zh-CN"/>
              </w:rPr>
              <w:t>机油</w:t>
            </w:r>
          </w:p>
        </w:tc>
        <w:tc>
          <w:tcPr>
            <w:tcW w:w="1548" w:type="dxa"/>
            <w:tcBorders>
              <w:top w:val="single" w:color="000000" w:sz="4" w:space="0"/>
              <w:left w:val="single" w:color="000000" w:sz="4" w:space="0"/>
              <w:bottom w:val="single" w:color="000000" w:sz="4" w:space="0"/>
              <w:right w:val="single" w:color="000000" w:sz="4" w:space="0"/>
            </w:tcBorders>
            <w:vAlign w:val="center"/>
          </w:tcPr>
          <w:p w14:paraId="6475C1C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14:paraId="11F4CD71">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3F3BED2C">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vAlign w:val="center"/>
          </w:tcPr>
          <w:p w14:paraId="692B631A">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340" w:lineRule="exact"/>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 xml:space="preserve">0.12 </w:t>
            </w:r>
            <w:r>
              <w:rPr>
                <w:rFonts w:hint="default" w:ascii="Times New Roman" w:hAnsi="Times New Roman" w:eastAsia="宋体" w:cs="Times New Roman"/>
                <w:color w:val="auto"/>
                <w:sz w:val="21"/>
                <w:szCs w:val="21"/>
                <w:highlight w:val="none"/>
                <w:lang w:val="en-US" w:eastAsia="zh-CN" w:bidi="ar-SA"/>
              </w:rPr>
              <w:t>t/a</w:t>
            </w:r>
          </w:p>
        </w:tc>
        <w:tc>
          <w:tcPr>
            <w:tcW w:w="1579" w:type="dxa"/>
            <w:tcBorders>
              <w:top w:val="single" w:color="000000" w:sz="4" w:space="0"/>
              <w:left w:val="single" w:color="000000" w:sz="4" w:space="0"/>
              <w:bottom w:val="single" w:color="000000" w:sz="4" w:space="0"/>
              <w:right w:val="single" w:color="000000" w:sz="4" w:space="0"/>
            </w:tcBorders>
            <w:vAlign w:val="center"/>
          </w:tcPr>
          <w:p w14:paraId="0FC80C7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25F23849">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340" w:lineRule="exact"/>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 xml:space="preserve">0.12 </w:t>
            </w:r>
            <w:r>
              <w:rPr>
                <w:rFonts w:hint="default" w:ascii="Times New Roman" w:hAnsi="Times New Roman" w:eastAsia="宋体" w:cs="Times New Roman"/>
                <w:color w:val="auto"/>
                <w:sz w:val="21"/>
                <w:szCs w:val="21"/>
                <w:highlight w:val="none"/>
                <w:lang w:val="en-US" w:eastAsia="zh-CN" w:bidi="ar-SA"/>
              </w:rPr>
              <w:t>t/a</w:t>
            </w:r>
          </w:p>
        </w:tc>
        <w:tc>
          <w:tcPr>
            <w:tcW w:w="1093" w:type="dxa"/>
            <w:tcBorders>
              <w:top w:val="single" w:color="000000" w:sz="4" w:space="0"/>
              <w:left w:val="single" w:color="000000" w:sz="4" w:space="0"/>
              <w:bottom w:val="single" w:color="000000" w:sz="4" w:space="0"/>
            </w:tcBorders>
            <w:vAlign w:val="center"/>
          </w:tcPr>
          <w:p w14:paraId="57A13CD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r>
      <w:tr w14:paraId="5E8FD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464" w:type="dxa"/>
            <w:vMerge w:val="continue"/>
            <w:tcBorders>
              <w:right w:val="single" w:color="000000" w:sz="4" w:space="0"/>
            </w:tcBorders>
            <w:vAlign w:val="center"/>
          </w:tcPr>
          <w:p w14:paraId="38B19FD6">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459D94C5">
            <w:pPr>
              <w:keepNext w:val="0"/>
              <w:keepLines w:val="0"/>
              <w:pageBreakBefore w:val="0"/>
              <w:widowControl w:val="0"/>
              <w:suppressLineNumbers w:val="0"/>
              <w:kinsoku/>
              <w:wordWrap/>
              <w:overflowPunct/>
              <w:topLinePunct w:val="0"/>
              <w:bidi w:val="0"/>
              <w:adjustRightInd/>
              <w:snapToGrid/>
              <w:spacing w:beforeAutospacing="0" w:afterAutospacing="0" w:line="34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bidi="zh-CN"/>
              </w:rPr>
              <w:t>废包装桶</w:t>
            </w:r>
          </w:p>
        </w:tc>
        <w:tc>
          <w:tcPr>
            <w:tcW w:w="1548" w:type="dxa"/>
            <w:tcBorders>
              <w:top w:val="single" w:color="000000" w:sz="4" w:space="0"/>
              <w:left w:val="single" w:color="000000" w:sz="4" w:space="0"/>
              <w:bottom w:val="single" w:color="000000" w:sz="4" w:space="0"/>
              <w:right w:val="single" w:color="000000" w:sz="4" w:space="0"/>
            </w:tcBorders>
            <w:vAlign w:val="center"/>
          </w:tcPr>
          <w:p w14:paraId="250A3BC2">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default" w:ascii="Times New Roman" w:hAnsi="Times New Roman" w:eastAsia="宋体" w:cs="Times New Roman"/>
                <w:b w:val="0"/>
                <w:bCs w:val="0"/>
                <w:color w:val="auto"/>
                <w:w w:val="100"/>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14:paraId="024D406A">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eastAsia="宋体" w:cs="Times New Roman"/>
                <w:b w:val="0"/>
                <w:bCs w:val="0"/>
                <w:color w:val="auto"/>
                <w:w w:val="100"/>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10E822F5">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default" w:ascii="Times New Roman" w:hAnsi="Times New Roman" w:eastAsia="宋体" w:cs="Times New Roman"/>
                <w:b w:val="0"/>
                <w:bCs w:val="0"/>
                <w:color w:val="auto"/>
                <w:w w:val="100"/>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vAlign w:val="center"/>
          </w:tcPr>
          <w:p w14:paraId="04D08D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leftChars="0" w:right="0" w:rightChars="0"/>
              <w:jc w:val="center"/>
              <w:textAlignment w:val="auto"/>
              <w:rPr>
                <w:rFonts w:hint="default" w:ascii="Times New Roman" w:hAnsi="Times New Roman" w:eastAsia="宋体" w:cs="Times New Roman"/>
                <w:b w:val="0"/>
                <w:bCs w:val="0"/>
                <w:color w:val="auto"/>
                <w:w w:val="100"/>
                <w:sz w:val="21"/>
                <w:szCs w:val="21"/>
                <w:lang w:val="zh-CN" w:eastAsia="zh-CN" w:bidi="zh-CN"/>
              </w:rPr>
            </w:pPr>
            <w:r>
              <w:rPr>
                <w:rFonts w:hint="eastAsia" w:ascii="Times New Roman" w:hAnsi="Times New Roman" w:eastAsia="宋体" w:cs="Times New Roman"/>
                <w:color w:val="auto"/>
                <w:kern w:val="2"/>
                <w:sz w:val="21"/>
                <w:szCs w:val="21"/>
                <w:lang w:val="en-US" w:eastAsia="zh-CN" w:bidi="ar-SA"/>
              </w:rPr>
              <w:t>0.</w:t>
            </w:r>
            <w:r>
              <w:rPr>
                <w:rFonts w:hint="eastAsia" w:ascii="Times New Roman" w:hAnsi="Times New Roman" w:cs="Times New Roman"/>
                <w:color w:val="auto"/>
                <w:kern w:val="2"/>
                <w:sz w:val="21"/>
                <w:szCs w:val="21"/>
                <w:lang w:val="en-US" w:eastAsia="zh-CN" w:bidi="ar-SA"/>
              </w:rPr>
              <w:t>0675</w:t>
            </w:r>
            <w:r>
              <w:rPr>
                <w:rFonts w:hint="default" w:ascii="Times New Roman" w:hAnsi="Times New Roman" w:eastAsia="宋体" w:cs="Times New Roman"/>
                <w:color w:val="auto"/>
                <w:sz w:val="21"/>
                <w:szCs w:val="21"/>
                <w:highlight w:val="none"/>
                <w:lang w:val="en-US" w:eastAsia="zh-CN" w:bidi="ar-SA"/>
              </w:rPr>
              <w:t>t/a</w:t>
            </w:r>
          </w:p>
        </w:tc>
        <w:tc>
          <w:tcPr>
            <w:tcW w:w="1579" w:type="dxa"/>
            <w:tcBorders>
              <w:top w:val="single" w:color="000000" w:sz="4" w:space="0"/>
              <w:left w:val="single" w:color="000000" w:sz="4" w:space="0"/>
              <w:bottom w:val="single" w:color="000000" w:sz="4" w:space="0"/>
              <w:right w:val="single" w:color="000000" w:sz="4" w:space="0"/>
            </w:tcBorders>
            <w:vAlign w:val="center"/>
          </w:tcPr>
          <w:p w14:paraId="5DA271EC">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eastAsia="宋体" w:cs="Times New Roman"/>
                <w:b w:val="0"/>
                <w:bCs w:val="0"/>
                <w:color w:val="auto"/>
                <w:w w:val="100"/>
                <w:sz w:val="21"/>
                <w:szCs w:val="21"/>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07729B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eastAsia="宋体" w:cs="Times New Roman"/>
                <w:color w:val="auto"/>
                <w:kern w:val="2"/>
                <w:sz w:val="21"/>
                <w:szCs w:val="21"/>
                <w:lang w:val="en-US" w:eastAsia="zh-CN" w:bidi="ar-SA"/>
              </w:rPr>
              <w:t>0.</w:t>
            </w:r>
            <w:r>
              <w:rPr>
                <w:rFonts w:hint="eastAsia" w:ascii="Times New Roman" w:hAnsi="Times New Roman" w:cs="Times New Roman"/>
                <w:color w:val="auto"/>
                <w:kern w:val="2"/>
                <w:sz w:val="21"/>
                <w:szCs w:val="21"/>
                <w:lang w:val="en-US" w:eastAsia="zh-CN" w:bidi="ar-SA"/>
              </w:rPr>
              <w:t>0675</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highlight w:val="none"/>
                <w:lang w:val="en-US" w:eastAsia="zh-CN" w:bidi="ar-SA"/>
              </w:rPr>
              <w:t>t/a</w:t>
            </w:r>
          </w:p>
        </w:tc>
        <w:tc>
          <w:tcPr>
            <w:tcW w:w="1093" w:type="dxa"/>
            <w:tcBorders>
              <w:top w:val="single" w:color="000000" w:sz="4" w:space="0"/>
              <w:left w:val="single" w:color="000000" w:sz="4" w:space="0"/>
              <w:bottom w:val="single" w:color="000000" w:sz="4" w:space="0"/>
            </w:tcBorders>
            <w:vAlign w:val="center"/>
          </w:tcPr>
          <w:p w14:paraId="06A66AC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eastAsia="宋体" w:cs="Times New Roman"/>
                <w:b w:val="0"/>
                <w:bCs w:val="0"/>
                <w:color w:val="auto"/>
                <w:w w:val="100"/>
                <w:sz w:val="21"/>
                <w:szCs w:val="21"/>
                <w:lang w:val="en-US" w:eastAsia="zh-CN"/>
              </w:rPr>
              <w:t>/</w:t>
            </w:r>
          </w:p>
        </w:tc>
      </w:tr>
      <w:tr w14:paraId="6D97C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464" w:type="dxa"/>
            <w:vMerge w:val="continue"/>
            <w:tcBorders>
              <w:right w:val="single" w:color="000000" w:sz="4" w:space="0"/>
            </w:tcBorders>
            <w:vAlign w:val="center"/>
          </w:tcPr>
          <w:p w14:paraId="3DB74DF6">
            <w:pPr>
              <w:pStyle w:val="55"/>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rFonts w:hint="default" w:ascii="Times New Roman" w:hAnsi="Times New Roman" w:eastAsia="宋体"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63F2BDAC">
            <w:pPr>
              <w:keepNext w:val="0"/>
              <w:keepLines w:val="0"/>
              <w:pageBreakBefore w:val="0"/>
              <w:widowControl w:val="0"/>
              <w:suppressLineNumbers w:val="0"/>
              <w:kinsoku/>
              <w:wordWrap/>
              <w:overflowPunct/>
              <w:topLinePunct w:val="0"/>
              <w:bidi w:val="0"/>
              <w:adjustRightInd/>
              <w:snapToGrid/>
              <w:spacing w:beforeAutospacing="0" w:afterAutospacing="0" w:line="340" w:lineRule="exact"/>
              <w:ind w:left="0" w:leftChars="0" w:right="0" w:rightChars="0"/>
              <w:jc w:val="center"/>
              <w:textAlignment w:val="auto"/>
              <w:rPr>
                <w:rFonts w:hint="default" w:ascii="Times New Roman" w:hAnsi="Times New Roman"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bidi="zh-CN"/>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14:paraId="537E0513">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b w:val="0"/>
                <w:bCs w:val="0"/>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14:paraId="3AF72657">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b w:val="0"/>
                <w:bCs w:val="0"/>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14:paraId="1C373838">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b w:val="0"/>
                <w:bCs w:val="0"/>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vAlign w:val="center"/>
          </w:tcPr>
          <w:p w14:paraId="3E2AB2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leftChars="0" w:right="0" w:right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1.6377</w:t>
            </w:r>
            <w:r>
              <w:rPr>
                <w:rFonts w:hint="eastAsia" w:ascii="Times New Roman" w:hAnsi="Times New Roman" w:cs="Times New Roman"/>
                <w:b w:val="0"/>
                <w:bCs/>
                <w:color w:val="auto"/>
                <w:sz w:val="21"/>
                <w:szCs w:val="21"/>
                <w:lang w:val="en-US" w:eastAsia="zh-CN"/>
              </w:rPr>
              <w:t xml:space="preserve"> t/a</w:t>
            </w:r>
          </w:p>
        </w:tc>
        <w:tc>
          <w:tcPr>
            <w:tcW w:w="1579" w:type="dxa"/>
            <w:tcBorders>
              <w:top w:val="single" w:color="000000" w:sz="4" w:space="0"/>
              <w:left w:val="single" w:color="000000" w:sz="4" w:space="0"/>
              <w:bottom w:val="single" w:color="000000" w:sz="4" w:space="0"/>
              <w:right w:val="single" w:color="000000" w:sz="4" w:space="0"/>
            </w:tcBorders>
            <w:vAlign w:val="center"/>
          </w:tcPr>
          <w:p w14:paraId="65EF8544">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ascii="Times New Roman" w:hAnsi="Times New Roman" w:eastAsia="宋体" w:cs="Times New Roman"/>
                <w:b w:val="0"/>
                <w:bCs w:val="0"/>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0CA272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leftChars="0" w:right="0" w:right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1.6377</w:t>
            </w:r>
            <w:r>
              <w:rPr>
                <w:rFonts w:hint="eastAsia" w:ascii="Times New Roman" w:hAnsi="Times New Roman" w:cs="Times New Roman"/>
                <w:b w:val="0"/>
                <w:bCs/>
                <w:color w:val="auto"/>
                <w:sz w:val="21"/>
                <w:szCs w:val="21"/>
                <w:lang w:val="en-US" w:eastAsia="zh-CN"/>
              </w:rPr>
              <w:t xml:space="preserve"> t/a</w:t>
            </w:r>
          </w:p>
        </w:tc>
        <w:tc>
          <w:tcPr>
            <w:tcW w:w="1093" w:type="dxa"/>
            <w:tcBorders>
              <w:top w:val="single" w:color="000000" w:sz="4" w:space="0"/>
              <w:left w:val="single" w:color="000000" w:sz="4" w:space="0"/>
              <w:bottom w:val="single" w:color="000000" w:sz="4" w:space="0"/>
            </w:tcBorders>
            <w:vAlign w:val="center"/>
          </w:tcPr>
          <w:p w14:paraId="165AD23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宋体" w:cs="Times New Roman"/>
                <w:b w:val="0"/>
                <w:bCs w:val="0"/>
                <w:color w:val="auto"/>
                <w:w w:val="100"/>
                <w:sz w:val="21"/>
                <w:szCs w:val="21"/>
                <w:lang w:val="en-US" w:eastAsia="zh-CN"/>
              </w:rPr>
            </w:pPr>
            <w:r>
              <w:rPr>
                <w:rFonts w:hint="default" w:ascii="Times New Roman" w:hAnsi="Times New Roman" w:eastAsia="宋体" w:cs="Times New Roman"/>
                <w:b w:val="0"/>
                <w:bCs w:val="0"/>
                <w:color w:val="auto"/>
                <w:w w:val="100"/>
                <w:sz w:val="21"/>
                <w:szCs w:val="21"/>
                <w:lang w:val="en-US" w:eastAsia="zh-CN"/>
              </w:rPr>
              <w:t>/</w:t>
            </w:r>
          </w:p>
        </w:tc>
      </w:tr>
    </w:tbl>
    <w:p w14:paraId="79C40FAE">
      <w:pPr>
        <w:pStyle w:val="12"/>
        <w:spacing w:before="11"/>
        <w:rPr>
          <w:rFonts w:hint="default" w:ascii="Times New Roman" w:hAnsi="Times New Roman" w:cs="Times New Roman"/>
          <w:color w:val="auto"/>
          <w:sz w:val="6"/>
        </w:rPr>
      </w:pPr>
    </w:p>
    <w:p w14:paraId="4962A640">
      <w:pPr>
        <w:pStyle w:val="19"/>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color w:val="auto"/>
          <w:sz w:val="21"/>
        </w:rPr>
        <w:t>注：⑥=①+③+④-⑤；⑦=⑥-①</w:t>
      </w:r>
      <w:r>
        <w:rPr>
          <w:rFonts w:hint="default" w:ascii="Times New Roman" w:hAnsi="Times New Roman" w:cs="Times New Roman"/>
          <w:color w:val="auto"/>
          <w:sz w:val="21"/>
          <w:lang w:val="en-US" w:eastAsia="zh-CN"/>
        </w:rPr>
        <w:t>.</w:t>
      </w:r>
    </w:p>
    <w:p w14:paraId="3F1A4C81">
      <w:pPr>
        <w:pStyle w:val="19"/>
        <w:spacing w:line="360" w:lineRule="auto"/>
        <w:ind w:left="110" w:leftChars="50" w:right="110" w:rightChars="50" w:firstLine="420" w:firstLineChars="200"/>
        <w:jc w:val="both"/>
        <w:rPr>
          <w:rFonts w:ascii="Times New Roman" w:hAnsi="Times New Roman" w:cs="Times New Roman"/>
          <w:color w:val="auto"/>
          <w:sz w:val="21"/>
        </w:rPr>
      </w:pPr>
    </w:p>
    <w:sectPr>
      <w:footerReference r:id="rId11" w:type="default"/>
      <w:footerReference r:id="rId12"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新宋体-18030">
    <w:altName w:val="宋体"/>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CE165">
    <w:pPr>
      <w:pStyle w:val="12"/>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37ACA">
    <w:pPr>
      <w:pStyle w:val="1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6E57A">
    <w:pPr>
      <w:pStyle w:val="1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F916">
    <w:pPr>
      <w:pStyle w:val="12"/>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posOffset>2867025</wp:posOffset>
              </wp:positionH>
              <wp:positionV relativeFrom="paragraph">
                <wp:posOffset>0</wp:posOffset>
              </wp:positionV>
              <wp:extent cx="226060" cy="18796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226060" cy="187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527C0">
                          <w:pPr>
                            <w:pStyle w:val="24"/>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23</w:t>
                          </w:r>
                          <w:r>
                            <w:rPr>
                              <w:rFonts w:hint="eastAsia"/>
                              <w:sz w:val="21"/>
                              <w:szCs w:val="22"/>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5.75pt;margin-top:0pt;height:14.8pt;width:17.8pt;mso-position-horizontal-relative:margin;z-index:251660288;mso-width-relative:page;mso-height-relative:page;" filled="f" stroked="f" coordsize="21600,21600" o:gfxdata="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3/z93WAAAABwEAAA8AAAAAAAAAAQAgAAAAIgAAAGRycy9kb3ducmV2LnhtbFBL&#10;AQIUABQAAAAIAIdO4kCb8mmDMQIAAFcEAAAOAAAAAAAAAAEAIAAAACUBAABkcnMvZTJvRG9jLnht&#10;bFBLBQYAAAAABgAGAFkBAADIBQAAAAA=&#10;">
              <v:fill on="f" focussize="0,0"/>
              <v:stroke on="f" weight="0.5pt"/>
              <v:imagedata o:title=""/>
              <o:lock v:ext="edit" aspectratio="f"/>
              <v:textbox inset="0mm,0mm,0mm,0mm">
                <w:txbxContent>
                  <w:p w14:paraId="698527C0">
                    <w:pPr>
                      <w:pStyle w:val="24"/>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23</w:t>
                    </w:r>
                    <w:r>
                      <w:rPr>
                        <w:rFonts w:hint="eastAsia"/>
                        <w:sz w:val="21"/>
                        <w:szCs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7FB1B">
    <w:pPr>
      <w:pStyle w:val="12"/>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E795E">
                          <w:pPr>
                            <w:pStyle w:val="24"/>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14:paraId="698E795E">
                    <w:pPr>
                      <w:pStyle w:val="24"/>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03CEF">
    <w:pPr>
      <w:pStyle w:val="1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posOffset>2886075</wp:posOffset>
              </wp:positionH>
              <wp:positionV relativeFrom="paragraph">
                <wp:posOffset>-244475</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5EFD7">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7.25pt;margin-top:-19.25pt;height:144pt;width:144pt;mso-position-horizontal-relative:margin;mso-wrap-style:none;z-index:251662336;mso-width-relative:page;mso-height-relative:page;" filled="f" stroked="f" coordsize="21600,21600" o:gfxdata="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x078r2AAAAAsBAAAPAAAAAAAAAAEAIAAAACIAAABkcnMvZG93bnJldi54&#10;bWxQSwECFAAUAAAACACHTuJA2bt8ezMCAABjBAAADgAAAAAAAAABACAAAAAnAQAAZHJzL2Uyb0Rv&#10;Yy54bWxQSwUGAAAAAAYABgBZAQAAzAUAAAAA&#10;">
              <v:fill on="f" focussize="0,0"/>
              <v:stroke on="f" weight="0.5pt"/>
              <v:imagedata o:title=""/>
              <o:lock v:ext="edit" aspectratio="f"/>
              <v:textbox inset="0mm,0mm,0mm,0mm" style="mso-fit-shape-to-text:t;">
                <w:txbxContent>
                  <w:p w14:paraId="67E5EFD7">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C39B1">
    <w:pPr>
      <w:pStyle w:val="1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2886075</wp:posOffset>
              </wp:positionH>
              <wp:positionV relativeFrom="paragraph">
                <wp:posOffset>-215900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D4858">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7.25pt;margin-top:-17pt;height:144pt;width:144pt;mso-position-horizontal-relative:margin;mso-wrap-style:none;z-index:251663360;mso-width-relative:page;mso-height-relative:page;" filled="f" stroked="f" coordsize="21600,21600" o:gfxdata="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WdzD7XAAAACwEAAA8AAAAAAAAAAQAgAAAAIgAAAGRycy9kb3ducmV2Lnht&#10;bFBLAQIUABQAAAAIAIdO4kCbE+uUMwIAAGMEAAAOAAAAAAAAAAEAIAAAACYBAABkcnMvZTJvRG9j&#10;LnhtbFBLBQYAAAAABgAGAFkBAADLBQAAAAA=&#10;">
              <v:fill on="f" focussize="0,0"/>
              <v:stroke on="f" weight="0.5pt"/>
              <v:imagedata o:title=""/>
              <o:lock v:ext="edit" aspectratio="f"/>
              <v:textbox inset="0mm,0mm,0mm,0mm" style="mso-fit-shape-to-text:t;">
                <w:txbxContent>
                  <w:p w14:paraId="604D4858">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5B46B">
    <w:pPr>
      <w:pStyle w:val="12"/>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947B">
    <w:pPr>
      <w:pStyle w:val="12"/>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FBAA">
    <w:pPr>
      <w:pStyle w:val="1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6C"/>
    <w:multiLevelType w:val="multilevel"/>
    <w:tmpl w:val="0000006C"/>
    <w:lvl w:ilvl="0" w:tentative="0">
      <w:start w:val="1"/>
      <w:numFmt w:val="decimal"/>
      <w:pStyle w:val="43"/>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C32162"/>
    <w:multiLevelType w:val="singleLevel"/>
    <w:tmpl w:val="0DC32162"/>
    <w:lvl w:ilvl="0" w:tentative="0">
      <w:start w:val="5"/>
      <w:numFmt w:val="chineseCounting"/>
      <w:suff w:val="nothing"/>
      <w:lvlText w:val="%1、"/>
      <w:lvlJc w:val="left"/>
      <w:rPr>
        <w:rFonts w:hint="eastAsia"/>
      </w:rPr>
    </w:lvl>
  </w:abstractNum>
  <w:abstractNum w:abstractNumId="2">
    <w:nsid w:val="5832E185"/>
    <w:multiLevelType w:val="singleLevel"/>
    <w:tmpl w:val="5832E185"/>
    <w:lvl w:ilvl="0" w:tentative="0">
      <w:start w:val="1"/>
      <w:numFmt w:val="decimal"/>
      <w:suff w:val="nothing"/>
      <w:lvlText w:val="（%1）"/>
      <w:lvlJc w:val="left"/>
      <w:pPr>
        <w:ind w:left="42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ZDRkOTU1OGFhOTI2ODFhNDdmNjIwYTk1NWI5YjMifQ=="/>
  </w:docVars>
  <w:rsids>
    <w:rsidRoot w:val="00172A27"/>
    <w:rsid w:val="00054DC4"/>
    <w:rsid w:val="00074B68"/>
    <w:rsid w:val="00083847"/>
    <w:rsid w:val="000D0552"/>
    <w:rsid w:val="0012089D"/>
    <w:rsid w:val="00172A27"/>
    <w:rsid w:val="001C5F73"/>
    <w:rsid w:val="002063DE"/>
    <w:rsid w:val="0023329A"/>
    <w:rsid w:val="0024672B"/>
    <w:rsid w:val="00246ECB"/>
    <w:rsid w:val="00265EE2"/>
    <w:rsid w:val="00281AC8"/>
    <w:rsid w:val="002C22BA"/>
    <w:rsid w:val="002D4F22"/>
    <w:rsid w:val="002E4041"/>
    <w:rsid w:val="00340BB0"/>
    <w:rsid w:val="004222DA"/>
    <w:rsid w:val="00441FA2"/>
    <w:rsid w:val="00491BFE"/>
    <w:rsid w:val="004B5AA9"/>
    <w:rsid w:val="0058199B"/>
    <w:rsid w:val="0059310F"/>
    <w:rsid w:val="005A2A20"/>
    <w:rsid w:val="005D4603"/>
    <w:rsid w:val="005F4523"/>
    <w:rsid w:val="00840C1E"/>
    <w:rsid w:val="008B4C00"/>
    <w:rsid w:val="0094205C"/>
    <w:rsid w:val="009449D2"/>
    <w:rsid w:val="00963BDE"/>
    <w:rsid w:val="009A2E7A"/>
    <w:rsid w:val="009E1356"/>
    <w:rsid w:val="00A44265"/>
    <w:rsid w:val="00BE4D4E"/>
    <w:rsid w:val="00C17F96"/>
    <w:rsid w:val="00CC0515"/>
    <w:rsid w:val="00CD6343"/>
    <w:rsid w:val="00E11262"/>
    <w:rsid w:val="00E50FE5"/>
    <w:rsid w:val="00ED3D6F"/>
    <w:rsid w:val="01172A03"/>
    <w:rsid w:val="01177305"/>
    <w:rsid w:val="012670EA"/>
    <w:rsid w:val="014D12BC"/>
    <w:rsid w:val="015A421B"/>
    <w:rsid w:val="016739AE"/>
    <w:rsid w:val="0199212C"/>
    <w:rsid w:val="019C475A"/>
    <w:rsid w:val="01A71FD9"/>
    <w:rsid w:val="01BC7C04"/>
    <w:rsid w:val="01C17AE1"/>
    <w:rsid w:val="01C27C15"/>
    <w:rsid w:val="01CD4289"/>
    <w:rsid w:val="01CE57B8"/>
    <w:rsid w:val="0200530E"/>
    <w:rsid w:val="02151639"/>
    <w:rsid w:val="021C2443"/>
    <w:rsid w:val="022E7E43"/>
    <w:rsid w:val="02360D5C"/>
    <w:rsid w:val="024F586D"/>
    <w:rsid w:val="02642C8E"/>
    <w:rsid w:val="027F321C"/>
    <w:rsid w:val="02812062"/>
    <w:rsid w:val="028E4FFD"/>
    <w:rsid w:val="029307AF"/>
    <w:rsid w:val="029A6AAF"/>
    <w:rsid w:val="02A77236"/>
    <w:rsid w:val="02D36977"/>
    <w:rsid w:val="03081DC3"/>
    <w:rsid w:val="0313578C"/>
    <w:rsid w:val="03161459"/>
    <w:rsid w:val="031A3015"/>
    <w:rsid w:val="032520B4"/>
    <w:rsid w:val="03394168"/>
    <w:rsid w:val="034321D6"/>
    <w:rsid w:val="036518C5"/>
    <w:rsid w:val="03712CD2"/>
    <w:rsid w:val="037543A0"/>
    <w:rsid w:val="039A522B"/>
    <w:rsid w:val="03BA5956"/>
    <w:rsid w:val="03BF38CE"/>
    <w:rsid w:val="03C97750"/>
    <w:rsid w:val="03D1333D"/>
    <w:rsid w:val="03F624FD"/>
    <w:rsid w:val="03F8238D"/>
    <w:rsid w:val="03F82FC0"/>
    <w:rsid w:val="03FE7AF4"/>
    <w:rsid w:val="040012AE"/>
    <w:rsid w:val="040A4AA1"/>
    <w:rsid w:val="043E1C1C"/>
    <w:rsid w:val="0444297A"/>
    <w:rsid w:val="04543120"/>
    <w:rsid w:val="0466688F"/>
    <w:rsid w:val="0473446B"/>
    <w:rsid w:val="04854128"/>
    <w:rsid w:val="04A2327F"/>
    <w:rsid w:val="04A66CFB"/>
    <w:rsid w:val="04AB1EC7"/>
    <w:rsid w:val="04B50EB1"/>
    <w:rsid w:val="04B932DD"/>
    <w:rsid w:val="04C31F03"/>
    <w:rsid w:val="04DD5D12"/>
    <w:rsid w:val="04E85C80"/>
    <w:rsid w:val="04EA536B"/>
    <w:rsid w:val="04FB3169"/>
    <w:rsid w:val="05065C6F"/>
    <w:rsid w:val="05092FAB"/>
    <w:rsid w:val="05111952"/>
    <w:rsid w:val="051762EB"/>
    <w:rsid w:val="051C3591"/>
    <w:rsid w:val="051E244E"/>
    <w:rsid w:val="052D30F8"/>
    <w:rsid w:val="052D7267"/>
    <w:rsid w:val="05476AA0"/>
    <w:rsid w:val="054A1A7C"/>
    <w:rsid w:val="054A296D"/>
    <w:rsid w:val="054F6A7F"/>
    <w:rsid w:val="055C69EA"/>
    <w:rsid w:val="05633D80"/>
    <w:rsid w:val="056C3181"/>
    <w:rsid w:val="05721FF6"/>
    <w:rsid w:val="058B29BF"/>
    <w:rsid w:val="058D1570"/>
    <w:rsid w:val="058F5157"/>
    <w:rsid w:val="05C02764"/>
    <w:rsid w:val="05D9734C"/>
    <w:rsid w:val="05E638D1"/>
    <w:rsid w:val="05EA4BBF"/>
    <w:rsid w:val="05EC0902"/>
    <w:rsid w:val="05F01E78"/>
    <w:rsid w:val="06277B8D"/>
    <w:rsid w:val="06552EC7"/>
    <w:rsid w:val="06554664"/>
    <w:rsid w:val="0661744D"/>
    <w:rsid w:val="066C1A43"/>
    <w:rsid w:val="066F433A"/>
    <w:rsid w:val="067035D8"/>
    <w:rsid w:val="068B0F4C"/>
    <w:rsid w:val="06A85A15"/>
    <w:rsid w:val="06B651B6"/>
    <w:rsid w:val="06B81839"/>
    <w:rsid w:val="06BE0A8F"/>
    <w:rsid w:val="06C52B80"/>
    <w:rsid w:val="06CD525F"/>
    <w:rsid w:val="06E9015D"/>
    <w:rsid w:val="06F6447F"/>
    <w:rsid w:val="07142861"/>
    <w:rsid w:val="071464FC"/>
    <w:rsid w:val="071E704D"/>
    <w:rsid w:val="0726229A"/>
    <w:rsid w:val="07490D28"/>
    <w:rsid w:val="076E727B"/>
    <w:rsid w:val="077730AA"/>
    <w:rsid w:val="07815AB6"/>
    <w:rsid w:val="078C3831"/>
    <w:rsid w:val="079A613C"/>
    <w:rsid w:val="079C6D33"/>
    <w:rsid w:val="079D203B"/>
    <w:rsid w:val="07AC3217"/>
    <w:rsid w:val="07DD7299"/>
    <w:rsid w:val="07EA1A94"/>
    <w:rsid w:val="08053EFD"/>
    <w:rsid w:val="08062B4A"/>
    <w:rsid w:val="08110276"/>
    <w:rsid w:val="08125054"/>
    <w:rsid w:val="081A6E86"/>
    <w:rsid w:val="08203678"/>
    <w:rsid w:val="08320A23"/>
    <w:rsid w:val="083936C0"/>
    <w:rsid w:val="0848156D"/>
    <w:rsid w:val="08722EA5"/>
    <w:rsid w:val="0872621A"/>
    <w:rsid w:val="0878602C"/>
    <w:rsid w:val="087C4426"/>
    <w:rsid w:val="08872A6F"/>
    <w:rsid w:val="088B0F51"/>
    <w:rsid w:val="089376BB"/>
    <w:rsid w:val="089954DF"/>
    <w:rsid w:val="089D2BFA"/>
    <w:rsid w:val="08A261AA"/>
    <w:rsid w:val="08A6126A"/>
    <w:rsid w:val="08B40DB1"/>
    <w:rsid w:val="08C43471"/>
    <w:rsid w:val="08D12F2C"/>
    <w:rsid w:val="08D97F72"/>
    <w:rsid w:val="08E5377B"/>
    <w:rsid w:val="08EC5465"/>
    <w:rsid w:val="092865C4"/>
    <w:rsid w:val="0934719A"/>
    <w:rsid w:val="094A58B9"/>
    <w:rsid w:val="095B46A2"/>
    <w:rsid w:val="096661BA"/>
    <w:rsid w:val="0969226A"/>
    <w:rsid w:val="096949FC"/>
    <w:rsid w:val="09713FC0"/>
    <w:rsid w:val="09800473"/>
    <w:rsid w:val="09974B3C"/>
    <w:rsid w:val="09A841C2"/>
    <w:rsid w:val="09B61917"/>
    <w:rsid w:val="09BF1E8A"/>
    <w:rsid w:val="09D41DD9"/>
    <w:rsid w:val="09E6402C"/>
    <w:rsid w:val="09ED2E9B"/>
    <w:rsid w:val="09EF4469"/>
    <w:rsid w:val="09FC4824"/>
    <w:rsid w:val="0A0501E5"/>
    <w:rsid w:val="0A104E9E"/>
    <w:rsid w:val="0A152D7A"/>
    <w:rsid w:val="0A335ED5"/>
    <w:rsid w:val="0A3C6439"/>
    <w:rsid w:val="0A44720C"/>
    <w:rsid w:val="0A4A6843"/>
    <w:rsid w:val="0A5151D8"/>
    <w:rsid w:val="0A5805FE"/>
    <w:rsid w:val="0A5C4953"/>
    <w:rsid w:val="0A5C671C"/>
    <w:rsid w:val="0A774D36"/>
    <w:rsid w:val="0A905886"/>
    <w:rsid w:val="0AB26E31"/>
    <w:rsid w:val="0AC37052"/>
    <w:rsid w:val="0AE01D11"/>
    <w:rsid w:val="0AEA6A2B"/>
    <w:rsid w:val="0AED7D6C"/>
    <w:rsid w:val="0AFD0FF7"/>
    <w:rsid w:val="0B1A20D0"/>
    <w:rsid w:val="0B1A4C2F"/>
    <w:rsid w:val="0B1E2E6A"/>
    <w:rsid w:val="0B480134"/>
    <w:rsid w:val="0B602D4D"/>
    <w:rsid w:val="0B631D54"/>
    <w:rsid w:val="0B876D30"/>
    <w:rsid w:val="0BC419DA"/>
    <w:rsid w:val="0BC72B31"/>
    <w:rsid w:val="0BD12665"/>
    <w:rsid w:val="0C000A9E"/>
    <w:rsid w:val="0C0716BF"/>
    <w:rsid w:val="0C091991"/>
    <w:rsid w:val="0C50326D"/>
    <w:rsid w:val="0C52035E"/>
    <w:rsid w:val="0C5A14B0"/>
    <w:rsid w:val="0C5E7147"/>
    <w:rsid w:val="0C5F37F9"/>
    <w:rsid w:val="0C7313BD"/>
    <w:rsid w:val="0C772C0C"/>
    <w:rsid w:val="0C7D55A8"/>
    <w:rsid w:val="0C813A99"/>
    <w:rsid w:val="0C864621"/>
    <w:rsid w:val="0CA02FA1"/>
    <w:rsid w:val="0CC35813"/>
    <w:rsid w:val="0CC71781"/>
    <w:rsid w:val="0CD83DED"/>
    <w:rsid w:val="0CDA596F"/>
    <w:rsid w:val="0CDB4804"/>
    <w:rsid w:val="0CF15662"/>
    <w:rsid w:val="0CF81AA0"/>
    <w:rsid w:val="0CFF35C5"/>
    <w:rsid w:val="0D0F6A64"/>
    <w:rsid w:val="0D2730C3"/>
    <w:rsid w:val="0D277652"/>
    <w:rsid w:val="0D441024"/>
    <w:rsid w:val="0D4C03E5"/>
    <w:rsid w:val="0D547D88"/>
    <w:rsid w:val="0D591E95"/>
    <w:rsid w:val="0D697444"/>
    <w:rsid w:val="0D7E7A46"/>
    <w:rsid w:val="0D9C10D6"/>
    <w:rsid w:val="0D9D55D6"/>
    <w:rsid w:val="0DAE044F"/>
    <w:rsid w:val="0DB9450A"/>
    <w:rsid w:val="0DBF06AB"/>
    <w:rsid w:val="0DCD2DC7"/>
    <w:rsid w:val="0DD84401"/>
    <w:rsid w:val="0E0343C6"/>
    <w:rsid w:val="0E1104FD"/>
    <w:rsid w:val="0E197A9D"/>
    <w:rsid w:val="0E374471"/>
    <w:rsid w:val="0E7474B5"/>
    <w:rsid w:val="0E767BA5"/>
    <w:rsid w:val="0E8024A4"/>
    <w:rsid w:val="0E877DAD"/>
    <w:rsid w:val="0E95666F"/>
    <w:rsid w:val="0EA53C62"/>
    <w:rsid w:val="0EA96F5A"/>
    <w:rsid w:val="0EB1214C"/>
    <w:rsid w:val="0EB8287A"/>
    <w:rsid w:val="0EC64EB0"/>
    <w:rsid w:val="0ECF0DC1"/>
    <w:rsid w:val="0ED87C76"/>
    <w:rsid w:val="0EDB3047"/>
    <w:rsid w:val="0EED613D"/>
    <w:rsid w:val="0EF24CD4"/>
    <w:rsid w:val="0EF32D02"/>
    <w:rsid w:val="0F072309"/>
    <w:rsid w:val="0F0F366F"/>
    <w:rsid w:val="0F134CCE"/>
    <w:rsid w:val="0F216247"/>
    <w:rsid w:val="0F350758"/>
    <w:rsid w:val="0F512918"/>
    <w:rsid w:val="0F797515"/>
    <w:rsid w:val="0F837E14"/>
    <w:rsid w:val="0F9A41FC"/>
    <w:rsid w:val="0FAD31A7"/>
    <w:rsid w:val="0FB23975"/>
    <w:rsid w:val="0FB81E9B"/>
    <w:rsid w:val="0FC5414A"/>
    <w:rsid w:val="0FCF3084"/>
    <w:rsid w:val="0FEF33D0"/>
    <w:rsid w:val="0FF330A1"/>
    <w:rsid w:val="0FFB3284"/>
    <w:rsid w:val="10001761"/>
    <w:rsid w:val="10115DD7"/>
    <w:rsid w:val="101E5B5C"/>
    <w:rsid w:val="1032785A"/>
    <w:rsid w:val="1037061D"/>
    <w:rsid w:val="103E3AB5"/>
    <w:rsid w:val="10733E42"/>
    <w:rsid w:val="107C6981"/>
    <w:rsid w:val="1087332A"/>
    <w:rsid w:val="108D1558"/>
    <w:rsid w:val="1094752B"/>
    <w:rsid w:val="10A01ADF"/>
    <w:rsid w:val="10A827A3"/>
    <w:rsid w:val="10B34CB4"/>
    <w:rsid w:val="10B535D1"/>
    <w:rsid w:val="10D07C4F"/>
    <w:rsid w:val="10FF7241"/>
    <w:rsid w:val="110411F6"/>
    <w:rsid w:val="112D7533"/>
    <w:rsid w:val="1131366D"/>
    <w:rsid w:val="11630DAF"/>
    <w:rsid w:val="1168578E"/>
    <w:rsid w:val="118539B9"/>
    <w:rsid w:val="118A6210"/>
    <w:rsid w:val="11952271"/>
    <w:rsid w:val="119C4873"/>
    <w:rsid w:val="119F6616"/>
    <w:rsid w:val="11CA69A3"/>
    <w:rsid w:val="11DF7CCB"/>
    <w:rsid w:val="11FE08A0"/>
    <w:rsid w:val="120C76CC"/>
    <w:rsid w:val="121A0426"/>
    <w:rsid w:val="121B057C"/>
    <w:rsid w:val="122A1DAD"/>
    <w:rsid w:val="12312488"/>
    <w:rsid w:val="123B2BDE"/>
    <w:rsid w:val="124714B6"/>
    <w:rsid w:val="124928F9"/>
    <w:rsid w:val="12546DDF"/>
    <w:rsid w:val="1258556A"/>
    <w:rsid w:val="12653A22"/>
    <w:rsid w:val="126A60C3"/>
    <w:rsid w:val="126C407F"/>
    <w:rsid w:val="12706417"/>
    <w:rsid w:val="12745F08"/>
    <w:rsid w:val="12972F3E"/>
    <w:rsid w:val="12A85DF8"/>
    <w:rsid w:val="12B5405D"/>
    <w:rsid w:val="12D40590"/>
    <w:rsid w:val="12E61A24"/>
    <w:rsid w:val="12E76687"/>
    <w:rsid w:val="130B7EEE"/>
    <w:rsid w:val="13147C24"/>
    <w:rsid w:val="13170F02"/>
    <w:rsid w:val="131B6620"/>
    <w:rsid w:val="13250652"/>
    <w:rsid w:val="13313575"/>
    <w:rsid w:val="13347592"/>
    <w:rsid w:val="13511DA5"/>
    <w:rsid w:val="13533D6F"/>
    <w:rsid w:val="1379745A"/>
    <w:rsid w:val="137E50ED"/>
    <w:rsid w:val="138F5527"/>
    <w:rsid w:val="139E5948"/>
    <w:rsid w:val="13AB0F44"/>
    <w:rsid w:val="13AB179E"/>
    <w:rsid w:val="13AE3D77"/>
    <w:rsid w:val="13C133CE"/>
    <w:rsid w:val="13C32D67"/>
    <w:rsid w:val="13D83F4A"/>
    <w:rsid w:val="13D84274"/>
    <w:rsid w:val="13DE4457"/>
    <w:rsid w:val="13E175CD"/>
    <w:rsid w:val="13ED5D50"/>
    <w:rsid w:val="13EE414B"/>
    <w:rsid w:val="13F071B2"/>
    <w:rsid w:val="13FA0C91"/>
    <w:rsid w:val="14033DD2"/>
    <w:rsid w:val="140F2D98"/>
    <w:rsid w:val="141D612B"/>
    <w:rsid w:val="14257F26"/>
    <w:rsid w:val="144F2C25"/>
    <w:rsid w:val="145E6E6F"/>
    <w:rsid w:val="146A26EA"/>
    <w:rsid w:val="14724FAA"/>
    <w:rsid w:val="14A3596D"/>
    <w:rsid w:val="14A44CEC"/>
    <w:rsid w:val="14D47131"/>
    <w:rsid w:val="14EE6617"/>
    <w:rsid w:val="14F3116A"/>
    <w:rsid w:val="14F53D8D"/>
    <w:rsid w:val="14F66F10"/>
    <w:rsid w:val="150762C3"/>
    <w:rsid w:val="15282F06"/>
    <w:rsid w:val="152D3A0E"/>
    <w:rsid w:val="154B2870"/>
    <w:rsid w:val="1553598B"/>
    <w:rsid w:val="15673688"/>
    <w:rsid w:val="156A0D83"/>
    <w:rsid w:val="156F0CA4"/>
    <w:rsid w:val="15747FCD"/>
    <w:rsid w:val="15767B32"/>
    <w:rsid w:val="15781B27"/>
    <w:rsid w:val="157A327C"/>
    <w:rsid w:val="157C51F5"/>
    <w:rsid w:val="15821C7F"/>
    <w:rsid w:val="1585667E"/>
    <w:rsid w:val="15961781"/>
    <w:rsid w:val="159B223A"/>
    <w:rsid w:val="15B406CD"/>
    <w:rsid w:val="15B85BF3"/>
    <w:rsid w:val="15BA6504"/>
    <w:rsid w:val="15C745A0"/>
    <w:rsid w:val="15CA22E2"/>
    <w:rsid w:val="15DC559B"/>
    <w:rsid w:val="15F261A6"/>
    <w:rsid w:val="15F501C0"/>
    <w:rsid w:val="15F5735F"/>
    <w:rsid w:val="16104102"/>
    <w:rsid w:val="16286A23"/>
    <w:rsid w:val="162C03E4"/>
    <w:rsid w:val="16357F26"/>
    <w:rsid w:val="163800C9"/>
    <w:rsid w:val="16467D07"/>
    <w:rsid w:val="1662772A"/>
    <w:rsid w:val="166E3FF9"/>
    <w:rsid w:val="167F30CD"/>
    <w:rsid w:val="1682754F"/>
    <w:rsid w:val="168D6D32"/>
    <w:rsid w:val="16961396"/>
    <w:rsid w:val="16A03D9D"/>
    <w:rsid w:val="16B11417"/>
    <w:rsid w:val="16B20DAC"/>
    <w:rsid w:val="16E00F08"/>
    <w:rsid w:val="16EF4171"/>
    <w:rsid w:val="17074409"/>
    <w:rsid w:val="17216C63"/>
    <w:rsid w:val="17226E89"/>
    <w:rsid w:val="1734780A"/>
    <w:rsid w:val="174755BB"/>
    <w:rsid w:val="174B610B"/>
    <w:rsid w:val="1759391E"/>
    <w:rsid w:val="175B34DB"/>
    <w:rsid w:val="179367D9"/>
    <w:rsid w:val="179700E4"/>
    <w:rsid w:val="17CC0594"/>
    <w:rsid w:val="17CF450B"/>
    <w:rsid w:val="17DB66EF"/>
    <w:rsid w:val="17DE1AAC"/>
    <w:rsid w:val="17E31467"/>
    <w:rsid w:val="17EE62A7"/>
    <w:rsid w:val="17EF1281"/>
    <w:rsid w:val="17EF6EF0"/>
    <w:rsid w:val="17F67569"/>
    <w:rsid w:val="17F841EE"/>
    <w:rsid w:val="18185C8A"/>
    <w:rsid w:val="18282AE9"/>
    <w:rsid w:val="182D03A5"/>
    <w:rsid w:val="182F1DCD"/>
    <w:rsid w:val="18334389"/>
    <w:rsid w:val="18392316"/>
    <w:rsid w:val="1844637C"/>
    <w:rsid w:val="18467D3F"/>
    <w:rsid w:val="184C177B"/>
    <w:rsid w:val="186373E7"/>
    <w:rsid w:val="186B3A8D"/>
    <w:rsid w:val="18712AE0"/>
    <w:rsid w:val="18724487"/>
    <w:rsid w:val="187F1BF8"/>
    <w:rsid w:val="18807FB3"/>
    <w:rsid w:val="18850BC0"/>
    <w:rsid w:val="188C3C8D"/>
    <w:rsid w:val="189A5F9C"/>
    <w:rsid w:val="18A160ED"/>
    <w:rsid w:val="18A26283"/>
    <w:rsid w:val="18A56233"/>
    <w:rsid w:val="18A9095C"/>
    <w:rsid w:val="18CE0C51"/>
    <w:rsid w:val="18D54326"/>
    <w:rsid w:val="18E616B6"/>
    <w:rsid w:val="18EA3C7E"/>
    <w:rsid w:val="18F4030C"/>
    <w:rsid w:val="18F97167"/>
    <w:rsid w:val="19123950"/>
    <w:rsid w:val="19206CE1"/>
    <w:rsid w:val="192A04EA"/>
    <w:rsid w:val="193957B5"/>
    <w:rsid w:val="193D0318"/>
    <w:rsid w:val="194E6928"/>
    <w:rsid w:val="19520625"/>
    <w:rsid w:val="195D31A5"/>
    <w:rsid w:val="19743020"/>
    <w:rsid w:val="197B44BD"/>
    <w:rsid w:val="199C7AF2"/>
    <w:rsid w:val="19BB45FB"/>
    <w:rsid w:val="19CF6A35"/>
    <w:rsid w:val="19D13DEF"/>
    <w:rsid w:val="19D63004"/>
    <w:rsid w:val="19F02457"/>
    <w:rsid w:val="19F16090"/>
    <w:rsid w:val="19F33BB6"/>
    <w:rsid w:val="19FC00DE"/>
    <w:rsid w:val="1A06744C"/>
    <w:rsid w:val="1A131FB4"/>
    <w:rsid w:val="1A1E3766"/>
    <w:rsid w:val="1A284A8B"/>
    <w:rsid w:val="1A4F2D4D"/>
    <w:rsid w:val="1A566BE0"/>
    <w:rsid w:val="1A597A4F"/>
    <w:rsid w:val="1A6028A0"/>
    <w:rsid w:val="1A6C52B9"/>
    <w:rsid w:val="1A705206"/>
    <w:rsid w:val="1A98475D"/>
    <w:rsid w:val="1AAC43A1"/>
    <w:rsid w:val="1AC146BD"/>
    <w:rsid w:val="1AD956D6"/>
    <w:rsid w:val="1AE134F4"/>
    <w:rsid w:val="1AF22982"/>
    <w:rsid w:val="1B262667"/>
    <w:rsid w:val="1B813443"/>
    <w:rsid w:val="1B853028"/>
    <w:rsid w:val="1B863114"/>
    <w:rsid w:val="1B8F02AB"/>
    <w:rsid w:val="1B976288"/>
    <w:rsid w:val="1B996AB5"/>
    <w:rsid w:val="1B9C1C3C"/>
    <w:rsid w:val="1BA14B49"/>
    <w:rsid w:val="1BA15893"/>
    <w:rsid w:val="1BBC065F"/>
    <w:rsid w:val="1BCC521B"/>
    <w:rsid w:val="1BCE6CE1"/>
    <w:rsid w:val="1BDD0CF0"/>
    <w:rsid w:val="1BDD344A"/>
    <w:rsid w:val="1BDF1392"/>
    <w:rsid w:val="1BE00FF8"/>
    <w:rsid w:val="1BF34458"/>
    <w:rsid w:val="1BF370D2"/>
    <w:rsid w:val="1BFB5471"/>
    <w:rsid w:val="1C190814"/>
    <w:rsid w:val="1C205746"/>
    <w:rsid w:val="1C305032"/>
    <w:rsid w:val="1C4E4299"/>
    <w:rsid w:val="1C4E5A1B"/>
    <w:rsid w:val="1C5B3FD2"/>
    <w:rsid w:val="1C5D3EA5"/>
    <w:rsid w:val="1C6D307A"/>
    <w:rsid w:val="1C705992"/>
    <w:rsid w:val="1C8925AF"/>
    <w:rsid w:val="1C9C5640"/>
    <w:rsid w:val="1CA5659C"/>
    <w:rsid w:val="1CAA70BF"/>
    <w:rsid w:val="1CAA721C"/>
    <w:rsid w:val="1CB05CE8"/>
    <w:rsid w:val="1CC04B5D"/>
    <w:rsid w:val="1CC715E3"/>
    <w:rsid w:val="1CCF348E"/>
    <w:rsid w:val="1CDA78FB"/>
    <w:rsid w:val="1CDD6D9F"/>
    <w:rsid w:val="1CE4012E"/>
    <w:rsid w:val="1CE419C9"/>
    <w:rsid w:val="1CFF7868"/>
    <w:rsid w:val="1D023ADB"/>
    <w:rsid w:val="1D1D324B"/>
    <w:rsid w:val="1D1E044A"/>
    <w:rsid w:val="1D321938"/>
    <w:rsid w:val="1D384FE2"/>
    <w:rsid w:val="1D3A5FA0"/>
    <w:rsid w:val="1D44297A"/>
    <w:rsid w:val="1D5379F1"/>
    <w:rsid w:val="1D556936"/>
    <w:rsid w:val="1D5D57EA"/>
    <w:rsid w:val="1D64114E"/>
    <w:rsid w:val="1D651089"/>
    <w:rsid w:val="1D6A21E0"/>
    <w:rsid w:val="1D6A2CA4"/>
    <w:rsid w:val="1D7810D6"/>
    <w:rsid w:val="1D903E12"/>
    <w:rsid w:val="1DC2393D"/>
    <w:rsid w:val="1DCA0A85"/>
    <w:rsid w:val="1DE5454A"/>
    <w:rsid w:val="1E2404F5"/>
    <w:rsid w:val="1E4F5A7B"/>
    <w:rsid w:val="1E6432D4"/>
    <w:rsid w:val="1E6D251A"/>
    <w:rsid w:val="1E6D60B2"/>
    <w:rsid w:val="1E7B6E4A"/>
    <w:rsid w:val="1E9263A1"/>
    <w:rsid w:val="1E970EA5"/>
    <w:rsid w:val="1EA03906"/>
    <w:rsid w:val="1EA71AA9"/>
    <w:rsid w:val="1EAB32AE"/>
    <w:rsid w:val="1EB267AD"/>
    <w:rsid w:val="1EDC1EFC"/>
    <w:rsid w:val="1EE07027"/>
    <w:rsid w:val="1F035B57"/>
    <w:rsid w:val="1F135883"/>
    <w:rsid w:val="1F245255"/>
    <w:rsid w:val="1F2F1C7B"/>
    <w:rsid w:val="1F3A1691"/>
    <w:rsid w:val="1F416BF7"/>
    <w:rsid w:val="1F526B6B"/>
    <w:rsid w:val="1F5D1588"/>
    <w:rsid w:val="1F662024"/>
    <w:rsid w:val="1F930AD2"/>
    <w:rsid w:val="1FA140B4"/>
    <w:rsid w:val="1FA73FFF"/>
    <w:rsid w:val="1FAC34B0"/>
    <w:rsid w:val="1FAC7D66"/>
    <w:rsid w:val="1FAF4A23"/>
    <w:rsid w:val="1FE23785"/>
    <w:rsid w:val="200F4B1A"/>
    <w:rsid w:val="201F6F46"/>
    <w:rsid w:val="202023F7"/>
    <w:rsid w:val="20236881"/>
    <w:rsid w:val="204230BC"/>
    <w:rsid w:val="204A3EE8"/>
    <w:rsid w:val="204C04C4"/>
    <w:rsid w:val="20657245"/>
    <w:rsid w:val="206815A5"/>
    <w:rsid w:val="207D242B"/>
    <w:rsid w:val="208665C1"/>
    <w:rsid w:val="208C66F2"/>
    <w:rsid w:val="20A07428"/>
    <w:rsid w:val="20D3703E"/>
    <w:rsid w:val="20D864B4"/>
    <w:rsid w:val="20E7468A"/>
    <w:rsid w:val="20EB1A8B"/>
    <w:rsid w:val="20F52909"/>
    <w:rsid w:val="21042B40"/>
    <w:rsid w:val="21226E3D"/>
    <w:rsid w:val="21235867"/>
    <w:rsid w:val="2131174C"/>
    <w:rsid w:val="21345EF1"/>
    <w:rsid w:val="215370E2"/>
    <w:rsid w:val="2165050E"/>
    <w:rsid w:val="217324D3"/>
    <w:rsid w:val="217C2F96"/>
    <w:rsid w:val="21935BAC"/>
    <w:rsid w:val="21965474"/>
    <w:rsid w:val="21A0659D"/>
    <w:rsid w:val="21BD5BC0"/>
    <w:rsid w:val="21C97B19"/>
    <w:rsid w:val="21CD6877"/>
    <w:rsid w:val="21DB0AE1"/>
    <w:rsid w:val="221C384E"/>
    <w:rsid w:val="22230C19"/>
    <w:rsid w:val="224376A4"/>
    <w:rsid w:val="2250303F"/>
    <w:rsid w:val="2288699E"/>
    <w:rsid w:val="228B192B"/>
    <w:rsid w:val="22A872F6"/>
    <w:rsid w:val="22A94DD3"/>
    <w:rsid w:val="22AF614A"/>
    <w:rsid w:val="22BC2786"/>
    <w:rsid w:val="22C21270"/>
    <w:rsid w:val="22F32E79"/>
    <w:rsid w:val="22F917A3"/>
    <w:rsid w:val="22FC7A9A"/>
    <w:rsid w:val="2321502D"/>
    <w:rsid w:val="23282941"/>
    <w:rsid w:val="23296A3A"/>
    <w:rsid w:val="23475F70"/>
    <w:rsid w:val="236C4F9C"/>
    <w:rsid w:val="23775858"/>
    <w:rsid w:val="23864E25"/>
    <w:rsid w:val="238D5BF4"/>
    <w:rsid w:val="23A578DC"/>
    <w:rsid w:val="23AC4F61"/>
    <w:rsid w:val="23B32608"/>
    <w:rsid w:val="23B46070"/>
    <w:rsid w:val="23C52CA5"/>
    <w:rsid w:val="24063240"/>
    <w:rsid w:val="241364D7"/>
    <w:rsid w:val="241E2177"/>
    <w:rsid w:val="242157C3"/>
    <w:rsid w:val="24247EA2"/>
    <w:rsid w:val="242C2995"/>
    <w:rsid w:val="243A2EF4"/>
    <w:rsid w:val="244701E6"/>
    <w:rsid w:val="244A2FC1"/>
    <w:rsid w:val="244A440B"/>
    <w:rsid w:val="244A4D1A"/>
    <w:rsid w:val="245C5FE8"/>
    <w:rsid w:val="2489082C"/>
    <w:rsid w:val="248B77AF"/>
    <w:rsid w:val="248F28CF"/>
    <w:rsid w:val="24A8119C"/>
    <w:rsid w:val="24B07945"/>
    <w:rsid w:val="24B1643E"/>
    <w:rsid w:val="24BD0CA7"/>
    <w:rsid w:val="24C73AA1"/>
    <w:rsid w:val="24CA49CD"/>
    <w:rsid w:val="24CD0B0D"/>
    <w:rsid w:val="24D31C46"/>
    <w:rsid w:val="24D96809"/>
    <w:rsid w:val="24E104AA"/>
    <w:rsid w:val="24ED2448"/>
    <w:rsid w:val="24F93FF3"/>
    <w:rsid w:val="254A15C7"/>
    <w:rsid w:val="25501288"/>
    <w:rsid w:val="25785971"/>
    <w:rsid w:val="257A506D"/>
    <w:rsid w:val="257B660C"/>
    <w:rsid w:val="258014C9"/>
    <w:rsid w:val="25867D5B"/>
    <w:rsid w:val="25886807"/>
    <w:rsid w:val="25903F70"/>
    <w:rsid w:val="25C820DE"/>
    <w:rsid w:val="25CB36F9"/>
    <w:rsid w:val="25DB7CB8"/>
    <w:rsid w:val="25FF7D86"/>
    <w:rsid w:val="26025181"/>
    <w:rsid w:val="260569DF"/>
    <w:rsid w:val="260571E5"/>
    <w:rsid w:val="260A3C16"/>
    <w:rsid w:val="26140958"/>
    <w:rsid w:val="26216CAA"/>
    <w:rsid w:val="2652435A"/>
    <w:rsid w:val="26534C4C"/>
    <w:rsid w:val="26551754"/>
    <w:rsid w:val="266149CA"/>
    <w:rsid w:val="266B3CBC"/>
    <w:rsid w:val="266D785C"/>
    <w:rsid w:val="26727273"/>
    <w:rsid w:val="26802C75"/>
    <w:rsid w:val="26827E17"/>
    <w:rsid w:val="26914755"/>
    <w:rsid w:val="26992F49"/>
    <w:rsid w:val="26A5448A"/>
    <w:rsid w:val="26A96190"/>
    <w:rsid w:val="26AD5E06"/>
    <w:rsid w:val="26C071F2"/>
    <w:rsid w:val="26C377F3"/>
    <w:rsid w:val="26C56D34"/>
    <w:rsid w:val="26F27042"/>
    <w:rsid w:val="26FD5049"/>
    <w:rsid w:val="2701118A"/>
    <w:rsid w:val="27033146"/>
    <w:rsid w:val="27336795"/>
    <w:rsid w:val="27340060"/>
    <w:rsid w:val="27376C5A"/>
    <w:rsid w:val="273D230F"/>
    <w:rsid w:val="273E38EE"/>
    <w:rsid w:val="27402404"/>
    <w:rsid w:val="274C78EA"/>
    <w:rsid w:val="27543827"/>
    <w:rsid w:val="277474B4"/>
    <w:rsid w:val="2779419F"/>
    <w:rsid w:val="277B410E"/>
    <w:rsid w:val="279004D9"/>
    <w:rsid w:val="27992B54"/>
    <w:rsid w:val="279A5D8C"/>
    <w:rsid w:val="27AC5069"/>
    <w:rsid w:val="27B15CC8"/>
    <w:rsid w:val="27C26894"/>
    <w:rsid w:val="27D54A4B"/>
    <w:rsid w:val="27EC2A9F"/>
    <w:rsid w:val="27EE1E60"/>
    <w:rsid w:val="27F5137F"/>
    <w:rsid w:val="280451E0"/>
    <w:rsid w:val="280871F0"/>
    <w:rsid w:val="28111961"/>
    <w:rsid w:val="281B2B62"/>
    <w:rsid w:val="281B7B3D"/>
    <w:rsid w:val="282835C4"/>
    <w:rsid w:val="28373807"/>
    <w:rsid w:val="284205CD"/>
    <w:rsid w:val="285D6E19"/>
    <w:rsid w:val="28604B36"/>
    <w:rsid w:val="286D2403"/>
    <w:rsid w:val="286E0934"/>
    <w:rsid w:val="28707081"/>
    <w:rsid w:val="288020AF"/>
    <w:rsid w:val="28805747"/>
    <w:rsid w:val="288954B3"/>
    <w:rsid w:val="288E001C"/>
    <w:rsid w:val="28A27AE2"/>
    <w:rsid w:val="28BB0BA3"/>
    <w:rsid w:val="28EE2D47"/>
    <w:rsid w:val="28F77393"/>
    <w:rsid w:val="2917144F"/>
    <w:rsid w:val="29183CAB"/>
    <w:rsid w:val="29283150"/>
    <w:rsid w:val="29534614"/>
    <w:rsid w:val="295865A8"/>
    <w:rsid w:val="29634188"/>
    <w:rsid w:val="29637000"/>
    <w:rsid w:val="29727071"/>
    <w:rsid w:val="29916C1B"/>
    <w:rsid w:val="29B73BA1"/>
    <w:rsid w:val="29BA67E3"/>
    <w:rsid w:val="29EA4B44"/>
    <w:rsid w:val="29F50BD9"/>
    <w:rsid w:val="29F83596"/>
    <w:rsid w:val="2A15025F"/>
    <w:rsid w:val="2A1515C6"/>
    <w:rsid w:val="2A465F84"/>
    <w:rsid w:val="2A57420F"/>
    <w:rsid w:val="2A694CCE"/>
    <w:rsid w:val="2A7004E9"/>
    <w:rsid w:val="2A771722"/>
    <w:rsid w:val="2A821294"/>
    <w:rsid w:val="2A94279E"/>
    <w:rsid w:val="2A9E2D79"/>
    <w:rsid w:val="2ABE203E"/>
    <w:rsid w:val="2AC85DA4"/>
    <w:rsid w:val="2ADB491E"/>
    <w:rsid w:val="2B0022FD"/>
    <w:rsid w:val="2B1C6141"/>
    <w:rsid w:val="2B2329E8"/>
    <w:rsid w:val="2B27386A"/>
    <w:rsid w:val="2B315846"/>
    <w:rsid w:val="2B345C9C"/>
    <w:rsid w:val="2B372E62"/>
    <w:rsid w:val="2B5854BF"/>
    <w:rsid w:val="2B5B5851"/>
    <w:rsid w:val="2B5F7BE7"/>
    <w:rsid w:val="2B627336"/>
    <w:rsid w:val="2B744A61"/>
    <w:rsid w:val="2B87497C"/>
    <w:rsid w:val="2B8D62E3"/>
    <w:rsid w:val="2B932EC4"/>
    <w:rsid w:val="2B9859C1"/>
    <w:rsid w:val="2BCA4992"/>
    <w:rsid w:val="2BEE68D3"/>
    <w:rsid w:val="2BF25DE4"/>
    <w:rsid w:val="2BF37A45"/>
    <w:rsid w:val="2BF47D02"/>
    <w:rsid w:val="2C206CAE"/>
    <w:rsid w:val="2C4338DF"/>
    <w:rsid w:val="2C445DE2"/>
    <w:rsid w:val="2C4C4499"/>
    <w:rsid w:val="2C6B5435"/>
    <w:rsid w:val="2C6D5A4A"/>
    <w:rsid w:val="2C7C15D3"/>
    <w:rsid w:val="2C961D95"/>
    <w:rsid w:val="2C9C00DD"/>
    <w:rsid w:val="2CB25B52"/>
    <w:rsid w:val="2CB25D79"/>
    <w:rsid w:val="2CB71316"/>
    <w:rsid w:val="2CB731FA"/>
    <w:rsid w:val="2CCD64E8"/>
    <w:rsid w:val="2CCE29CF"/>
    <w:rsid w:val="2CD0169D"/>
    <w:rsid w:val="2CF512F3"/>
    <w:rsid w:val="2CF55A3F"/>
    <w:rsid w:val="2D095047"/>
    <w:rsid w:val="2D1149B2"/>
    <w:rsid w:val="2D1A79E2"/>
    <w:rsid w:val="2D2119EE"/>
    <w:rsid w:val="2D2F7FFF"/>
    <w:rsid w:val="2D327F88"/>
    <w:rsid w:val="2D3378B9"/>
    <w:rsid w:val="2D5432E0"/>
    <w:rsid w:val="2D650DBB"/>
    <w:rsid w:val="2D663A76"/>
    <w:rsid w:val="2D67011C"/>
    <w:rsid w:val="2D7317D2"/>
    <w:rsid w:val="2D753BE3"/>
    <w:rsid w:val="2D822FED"/>
    <w:rsid w:val="2D892A88"/>
    <w:rsid w:val="2D8B5DE2"/>
    <w:rsid w:val="2D8D21DF"/>
    <w:rsid w:val="2DAA75E9"/>
    <w:rsid w:val="2DAB1B27"/>
    <w:rsid w:val="2DB07108"/>
    <w:rsid w:val="2DB25C5B"/>
    <w:rsid w:val="2DB43204"/>
    <w:rsid w:val="2DB64413"/>
    <w:rsid w:val="2DCE3661"/>
    <w:rsid w:val="2DD80B22"/>
    <w:rsid w:val="2DEC5D58"/>
    <w:rsid w:val="2DED3581"/>
    <w:rsid w:val="2E042D30"/>
    <w:rsid w:val="2E0B4045"/>
    <w:rsid w:val="2E0E500A"/>
    <w:rsid w:val="2E0E79BA"/>
    <w:rsid w:val="2E157F00"/>
    <w:rsid w:val="2E16672E"/>
    <w:rsid w:val="2E1E2880"/>
    <w:rsid w:val="2E24336C"/>
    <w:rsid w:val="2E271C28"/>
    <w:rsid w:val="2E3D4C24"/>
    <w:rsid w:val="2E5D73CF"/>
    <w:rsid w:val="2E647B9A"/>
    <w:rsid w:val="2E870919"/>
    <w:rsid w:val="2E894691"/>
    <w:rsid w:val="2EA116ED"/>
    <w:rsid w:val="2EA25753"/>
    <w:rsid w:val="2EAE7CAE"/>
    <w:rsid w:val="2ECC47CE"/>
    <w:rsid w:val="2EE63891"/>
    <w:rsid w:val="2EED3B2F"/>
    <w:rsid w:val="2EF63B77"/>
    <w:rsid w:val="2EF868EE"/>
    <w:rsid w:val="2EFA3C8C"/>
    <w:rsid w:val="2EFB0718"/>
    <w:rsid w:val="2F0A33B4"/>
    <w:rsid w:val="2F0A3A24"/>
    <w:rsid w:val="2F1D7F01"/>
    <w:rsid w:val="2F4C5F7E"/>
    <w:rsid w:val="2F5E3531"/>
    <w:rsid w:val="2F601D5F"/>
    <w:rsid w:val="2F685B5E"/>
    <w:rsid w:val="2FA21EAE"/>
    <w:rsid w:val="2FAB1AF2"/>
    <w:rsid w:val="2FB00615"/>
    <w:rsid w:val="2FB60C2B"/>
    <w:rsid w:val="2FCC10DF"/>
    <w:rsid w:val="2FD65AF7"/>
    <w:rsid w:val="2FF6354A"/>
    <w:rsid w:val="301C32EE"/>
    <w:rsid w:val="30204528"/>
    <w:rsid w:val="30316C11"/>
    <w:rsid w:val="303B19BB"/>
    <w:rsid w:val="304A70EF"/>
    <w:rsid w:val="304D5589"/>
    <w:rsid w:val="30520140"/>
    <w:rsid w:val="3055473D"/>
    <w:rsid w:val="306E485B"/>
    <w:rsid w:val="30782B8D"/>
    <w:rsid w:val="307E4BC8"/>
    <w:rsid w:val="3088716F"/>
    <w:rsid w:val="308B7D56"/>
    <w:rsid w:val="3095731D"/>
    <w:rsid w:val="30B76860"/>
    <w:rsid w:val="30BC0D4E"/>
    <w:rsid w:val="30CF13DD"/>
    <w:rsid w:val="30D223C6"/>
    <w:rsid w:val="30EF55D4"/>
    <w:rsid w:val="311E1C1A"/>
    <w:rsid w:val="312C3607"/>
    <w:rsid w:val="314B4EB3"/>
    <w:rsid w:val="316D1109"/>
    <w:rsid w:val="31704316"/>
    <w:rsid w:val="317163EE"/>
    <w:rsid w:val="31771014"/>
    <w:rsid w:val="31853DA4"/>
    <w:rsid w:val="3189543A"/>
    <w:rsid w:val="319040EC"/>
    <w:rsid w:val="319A1CD0"/>
    <w:rsid w:val="31B13D75"/>
    <w:rsid w:val="31B23F96"/>
    <w:rsid w:val="31BE4652"/>
    <w:rsid w:val="31CA696E"/>
    <w:rsid w:val="31CD0D39"/>
    <w:rsid w:val="31D156CA"/>
    <w:rsid w:val="31DD7616"/>
    <w:rsid w:val="31E13CEA"/>
    <w:rsid w:val="320C7B09"/>
    <w:rsid w:val="321E627C"/>
    <w:rsid w:val="32314E56"/>
    <w:rsid w:val="32560D2E"/>
    <w:rsid w:val="325B4596"/>
    <w:rsid w:val="325D691A"/>
    <w:rsid w:val="32694104"/>
    <w:rsid w:val="326B3608"/>
    <w:rsid w:val="326F3543"/>
    <w:rsid w:val="3281224F"/>
    <w:rsid w:val="328D7DD9"/>
    <w:rsid w:val="328F5FEE"/>
    <w:rsid w:val="32AB3B45"/>
    <w:rsid w:val="32C22CE5"/>
    <w:rsid w:val="32C953FB"/>
    <w:rsid w:val="32D83570"/>
    <w:rsid w:val="32F26A71"/>
    <w:rsid w:val="32F37EFD"/>
    <w:rsid w:val="32F97276"/>
    <w:rsid w:val="32FC74A7"/>
    <w:rsid w:val="32FD0B73"/>
    <w:rsid w:val="32FD7DAC"/>
    <w:rsid w:val="33031753"/>
    <w:rsid w:val="33175478"/>
    <w:rsid w:val="3340561C"/>
    <w:rsid w:val="33433DB0"/>
    <w:rsid w:val="3353526D"/>
    <w:rsid w:val="33542B8B"/>
    <w:rsid w:val="33605869"/>
    <w:rsid w:val="33795EC8"/>
    <w:rsid w:val="337C0132"/>
    <w:rsid w:val="33831A06"/>
    <w:rsid w:val="3386256A"/>
    <w:rsid w:val="33A855B9"/>
    <w:rsid w:val="33AA32F4"/>
    <w:rsid w:val="33B71CA0"/>
    <w:rsid w:val="33C81979"/>
    <w:rsid w:val="33CB74FA"/>
    <w:rsid w:val="33CF3F73"/>
    <w:rsid w:val="33D22AE6"/>
    <w:rsid w:val="33E25711"/>
    <w:rsid w:val="33EA7980"/>
    <w:rsid w:val="33EF2BA7"/>
    <w:rsid w:val="33F16F60"/>
    <w:rsid w:val="33F60CD4"/>
    <w:rsid w:val="33FA0882"/>
    <w:rsid w:val="33FB1BDC"/>
    <w:rsid w:val="340847C1"/>
    <w:rsid w:val="34192103"/>
    <w:rsid w:val="34366CFC"/>
    <w:rsid w:val="343D7FA9"/>
    <w:rsid w:val="34415C33"/>
    <w:rsid w:val="34432BC6"/>
    <w:rsid w:val="344E4DDB"/>
    <w:rsid w:val="3458076F"/>
    <w:rsid w:val="345A2D11"/>
    <w:rsid w:val="345D10BC"/>
    <w:rsid w:val="346062B6"/>
    <w:rsid w:val="34AA5361"/>
    <w:rsid w:val="34AB56E0"/>
    <w:rsid w:val="34B34D4E"/>
    <w:rsid w:val="34B7513D"/>
    <w:rsid w:val="34B75D0C"/>
    <w:rsid w:val="34BD6ADA"/>
    <w:rsid w:val="34CA494D"/>
    <w:rsid w:val="34CC486F"/>
    <w:rsid w:val="34E33962"/>
    <w:rsid w:val="34E6679B"/>
    <w:rsid w:val="34E86EC5"/>
    <w:rsid w:val="34EC6215"/>
    <w:rsid w:val="35072852"/>
    <w:rsid w:val="350A44D8"/>
    <w:rsid w:val="350E5F27"/>
    <w:rsid w:val="35140D72"/>
    <w:rsid w:val="35164E77"/>
    <w:rsid w:val="351A592A"/>
    <w:rsid w:val="35367D3B"/>
    <w:rsid w:val="35407DCD"/>
    <w:rsid w:val="355552CD"/>
    <w:rsid w:val="357A031E"/>
    <w:rsid w:val="358766C4"/>
    <w:rsid w:val="35926B91"/>
    <w:rsid w:val="35A40D5E"/>
    <w:rsid w:val="35AA37F8"/>
    <w:rsid w:val="35B62ADC"/>
    <w:rsid w:val="35B70130"/>
    <w:rsid w:val="35CC2728"/>
    <w:rsid w:val="35FE7E71"/>
    <w:rsid w:val="360B0081"/>
    <w:rsid w:val="360E51F2"/>
    <w:rsid w:val="361431B3"/>
    <w:rsid w:val="36230BEA"/>
    <w:rsid w:val="363269B9"/>
    <w:rsid w:val="363A480D"/>
    <w:rsid w:val="365C3AC2"/>
    <w:rsid w:val="365F0898"/>
    <w:rsid w:val="366D0431"/>
    <w:rsid w:val="36A116D4"/>
    <w:rsid w:val="36AA7C28"/>
    <w:rsid w:val="36B87DC9"/>
    <w:rsid w:val="36F82414"/>
    <w:rsid w:val="371D6F9A"/>
    <w:rsid w:val="371E7EC5"/>
    <w:rsid w:val="372A625A"/>
    <w:rsid w:val="37460808"/>
    <w:rsid w:val="374E7FC5"/>
    <w:rsid w:val="376C5D44"/>
    <w:rsid w:val="379A3C3C"/>
    <w:rsid w:val="379B1C19"/>
    <w:rsid w:val="37A22CB9"/>
    <w:rsid w:val="37A53B92"/>
    <w:rsid w:val="37D40785"/>
    <w:rsid w:val="37D41491"/>
    <w:rsid w:val="37D4658F"/>
    <w:rsid w:val="37D70E6B"/>
    <w:rsid w:val="37EE5F70"/>
    <w:rsid w:val="37F16D90"/>
    <w:rsid w:val="37F7266B"/>
    <w:rsid w:val="38012EF7"/>
    <w:rsid w:val="38046D23"/>
    <w:rsid w:val="381F6789"/>
    <w:rsid w:val="38300FDF"/>
    <w:rsid w:val="38316130"/>
    <w:rsid w:val="38383CED"/>
    <w:rsid w:val="383B424A"/>
    <w:rsid w:val="38411EDB"/>
    <w:rsid w:val="38617CC8"/>
    <w:rsid w:val="388333F7"/>
    <w:rsid w:val="388B6912"/>
    <w:rsid w:val="388B7525"/>
    <w:rsid w:val="388D0775"/>
    <w:rsid w:val="38AD3074"/>
    <w:rsid w:val="38BA2FB1"/>
    <w:rsid w:val="38C944C2"/>
    <w:rsid w:val="38DE0A0E"/>
    <w:rsid w:val="38DE51F4"/>
    <w:rsid w:val="38FC47BB"/>
    <w:rsid w:val="39040657"/>
    <w:rsid w:val="39083348"/>
    <w:rsid w:val="391D1835"/>
    <w:rsid w:val="393011DF"/>
    <w:rsid w:val="393F6939"/>
    <w:rsid w:val="39531681"/>
    <w:rsid w:val="395773D7"/>
    <w:rsid w:val="395776C2"/>
    <w:rsid w:val="395A2432"/>
    <w:rsid w:val="39674D74"/>
    <w:rsid w:val="396F44E1"/>
    <w:rsid w:val="398D7C0E"/>
    <w:rsid w:val="399A104D"/>
    <w:rsid w:val="39A12A7F"/>
    <w:rsid w:val="39AB195F"/>
    <w:rsid w:val="39B3565F"/>
    <w:rsid w:val="39D87C3D"/>
    <w:rsid w:val="39DC7D6B"/>
    <w:rsid w:val="39F258C3"/>
    <w:rsid w:val="39FA7523"/>
    <w:rsid w:val="3A032443"/>
    <w:rsid w:val="3A093B89"/>
    <w:rsid w:val="3A1C6436"/>
    <w:rsid w:val="3A213653"/>
    <w:rsid w:val="3A2F2EE2"/>
    <w:rsid w:val="3A306D3E"/>
    <w:rsid w:val="3A3978D4"/>
    <w:rsid w:val="3A3A4E59"/>
    <w:rsid w:val="3A4413D9"/>
    <w:rsid w:val="3A52116A"/>
    <w:rsid w:val="3A5E51DB"/>
    <w:rsid w:val="3A814599"/>
    <w:rsid w:val="3A867EF3"/>
    <w:rsid w:val="3A9A1B49"/>
    <w:rsid w:val="3A9C08C9"/>
    <w:rsid w:val="3A9E45E8"/>
    <w:rsid w:val="3AA4461C"/>
    <w:rsid w:val="3AB54F10"/>
    <w:rsid w:val="3AB812D4"/>
    <w:rsid w:val="3ABD07CA"/>
    <w:rsid w:val="3ABF173A"/>
    <w:rsid w:val="3ACB4575"/>
    <w:rsid w:val="3AE16670"/>
    <w:rsid w:val="3B0672D5"/>
    <w:rsid w:val="3B09279E"/>
    <w:rsid w:val="3B0F5F1E"/>
    <w:rsid w:val="3B152D72"/>
    <w:rsid w:val="3B167265"/>
    <w:rsid w:val="3B1F4E29"/>
    <w:rsid w:val="3B251BE5"/>
    <w:rsid w:val="3B381373"/>
    <w:rsid w:val="3B532EF7"/>
    <w:rsid w:val="3B5A66B7"/>
    <w:rsid w:val="3B794C82"/>
    <w:rsid w:val="3B81506E"/>
    <w:rsid w:val="3B841288"/>
    <w:rsid w:val="3B933C28"/>
    <w:rsid w:val="3B936B7F"/>
    <w:rsid w:val="3BA3661A"/>
    <w:rsid w:val="3BA47E26"/>
    <w:rsid w:val="3BAB6604"/>
    <w:rsid w:val="3BAD5F86"/>
    <w:rsid w:val="3BD056AD"/>
    <w:rsid w:val="3BE14396"/>
    <w:rsid w:val="3BFF22D8"/>
    <w:rsid w:val="3C051945"/>
    <w:rsid w:val="3C053819"/>
    <w:rsid w:val="3C0647FE"/>
    <w:rsid w:val="3C0F58B3"/>
    <w:rsid w:val="3C1C3B1D"/>
    <w:rsid w:val="3C1D3ACE"/>
    <w:rsid w:val="3C3A6FCB"/>
    <w:rsid w:val="3C3C3739"/>
    <w:rsid w:val="3C501295"/>
    <w:rsid w:val="3C577D9A"/>
    <w:rsid w:val="3C5C5CD9"/>
    <w:rsid w:val="3C6014BB"/>
    <w:rsid w:val="3C6767B1"/>
    <w:rsid w:val="3C6C2404"/>
    <w:rsid w:val="3C6E75F8"/>
    <w:rsid w:val="3C794DBC"/>
    <w:rsid w:val="3C9B215F"/>
    <w:rsid w:val="3C9B6632"/>
    <w:rsid w:val="3CB45269"/>
    <w:rsid w:val="3CBD176B"/>
    <w:rsid w:val="3CC77072"/>
    <w:rsid w:val="3CCB3EC8"/>
    <w:rsid w:val="3CD52D43"/>
    <w:rsid w:val="3CF9310E"/>
    <w:rsid w:val="3D01656E"/>
    <w:rsid w:val="3D0A565D"/>
    <w:rsid w:val="3D1F1D1A"/>
    <w:rsid w:val="3D3562F8"/>
    <w:rsid w:val="3D3A1978"/>
    <w:rsid w:val="3D3B3C1C"/>
    <w:rsid w:val="3D461658"/>
    <w:rsid w:val="3D4F7F91"/>
    <w:rsid w:val="3D5664CD"/>
    <w:rsid w:val="3D601390"/>
    <w:rsid w:val="3D626C48"/>
    <w:rsid w:val="3D65276D"/>
    <w:rsid w:val="3D67598A"/>
    <w:rsid w:val="3D695CB9"/>
    <w:rsid w:val="3D766BC9"/>
    <w:rsid w:val="3D7A73F8"/>
    <w:rsid w:val="3D8E75CE"/>
    <w:rsid w:val="3D9415E6"/>
    <w:rsid w:val="3D9468D9"/>
    <w:rsid w:val="3D9846DB"/>
    <w:rsid w:val="3DA51A1A"/>
    <w:rsid w:val="3DC26234"/>
    <w:rsid w:val="3DC85234"/>
    <w:rsid w:val="3DD16A04"/>
    <w:rsid w:val="3DD6719E"/>
    <w:rsid w:val="3DE64143"/>
    <w:rsid w:val="3DEC19A3"/>
    <w:rsid w:val="3DF75D5C"/>
    <w:rsid w:val="3DFA1107"/>
    <w:rsid w:val="3E0A1A59"/>
    <w:rsid w:val="3E1668CE"/>
    <w:rsid w:val="3E1A5082"/>
    <w:rsid w:val="3E2B13CF"/>
    <w:rsid w:val="3E31538C"/>
    <w:rsid w:val="3E444967"/>
    <w:rsid w:val="3E496DEB"/>
    <w:rsid w:val="3E4B369C"/>
    <w:rsid w:val="3E5C3729"/>
    <w:rsid w:val="3E5C591E"/>
    <w:rsid w:val="3E6E4373"/>
    <w:rsid w:val="3E802756"/>
    <w:rsid w:val="3E8A248B"/>
    <w:rsid w:val="3E8D412D"/>
    <w:rsid w:val="3E8D61D1"/>
    <w:rsid w:val="3EB20C6F"/>
    <w:rsid w:val="3EB47508"/>
    <w:rsid w:val="3EBE3EE3"/>
    <w:rsid w:val="3EC040FF"/>
    <w:rsid w:val="3ECA0F53"/>
    <w:rsid w:val="3ECF3D01"/>
    <w:rsid w:val="3ED91991"/>
    <w:rsid w:val="3EE002FD"/>
    <w:rsid w:val="3EE63D24"/>
    <w:rsid w:val="3EE666D5"/>
    <w:rsid w:val="3EEE23EA"/>
    <w:rsid w:val="3F014A9E"/>
    <w:rsid w:val="3F045C1B"/>
    <w:rsid w:val="3F0809F2"/>
    <w:rsid w:val="3F094D32"/>
    <w:rsid w:val="3F141D55"/>
    <w:rsid w:val="3F240C89"/>
    <w:rsid w:val="3F290F59"/>
    <w:rsid w:val="3F3651F6"/>
    <w:rsid w:val="3F3C1640"/>
    <w:rsid w:val="3F400B4F"/>
    <w:rsid w:val="3F455F0A"/>
    <w:rsid w:val="3F632CDC"/>
    <w:rsid w:val="3F6C1C22"/>
    <w:rsid w:val="3F725B37"/>
    <w:rsid w:val="3F7A7A9C"/>
    <w:rsid w:val="3F8922C5"/>
    <w:rsid w:val="3FAC4683"/>
    <w:rsid w:val="3FBF39B8"/>
    <w:rsid w:val="3FBF4B13"/>
    <w:rsid w:val="3FBF51ED"/>
    <w:rsid w:val="3FC05CD3"/>
    <w:rsid w:val="3FC61B7D"/>
    <w:rsid w:val="3FCA44AC"/>
    <w:rsid w:val="3FCA68B7"/>
    <w:rsid w:val="3FCE7C87"/>
    <w:rsid w:val="3FE67B95"/>
    <w:rsid w:val="40083967"/>
    <w:rsid w:val="4028738E"/>
    <w:rsid w:val="402F4C19"/>
    <w:rsid w:val="403976D9"/>
    <w:rsid w:val="4043337C"/>
    <w:rsid w:val="404B4255"/>
    <w:rsid w:val="404F3DF0"/>
    <w:rsid w:val="40526114"/>
    <w:rsid w:val="40583EC3"/>
    <w:rsid w:val="4063599D"/>
    <w:rsid w:val="406B38BC"/>
    <w:rsid w:val="406B6741"/>
    <w:rsid w:val="407C6C62"/>
    <w:rsid w:val="40971974"/>
    <w:rsid w:val="40A5438E"/>
    <w:rsid w:val="40A72052"/>
    <w:rsid w:val="40A86BF9"/>
    <w:rsid w:val="40AC57FF"/>
    <w:rsid w:val="40B97058"/>
    <w:rsid w:val="40DC52B9"/>
    <w:rsid w:val="40DF3F04"/>
    <w:rsid w:val="40F96243"/>
    <w:rsid w:val="41004653"/>
    <w:rsid w:val="411221D8"/>
    <w:rsid w:val="411D073E"/>
    <w:rsid w:val="413E6AB0"/>
    <w:rsid w:val="41522586"/>
    <w:rsid w:val="41616E84"/>
    <w:rsid w:val="41646016"/>
    <w:rsid w:val="41705A91"/>
    <w:rsid w:val="417143B7"/>
    <w:rsid w:val="417B190A"/>
    <w:rsid w:val="418350E8"/>
    <w:rsid w:val="418D12FC"/>
    <w:rsid w:val="41CA2B9F"/>
    <w:rsid w:val="41D14914"/>
    <w:rsid w:val="41DB33A1"/>
    <w:rsid w:val="41FB5149"/>
    <w:rsid w:val="42013C8D"/>
    <w:rsid w:val="420E3FC4"/>
    <w:rsid w:val="421437F3"/>
    <w:rsid w:val="421F1CFC"/>
    <w:rsid w:val="42206E95"/>
    <w:rsid w:val="42313FFC"/>
    <w:rsid w:val="42356019"/>
    <w:rsid w:val="423F533B"/>
    <w:rsid w:val="424B6771"/>
    <w:rsid w:val="424B7EBF"/>
    <w:rsid w:val="424E4D53"/>
    <w:rsid w:val="4256677E"/>
    <w:rsid w:val="42576EE8"/>
    <w:rsid w:val="426C3C56"/>
    <w:rsid w:val="42796810"/>
    <w:rsid w:val="427E5F7E"/>
    <w:rsid w:val="429453D8"/>
    <w:rsid w:val="429B7258"/>
    <w:rsid w:val="42AB3D55"/>
    <w:rsid w:val="42C1358B"/>
    <w:rsid w:val="42C2426D"/>
    <w:rsid w:val="42C543D2"/>
    <w:rsid w:val="42C91E4B"/>
    <w:rsid w:val="43121EAE"/>
    <w:rsid w:val="432F66BA"/>
    <w:rsid w:val="4341194E"/>
    <w:rsid w:val="43467949"/>
    <w:rsid w:val="43517FCA"/>
    <w:rsid w:val="43521258"/>
    <w:rsid w:val="43570955"/>
    <w:rsid w:val="435A05AE"/>
    <w:rsid w:val="437B7BC6"/>
    <w:rsid w:val="43884A4E"/>
    <w:rsid w:val="43AB0B91"/>
    <w:rsid w:val="43B519E3"/>
    <w:rsid w:val="43BE69AD"/>
    <w:rsid w:val="43D57E9E"/>
    <w:rsid w:val="43DF7007"/>
    <w:rsid w:val="43F1079E"/>
    <w:rsid w:val="440A47BE"/>
    <w:rsid w:val="44164E8F"/>
    <w:rsid w:val="442C00F5"/>
    <w:rsid w:val="44333D28"/>
    <w:rsid w:val="44553FC6"/>
    <w:rsid w:val="44703ED1"/>
    <w:rsid w:val="447B1B0C"/>
    <w:rsid w:val="44801C3A"/>
    <w:rsid w:val="44857C98"/>
    <w:rsid w:val="448E33B8"/>
    <w:rsid w:val="44C61EA0"/>
    <w:rsid w:val="44CF1560"/>
    <w:rsid w:val="44DB5BE4"/>
    <w:rsid w:val="44DC072C"/>
    <w:rsid w:val="44E4390D"/>
    <w:rsid w:val="450125FC"/>
    <w:rsid w:val="45084DBB"/>
    <w:rsid w:val="450E2826"/>
    <w:rsid w:val="450E47A6"/>
    <w:rsid w:val="450F72DA"/>
    <w:rsid w:val="451E0AE6"/>
    <w:rsid w:val="45205ED5"/>
    <w:rsid w:val="4538531F"/>
    <w:rsid w:val="455C454F"/>
    <w:rsid w:val="456A61E5"/>
    <w:rsid w:val="456B5DF1"/>
    <w:rsid w:val="458351B5"/>
    <w:rsid w:val="45836C6E"/>
    <w:rsid w:val="45902834"/>
    <w:rsid w:val="45A6698F"/>
    <w:rsid w:val="45AF0BD2"/>
    <w:rsid w:val="45BC6CA2"/>
    <w:rsid w:val="45D608E4"/>
    <w:rsid w:val="45E7164D"/>
    <w:rsid w:val="460D6E88"/>
    <w:rsid w:val="460F384E"/>
    <w:rsid w:val="4618037D"/>
    <w:rsid w:val="461941FA"/>
    <w:rsid w:val="461B0FB0"/>
    <w:rsid w:val="4623640A"/>
    <w:rsid w:val="4628120E"/>
    <w:rsid w:val="463B744B"/>
    <w:rsid w:val="464B2BE5"/>
    <w:rsid w:val="46593066"/>
    <w:rsid w:val="46734B2F"/>
    <w:rsid w:val="467C71F6"/>
    <w:rsid w:val="467F664E"/>
    <w:rsid w:val="46841DAD"/>
    <w:rsid w:val="46850148"/>
    <w:rsid w:val="46A00C25"/>
    <w:rsid w:val="46A00E98"/>
    <w:rsid w:val="46A82A5C"/>
    <w:rsid w:val="46AB5B11"/>
    <w:rsid w:val="46B51F9D"/>
    <w:rsid w:val="46BE4B6D"/>
    <w:rsid w:val="46C9474D"/>
    <w:rsid w:val="46CA3BAA"/>
    <w:rsid w:val="46F5239B"/>
    <w:rsid w:val="47021A6D"/>
    <w:rsid w:val="471264E6"/>
    <w:rsid w:val="47182548"/>
    <w:rsid w:val="47363AB2"/>
    <w:rsid w:val="47397970"/>
    <w:rsid w:val="47406AD6"/>
    <w:rsid w:val="4745728D"/>
    <w:rsid w:val="47662B33"/>
    <w:rsid w:val="47665118"/>
    <w:rsid w:val="4779309D"/>
    <w:rsid w:val="478D27C5"/>
    <w:rsid w:val="47A7358C"/>
    <w:rsid w:val="47BB1907"/>
    <w:rsid w:val="47DD5E3B"/>
    <w:rsid w:val="47E44AE7"/>
    <w:rsid w:val="47E91279"/>
    <w:rsid w:val="47F10A2F"/>
    <w:rsid w:val="47FA1658"/>
    <w:rsid w:val="48153ADF"/>
    <w:rsid w:val="48191D1B"/>
    <w:rsid w:val="481B6CE8"/>
    <w:rsid w:val="481B6F6A"/>
    <w:rsid w:val="481E4553"/>
    <w:rsid w:val="48394A06"/>
    <w:rsid w:val="483F7FF4"/>
    <w:rsid w:val="485C735E"/>
    <w:rsid w:val="48706589"/>
    <w:rsid w:val="487B78BB"/>
    <w:rsid w:val="489766FE"/>
    <w:rsid w:val="489839F7"/>
    <w:rsid w:val="48DE6CFF"/>
    <w:rsid w:val="48E22519"/>
    <w:rsid w:val="48EE505E"/>
    <w:rsid w:val="48F36E7F"/>
    <w:rsid w:val="48F70838"/>
    <w:rsid w:val="490A5EFA"/>
    <w:rsid w:val="49254209"/>
    <w:rsid w:val="492D336C"/>
    <w:rsid w:val="49307D02"/>
    <w:rsid w:val="49442157"/>
    <w:rsid w:val="4949787E"/>
    <w:rsid w:val="49497FB0"/>
    <w:rsid w:val="4950084E"/>
    <w:rsid w:val="49505B79"/>
    <w:rsid w:val="49525A84"/>
    <w:rsid w:val="496D4254"/>
    <w:rsid w:val="498D259F"/>
    <w:rsid w:val="49905125"/>
    <w:rsid w:val="499406C3"/>
    <w:rsid w:val="49A766F0"/>
    <w:rsid w:val="49AA1C33"/>
    <w:rsid w:val="49AC0F2C"/>
    <w:rsid w:val="49B50FFC"/>
    <w:rsid w:val="49B96F74"/>
    <w:rsid w:val="49C6777F"/>
    <w:rsid w:val="49CE4B34"/>
    <w:rsid w:val="49D047E3"/>
    <w:rsid w:val="4A096F32"/>
    <w:rsid w:val="4A0A1939"/>
    <w:rsid w:val="4A17094B"/>
    <w:rsid w:val="4A1C2405"/>
    <w:rsid w:val="4A1F48EF"/>
    <w:rsid w:val="4A3903FC"/>
    <w:rsid w:val="4A3E033F"/>
    <w:rsid w:val="4A626327"/>
    <w:rsid w:val="4A697A4F"/>
    <w:rsid w:val="4A6E4770"/>
    <w:rsid w:val="4A8074DC"/>
    <w:rsid w:val="4A8426C4"/>
    <w:rsid w:val="4AA16F16"/>
    <w:rsid w:val="4AA70E45"/>
    <w:rsid w:val="4AA712E4"/>
    <w:rsid w:val="4ADA02F6"/>
    <w:rsid w:val="4AE23732"/>
    <w:rsid w:val="4AEA3325"/>
    <w:rsid w:val="4B001A50"/>
    <w:rsid w:val="4B0C1B65"/>
    <w:rsid w:val="4B287AD3"/>
    <w:rsid w:val="4B350CF8"/>
    <w:rsid w:val="4B365F2A"/>
    <w:rsid w:val="4B4775D5"/>
    <w:rsid w:val="4B4F0969"/>
    <w:rsid w:val="4B5B166A"/>
    <w:rsid w:val="4B6953A5"/>
    <w:rsid w:val="4B6B3D60"/>
    <w:rsid w:val="4B7D1212"/>
    <w:rsid w:val="4B910BCA"/>
    <w:rsid w:val="4B9C3D29"/>
    <w:rsid w:val="4BA777B2"/>
    <w:rsid w:val="4BA9441E"/>
    <w:rsid w:val="4BAE1092"/>
    <w:rsid w:val="4BB6256B"/>
    <w:rsid w:val="4BCB5E91"/>
    <w:rsid w:val="4BD75C31"/>
    <w:rsid w:val="4BD808A2"/>
    <w:rsid w:val="4BE312F6"/>
    <w:rsid w:val="4BEA5AAE"/>
    <w:rsid w:val="4BF72BD1"/>
    <w:rsid w:val="4BFB26A0"/>
    <w:rsid w:val="4BFF2BEE"/>
    <w:rsid w:val="4C0373D9"/>
    <w:rsid w:val="4C192192"/>
    <w:rsid w:val="4C267D14"/>
    <w:rsid w:val="4C2E30BD"/>
    <w:rsid w:val="4C4621D7"/>
    <w:rsid w:val="4C4D59EB"/>
    <w:rsid w:val="4C5133AE"/>
    <w:rsid w:val="4C5A4D92"/>
    <w:rsid w:val="4C6A3EFA"/>
    <w:rsid w:val="4C6D5E8C"/>
    <w:rsid w:val="4C73127D"/>
    <w:rsid w:val="4C8D4C15"/>
    <w:rsid w:val="4C9C191F"/>
    <w:rsid w:val="4CB44B77"/>
    <w:rsid w:val="4CCD7B11"/>
    <w:rsid w:val="4CD33736"/>
    <w:rsid w:val="4CD34064"/>
    <w:rsid w:val="4CD4213C"/>
    <w:rsid w:val="4CD56D0B"/>
    <w:rsid w:val="4D037FFD"/>
    <w:rsid w:val="4D0B0C3B"/>
    <w:rsid w:val="4D0C42FE"/>
    <w:rsid w:val="4D112D9D"/>
    <w:rsid w:val="4D112E97"/>
    <w:rsid w:val="4D1B275A"/>
    <w:rsid w:val="4D1F1ED3"/>
    <w:rsid w:val="4D3E0F77"/>
    <w:rsid w:val="4D44121F"/>
    <w:rsid w:val="4D447CA9"/>
    <w:rsid w:val="4D49642D"/>
    <w:rsid w:val="4D4A4A1F"/>
    <w:rsid w:val="4D5F5AE6"/>
    <w:rsid w:val="4D623C7C"/>
    <w:rsid w:val="4D6E04B4"/>
    <w:rsid w:val="4D731CC3"/>
    <w:rsid w:val="4D7C0AFF"/>
    <w:rsid w:val="4D7D10D1"/>
    <w:rsid w:val="4D7F3B64"/>
    <w:rsid w:val="4D834F92"/>
    <w:rsid w:val="4DAD1CF2"/>
    <w:rsid w:val="4DD06867"/>
    <w:rsid w:val="4DD21759"/>
    <w:rsid w:val="4DF73CFF"/>
    <w:rsid w:val="4DF8460E"/>
    <w:rsid w:val="4E0A11FB"/>
    <w:rsid w:val="4E28581D"/>
    <w:rsid w:val="4E314FA6"/>
    <w:rsid w:val="4E475BE8"/>
    <w:rsid w:val="4E52608A"/>
    <w:rsid w:val="4E5E4194"/>
    <w:rsid w:val="4E6224A9"/>
    <w:rsid w:val="4E684148"/>
    <w:rsid w:val="4E801C1F"/>
    <w:rsid w:val="4E86609F"/>
    <w:rsid w:val="4E996FEF"/>
    <w:rsid w:val="4EA16178"/>
    <w:rsid w:val="4EC1405C"/>
    <w:rsid w:val="4ECB257C"/>
    <w:rsid w:val="4ECC1985"/>
    <w:rsid w:val="4EF91CD9"/>
    <w:rsid w:val="4F0C0A3A"/>
    <w:rsid w:val="4F130E5A"/>
    <w:rsid w:val="4F227A85"/>
    <w:rsid w:val="4F241FA6"/>
    <w:rsid w:val="4F613A78"/>
    <w:rsid w:val="4F675763"/>
    <w:rsid w:val="4F7F0A92"/>
    <w:rsid w:val="4F894B0F"/>
    <w:rsid w:val="4F8D7DFF"/>
    <w:rsid w:val="4F922537"/>
    <w:rsid w:val="4F9F38BD"/>
    <w:rsid w:val="4FA61FF4"/>
    <w:rsid w:val="4FB530E0"/>
    <w:rsid w:val="4FB64093"/>
    <w:rsid w:val="4FB97304"/>
    <w:rsid w:val="4FBA4253"/>
    <w:rsid w:val="4FC15BF4"/>
    <w:rsid w:val="4FEC78D2"/>
    <w:rsid w:val="4FFF25AD"/>
    <w:rsid w:val="4FFF6109"/>
    <w:rsid w:val="50521620"/>
    <w:rsid w:val="50610244"/>
    <w:rsid w:val="506C27EE"/>
    <w:rsid w:val="508D1E50"/>
    <w:rsid w:val="509D1A11"/>
    <w:rsid w:val="50B35364"/>
    <w:rsid w:val="50BA7FE1"/>
    <w:rsid w:val="50C20DBE"/>
    <w:rsid w:val="50C81DAD"/>
    <w:rsid w:val="50D465B2"/>
    <w:rsid w:val="50E73035"/>
    <w:rsid w:val="50F12241"/>
    <w:rsid w:val="50F7133E"/>
    <w:rsid w:val="50F907D1"/>
    <w:rsid w:val="5100307C"/>
    <w:rsid w:val="510323AF"/>
    <w:rsid w:val="510E0CFA"/>
    <w:rsid w:val="51120799"/>
    <w:rsid w:val="5121043D"/>
    <w:rsid w:val="512545E8"/>
    <w:rsid w:val="512A78F9"/>
    <w:rsid w:val="5134567A"/>
    <w:rsid w:val="51474FB8"/>
    <w:rsid w:val="514C35D0"/>
    <w:rsid w:val="51547B7A"/>
    <w:rsid w:val="516C3C72"/>
    <w:rsid w:val="516E6D39"/>
    <w:rsid w:val="5170272E"/>
    <w:rsid w:val="51A62F31"/>
    <w:rsid w:val="51A766BA"/>
    <w:rsid w:val="51AA19E6"/>
    <w:rsid w:val="51B32563"/>
    <w:rsid w:val="51B40ABA"/>
    <w:rsid w:val="51BA3947"/>
    <w:rsid w:val="51C07729"/>
    <w:rsid w:val="51C0798A"/>
    <w:rsid w:val="51D57A6A"/>
    <w:rsid w:val="51E246CB"/>
    <w:rsid w:val="51F2634E"/>
    <w:rsid w:val="51F30CC1"/>
    <w:rsid w:val="520018FE"/>
    <w:rsid w:val="52157E66"/>
    <w:rsid w:val="522751B2"/>
    <w:rsid w:val="522C2FE0"/>
    <w:rsid w:val="52343375"/>
    <w:rsid w:val="523B5602"/>
    <w:rsid w:val="523E07C2"/>
    <w:rsid w:val="524455C5"/>
    <w:rsid w:val="52546CFC"/>
    <w:rsid w:val="525B7AEE"/>
    <w:rsid w:val="52682A99"/>
    <w:rsid w:val="526C3077"/>
    <w:rsid w:val="52734033"/>
    <w:rsid w:val="527C653A"/>
    <w:rsid w:val="527F3531"/>
    <w:rsid w:val="5292215D"/>
    <w:rsid w:val="52A61A84"/>
    <w:rsid w:val="52B44F30"/>
    <w:rsid w:val="52B53444"/>
    <w:rsid w:val="52C2198F"/>
    <w:rsid w:val="52DB7FBB"/>
    <w:rsid w:val="52E77A54"/>
    <w:rsid w:val="52F2791E"/>
    <w:rsid w:val="52F34E1B"/>
    <w:rsid w:val="52F922F5"/>
    <w:rsid w:val="52FC07A5"/>
    <w:rsid w:val="52FE3D97"/>
    <w:rsid w:val="53001838"/>
    <w:rsid w:val="53092A3F"/>
    <w:rsid w:val="5320106E"/>
    <w:rsid w:val="53271357"/>
    <w:rsid w:val="532B76E2"/>
    <w:rsid w:val="53312A7E"/>
    <w:rsid w:val="534F55FA"/>
    <w:rsid w:val="536F18D6"/>
    <w:rsid w:val="53883286"/>
    <w:rsid w:val="539407B9"/>
    <w:rsid w:val="53A12E5B"/>
    <w:rsid w:val="53A37EAF"/>
    <w:rsid w:val="53C03E02"/>
    <w:rsid w:val="53D31D87"/>
    <w:rsid w:val="53DA65A2"/>
    <w:rsid w:val="53DD3F3B"/>
    <w:rsid w:val="53E237EB"/>
    <w:rsid w:val="53EB0AC0"/>
    <w:rsid w:val="53F35EC6"/>
    <w:rsid w:val="53F84B92"/>
    <w:rsid w:val="53FB1AC7"/>
    <w:rsid w:val="54093EF2"/>
    <w:rsid w:val="540B4DEB"/>
    <w:rsid w:val="54103174"/>
    <w:rsid w:val="54194021"/>
    <w:rsid w:val="541F6D7A"/>
    <w:rsid w:val="54230B78"/>
    <w:rsid w:val="54266CE3"/>
    <w:rsid w:val="54295B69"/>
    <w:rsid w:val="54332825"/>
    <w:rsid w:val="54336A49"/>
    <w:rsid w:val="543547EF"/>
    <w:rsid w:val="54486D3C"/>
    <w:rsid w:val="544A4E78"/>
    <w:rsid w:val="545D613B"/>
    <w:rsid w:val="5483295E"/>
    <w:rsid w:val="54840A85"/>
    <w:rsid w:val="548C784D"/>
    <w:rsid w:val="54992FD0"/>
    <w:rsid w:val="549C78A5"/>
    <w:rsid w:val="549F41F8"/>
    <w:rsid w:val="54A14AFF"/>
    <w:rsid w:val="54A37B6E"/>
    <w:rsid w:val="54AE4039"/>
    <w:rsid w:val="54C2624A"/>
    <w:rsid w:val="54C93390"/>
    <w:rsid w:val="54ED1084"/>
    <w:rsid w:val="54F94E0B"/>
    <w:rsid w:val="55136283"/>
    <w:rsid w:val="55344721"/>
    <w:rsid w:val="55375206"/>
    <w:rsid w:val="554546A3"/>
    <w:rsid w:val="554F01D4"/>
    <w:rsid w:val="555869E6"/>
    <w:rsid w:val="55626B8A"/>
    <w:rsid w:val="55732745"/>
    <w:rsid w:val="55747599"/>
    <w:rsid w:val="55752A7C"/>
    <w:rsid w:val="55912685"/>
    <w:rsid w:val="55933E10"/>
    <w:rsid w:val="5595676A"/>
    <w:rsid w:val="55974804"/>
    <w:rsid w:val="55AD03B6"/>
    <w:rsid w:val="55CC73D2"/>
    <w:rsid w:val="55D37750"/>
    <w:rsid w:val="55F241B7"/>
    <w:rsid w:val="55F3162F"/>
    <w:rsid w:val="55F948BF"/>
    <w:rsid w:val="55FF559A"/>
    <w:rsid w:val="562D691C"/>
    <w:rsid w:val="563015F5"/>
    <w:rsid w:val="563739E0"/>
    <w:rsid w:val="563C6200"/>
    <w:rsid w:val="565232B5"/>
    <w:rsid w:val="565667A1"/>
    <w:rsid w:val="565B13F8"/>
    <w:rsid w:val="56805E78"/>
    <w:rsid w:val="568173D7"/>
    <w:rsid w:val="56B406F7"/>
    <w:rsid w:val="56BF01D0"/>
    <w:rsid w:val="56C64A72"/>
    <w:rsid w:val="56D204A9"/>
    <w:rsid w:val="56D55E16"/>
    <w:rsid w:val="56DB7934"/>
    <w:rsid w:val="56ED41F4"/>
    <w:rsid w:val="56EF070D"/>
    <w:rsid w:val="570606C5"/>
    <w:rsid w:val="570B4191"/>
    <w:rsid w:val="5715459E"/>
    <w:rsid w:val="5718212E"/>
    <w:rsid w:val="571E77BD"/>
    <w:rsid w:val="573349D5"/>
    <w:rsid w:val="57413FBB"/>
    <w:rsid w:val="575B6E14"/>
    <w:rsid w:val="575E7AAD"/>
    <w:rsid w:val="5764454B"/>
    <w:rsid w:val="57713BBE"/>
    <w:rsid w:val="578074C0"/>
    <w:rsid w:val="578D61C5"/>
    <w:rsid w:val="57950DB9"/>
    <w:rsid w:val="5797066A"/>
    <w:rsid w:val="57A1181C"/>
    <w:rsid w:val="57AD787A"/>
    <w:rsid w:val="57AF6C7A"/>
    <w:rsid w:val="57BB095D"/>
    <w:rsid w:val="57CC4F2E"/>
    <w:rsid w:val="57CD5299"/>
    <w:rsid w:val="57D159BF"/>
    <w:rsid w:val="57D6796F"/>
    <w:rsid w:val="57DE7A31"/>
    <w:rsid w:val="57E360F0"/>
    <w:rsid w:val="57ED221D"/>
    <w:rsid w:val="580E65FD"/>
    <w:rsid w:val="581501AB"/>
    <w:rsid w:val="5826590F"/>
    <w:rsid w:val="583A63D7"/>
    <w:rsid w:val="584D3069"/>
    <w:rsid w:val="585413EB"/>
    <w:rsid w:val="58576C21"/>
    <w:rsid w:val="585D7196"/>
    <w:rsid w:val="586B7B49"/>
    <w:rsid w:val="58725C9A"/>
    <w:rsid w:val="58774213"/>
    <w:rsid w:val="587A120C"/>
    <w:rsid w:val="587A69BA"/>
    <w:rsid w:val="58A176EB"/>
    <w:rsid w:val="58A832FF"/>
    <w:rsid w:val="58D470BE"/>
    <w:rsid w:val="58D75E75"/>
    <w:rsid w:val="59013F91"/>
    <w:rsid w:val="59260BFD"/>
    <w:rsid w:val="593A2C41"/>
    <w:rsid w:val="59480568"/>
    <w:rsid w:val="595A7612"/>
    <w:rsid w:val="59617780"/>
    <w:rsid w:val="598D4786"/>
    <w:rsid w:val="598F6769"/>
    <w:rsid w:val="59997B39"/>
    <w:rsid w:val="599A0029"/>
    <w:rsid w:val="59C0433F"/>
    <w:rsid w:val="59C06AC3"/>
    <w:rsid w:val="59C14CFB"/>
    <w:rsid w:val="59CE14DB"/>
    <w:rsid w:val="59E23230"/>
    <w:rsid w:val="59EC5A68"/>
    <w:rsid w:val="59FF1181"/>
    <w:rsid w:val="5A172436"/>
    <w:rsid w:val="5A68473E"/>
    <w:rsid w:val="5A843B88"/>
    <w:rsid w:val="5A8F4CE7"/>
    <w:rsid w:val="5A9778B5"/>
    <w:rsid w:val="5A9E1775"/>
    <w:rsid w:val="5AA93800"/>
    <w:rsid w:val="5AAC7F9D"/>
    <w:rsid w:val="5AC021B2"/>
    <w:rsid w:val="5AC025E4"/>
    <w:rsid w:val="5AC74C4F"/>
    <w:rsid w:val="5AC854E8"/>
    <w:rsid w:val="5ACA0CD9"/>
    <w:rsid w:val="5ADD68E8"/>
    <w:rsid w:val="5AFE4F57"/>
    <w:rsid w:val="5B125E36"/>
    <w:rsid w:val="5B153C0F"/>
    <w:rsid w:val="5B1C4D20"/>
    <w:rsid w:val="5B254D67"/>
    <w:rsid w:val="5B416145"/>
    <w:rsid w:val="5B4B2ACF"/>
    <w:rsid w:val="5B4F6D82"/>
    <w:rsid w:val="5B5D22CB"/>
    <w:rsid w:val="5B6D5390"/>
    <w:rsid w:val="5B6F0BAC"/>
    <w:rsid w:val="5B936881"/>
    <w:rsid w:val="5B956ACC"/>
    <w:rsid w:val="5BA54009"/>
    <w:rsid w:val="5BB13615"/>
    <w:rsid w:val="5BD366CB"/>
    <w:rsid w:val="5BD45E1E"/>
    <w:rsid w:val="5BD90707"/>
    <w:rsid w:val="5BDB5A82"/>
    <w:rsid w:val="5BDC409E"/>
    <w:rsid w:val="5BE56D11"/>
    <w:rsid w:val="5BEC74D5"/>
    <w:rsid w:val="5BF65BE9"/>
    <w:rsid w:val="5C013209"/>
    <w:rsid w:val="5C1A3D47"/>
    <w:rsid w:val="5C2D4BD5"/>
    <w:rsid w:val="5C484BB0"/>
    <w:rsid w:val="5C4D206B"/>
    <w:rsid w:val="5C633EEB"/>
    <w:rsid w:val="5C767D0C"/>
    <w:rsid w:val="5C8B232B"/>
    <w:rsid w:val="5CAA0D70"/>
    <w:rsid w:val="5CBB6631"/>
    <w:rsid w:val="5CC9022C"/>
    <w:rsid w:val="5CF70ACB"/>
    <w:rsid w:val="5CFB0B39"/>
    <w:rsid w:val="5CFC2B52"/>
    <w:rsid w:val="5D0223B2"/>
    <w:rsid w:val="5D0F0B02"/>
    <w:rsid w:val="5D0F6F74"/>
    <w:rsid w:val="5D163E83"/>
    <w:rsid w:val="5D1711DE"/>
    <w:rsid w:val="5D1B346C"/>
    <w:rsid w:val="5D205136"/>
    <w:rsid w:val="5D220DB3"/>
    <w:rsid w:val="5D2250FE"/>
    <w:rsid w:val="5D337CE1"/>
    <w:rsid w:val="5D3E6250"/>
    <w:rsid w:val="5D6677C8"/>
    <w:rsid w:val="5D69082B"/>
    <w:rsid w:val="5D7178AC"/>
    <w:rsid w:val="5D79399F"/>
    <w:rsid w:val="5D814191"/>
    <w:rsid w:val="5D8D2FA6"/>
    <w:rsid w:val="5DAA6273"/>
    <w:rsid w:val="5DCA273B"/>
    <w:rsid w:val="5DD03BF7"/>
    <w:rsid w:val="5DD41E06"/>
    <w:rsid w:val="5DD705BC"/>
    <w:rsid w:val="5DDF2273"/>
    <w:rsid w:val="5DE60277"/>
    <w:rsid w:val="5DE65739"/>
    <w:rsid w:val="5DF12ACB"/>
    <w:rsid w:val="5DFC5048"/>
    <w:rsid w:val="5E004B0E"/>
    <w:rsid w:val="5E0750ED"/>
    <w:rsid w:val="5E121C99"/>
    <w:rsid w:val="5E133B2D"/>
    <w:rsid w:val="5E296815"/>
    <w:rsid w:val="5E327DFC"/>
    <w:rsid w:val="5E404CF3"/>
    <w:rsid w:val="5E4B16FA"/>
    <w:rsid w:val="5E4D336F"/>
    <w:rsid w:val="5E630803"/>
    <w:rsid w:val="5E9A1E1F"/>
    <w:rsid w:val="5EB95F38"/>
    <w:rsid w:val="5EBB3C07"/>
    <w:rsid w:val="5EC964BF"/>
    <w:rsid w:val="5EEF7EBC"/>
    <w:rsid w:val="5EF76065"/>
    <w:rsid w:val="5F01083B"/>
    <w:rsid w:val="5F0955DE"/>
    <w:rsid w:val="5F096FA4"/>
    <w:rsid w:val="5F107F90"/>
    <w:rsid w:val="5F2446EC"/>
    <w:rsid w:val="5F396E05"/>
    <w:rsid w:val="5F3E2326"/>
    <w:rsid w:val="5F775BA8"/>
    <w:rsid w:val="5F786FE1"/>
    <w:rsid w:val="5F844CB6"/>
    <w:rsid w:val="5F9610B5"/>
    <w:rsid w:val="5F994DC7"/>
    <w:rsid w:val="5F9F171B"/>
    <w:rsid w:val="5FD8234F"/>
    <w:rsid w:val="5FE01604"/>
    <w:rsid w:val="5FE81340"/>
    <w:rsid w:val="5FEA3943"/>
    <w:rsid w:val="5FEF2663"/>
    <w:rsid w:val="5FF71D11"/>
    <w:rsid w:val="5FF76DFD"/>
    <w:rsid w:val="60021C23"/>
    <w:rsid w:val="60023A4D"/>
    <w:rsid w:val="6011735D"/>
    <w:rsid w:val="601B0221"/>
    <w:rsid w:val="601E31A8"/>
    <w:rsid w:val="602D5175"/>
    <w:rsid w:val="604D762F"/>
    <w:rsid w:val="605204D7"/>
    <w:rsid w:val="60547127"/>
    <w:rsid w:val="6060551A"/>
    <w:rsid w:val="6062067B"/>
    <w:rsid w:val="6062565B"/>
    <w:rsid w:val="606B16ED"/>
    <w:rsid w:val="607B71E6"/>
    <w:rsid w:val="609B34F1"/>
    <w:rsid w:val="60A10F9E"/>
    <w:rsid w:val="60AF70F2"/>
    <w:rsid w:val="60C4222D"/>
    <w:rsid w:val="60C747D0"/>
    <w:rsid w:val="60C969EB"/>
    <w:rsid w:val="60D02C5F"/>
    <w:rsid w:val="60E45356"/>
    <w:rsid w:val="60E8471D"/>
    <w:rsid w:val="60EE1D70"/>
    <w:rsid w:val="60FD112E"/>
    <w:rsid w:val="610D18AA"/>
    <w:rsid w:val="6113320C"/>
    <w:rsid w:val="61190C6A"/>
    <w:rsid w:val="61245FAF"/>
    <w:rsid w:val="61394D19"/>
    <w:rsid w:val="614148B9"/>
    <w:rsid w:val="6144015D"/>
    <w:rsid w:val="614F78C2"/>
    <w:rsid w:val="61663D02"/>
    <w:rsid w:val="61675B66"/>
    <w:rsid w:val="617B2E1D"/>
    <w:rsid w:val="61867CAF"/>
    <w:rsid w:val="618822DD"/>
    <w:rsid w:val="618C6276"/>
    <w:rsid w:val="61963666"/>
    <w:rsid w:val="619817DB"/>
    <w:rsid w:val="61A22D98"/>
    <w:rsid w:val="61A61727"/>
    <w:rsid w:val="61A75BB1"/>
    <w:rsid w:val="61AC42C2"/>
    <w:rsid w:val="61CC0AFB"/>
    <w:rsid w:val="61D07906"/>
    <w:rsid w:val="61DA6B66"/>
    <w:rsid w:val="61E11B0F"/>
    <w:rsid w:val="61ED2765"/>
    <w:rsid w:val="61F32928"/>
    <w:rsid w:val="620541FB"/>
    <w:rsid w:val="620F4FB2"/>
    <w:rsid w:val="622870D1"/>
    <w:rsid w:val="622C05BC"/>
    <w:rsid w:val="622E0C4B"/>
    <w:rsid w:val="624D2690"/>
    <w:rsid w:val="62503D29"/>
    <w:rsid w:val="62620EA5"/>
    <w:rsid w:val="627043D4"/>
    <w:rsid w:val="62743107"/>
    <w:rsid w:val="62776BF7"/>
    <w:rsid w:val="62A06F0B"/>
    <w:rsid w:val="62A747DB"/>
    <w:rsid w:val="62B15A3C"/>
    <w:rsid w:val="62B44897"/>
    <w:rsid w:val="62BB1B16"/>
    <w:rsid w:val="62BB7C17"/>
    <w:rsid w:val="62C918FF"/>
    <w:rsid w:val="62D13740"/>
    <w:rsid w:val="62E40955"/>
    <w:rsid w:val="62E713AB"/>
    <w:rsid w:val="62FC3944"/>
    <w:rsid w:val="630174AF"/>
    <w:rsid w:val="63035366"/>
    <w:rsid w:val="63067C81"/>
    <w:rsid w:val="6307712A"/>
    <w:rsid w:val="63147832"/>
    <w:rsid w:val="634D655E"/>
    <w:rsid w:val="636863E4"/>
    <w:rsid w:val="636C5DB1"/>
    <w:rsid w:val="63747D10"/>
    <w:rsid w:val="63823A38"/>
    <w:rsid w:val="638A01A3"/>
    <w:rsid w:val="638E6162"/>
    <w:rsid w:val="639815B5"/>
    <w:rsid w:val="639A0B42"/>
    <w:rsid w:val="63D15B25"/>
    <w:rsid w:val="63D61972"/>
    <w:rsid w:val="63DA1443"/>
    <w:rsid w:val="640333DA"/>
    <w:rsid w:val="641A349A"/>
    <w:rsid w:val="64550596"/>
    <w:rsid w:val="645E569D"/>
    <w:rsid w:val="64754794"/>
    <w:rsid w:val="64911090"/>
    <w:rsid w:val="649B30D3"/>
    <w:rsid w:val="64A3523C"/>
    <w:rsid w:val="64A42877"/>
    <w:rsid w:val="64B74BA4"/>
    <w:rsid w:val="64BB664B"/>
    <w:rsid w:val="64BD0615"/>
    <w:rsid w:val="64C626D7"/>
    <w:rsid w:val="64E43619"/>
    <w:rsid w:val="64E536C8"/>
    <w:rsid w:val="64EC50EB"/>
    <w:rsid w:val="64F1206D"/>
    <w:rsid w:val="64F20674"/>
    <w:rsid w:val="64F4666B"/>
    <w:rsid w:val="65264848"/>
    <w:rsid w:val="653E3F30"/>
    <w:rsid w:val="653F7E64"/>
    <w:rsid w:val="65403B7E"/>
    <w:rsid w:val="654927CA"/>
    <w:rsid w:val="65533405"/>
    <w:rsid w:val="655950A0"/>
    <w:rsid w:val="65670462"/>
    <w:rsid w:val="656B0071"/>
    <w:rsid w:val="65706965"/>
    <w:rsid w:val="657E7C4B"/>
    <w:rsid w:val="657F532C"/>
    <w:rsid w:val="658350D5"/>
    <w:rsid w:val="658512C6"/>
    <w:rsid w:val="659B5369"/>
    <w:rsid w:val="659E4166"/>
    <w:rsid w:val="65A600D4"/>
    <w:rsid w:val="65B44FAA"/>
    <w:rsid w:val="65D36C75"/>
    <w:rsid w:val="65E60204"/>
    <w:rsid w:val="66114029"/>
    <w:rsid w:val="662E0FC6"/>
    <w:rsid w:val="663568D1"/>
    <w:rsid w:val="6638713E"/>
    <w:rsid w:val="663B7A3A"/>
    <w:rsid w:val="66445874"/>
    <w:rsid w:val="66476B75"/>
    <w:rsid w:val="66816A08"/>
    <w:rsid w:val="66884328"/>
    <w:rsid w:val="669D7EF7"/>
    <w:rsid w:val="669F3D81"/>
    <w:rsid w:val="66A97248"/>
    <w:rsid w:val="66B15F58"/>
    <w:rsid w:val="66C22987"/>
    <w:rsid w:val="66D34CB7"/>
    <w:rsid w:val="66F66060"/>
    <w:rsid w:val="66F957FF"/>
    <w:rsid w:val="66FC47BC"/>
    <w:rsid w:val="673D4464"/>
    <w:rsid w:val="675E3509"/>
    <w:rsid w:val="67656900"/>
    <w:rsid w:val="6793498E"/>
    <w:rsid w:val="67A07D7A"/>
    <w:rsid w:val="67B62E41"/>
    <w:rsid w:val="67BE626A"/>
    <w:rsid w:val="67BF46A4"/>
    <w:rsid w:val="67F037C7"/>
    <w:rsid w:val="67F97282"/>
    <w:rsid w:val="67FB479D"/>
    <w:rsid w:val="6808604B"/>
    <w:rsid w:val="680970B9"/>
    <w:rsid w:val="682B1D3A"/>
    <w:rsid w:val="68336E0E"/>
    <w:rsid w:val="685748DD"/>
    <w:rsid w:val="6861285B"/>
    <w:rsid w:val="688F5E3F"/>
    <w:rsid w:val="68935752"/>
    <w:rsid w:val="689C0EE5"/>
    <w:rsid w:val="68A8135C"/>
    <w:rsid w:val="68B00491"/>
    <w:rsid w:val="68B31D7C"/>
    <w:rsid w:val="68B7181F"/>
    <w:rsid w:val="68D71AE6"/>
    <w:rsid w:val="68EB12D2"/>
    <w:rsid w:val="68EF4FB1"/>
    <w:rsid w:val="69002CA6"/>
    <w:rsid w:val="690336DE"/>
    <w:rsid w:val="69123407"/>
    <w:rsid w:val="6922601E"/>
    <w:rsid w:val="69302794"/>
    <w:rsid w:val="69433902"/>
    <w:rsid w:val="694F1A58"/>
    <w:rsid w:val="695347A3"/>
    <w:rsid w:val="695420E3"/>
    <w:rsid w:val="6954706E"/>
    <w:rsid w:val="695A0B28"/>
    <w:rsid w:val="695D70C6"/>
    <w:rsid w:val="69636AC2"/>
    <w:rsid w:val="697A4C80"/>
    <w:rsid w:val="6981108B"/>
    <w:rsid w:val="698C2586"/>
    <w:rsid w:val="698F1C3B"/>
    <w:rsid w:val="69A73822"/>
    <w:rsid w:val="69B02F3B"/>
    <w:rsid w:val="69CC62FE"/>
    <w:rsid w:val="69CE3951"/>
    <w:rsid w:val="69F65C2D"/>
    <w:rsid w:val="6A0557BB"/>
    <w:rsid w:val="6A08163E"/>
    <w:rsid w:val="6A087466"/>
    <w:rsid w:val="6A1E1A12"/>
    <w:rsid w:val="6A1E4386"/>
    <w:rsid w:val="6A4B1615"/>
    <w:rsid w:val="6A513574"/>
    <w:rsid w:val="6A54703E"/>
    <w:rsid w:val="6A5E3FAF"/>
    <w:rsid w:val="6A6B7D02"/>
    <w:rsid w:val="6A8F6798"/>
    <w:rsid w:val="6AA27F81"/>
    <w:rsid w:val="6AD02ECE"/>
    <w:rsid w:val="6AD338A1"/>
    <w:rsid w:val="6ADB60A0"/>
    <w:rsid w:val="6ADE7537"/>
    <w:rsid w:val="6B120DF4"/>
    <w:rsid w:val="6B1548EE"/>
    <w:rsid w:val="6B1B4061"/>
    <w:rsid w:val="6B3473B6"/>
    <w:rsid w:val="6B4C44A1"/>
    <w:rsid w:val="6B543355"/>
    <w:rsid w:val="6B6A4927"/>
    <w:rsid w:val="6B743CB7"/>
    <w:rsid w:val="6B794C44"/>
    <w:rsid w:val="6B824366"/>
    <w:rsid w:val="6B8B1626"/>
    <w:rsid w:val="6B965D9C"/>
    <w:rsid w:val="6B983E66"/>
    <w:rsid w:val="6B9C07E5"/>
    <w:rsid w:val="6B9F3C6D"/>
    <w:rsid w:val="6BB00968"/>
    <w:rsid w:val="6BBE2391"/>
    <w:rsid w:val="6BD11C33"/>
    <w:rsid w:val="6BD22BF1"/>
    <w:rsid w:val="6BD9736E"/>
    <w:rsid w:val="6C0A1E7C"/>
    <w:rsid w:val="6C0A54C7"/>
    <w:rsid w:val="6C0E60CE"/>
    <w:rsid w:val="6C270419"/>
    <w:rsid w:val="6C3F3551"/>
    <w:rsid w:val="6C4F33C5"/>
    <w:rsid w:val="6C5939BA"/>
    <w:rsid w:val="6C5F282A"/>
    <w:rsid w:val="6C61601B"/>
    <w:rsid w:val="6C6B5C01"/>
    <w:rsid w:val="6C725D32"/>
    <w:rsid w:val="6C74500E"/>
    <w:rsid w:val="6CC25798"/>
    <w:rsid w:val="6CE8644B"/>
    <w:rsid w:val="6CE9675F"/>
    <w:rsid w:val="6CFF5543"/>
    <w:rsid w:val="6D034800"/>
    <w:rsid w:val="6D0B5D0C"/>
    <w:rsid w:val="6D236C53"/>
    <w:rsid w:val="6D2C637A"/>
    <w:rsid w:val="6D336E38"/>
    <w:rsid w:val="6D45347F"/>
    <w:rsid w:val="6D513FF0"/>
    <w:rsid w:val="6D52286B"/>
    <w:rsid w:val="6D5B146F"/>
    <w:rsid w:val="6D5B4E6F"/>
    <w:rsid w:val="6D5B50C8"/>
    <w:rsid w:val="6D5D3E2A"/>
    <w:rsid w:val="6D6E664D"/>
    <w:rsid w:val="6D6F08FA"/>
    <w:rsid w:val="6D8D0DA1"/>
    <w:rsid w:val="6D9D1563"/>
    <w:rsid w:val="6DA97875"/>
    <w:rsid w:val="6DB5211B"/>
    <w:rsid w:val="6DD7189D"/>
    <w:rsid w:val="6DD827BD"/>
    <w:rsid w:val="6DDA0212"/>
    <w:rsid w:val="6DDD70BC"/>
    <w:rsid w:val="6DE439AB"/>
    <w:rsid w:val="6DEF3809"/>
    <w:rsid w:val="6DEF44AC"/>
    <w:rsid w:val="6E093055"/>
    <w:rsid w:val="6E0E7CF3"/>
    <w:rsid w:val="6E185442"/>
    <w:rsid w:val="6E1E7054"/>
    <w:rsid w:val="6E354DDA"/>
    <w:rsid w:val="6E3902CB"/>
    <w:rsid w:val="6E5C2D2B"/>
    <w:rsid w:val="6E624948"/>
    <w:rsid w:val="6E6F226A"/>
    <w:rsid w:val="6E772F07"/>
    <w:rsid w:val="6E843F52"/>
    <w:rsid w:val="6E894508"/>
    <w:rsid w:val="6E8E2934"/>
    <w:rsid w:val="6E970500"/>
    <w:rsid w:val="6E9A0664"/>
    <w:rsid w:val="6EA16DCE"/>
    <w:rsid w:val="6EC36B67"/>
    <w:rsid w:val="6EE028CF"/>
    <w:rsid w:val="6EE938E8"/>
    <w:rsid w:val="6F045092"/>
    <w:rsid w:val="6F086931"/>
    <w:rsid w:val="6F0B6B34"/>
    <w:rsid w:val="6F100008"/>
    <w:rsid w:val="6F143F4C"/>
    <w:rsid w:val="6F1D135C"/>
    <w:rsid w:val="6F360B28"/>
    <w:rsid w:val="6F463F1E"/>
    <w:rsid w:val="6F4A2FD6"/>
    <w:rsid w:val="6F4D4002"/>
    <w:rsid w:val="6F5920C8"/>
    <w:rsid w:val="6F767432"/>
    <w:rsid w:val="6F7C6444"/>
    <w:rsid w:val="6F9D3ADA"/>
    <w:rsid w:val="6FA74C0B"/>
    <w:rsid w:val="6FB4729C"/>
    <w:rsid w:val="6FB511B3"/>
    <w:rsid w:val="6FB552EF"/>
    <w:rsid w:val="6FB971B5"/>
    <w:rsid w:val="6FBD0FFB"/>
    <w:rsid w:val="6FC1179F"/>
    <w:rsid w:val="6FCE00B5"/>
    <w:rsid w:val="6FD20A76"/>
    <w:rsid w:val="6FD72CE6"/>
    <w:rsid w:val="6FE95BCD"/>
    <w:rsid w:val="6FF60E06"/>
    <w:rsid w:val="6FF7640B"/>
    <w:rsid w:val="700F5BE3"/>
    <w:rsid w:val="7018085B"/>
    <w:rsid w:val="70430B61"/>
    <w:rsid w:val="7044674A"/>
    <w:rsid w:val="70581653"/>
    <w:rsid w:val="707C0344"/>
    <w:rsid w:val="707F0E75"/>
    <w:rsid w:val="708B1B63"/>
    <w:rsid w:val="70907518"/>
    <w:rsid w:val="70AC4A2C"/>
    <w:rsid w:val="70D74111"/>
    <w:rsid w:val="70F410A9"/>
    <w:rsid w:val="7101455D"/>
    <w:rsid w:val="71066EA0"/>
    <w:rsid w:val="711A4EC6"/>
    <w:rsid w:val="714342B1"/>
    <w:rsid w:val="7144033B"/>
    <w:rsid w:val="714C0205"/>
    <w:rsid w:val="71715101"/>
    <w:rsid w:val="71777E63"/>
    <w:rsid w:val="717B788E"/>
    <w:rsid w:val="718029BA"/>
    <w:rsid w:val="71850575"/>
    <w:rsid w:val="719204ED"/>
    <w:rsid w:val="71997279"/>
    <w:rsid w:val="71997EA0"/>
    <w:rsid w:val="71A4203A"/>
    <w:rsid w:val="71C32FE3"/>
    <w:rsid w:val="71C5276A"/>
    <w:rsid w:val="71D64AC4"/>
    <w:rsid w:val="71E25CFA"/>
    <w:rsid w:val="720F1394"/>
    <w:rsid w:val="720F60A5"/>
    <w:rsid w:val="72411491"/>
    <w:rsid w:val="7250576C"/>
    <w:rsid w:val="72630A11"/>
    <w:rsid w:val="7264100D"/>
    <w:rsid w:val="726447C6"/>
    <w:rsid w:val="729A0448"/>
    <w:rsid w:val="72A23FF5"/>
    <w:rsid w:val="72A42E14"/>
    <w:rsid w:val="72AB2F2F"/>
    <w:rsid w:val="72AB74A5"/>
    <w:rsid w:val="72B05E34"/>
    <w:rsid w:val="72BB6148"/>
    <w:rsid w:val="72D05CDA"/>
    <w:rsid w:val="73122239"/>
    <w:rsid w:val="731F01D0"/>
    <w:rsid w:val="732C117C"/>
    <w:rsid w:val="732C2829"/>
    <w:rsid w:val="732F545C"/>
    <w:rsid w:val="73320E54"/>
    <w:rsid w:val="73335F46"/>
    <w:rsid w:val="73353C08"/>
    <w:rsid w:val="73362791"/>
    <w:rsid w:val="733852DC"/>
    <w:rsid w:val="734939BC"/>
    <w:rsid w:val="73531895"/>
    <w:rsid w:val="735C6CFA"/>
    <w:rsid w:val="736221F9"/>
    <w:rsid w:val="73695081"/>
    <w:rsid w:val="737E646B"/>
    <w:rsid w:val="738323FE"/>
    <w:rsid w:val="73936124"/>
    <w:rsid w:val="73974E6C"/>
    <w:rsid w:val="73B5217F"/>
    <w:rsid w:val="73D2329F"/>
    <w:rsid w:val="73DD4830"/>
    <w:rsid w:val="74030ADF"/>
    <w:rsid w:val="741A37FA"/>
    <w:rsid w:val="741F0350"/>
    <w:rsid w:val="742571EB"/>
    <w:rsid w:val="743665C5"/>
    <w:rsid w:val="74377F75"/>
    <w:rsid w:val="743E1CD1"/>
    <w:rsid w:val="74422E57"/>
    <w:rsid w:val="74720CA0"/>
    <w:rsid w:val="747C3921"/>
    <w:rsid w:val="748E5B2A"/>
    <w:rsid w:val="74910E9D"/>
    <w:rsid w:val="74980757"/>
    <w:rsid w:val="749D1207"/>
    <w:rsid w:val="74A92964"/>
    <w:rsid w:val="74AD0101"/>
    <w:rsid w:val="74CF15D7"/>
    <w:rsid w:val="74D53759"/>
    <w:rsid w:val="74DD7C41"/>
    <w:rsid w:val="74EC2851"/>
    <w:rsid w:val="750B6409"/>
    <w:rsid w:val="750C4CA1"/>
    <w:rsid w:val="751A198C"/>
    <w:rsid w:val="751C1388"/>
    <w:rsid w:val="75326AFD"/>
    <w:rsid w:val="755C33D3"/>
    <w:rsid w:val="75680D5C"/>
    <w:rsid w:val="75755407"/>
    <w:rsid w:val="75791EE4"/>
    <w:rsid w:val="75851C01"/>
    <w:rsid w:val="758728EE"/>
    <w:rsid w:val="75986535"/>
    <w:rsid w:val="75B97B95"/>
    <w:rsid w:val="75BE243F"/>
    <w:rsid w:val="75C257C3"/>
    <w:rsid w:val="75C86E78"/>
    <w:rsid w:val="75E56B25"/>
    <w:rsid w:val="762A0F19"/>
    <w:rsid w:val="762D61C2"/>
    <w:rsid w:val="764640EF"/>
    <w:rsid w:val="765D779D"/>
    <w:rsid w:val="766340A7"/>
    <w:rsid w:val="766A025C"/>
    <w:rsid w:val="766A5702"/>
    <w:rsid w:val="76713D6A"/>
    <w:rsid w:val="767355B8"/>
    <w:rsid w:val="76786491"/>
    <w:rsid w:val="76853FA0"/>
    <w:rsid w:val="76855262"/>
    <w:rsid w:val="76872CCD"/>
    <w:rsid w:val="76A214C2"/>
    <w:rsid w:val="76A55AC8"/>
    <w:rsid w:val="76C60D84"/>
    <w:rsid w:val="76C80BA1"/>
    <w:rsid w:val="76D20B9E"/>
    <w:rsid w:val="76DC0905"/>
    <w:rsid w:val="76DD68F5"/>
    <w:rsid w:val="76E32679"/>
    <w:rsid w:val="76FD2485"/>
    <w:rsid w:val="77040325"/>
    <w:rsid w:val="770859DF"/>
    <w:rsid w:val="770A345C"/>
    <w:rsid w:val="770E4444"/>
    <w:rsid w:val="771A0386"/>
    <w:rsid w:val="773E7BDE"/>
    <w:rsid w:val="77467050"/>
    <w:rsid w:val="774C346C"/>
    <w:rsid w:val="77505319"/>
    <w:rsid w:val="77683CFD"/>
    <w:rsid w:val="77684544"/>
    <w:rsid w:val="77694171"/>
    <w:rsid w:val="77831323"/>
    <w:rsid w:val="77877844"/>
    <w:rsid w:val="77913203"/>
    <w:rsid w:val="7793689B"/>
    <w:rsid w:val="77955421"/>
    <w:rsid w:val="77975957"/>
    <w:rsid w:val="779B2FB5"/>
    <w:rsid w:val="77A12DF7"/>
    <w:rsid w:val="77A23485"/>
    <w:rsid w:val="77B21226"/>
    <w:rsid w:val="77B73F4B"/>
    <w:rsid w:val="77C26BCE"/>
    <w:rsid w:val="77D14165"/>
    <w:rsid w:val="77E8183C"/>
    <w:rsid w:val="77EC26F0"/>
    <w:rsid w:val="780671F2"/>
    <w:rsid w:val="781D6CC2"/>
    <w:rsid w:val="78285032"/>
    <w:rsid w:val="782C7042"/>
    <w:rsid w:val="783B5319"/>
    <w:rsid w:val="78471162"/>
    <w:rsid w:val="78616576"/>
    <w:rsid w:val="78644E2C"/>
    <w:rsid w:val="78750126"/>
    <w:rsid w:val="78797719"/>
    <w:rsid w:val="788B17C0"/>
    <w:rsid w:val="78986460"/>
    <w:rsid w:val="78AB1048"/>
    <w:rsid w:val="78AC7511"/>
    <w:rsid w:val="78B5509D"/>
    <w:rsid w:val="78C842A7"/>
    <w:rsid w:val="78D4319D"/>
    <w:rsid w:val="78E06ACF"/>
    <w:rsid w:val="78FE027A"/>
    <w:rsid w:val="7900364D"/>
    <w:rsid w:val="79037DA4"/>
    <w:rsid w:val="790A793F"/>
    <w:rsid w:val="791056D1"/>
    <w:rsid w:val="791E4914"/>
    <w:rsid w:val="79402C3C"/>
    <w:rsid w:val="795A5FDB"/>
    <w:rsid w:val="796878A9"/>
    <w:rsid w:val="797B66BB"/>
    <w:rsid w:val="797D285C"/>
    <w:rsid w:val="7988058F"/>
    <w:rsid w:val="798B6ADC"/>
    <w:rsid w:val="79963B90"/>
    <w:rsid w:val="799874A4"/>
    <w:rsid w:val="79A17C4B"/>
    <w:rsid w:val="79BC6ABE"/>
    <w:rsid w:val="79BE5789"/>
    <w:rsid w:val="79C852C7"/>
    <w:rsid w:val="79CF1D96"/>
    <w:rsid w:val="79D22617"/>
    <w:rsid w:val="79EB30D7"/>
    <w:rsid w:val="79FE3935"/>
    <w:rsid w:val="7A0B68A7"/>
    <w:rsid w:val="7A116CCF"/>
    <w:rsid w:val="7A1E6432"/>
    <w:rsid w:val="7A2210E3"/>
    <w:rsid w:val="7A273050"/>
    <w:rsid w:val="7A2F7B0F"/>
    <w:rsid w:val="7A3F58DF"/>
    <w:rsid w:val="7A526F79"/>
    <w:rsid w:val="7A574434"/>
    <w:rsid w:val="7A6435E9"/>
    <w:rsid w:val="7A651692"/>
    <w:rsid w:val="7A7B4BC6"/>
    <w:rsid w:val="7A7D4266"/>
    <w:rsid w:val="7A8712FC"/>
    <w:rsid w:val="7A911CF9"/>
    <w:rsid w:val="7A962B36"/>
    <w:rsid w:val="7AAE3291"/>
    <w:rsid w:val="7ABF693E"/>
    <w:rsid w:val="7ADC34DA"/>
    <w:rsid w:val="7AE139ED"/>
    <w:rsid w:val="7AE90622"/>
    <w:rsid w:val="7AEA4231"/>
    <w:rsid w:val="7AF12EF3"/>
    <w:rsid w:val="7B0E2E1E"/>
    <w:rsid w:val="7B145C2D"/>
    <w:rsid w:val="7B1F1B0E"/>
    <w:rsid w:val="7B2B1E1B"/>
    <w:rsid w:val="7B2D5922"/>
    <w:rsid w:val="7B2E771F"/>
    <w:rsid w:val="7B2F16E9"/>
    <w:rsid w:val="7B3B1369"/>
    <w:rsid w:val="7B5502E1"/>
    <w:rsid w:val="7B552979"/>
    <w:rsid w:val="7B5C4D26"/>
    <w:rsid w:val="7B7339C1"/>
    <w:rsid w:val="7B825290"/>
    <w:rsid w:val="7B8557C4"/>
    <w:rsid w:val="7B874A72"/>
    <w:rsid w:val="7B8951C2"/>
    <w:rsid w:val="7B911723"/>
    <w:rsid w:val="7B9604B1"/>
    <w:rsid w:val="7BA774D1"/>
    <w:rsid w:val="7BAA4766"/>
    <w:rsid w:val="7BBA79BE"/>
    <w:rsid w:val="7BD01FA0"/>
    <w:rsid w:val="7BD02C9E"/>
    <w:rsid w:val="7BF40123"/>
    <w:rsid w:val="7BF4736E"/>
    <w:rsid w:val="7BF66352"/>
    <w:rsid w:val="7BF968ED"/>
    <w:rsid w:val="7C034C22"/>
    <w:rsid w:val="7C0B168B"/>
    <w:rsid w:val="7C21353E"/>
    <w:rsid w:val="7C252297"/>
    <w:rsid w:val="7C2B5337"/>
    <w:rsid w:val="7C344764"/>
    <w:rsid w:val="7C35367A"/>
    <w:rsid w:val="7C36503B"/>
    <w:rsid w:val="7C5B390F"/>
    <w:rsid w:val="7C635D24"/>
    <w:rsid w:val="7C6E2AEC"/>
    <w:rsid w:val="7C8810B1"/>
    <w:rsid w:val="7C8A2ACB"/>
    <w:rsid w:val="7C8E4BF3"/>
    <w:rsid w:val="7CA30C50"/>
    <w:rsid w:val="7CA345C3"/>
    <w:rsid w:val="7CB023B6"/>
    <w:rsid w:val="7CCF2F6A"/>
    <w:rsid w:val="7CD57FAB"/>
    <w:rsid w:val="7CD753F4"/>
    <w:rsid w:val="7CD91F98"/>
    <w:rsid w:val="7CDA6FE2"/>
    <w:rsid w:val="7CDF7939"/>
    <w:rsid w:val="7CF56D0C"/>
    <w:rsid w:val="7D2615A1"/>
    <w:rsid w:val="7D2A660C"/>
    <w:rsid w:val="7D300DE3"/>
    <w:rsid w:val="7D3501DD"/>
    <w:rsid w:val="7D365262"/>
    <w:rsid w:val="7D414E36"/>
    <w:rsid w:val="7D4260FA"/>
    <w:rsid w:val="7D536852"/>
    <w:rsid w:val="7D617D4D"/>
    <w:rsid w:val="7D691FC0"/>
    <w:rsid w:val="7D786F75"/>
    <w:rsid w:val="7D974B80"/>
    <w:rsid w:val="7D9F6F28"/>
    <w:rsid w:val="7DA46AEC"/>
    <w:rsid w:val="7DB47A06"/>
    <w:rsid w:val="7DC4072B"/>
    <w:rsid w:val="7DC66033"/>
    <w:rsid w:val="7DD24FDA"/>
    <w:rsid w:val="7DD84FA9"/>
    <w:rsid w:val="7DDB73AF"/>
    <w:rsid w:val="7DE04732"/>
    <w:rsid w:val="7DE80974"/>
    <w:rsid w:val="7E014D71"/>
    <w:rsid w:val="7E0F4253"/>
    <w:rsid w:val="7E1D45DD"/>
    <w:rsid w:val="7E244E09"/>
    <w:rsid w:val="7E2E216C"/>
    <w:rsid w:val="7E3C4CB0"/>
    <w:rsid w:val="7E3F42AD"/>
    <w:rsid w:val="7E4427FE"/>
    <w:rsid w:val="7E4C33F3"/>
    <w:rsid w:val="7E7712D2"/>
    <w:rsid w:val="7E782336"/>
    <w:rsid w:val="7E900926"/>
    <w:rsid w:val="7E931FE6"/>
    <w:rsid w:val="7E951311"/>
    <w:rsid w:val="7E9C52E7"/>
    <w:rsid w:val="7EAD3051"/>
    <w:rsid w:val="7EC65A3B"/>
    <w:rsid w:val="7EC74254"/>
    <w:rsid w:val="7ECD0FB9"/>
    <w:rsid w:val="7ED9391D"/>
    <w:rsid w:val="7EE26DB3"/>
    <w:rsid w:val="7EF64443"/>
    <w:rsid w:val="7EF95D6D"/>
    <w:rsid w:val="7F2E294B"/>
    <w:rsid w:val="7F3A13B2"/>
    <w:rsid w:val="7F437380"/>
    <w:rsid w:val="7F4409F2"/>
    <w:rsid w:val="7F4755F1"/>
    <w:rsid w:val="7F4A58FD"/>
    <w:rsid w:val="7F4D25D6"/>
    <w:rsid w:val="7F5F7D05"/>
    <w:rsid w:val="7F647489"/>
    <w:rsid w:val="7F6575FA"/>
    <w:rsid w:val="7F6709CC"/>
    <w:rsid w:val="7F8F2D97"/>
    <w:rsid w:val="7F9F508F"/>
    <w:rsid w:val="7FC4780F"/>
    <w:rsid w:val="7FD248F6"/>
    <w:rsid w:val="7FD96F42"/>
    <w:rsid w:val="7FE65941"/>
    <w:rsid w:val="7FEE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53" w:right="2356"/>
      <w:jc w:val="center"/>
      <w:outlineLvl w:val="0"/>
    </w:pPr>
    <w:rPr>
      <w:rFonts w:ascii="微软雅黑" w:hAnsi="微软雅黑" w:eastAsia="微软雅黑" w:cs="微软雅黑"/>
      <w:sz w:val="38"/>
      <w:szCs w:val="38"/>
    </w:rPr>
  </w:style>
  <w:style w:type="paragraph" w:styleId="3">
    <w:name w:val="heading 2"/>
    <w:basedOn w:val="1"/>
    <w:next w:val="1"/>
    <w:qFormat/>
    <w:uiPriority w:val="1"/>
    <w:pPr>
      <w:ind w:left="635" w:right="654"/>
      <w:jc w:val="center"/>
      <w:outlineLvl w:val="1"/>
    </w:pPr>
    <w:rPr>
      <w:rFonts w:ascii="微软雅黑" w:hAnsi="微软雅黑" w:eastAsia="微软雅黑" w:cs="微软雅黑"/>
      <w:sz w:val="36"/>
      <w:szCs w:val="36"/>
    </w:rPr>
  </w:style>
  <w:style w:type="paragraph" w:styleId="4">
    <w:name w:val="heading 3"/>
    <w:basedOn w:val="1"/>
    <w:next w:val="1"/>
    <w:link w:val="79"/>
    <w:semiHidden/>
    <w:unhideWhenUsed/>
    <w:qFormat/>
    <w:uiPriority w:val="0"/>
    <w:pPr>
      <w:spacing w:beforeAutospacing="1" w:afterAutospacing="1"/>
      <w:outlineLvl w:val="2"/>
    </w:pPr>
    <w:rPr>
      <w:rFonts w:hint="eastAsia" w:cs="Times New Roman"/>
      <w:b/>
      <w:bCs/>
      <w:sz w:val="27"/>
      <w:szCs w:val="27"/>
      <w:lang w:val="en-US" w:bidi="ar-SA"/>
    </w:rPr>
  </w:style>
  <w:style w:type="paragraph" w:styleId="5">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te Heading"/>
    <w:basedOn w:val="1"/>
    <w:next w:val="1"/>
    <w:qFormat/>
    <w:uiPriority w:val="0"/>
    <w:pPr>
      <w:jc w:val="center"/>
    </w:pPr>
    <w:rPr>
      <w:szCs w:val="20"/>
    </w:rPr>
  </w:style>
  <w:style w:type="paragraph" w:styleId="8">
    <w:name w:val="Normal Indent"/>
    <w:basedOn w:val="1"/>
    <w:next w:val="9"/>
    <w:qFormat/>
    <w:uiPriority w:val="0"/>
    <w:pPr>
      <w:adjustRightInd w:val="0"/>
      <w:snapToGrid w:val="0"/>
      <w:spacing w:line="460" w:lineRule="atLeast"/>
      <w:ind w:firstLine="200" w:firstLineChars="200"/>
    </w:pPr>
    <w:rPr>
      <w:sz w:val="28"/>
    </w:rPr>
  </w:style>
  <w:style w:type="paragraph" w:styleId="9">
    <w:name w:val="Plain Text"/>
    <w:basedOn w:val="1"/>
    <w:qFormat/>
    <w:uiPriority w:val="0"/>
    <w:rPr>
      <w:rFonts w:hAnsi="Courier New"/>
      <w:kern w:val="2"/>
    </w:rPr>
  </w:style>
  <w:style w:type="paragraph" w:styleId="10">
    <w:name w:val="caption"/>
    <w:basedOn w:val="1"/>
    <w:next w:val="1"/>
    <w:qFormat/>
    <w:uiPriority w:val="0"/>
    <w:rPr>
      <w:rFonts w:ascii="Arial" w:hAnsi="Arial" w:eastAsia="黑体" w:cs="Arial"/>
      <w:sz w:val="20"/>
    </w:rPr>
  </w:style>
  <w:style w:type="paragraph" w:styleId="11">
    <w:name w:val="annotation text"/>
    <w:basedOn w:val="1"/>
    <w:link w:val="92"/>
    <w:qFormat/>
    <w:uiPriority w:val="0"/>
  </w:style>
  <w:style w:type="paragraph" w:styleId="12">
    <w:name w:val="Body Text"/>
    <w:basedOn w:val="1"/>
    <w:next w:val="1"/>
    <w:qFormat/>
    <w:uiPriority w:val="1"/>
    <w:rPr>
      <w:rFonts w:ascii="黑体" w:hAnsi="黑体" w:eastAsia="黑体" w:cs="黑体"/>
      <w:sz w:val="30"/>
      <w:szCs w:val="30"/>
    </w:rPr>
  </w:style>
  <w:style w:type="paragraph" w:styleId="13">
    <w:name w:val="Body Text Indent"/>
    <w:basedOn w:val="1"/>
    <w:next w:val="14"/>
    <w:qFormat/>
    <w:uiPriority w:val="0"/>
    <w:pPr>
      <w:spacing w:line="340" w:lineRule="exact"/>
      <w:ind w:firstLine="522"/>
    </w:pPr>
    <w:rPr>
      <w:color w:val="000000"/>
      <w:sz w:val="28"/>
    </w:rPr>
  </w:style>
  <w:style w:type="paragraph" w:styleId="14">
    <w:name w:val="header"/>
    <w:basedOn w:val="1"/>
    <w:next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15">
    <w:name w:val="样式5"/>
    <w:basedOn w:val="16"/>
    <w:qFormat/>
    <w:uiPriority w:val="0"/>
    <w:pPr>
      <w:keepNext/>
      <w:tabs>
        <w:tab w:val="center" w:pos="4153"/>
        <w:tab w:val="right" w:pos="8306"/>
      </w:tabs>
      <w:spacing w:line="240" w:lineRule="auto"/>
      <w:outlineLvl w:val="0"/>
    </w:pPr>
    <w:rPr>
      <w:rFonts w:ascii="黑体" w:hAnsi="黑体"/>
      <w:spacing w:val="5"/>
      <w:sz w:val="25"/>
      <w:szCs w:val="25"/>
    </w:rPr>
  </w:style>
  <w:style w:type="paragraph" w:customStyle="1" w:styleId="16">
    <w:name w:val="正文1"/>
    <w:basedOn w:val="17"/>
    <w:qFormat/>
    <w:uiPriority w:val="0"/>
    <w:pPr>
      <w:tabs>
        <w:tab w:val="center" w:pos="4153"/>
        <w:tab w:val="right" w:pos="8306"/>
      </w:tabs>
      <w:adjustRightInd w:val="0"/>
      <w:snapToGrid w:val="0"/>
      <w:spacing w:line="480" w:lineRule="exact"/>
      <w:ind w:firstLine="200" w:firstLineChars="200"/>
    </w:pPr>
    <w:rPr>
      <w:sz w:val="24"/>
    </w:rPr>
  </w:style>
  <w:style w:type="paragraph" w:styleId="17">
    <w:name w:val="Body Text 2"/>
    <w:basedOn w:val="1"/>
    <w:qFormat/>
    <w:uiPriority w:val="0"/>
    <w:pPr>
      <w:spacing w:after="120" w:line="480" w:lineRule="auto"/>
    </w:pPr>
  </w:style>
  <w:style w:type="paragraph" w:styleId="18">
    <w:name w:val="Block Text"/>
    <w:basedOn w:val="1"/>
    <w:next w:val="1"/>
    <w:qFormat/>
    <w:uiPriority w:val="0"/>
    <w:pPr>
      <w:ind w:left="137" w:right="116" w:firstLine="317"/>
    </w:pPr>
    <w:rPr>
      <w:rFonts w:ascii="Calibri" w:hAnsi="Calibri"/>
      <w:sz w:val="28"/>
    </w:rPr>
  </w:style>
  <w:style w:type="paragraph" w:styleId="19">
    <w:name w:val="Body Text Indent 2"/>
    <w:basedOn w:val="1"/>
    <w:next w:val="20"/>
    <w:qFormat/>
    <w:uiPriority w:val="0"/>
    <w:pPr>
      <w:spacing w:line="480" w:lineRule="exact"/>
      <w:ind w:firstLine="570"/>
    </w:pPr>
    <w:rPr>
      <w:sz w:val="28"/>
    </w:rPr>
  </w:style>
  <w:style w:type="paragraph" w:customStyle="1" w:styleId="20">
    <w:name w:val="reader-word-layer reader-word-s46-2"/>
    <w:basedOn w:val="1"/>
    <w:next w:val="21"/>
    <w:qFormat/>
    <w:uiPriority w:val="0"/>
    <w:pPr>
      <w:widowControl/>
      <w:spacing w:before="280" w:after="280"/>
    </w:pPr>
  </w:style>
  <w:style w:type="paragraph" w:customStyle="1" w:styleId="21">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sz w:val="16"/>
      <w:szCs w:val="16"/>
    </w:rPr>
  </w:style>
  <w:style w:type="paragraph" w:styleId="22">
    <w:name w:val="endnote text"/>
    <w:basedOn w:val="1"/>
    <w:unhideWhenUsed/>
    <w:qFormat/>
    <w:uiPriority w:val="0"/>
    <w:pPr>
      <w:snapToGrid w:val="0"/>
      <w:jc w:val="left"/>
    </w:pPr>
    <w:rPr>
      <w:rFonts w:ascii="Calibri" w:hAnsi="Calibri"/>
      <w:sz w:val="24"/>
      <w:szCs w:val="22"/>
    </w:rPr>
  </w:style>
  <w:style w:type="paragraph" w:styleId="23">
    <w:name w:val="Balloon Text"/>
    <w:basedOn w:val="1"/>
    <w:link w:val="94"/>
    <w:qFormat/>
    <w:uiPriority w:val="0"/>
    <w:rPr>
      <w:sz w:val="18"/>
      <w:szCs w:val="18"/>
    </w:rPr>
  </w:style>
  <w:style w:type="paragraph" w:styleId="24">
    <w:name w:val="footer"/>
    <w:basedOn w:val="1"/>
    <w:qFormat/>
    <w:uiPriority w:val="99"/>
    <w:pPr>
      <w:tabs>
        <w:tab w:val="center" w:pos="4153"/>
        <w:tab w:val="right" w:pos="8306"/>
      </w:tabs>
      <w:snapToGrid w:val="0"/>
    </w:pPr>
    <w:rPr>
      <w:sz w:val="18"/>
      <w:szCs w:val="20"/>
    </w:rPr>
  </w:style>
  <w:style w:type="paragraph" w:styleId="25">
    <w:name w:val="envelope return"/>
    <w:basedOn w:val="1"/>
    <w:qFormat/>
    <w:uiPriority w:val="0"/>
    <w:pPr>
      <w:snapToGrid w:val="0"/>
    </w:pPr>
    <w:rPr>
      <w:rFonts w:ascii="Arial" w:hAnsi="Arial"/>
    </w:rPr>
  </w:style>
  <w:style w:type="paragraph" w:styleId="26">
    <w:name w:val="toc 1"/>
    <w:basedOn w:val="1"/>
    <w:next w:val="1"/>
    <w:qFormat/>
    <w:uiPriority w:val="0"/>
    <w:pPr>
      <w:adjustRightInd w:val="0"/>
      <w:snapToGrid w:val="0"/>
      <w:spacing w:line="280" w:lineRule="exact"/>
      <w:jc w:val="center"/>
    </w:pPr>
    <w:rPr>
      <w:sz w:val="24"/>
      <w:szCs w:val="20"/>
    </w:rPr>
  </w:style>
  <w:style w:type="paragraph" w:styleId="27">
    <w:name w:val="Subtitle"/>
    <w:basedOn w:val="1"/>
    <w:next w:val="1"/>
    <w:qFormat/>
    <w:uiPriority w:val="0"/>
    <w:pPr>
      <w:widowControl/>
      <w:adjustRightInd w:val="0"/>
      <w:snapToGrid w:val="0"/>
      <w:jc w:val="center"/>
      <w:textAlignment w:val="center"/>
    </w:pPr>
    <w:rPr>
      <w:color w:val="000000"/>
      <w:szCs w:val="21"/>
    </w:rPr>
  </w:style>
  <w:style w:type="paragraph" w:styleId="28">
    <w:name w:val="toc 2"/>
    <w:basedOn w:val="1"/>
    <w:next w:val="1"/>
    <w:qFormat/>
    <w:uiPriority w:val="0"/>
    <w:pPr>
      <w:ind w:left="420" w:leftChars="200"/>
    </w:pPr>
  </w:style>
  <w:style w:type="paragraph" w:styleId="29">
    <w:name w:val="Normal (Web)"/>
    <w:basedOn w:val="1"/>
    <w:qFormat/>
    <w:uiPriority w:val="0"/>
    <w:pPr>
      <w:widowControl/>
      <w:autoSpaceDE/>
      <w:autoSpaceDN/>
      <w:spacing w:beforeAutospacing="1" w:afterAutospacing="1"/>
    </w:pPr>
    <w:rPr>
      <w:rFonts w:cs="Times New Roman"/>
      <w:sz w:val="24"/>
      <w:szCs w:val="24"/>
      <w:lang w:val="en-US" w:bidi="ar-SA"/>
    </w:rPr>
  </w:style>
  <w:style w:type="paragraph" w:styleId="30">
    <w:name w:val="Title"/>
    <w:basedOn w:val="1"/>
    <w:next w:val="1"/>
    <w:qFormat/>
    <w:uiPriority w:val="10"/>
    <w:pPr>
      <w:spacing w:line="360" w:lineRule="exact"/>
      <w:jc w:val="center"/>
    </w:pPr>
    <w:rPr>
      <w:bCs/>
      <w:sz w:val="20"/>
      <w:szCs w:val="32"/>
    </w:rPr>
  </w:style>
  <w:style w:type="paragraph" w:styleId="31">
    <w:name w:val="annotation subject"/>
    <w:basedOn w:val="11"/>
    <w:next w:val="11"/>
    <w:link w:val="93"/>
    <w:qFormat/>
    <w:uiPriority w:val="0"/>
    <w:rPr>
      <w:b/>
      <w:bCs/>
    </w:rPr>
  </w:style>
  <w:style w:type="paragraph" w:styleId="32">
    <w:name w:val="Body Text First Indent"/>
    <w:basedOn w:val="12"/>
    <w:next w:val="1"/>
    <w:qFormat/>
    <w:uiPriority w:val="0"/>
    <w:pPr>
      <w:ind w:firstLine="420" w:firstLineChars="100"/>
    </w:pPr>
    <w:rPr>
      <w:szCs w:val="24"/>
    </w:rPr>
  </w:style>
  <w:style w:type="paragraph" w:styleId="33">
    <w:name w:val="Body Text First Indent 2"/>
    <w:basedOn w:val="13"/>
    <w:next w:val="1"/>
    <w:qFormat/>
    <w:uiPriority w:val="0"/>
    <w:pPr>
      <w:spacing w:after="120" w:line="240" w:lineRule="auto"/>
      <w:ind w:left="420" w:leftChars="200" w:firstLine="420" w:firstLineChars="200"/>
    </w:pPr>
    <w:rPr>
      <w:sz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7">
    <w:name w:val="Strong"/>
    <w:basedOn w:val="36"/>
    <w:qFormat/>
    <w:uiPriority w:val="0"/>
    <w:rPr>
      <w:b/>
    </w:rPr>
  </w:style>
  <w:style w:type="character" w:styleId="38">
    <w:name w:val="page number"/>
    <w:basedOn w:val="36"/>
    <w:qFormat/>
    <w:uiPriority w:val="0"/>
  </w:style>
  <w:style w:type="character" w:styleId="39">
    <w:name w:val="Emphasis"/>
    <w:basedOn w:val="36"/>
    <w:qFormat/>
    <w:uiPriority w:val="0"/>
    <w:rPr>
      <w:i/>
    </w:rPr>
  </w:style>
  <w:style w:type="character" w:styleId="40">
    <w:name w:val="Hyperlink"/>
    <w:basedOn w:val="36"/>
    <w:qFormat/>
    <w:uiPriority w:val="0"/>
    <w:rPr>
      <w:color w:val="0000FF"/>
      <w:u w:val="single"/>
    </w:rPr>
  </w:style>
  <w:style w:type="character" w:styleId="41">
    <w:name w:val="annotation reference"/>
    <w:basedOn w:val="36"/>
    <w:qFormat/>
    <w:uiPriority w:val="0"/>
    <w:rPr>
      <w:sz w:val="21"/>
      <w:szCs w:val="21"/>
    </w:rPr>
  </w:style>
  <w:style w:type="paragraph" w:customStyle="1" w:styleId="42">
    <w:name w:val="表格文字"/>
    <w:basedOn w:val="13"/>
    <w:next w:val="1"/>
    <w:autoRedefine/>
    <w:qFormat/>
    <w:uiPriority w:val="0"/>
    <w:pPr>
      <w:spacing w:line="400" w:lineRule="exact"/>
      <w:jc w:val="center"/>
    </w:pPr>
    <w:rPr>
      <w:szCs w:val="24"/>
      <w:u w:color="000000"/>
    </w:rPr>
  </w:style>
  <w:style w:type="paragraph" w:customStyle="1" w:styleId="43">
    <w:name w:val="我的标题3"/>
    <w:basedOn w:val="4"/>
    <w:qFormat/>
    <w:uiPriority w:val="0"/>
    <w:pPr>
      <w:numPr>
        <w:ilvl w:val="0"/>
        <w:numId w:val="1"/>
      </w:numPr>
      <w:spacing w:line="360" w:lineRule="auto"/>
    </w:pPr>
    <w:rPr>
      <w:rFonts w:eastAsia="黑体"/>
      <w:color w:val="000000"/>
      <w:sz w:val="24"/>
      <w:szCs w:val="24"/>
      <w:lang w:val="zh-CN"/>
    </w:rPr>
  </w:style>
  <w:style w:type="paragraph" w:customStyle="1" w:styleId="44">
    <w:name w:val="表"/>
    <w:basedOn w:val="45"/>
    <w:qFormat/>
    <w:uiPriority w:val="0"/>
    <w:pPr>
      <w:spacing w:line="440" w:lineRule="exact"/>
      <w:ind w:firstLine="200" w:firstLineChars="200"/>
      <w:jc w:val="both"/>
    </w:pPr>
    <w:rPr>
      <w:rFonts w:ascii="Times New Roman" w:hAnsi="Times New Roman" w:cs="Times New Roman"/>
      <w:sz w:val="24"/>
      <w:lang w:val="en-US" w:bidi="ar-SA"/>
    </w:rPr>
  </w:style>
  <w:style w:type="paragraph" w:customStyle="1" w:styleId="45">
    <w:name w:val="1.1"/>
    <w:basedOn w:val="1"/>
    <w:qFormat/>
    <w:uiPriority w:val="0"/>
    <w:rPr>
      <w:rFonts w:ascii="黑体"/>
      <w:sz w:val="30"/>
    </w:rPr>
  </w:style>
  <w:style w:type="paragraph" w:customStyle="1" w:styleId="46">
    <w:name w:val="_Style 632"/>
    <w:basedOn w:val="1"/>
    <w:qFormat/>
    <w:uiPriority w:val="0"/>
    <w:pPr>
      <w:adjustRightInd w:val="0"/>
      <w:snapToGrid w:val="0"/>
      <w:spacing w:line="360" w:lineRule="auto"/>
      <w:ind w:firstLine="200" w:firstLineChars="200"/>
    </w:pPr>
    <w:rPr>
      <w:sz w:val="21"/>
      <w:szCs w:val="24"/>
    </w:rPr>
  </w:style>
  <w:style w:type="paragraph" w:customStyle="1" w:styleId="47">
    <w:name w:val="Normal Indent1"/>
    <w:basedOn w:val="1"/>
    <w:next w:val="1"/>
    <w:qFormat/>
    <w:uiPriority w:val="0"/>
    <w:pPr>
      <w:adjustRightInd w:val="0"/>
      <w:snapToGrid w:val="0"/>
      <w:spacing w:line="460" w:lineRule="atLeast"/>
      <w:ind w:firstLine="200" w:firstLineChars="200"/>
    </w:pPr>
    <w:rPr>
      <w:kern w:val="2"/>
      <w:sz w:val="28"/>
      <w:lang w:val="en-US"/>
    </w:rPr>
  </w:style>
  <w:style w:type="paragraph" w:customStyle="1" w:styleId="48">
    <w:name w:val="Default"/>
    <w:basedOn w:val="49"/>
    <w:qFormat/>
    <w:uiPriority w:val="0"/>
    <w:pPr>
      <w:autoSpaceDE w:val="0"/>
      <w:autoSpaceDN w:val="0"/>
      <w:adjustRightInd w:val="0"/>
    </w:pPr>
    <w:rPr>
      <w:rFonts w:ascii="Times New Roman" w:hAnsi="Times New Roman" w:eastAsia="宋体"/>
      <w:color w:val="000000"/>
      <w:sz w:val="24"/>
      <w:szCs w:val="24"/>
    </w:rPr>
  </w:style>
  <w:style w:type="paragraph" w:customStyle="1" w:styleId="49">
    <w:name w:val="纯文本1"/>
    <w:basedOn w:val="50"/>
    <w:qFormat/>
    <w:uiPriority w:val="0"/>
    <w:rPr>
      <w:rFonts w:ascii="宋体" w:hAnsi="Courier New"/>
      <w:szCs w:val="21"/>
    </w:rPr>
  </w:style>
  <w:style w:type="paragraph" w:customStyle="1" w:styleId="50">
    <w:name w:val="正文_0"/>
    <w:next w:val="49"/>
    <w:autoRedefine/>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51">
    <w:name w:val="index 51"/>
    <w:basedOn w:val="1"/>
    <w:next w:val="1"/>
    <w:qFormat/>
    <w:uiPriority w:val="0"/>
    <w:pPr>
      <w:ind w:left="1680"/>
    </w:pPr>
    <w:rPr>
      <w:rFonts w:ascii="Calibri" w:hAnsi="Calibri"/>
    </w:rPr>
  </w:style>
  <w:style w:type="paragraph" w:customStyle="1" w:styleId="52">
    <w:name w:val="样式 正文文本 + 首行缩进:  2 字符"/>
    <w:basedOn w:val="12"/>
    <w:qFormat/>
    <w:uiPriority w:val="99"/>
    <w:pPr>
      <w:spacing w:after="200" w:line="480" w:lineRule="exact"/>
      <w:ind w:firstLine="480" w:firstLineChars="200"/>
    </w:pPr>
    <w:rPr>
      <w:rFonts w:ascii="宋体" w:hAnsi="宋体" w:eastAsia="宋体" w:cs="Times New Roman"/>
      <w:sz w:val="24"/>
      <w:lang w:val="en-US" w:bidi="ar-SA"/>
    </w:rPr>
  </w:style>
  <w:style w:type="table" w:customStyle="1" w:styleId="53">
    <w:name w:val="Table Normal"/>
    <w:semiHidden/>
    <w:unhideWhenUsed/>
    <w:qFormat/>
    <w:uiPriority w:val="2"/>
    <w:tblPr>
      <w:tblCellMar>
        <w:top w:w="0" w:type="dxa"/>
        <w:left w:w="0" w:type="dxa"/>
        <w:bottom w:w="0" w:type="dxa"/>
        <w:right w:w="0" w:type="dxa"/>
      </w:tblCellMar>
    </w:tblPr>
  </w:style>
  <w:style w:type="paragraph" w:styleId="54">
    <w:name w:val="List Paragraph"/>
    <w:basedOn w:val="1"/>
    <w:qFormat/>
    <w:uiPriority w:val="1"/>
  </w:style>
  <w:style w:type="paragraph" w:customStyle="1" w:styleId="55">
    <w:name w:val="Table Paragraph"/>
    <w:basedOn w:val="1"/>
    <w:qFormat/>
    <w:uiPriority w:val="1"/>
  </w:style>
  <w:style w:type="paragraph" w:customStyle="1" w:styleId="56">
    <w:name w:val="Char Char Char Char"/>
    <w:basedOn w:val="1"/>
    <w:qFormat/>
    <w:uiPriority w:val="0"/>
  </w:style>
  <w:style w:type="paragraph" w:customStyle="1" w:styleId="57">
    <w:name w:val="表文"/>
    <w:basedOn w:val="1"/>
    <w:qFormat/>
    <w:uiPriority w:val="0"/>
    <w:pPr>
      <w:widowControl/>
      <w:adjustRightInd w:val="0"/>
      <w:snapToGrid w:val="0"/>
      <w:spacing w:line="240" w:lineRule="atLeast"/>
      <w:jc w:val="center"/>
    </w:pPr>
    <w:rPr>
      <w:rFonts w:ascii="Times New Roman" w:hAnsi="Times New Roman" w:cs="Times New Roman"/>
      <w:spacing w:val="-12"/>
      <w:sz w:val="21"/>
      <w:szCs w:val="21"/>
      <w:lang w:val="en-US" w:bidi="ar-SA"/>
    </w:rPr>
  </w:style>
  <w:style w:type="paragraph" w:customStyle="1" w:styleId="58">
    <w:name w:val="表头"/>
    <w:qFormat/>
    <w:uiPriority w:val="0"/>
    <w:pPr>
      <w:spacing w:line="480" w:lineRule="exact"/>
      <w:jc w:val="center"/>
    </w:pPr>
    <w:rPr>
      <w:rFonts w:ascii="Times New Roman" w:hAnsi="Times New Roman" w:eastAsia="宋体" w:cs="Times New Roman"/>
      <w:b/>
      <w:snapToGrid w:val="0"/>
      <w:sz w:val="24"/>
      <w:lang w:val="en-US" w:eastAsia="zh-CN" w:bidi="ar-SA"/>
    </w:rPr>
  </w:style>
  <w:style w:type="paragraph" w:customStyle="1" w:styleId="59">
    <w:name w:val="表格"/>
    <w:basedOn w:val="12"/>
    <w:next w:val="1"/>
    <w:qFormat/>
    <w:uiPriority w:val="0"/>
    <w:pPr>
      <w:adjustRightInd w:val="0"/>
      <w:snapToGrid w:val="0"/>
      <w:spacing w:line="360" w:lineRule="exact"/>
      <w:jc w:val="center"/>
      <w:textAlignment w:val="baseline"/>
    </w:pPr>
  </w:style>
  <w:style w:type="paragraph" w:customStyle="1" w:styleId="60">
    <w:name w:val="表内容@"/>
    <w:basedOn w:val="1"/>
    <w:qFormat/>
    <w:uiPriority w:val="0"/>
    <w:pPr>
      <w:spacing w:line="0" w:lineRule="atLeast"/>
      <w:jc w:val="center"/>
    </w:pPr>
  </w:style>
  <w:style w:type="character" w:customStyle="1" w:styleId="61">
    <w:name w:val="fontstyle11"/>
    <w:qFormat/>
    <w:uiPriority w:val="0"/>
    <w:rPr>
      <w:rFonts w:ascii="TimesNewRomanPSMT" w:hAnsi="TimesNewRomanPSMT" w:eastAsia="TimesNewRomanPSMT" w:cs="TimesNewRomanPSMT"/>
      <w:color w:val="000000"/>
      <w:sz w:val="24"/>
      <w:szCs w:val="24"/>
    </w:rPr>
  </w:style>
  <w:style w:type="paragraph" w:customStyle="1" w:styleId="62">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63">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64">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65">
    <w:name w:val="正文首行缩进 Char"/>
    <w:semiHidden/>
    <w:qFormat/>
    <w:uiPriority w:val="0"/>
    <w:rPr>
      <w:rFonts w:ascii="Arial" w:hAnsi="Arial" w:eastAsia="宋体"/>
      <w:snapToGrid w:val="0"/>
      <w:kern w:val="28"/>
      <w:sz w:val="24"/>
      <w:szCs w:val="24"/>
      <w:lang w:val="en-US" w:eastAsia="zh-CN" w:bidi="ar-SA"/>
    </w:rPr>
  </w:style>
  <w:style w:type="paragraph" w:customStyle="1" w:styleId="66">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67">
    <w:name w:val="font21"/>
    <w:basedOn w:val="36"/>
    <w:qFormat/>
    <w:uiPriority w:val="0"/>
    <w:rPr>
      <w:rFonts w:hint="eastAsia" w:ascii="宋体" w:hAnsi="宋体" w:eastAsia="宋体" w:cs="宋体"/>
      <w:color w:val="000000"/>
      <w:sz w:val="22"/>
      <w:szCs w:val="22"/>
      <w:u w:val="none"/>
    </w:rPr>
  </w:style>
  <w:style w:type="character" w:customStyle="1" w:styleId="68">
    <w:name w:val="font11"/>
    <w:basedOn w:val="36"/>
    <w:qFormat/>
    <w:uiPriority w:val="0"/>
    <w:rPr>
      <w:rFonts w:hint="default" w:ascii="Times New Roman" w:hAnsi="Times New Roman" w:cs="Times New Roman"/>
      <w:color w:val="000000"/>
      <w:sz w:val="22"/>
      <w:szCs w:val="22"/>
      <w:u w:val="none"/>
    </w:rPr>
  </w:style>
  <w:style w:type="character" w:customStyle="1" w:styleId="69">
    <w:name w:val="font51"/>
    <w:basedOn w:val="36"/>
    <w:qFormat/>
    <w:uiPriority w:val="0"/>
    <w:rPr>
      <w:rFonts w:hint="default" w:ascii="Arial Unicode MS" w:hAnsi="Arial Unicode MS" w:eastAsia="Arial Unicode MS" w:cs="Arial Unicode MS"/>
      <w:color w:val="000000"/>
      <w:sz w:val="24"/>
      <w:szCs w:val="24"/>
      <w:u w:val="none"/>
      <w:vertAlign w:val="superscript"/>
    </w:rPr>
  </w:style>
  <w:style w:type="character" w:customStyle="1" w:styleId="70">
    <w:name w:val="font41"/>
    <w:basedOn w:val="36"/>
    <w:qFormat/>
    <w:uiPriority w:val="0"/>
    <w:rPr>
      <w:rFonts w:hint="default" w:ascii="Arial Unicode MS" w:hAnsi="Arial Unicode MS" w:eastAsia="Arial Unicode MS" w:cs="Arial Unicode MS"/>
      <w:color w:val="000000"/>
      <w:sz w:val="24"/>
      <w:szCs w:val="24"/>
      <w:u w:val="none"/>
    </w:rPr>
  </w:style>
  <w:style w:type="paragraph" w:customStyle="1" w:styleId="71">
    <w:name w:val="p0"/>
    <w:basedOn w:val="1"/>
    <w:qFormat/>
    <w:uiPriority w:val="0"/>
    <w:pPr>
      <w:widowControl/>
    </w:pPr>
    <w:rPr>
      <w:szCs w:val="21"/>
    </w:rPr>
  </w:style>
  <w:style w:type="paragraph" w:customStyle="1" w:styleId="72">
    <w:name w:val="正"/>
    <w:basedOn w:val="1"/>
    <w:qFormat/>
    <w:uiPriority w:val="0"/>
    <w:pPr>
      <w:spacing w:line="360" w:lineRule="auto"/>
      <w:ind w:firstLine="200" w:firstLineChars="200"/>
    </w:pPr>
    <w:rPr>
      <w:sz w:val="24"/>
    </w:rPr>
  </w:style>
  <w:style w:type="paragraph" w:customStyle="1" w:styleId="73">
    <w:name w:val="样式 样式 样式 四号 左侧:  1.53 厘米 + 首行缩进:  2 字符 + 居中 左侧:  2 字符 首行缩进:  2..."/>
    <w:basedOn w:val="74"/>
    <w:qFormat/>
    <w:uiPriority w:val="0"/>
    <w:pPr>
      <w:jc w:val="center"/>
    </w:pPr>
  </w:style>
  <w:style w:type="paragraph" w:customStyle="1" w:styleId="74">
    <w:name w:val="样式 样式 四号 左侧:  1.53 厘米 + 首行缩进:  2 字符"/>
    <w:basedOn w:val="75"/>
    <w:qFormat/>
    <w:uiPriority w:val="0"/>
    <w:pPr>
      <w:ind w:left="200" w:leftChars="200"/>
    </w:pPr>
    <w:rPr>
      <w:szCs w:val="20"/>
    </w:rPr>
  </w:style>
  <w:style w:type="paragraph" w:customStyle="1" w:styleId="75">
    <w:name w:val="样式 四号 左侧:  1.53 厘米"/>
    <w:basedOn w:val="1"/>
    <w:qFormat/>
    <w:uiPriority w:val="0"/>
    <w:pPr>
      <w:adjustRightInd w:val="0"/>
    </w:pPr>
    <w:rPr>
      <w:w w:val="90"/>
      <w:sz w:val="28"/>
      <w:szCs w:val="28"/>
    </w:rPr>
  </w:style>
  <w:style w:type="paragraph" w:customStyle="1" w:styleId="76">
    <w:name w:val="NormalIndent"/>
    <w:basedOn w:val="1"/>
    <w:next w:val="77"/>
    <w:qFormat/>
    <w:uiPriority w:val="0"/>
    <w:pPr>
      <w:ind w:firstLine="420" w:firstLineChars="200"/>
      <w:jc w:val="both"/>
      <w:textAlignment w:val="baseline"/>
    </w:pPr>
  </w:style>
  <w:style w:type="paragraph" w:customStyle="1" w:styleId="77">
    <w:name w:val="PlainText"/>
    <w:basedOn w:val="1"/>
    <w:qFormat/>
    <w:uiPriority w:val="0"/>
    <w:pPr>
      <w:jc w:val="both"/>
      <w:textAlignment w:val="baseline"/>
    </w:pPr>
    <w:rPr>
      <w:rFonts w:hAnsi="Courier New"/>
      <w:kern w:val="2"/>
      <w:sz w:val="21"/>
      <w:szCs w:val="20"/>
      <w:lang w:val="en-US" w:bidi="ar-SA"/>
    </w:rPr>
  </w:style>
  <w:style w:type="paragraph" w:customStyle="1" w:styleId="78">
    <w:name w:val="表格内容"/>
    <w:qFormat/>
    <w:uiPriority w:val="0"/>
    <w:pPr>
      <w:adjustRightInd w:val="0"/>
      <w:snapToGrid w:val="0"/>
      <w:spacing w:line="360" w:lineRule="exact"/>
      <w:jc w:val="center"/>
    </w:pPr>
    <w:rPr>
      <w:rFonts w:ascii="Times New Roman" w:hAnsi="Times New Roman" w:eastAsia="宋体" w:cs="Times New Roman"/>
      <w:color w:val="000000"/>
      <w:sz w:val="21"/>
      <w:szCs w:val="24"/>
      <w:lang w:val="en-US" w:eastAsia="zh-CN" w:bidi="ar-SA"/>
    </w:rPr>
  </w:style>
  <w:style w:type="character" w:customStyle="1" w:styleId="79">
    <w:name w:val="标题 3 Char"/>
    <w:link w:val="4"/>
    <w:qFormat/>
    <w:uiPriority w:val="0"/>
    <w:rPr>
      <w:rFonts w:hint="eastAsia" w:ascii="宋体" w:hAnsi="宋体" w:eastAsia="宋体" w:cs="宋体"/>
      <w:b/>
      <w:bCs/>
      <w:kern w:val="0"/>
      <w:sz w:val="27"/>
      <w:szCs w:val="27"/>
      <w:lang w:val="en-US" w:eastAsia="zh-CN" w:bidi="ar"/>
    </w:rPr>
  </w:style>
  <w:style w:type="paragraph" w:customStyle="1" w:styleId="80">
    <w:name w:val="A-表格文字"/>
    <w:basedOn w:val="1"/>
    <w:next w:val="81"/>
    <w:qFormat/>
    <w:uiPriority w:val="0"/>
    <w:pPr>
      <w:adjustRightInd w:val="0"/>
      <w:jc w:val="center"/>
      <w:textAlignment w:val="center"/>
    </w:pPr>
    <w:rPr>
      <w:szCs w:val="21"/>
    </w:rPr>
  </w:style>
  <w:style w:type="paragraph" w:customStyle="1" w:styleId="81">
    <w:name w:val="A-z正文"/>
    <w:basedOn w:val="1"/>
    <w:qFormat/>
    <w:uiPriority w:val="0"/>
    <w:pPr>
      <w:spacing w:line="360" w:lineRule="auto"/>
      <w:ind w:firstLine="200" w:firstLineChars="200"/>
    </w:pPr>
    <w:rPr>
      <w:sz w:val="24"/>
    </w:rPr>
  </w:style>
  <w:style w:type="paragraph" w:customStyle="1" w:styleId="82">
    <w:name w:val="正文正"/>
    <w:basedOn w:val="1"/>
    <w:qFormat/>
    <w:uiPriority w:val="0"/>
    <w:pPr>
      <w:ind w:firstLine="560" w:firstLineChars="200"/>
    </w:pPr>
    <w:rPr>
      <w:sz w:val="28"/>
    </w:rPr>
  </w:style>
  <w:style w:type="paragraph" w:customStyle="1" w:styleId="83">
    <w:name w:val="环评表格"/>
    <w:basedOn w:val="1"/>
    <w:qFormat/>
    <w:uiPriority w:val="0"/>
    <w:pPr>
      <w:jc w:val="center"/>
    </w:pPr>
    <w:rPr>
      <w:sz w:val="21"/>
      <w:szCs w:val="20"/>
    </w:rPr>
  </w:style>
  <w:style w:type="paragraph" w:customStyle="1" w:styleId="84">
    <w:name w:val="正文-自建"/>
    <w:qFormat/>
    <w:uiPriority w:val="0"/>
    <w:pPr>
      <w:spacing w:before="120" w:after="240"/>
      <w:ind w:firstLine="200" w:firstLineChars="200"/>
    </w:pPr>
    <w:rPr>
      <w:rFonts w:ascii="Times New Roman" w:hAnsi="Times New Roman" w:eastAsia="宋体" w:cs="Times New Roman"/>
      <w:sz w:val="28"/>
      <w:szCs w:val="28"/>
      <w:lang w:val="en-US" w:eastAsia="zh-CN" w:bidi="ar-SA"/>
    </w:rPr>
  </w:style>
  <w:style w:type="paragraph" w:customStyle="1" w:styleId="85">
    <w:name w:val="xl24"/>
    <w:basedOn w:val="1"/>
    <w:qFormat/>
    <w:uiPriority w:val="0"/>
    <w:pPr>
      <w:widowControl/>
      <w:spacing w:before="100" w:beforeAutospacing="1" w:after="100" w:afterAutospacing="1"/>
      <w:jc w:val="center"/>
    </w:pPr>
    <w:rPr>
      <w:sz w:val="24"/>
    </w:rPr>
  </w:style>
  <w:style w:type="character" w:customStyle="1" w:styleId="86">
    <w:name w:val="正文文字 Char"/>
    <w:qFormat/>
    <w:uiPriority w:val="0"/>
    <w:rPr>
      <w:rFonts w:eastAsia="宋体"/>
      <w:kern w:val="2"/>
      <w:sz w:val="24"/>
      <w:szCs w:val="24"/>
      <w:lang w:val="en-US" w:eastAsia="zh-CN" w:bidi="ar-SA"/>
    </w:rPr>
  </w:style>
  <w:style w:type="character" w:customStyle="1" w:styleId="87">
    <w:name w:val="font71"/>
    <w:basedOn w:val="36"/>
    <w:qFormat/>
    <w:uiPriority w:val="0"/>
    <w:rPr>
      <w:rFonts w:hint="default" w:ascii="Times New Roman" w:hAnsi="Times New Roman" w:cs="Times New Roman"/>
      <w:b/>
      <w:bCs/>
      <w:color w:val="000000"/>
      <w:sz w:val="22"/>
      <w:szCs w:val="22"/>
      <w:u w:val="none"/>
    </w:rPr>
  </w:style>
  <w:style w:type="character" w:customStyle="1" w:styleId="88">
    <w:name w:val="font01"/>
    <w:basedOn w:val="36"/>
    <w:qFormat/>
    <w:uiPriority w:val="0"/>
    <w:rPr>
      <w:rFonts w:hint="eastAsia" w:ascii="宋体" w:hAnsi="宋体" w:eastAsia="宋体" w:cs="宋体"/>
      <w:color w:val="000000"/>
      <w:sz w:val="22"/>
      <w:szCs w:val="22"/>
      <w:u w:val="none"/>
    </w:rPr>
  </w:style>
  <w:style w:type="character" w:customStyle="1" w:styleId="89">
    <w:name w:val="font81"/>
    <w:basedOn w:val="36"/>
    <w:qFormat/>
    <w:uiPriority w:val="0"/>
    <w:rPr>
      <w:rFonts w:hint="default" w:ascii="Times New Roman" w:hAnsi="Times New Roman" w:cs="Times New Roman"/>
      <w:color w:val="000000"/>
      <w:sz w:val="22"/>
      <w:szCs w:val="22"/>
      <w:u w:val="none"/>
      <w:vertAlign w:val="superscript"/>
    </w:rPr>
  </w:style>
  <w:style w:type="character" w:customStyle="1" w:styleId="90">
    <w:name w:val="font61"/>
    <w:basedOn w:val="36"/>
    <w:qFormat/>
    <w:uiPriority w:val="0"/>
    <w:rPr>
      <w:rFonts w:hint="default" w:ascii="Times New Roman" w:hAnsi="Times New Roman" w:cs="Times New Roman"/>
      <w:color w:val="000000"/>
      <w:sz w:val="21"/>
      <w:szCs w:val="21"/>
      <w:u w:val="none"/>
    </w:rPr>
  </w:style>
  <w:style w:type="paragraph" w:customStyle="1" w:styleId="91">
    <w:name w:val="样式 题注图表注 + (西文) 宋体 小四"/>
    <w:basedOn w:val="10"/>
    <w:qFormat/>
    <w:uiPriority w:val="0"/>
    <w:pPr>
      <w:ind w:firstLine="482"/>
      <w:jc w:val="center"/>
    </w:pPr>
    <w:rPr>
      <w:rFonts w:ascii="宋体" w:hAnsi="宋体" w:eastAsia="宋体"/>
      <w:sz w:val="24"/>
    </w:rPr>
  </w:style>
  <w:style w:type="character" w:customStyle="1" w:styleId="92">
    <w:name w:val="批注文字 Char"/>
    <w:basedOn w:val="36"/>
    <w:link w:val="11"/>
    <w:qFormat/>
    <w:uiPriority w:val="0"/>
    <w:rPr>
      <w:rFonts w:ascii="宋体" w:hAnsi="宋体" w:cs="宋体"/>
      <w:sz w:val="22"/>
      <w:szCs w:val="22"/>
      <w:lang w:val="zh-CN" w:bidi="zh-CN"/>
    </w:rPr>
  </w:style>
  <w:style w:type="character" w:customStyle="1" w:styleId="93">
    <w:name w:val="批注主题 Char"/>
    <w:basedOn w:val="92"/>
    <w:link w:val="31"/>
    <w:qFormat/>
    <w:uiPriority w:val="0"/>
    <w:rPr>
      <w:rFonts w:ascii="宋体" w:hAnsi="宋体" w:cs="宋体"/>
      <w:b/>
      <w:bCs/>
      <w:sz w:val="22"/>
      <w:szCs w:val="22"/>
      <w:lang w:val="zh-CN" w:bidi="zh-CN"/>
    </w:rPr>
  </w:style>
  <w:style w:type="character" w:customStyle="1" w:styleId="94">
    <w:name w:val="批注框文本 Char"/>
    <w:basedOn w:val="36"/>
    <w:link w:val="23"/>
    <w:qFormat/>
    <w:uiPriority w:val="0"/>
    <w:rPr>
      <w:rFonts w:ascii="宋体" w:hAnsi="宋体" w:cs="宋体"/>
      <w:sz w:val="18"/>
      <w:szCs w:val="18"/>
      <w:lang w:val="zh-CN" w:bidi="zh-CN"/>
    </w:rPr>
  </w:style>
  <w:style w:type="paragraph" w:customStyle="1" w:styleId="95">
    <w:name w:val="xl27"/>
    <w:basedOn w:val="6"/>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96">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97">
    <w:name w:val="aaa正文"/>
    <w:qFormat/>
    <w:uiPriority w:val="0"/>
    <w:pPr>
      <w:spacing w:line="480" w:lineRule="exact"/>
      <w:ind w:firstLine="200" w:firstLineChars="200"/>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24807</Words>
  <Characters>26227</Characters>
  <Lines>452</Lines>
  <Paragraphs>127</Paragraphs>
  <TotalTime>33</TotalTime>
  <ScaleCrop>false</ScaleCrop>
  <LinksUpToDate>false</LinksUpToDate>
  <CharactersWithSpaces>26409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2021-03-19T00:58:00Z</dcterms:created>
  <dc:creator>lhj</dc:creator>
  <cp:lastModifiedBy>AD</cp:lastModifiedBy>
  <cp:lastPrinted>2025-06-20T05:30:05Z</cp:lastPrinted>
  <dcterms:modified xsi:type="dcterms:W3CDTF">2025-06-20T05:54:37Z</dcterms:modified>
  <dc:title>附件2</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2052-12.1.0.21541</vt:lpwstr>
  </property>
  <property fmtid="{D5CDD505-2E9C-101B-9397-08002B2CF9AE}" pid="6" name="ICV">
    <vt:lpwstr>92F29823793F4D6BA7063BC2EB0E5D21_13</vt:lpwstr>
  </property>
  <property fmtid="{D5CDD505-2E9C-101B-9397-08002B2CF9AE}" pid="7" name="commondata">
    <vt:lpwstr>eyJoZGlkIjoiOWU3NDk0YzYwMDFkNjBhZDA5MDVhYTY2ZDQyODBiNTkifQ==</vt:lpwstr>
  </property>
  <property fmtid="{D5CDD505-2E9C-101B-9397-08002B2CF9AE}" pid="8" name="KSOTemplateDocerSaveRecord">
    <vt:lpwstr>eyJoZGlkIjoiODAxYjViYmRjMjhiMGMzZTE2Y2Q5ZmNiOTkwNDY0OWYiLCJ1c2VySWQiOiIxMTQ3ODIyMzE4In0=</vt:lpwstr>
  </property>
</Properties>
</file>