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4" w:space="0"/>
          <w:right w:val="none" w:color="auto" w:sz="0" w:space="0"/>
        </w:pBdr>
        <w:spacing w:before="0" w:beforeAutospacing="0" w:after="0" w:afterAutospacing="0" w:line="1080" w:lineRule="atLeast"/>
        <w:ind w:left="0" w:right="0"/>
        <w:jc w:val="center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8"/>
          <w:szCs w:val="28"/>
        </w:rPr>
        <w:t> </w:t>
      </w:r>
      <w:r>
        <w:rPr>
          <w:rStyle w:val="5"/>
          <w:rFonts w:hint="eastAsia" w:ascii="微软雅黑" w:hAnsi="微软雅黑" w:eastAsia="微软雅黑" w:cs="微软雅黑"/>
          <w:color w:val="333333"/>
          <w:spacing w:val="0"/>
          <w:sz w:val="28"/>
          <w:szCs w:val="28"/>
        </w:rPr>
        <w:t>魏县卫生健康局202</w:t>
      </w:r>
      <w:r>
        <w:rPr>
          <w:rStyle w:val="5"/>
          <w:rFonts w:hint="eastAsia" w:ascii="微软雅黑" w:hAnsi="微软雅黑" w:cs="微软雅黑"/>
          <w:color w:val="333333"/>
          <w:spacing w:val="0"/>
          <w:sz w:val="28"/>
          <w:szCs w:val="28"/>
          <w:lang w:val="en-US" w:eastAsia="zh-CN"/>
        </w:rPr>
        <w:t>4</w:t>
      </w:r>
      <w:r>
        <w:rPr>
          <w:rStyle w:val="5"/>
          <w:rFonts w:hint="eastAsia" w:ascii="微软雅黑" w:hAnsi="微软雅黑" w:eastAsia="微软雅黑" w:cs="微软雅黑"/>
          <w:color w:val="333333"/>
          <w:spacing w:val="0"/>
          <w:sz w:val="28"/>
          <w:szCs w:val="28"/>
        </w:rPr>
        <w:t>年度政府信息公开年报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一、 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202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年以来，我局高度重视政府信息公开工作，认真贯彻落实《中华人民共和国政府信息公开条例》，按照县政府政府信息公开工作的要求，我局高度重视，认真落实政府信息公开和政务公开各项工作。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（一）健全管理机构。进一步健全局信息公开工作领导小组，领导小组办公室设在局办公室，安排专人负责信息公开工作，加强对该工作的组织领导，保证政府信息公开工作规范开展。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（二）规范信息管理。根据政府信息公开相关规定，结合工作实际，进一步完善信息公开管理制度，明确了我局政府信息公开工作的组织机构、公开方式等，推进政府信息公开工作规范化有序开展。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（三）加强平台管理。安排专人负责管理和维护局政府信息公开平台，妥善保存登录密码，确保平台正常运转。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（四）主动公开情况。202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年，我局重点对工作动态、公开指南、政策解读、疫情防控、卫生健康服务、双随机、一公开、公告公示等情况进行了公开。通过党政网、信息公开平台主动公开日常工作动态、环保监管、行政执法公示、部门预决算等信息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  <w:lang w:val="en-US" w:eastAsia="zh-CN"/>
        </w:rPr>
        <w:t>40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20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（五）依申请公开政府信息情况。202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年度，没有受理依申请公开政府信息。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 w:line="384" w:lineRule="atLeast"/>
        <w:ind w:left="0" w:right="0" w:firstLine="264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240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264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 </w:t>
      </w:r>
    </w:p>
    <w:tbl>
      <w:tblPr>
        <w:tblStyle w:val="3"/>
        <w:tblW w:w="6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1557"/>
        <w:gridCol w:w="1557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本年制发件数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本年废止件数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行政规范性文件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行政许可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行政强制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</w:rPr>
              <w:t>行政事业性收费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 w:firstLine="0"/>
        <w:rPr>
          <w:sz w:val="28"/>
          <w:szCs w:val="28"/>
        </w:rPr>
      </w:pPr>
      <w:r>
        <w:rPr>
          <w:rFonts w:ascii="Calibri" w:hAnsi="Calibri" w:eastAsia="微软雅黑" w:cs="Calibri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 w:line="384" w:lineRule="atLeast"/>
        <w:ind w:left="0" w:right="0" w:firstLine="264"/>
        <w:jc w:val="both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三、收到和处理政府信息公开申请情况</w:t>
      </w:r>
    </w:p>
    <w:tbl>
      <w:tblPr>
        <w:tblStyle w:val="3"/>
        <w:tblW w:w="5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50"/>
        <w:gridCol w:w="1175"/>
        <w:gridCol w:w="471"/>
        <w:gridCol w:w="443"/>
        <w:gridCol w:w="443"/>
        <w:gridCol w:w="471"/>
        <w:gridCol w:w="553"/>
        <w:gridCol w:w="416"/>
        <w:gridCol w:w="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3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自然人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法人或其他组织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商业企业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科研机构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社会公益组织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法律服务机构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其他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三、本年度办理结果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333333"/>
                <w:spacing w:val="0"/>
                <w:sz w:val="28"/>
                <w:szCs w:val="28"/>
              </w:rPr>
              <w:t>（一）予以公开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（三）不予公开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1.属于国家秘密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3.危及“三安全一稳定”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4.保护第三方合法权益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5.属于三类内部事务信息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6.属于四类过程性信息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7.属于行政执法案卷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8.属于行政查询事项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（四）无法提供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3.补正后申请内容仍不明确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（五）不予处理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1.信访举报投诉类申请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2.重复申请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3.要求提供公开出版物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4.无正当理由大量反复申请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（六）其他处理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pacing w:val="0"/>
                <w:sz w:val="28"/>
                <w:szCs w:val="28"/>
              </w:rPr>
              <w:t>（七）总计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四、结转下年度继续办理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264"/>
        <w:jc w:val="both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           四、政府信息公开行政复议、行政诉讼情况</w:t>
      </w:r>
    </w:p>
    <w:tbl>
      <w:tblPr>
        <w:tblStyle w:val="3"/>
        <w:tblW w:w="5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383"/>
        <w:gridCol w:w="383"/>
        <w:gridCol w:w="383"/>
        <w:gridCol w:w="431"/>
        <w:gridCol w:w="359"/>
        <w:gridCol w:w="383"/>
        <w:gridCol w:w="383"/>
        <w:gridCol w:w="383"/>
        <w:gridCol w:w="395"/>
        <w:gridCol w:w="383"/>
        <w:gridCol w:w="383"/>
        <w:gridCol w:w="384"/>
        <w:gridCol w:w="384"/>
        <w:gridCol w:w="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行政复议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1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未经复议直接起诉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8"/>
                <w:szCs w:val="28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264"/>
        <w:jc w:val="both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color w:val="666666"/>
          <w:spacing w:val="0"/>
          <w:sz w:val="28"/>
          <w:szCs w:val="28"/>
        </w:rPr>
        <w:t>五</w:t>
      </w: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、</w:t>
      </w:r>
      <w:r>
        <w:rPr>
          <w:rStyle w:val="5"/>
          <w:rFonts w:hint="eastAsia" w:ascii="宋体" w:hAnsi="宋体" w:eastAsia="宋体" w:cs="宋体"/>
          <w:color w:val="666666"/>
          <w:spacing w:val="0"/>
          <w:sz w:val="28"/>
          <w:szCs w:val="28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（一）存在问题。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240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信息更新还不够及时，内容还不能够兼顾到方方面面。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（二）改进情况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264" w:right="0" w:firstLine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</w:rPr>
        <w:t>要进一步梳理政务信息，及时完善更新主动公开的政务信息目录，保证公开信息的及时性和准确性。加大培训力度，提高业务水平。提高政务信息工作人员的综合素质，增强处理信息的能力。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264"/>
        <w:jc w:val="both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color w:val="666666"/>
          <w:spacing w:val="0"/>
          <w:sz w:val="28"/>
          <w:szCs w:val="28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264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pacing w:val="0"/>
          <w:sz w:val="28"/>
          <w:szCs w:val="28"/>
          <w:shd w:val="clear" w:fill="FFFFFF"/>
        </w:rPr>
        <w:t>依据《政府信息公开信息处理费管理办法》规定，本年度未收取政府信息处理费。 </w:t>
      </w:r>
    </w:p>
    <w:p>
      <w:pPr>
        <w:spacing w:line="22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</w:t>
      </w:r>
    </w:p>
    <w:p>
      <w:pPr>
        <w:spacing w:line="220" w:lineRule="atLeast"/>
        <w:rPr>
          <w:rFonts w:hint="eastAsia" w:ascii="宋体" w:hAnsi="宋体" w:eastAsia="宋体" w:cs="宋体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魏县卫健局</w:t>
      </w:r>
    </w:p>
    <w:p>
      <w:pPr>
        <w:spacing w:line="220" w:lineRule="atLeast"/>
        <w:ind w:left="6160" w:hanging="6160" w:hangingChars="2200"/>
        <w:rPr>
          <w:rFonts w:hint="default" w:ascii="宋体" w:hAnsi="宋体" w:eastAsia="宋体" w:cs="宋体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 2025年1月8日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C97B8C"/>
    <w:rsid w:val="343419AD"/>
    <w:rsid w:val="421301C9"/>
    <w:rsid w:val="532D051F"/>
    <w:rsid w:val="5C3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rFonts w:ascii="微软雅黑" w:hAnsi="微软雅黑" w:eastAsia="微软雅黑" w:cs="微软雅黑"/>
      <w:color w:val="800080"/>
      <w:u w:val="none"/>
    </w:rPr>
  </w:style>
  <w:style w:type="character" w:styleId="7">
    <w:name w:val="Emphasis"/>
    <w:basedOn w:val="4"/>
    <w:qFormat/>
    <w:uiPriority w:val="20"/>
    <w:rPr>
      <w:u w:val="none"/>
    </w:rPr>
  </w:style>
  <w:style w:type="character" w:styleId="8">
    <w:name w:val="Hyperlink"/>
    <w:basedOn w:val="4"/>
    <w:semiHidden/>
    <w:unhideWhenUsed/>
    <w:qFormat/>
    <w:uiPriority w:val="99"/>
    <w:rPr>
      <w:rFonts w:hint="eastAsia"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2025-01-09T02:48:15Z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