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shd w:fill="FFFFFF"/>
        <w:pStyle w:val=""/>
        <w:jc w:val="center"/>
        <w:ind w:left="0"/>
        <w:ind w:right="105"/>
        <w:ind w:firstLine="0"/>
        <w:spacing w:before="75" w:after="0" w:line="555" w:lineRule="atLeast"/>
      </w:pPr>
      <w:r>
        <w:rPr>
          <w:color w:val="222222"/>
          <w:rFonts w:ascii="宋体" w:hAnsi="宋体"/>
          <w:sz w:val="43"/>
          <w:szCs w:val="43"/>
          <w:shd w:fill="FFFFFF"/>
        </w:rPr>
        <w:t>魏县经济开发区</w:t>
      </w:r>
    </w:p>
    <w:p>
      <w:pPr>
        <w:shd w:fill="FFFFFF"/>
        <w:pStyle w:val=""/>
        <w:jc w:val="center"/>
        <w:ind w:left="0"/>
        <w:ind w:right="105"/>
        <w:ind w:firstLine="0"/>
        <w:spacing w:before="75" w:after="0" w:line="555" w:lineRule="atLeast"/>
      </w:pPr>
      <w:r>
        <w:rPr>
          <w:color w:val="222222"/>
          <w:rFonts w:ascii="宋体" w:hAnsi="宋体"/>
          <w:sz w:val="43"/>
          <w:szCs w:val="43"/>
          <w:shd w:fill="FFFFFF"/>
        </w:rPr>
        <w:t>202</w:t>
      </w:r>
      <w:r>
        <w:rPr>
          <w:color w:val="222222"/>
          <w:rFonts w:ascii="宋体" w:hAnsi="宋体"/>
          <w:sz w:val="43"/>
          <w:szCs w:val="43"/>
          <w:shd w:fill="FFFFFF"/>
        </w:rPr>
        <w:t>4</w:t>
      </w:r>
      <w:r>
        <w:rPr>
          <w:color w:val="222222"/>
          <w:rFonts w:ascii="宋体" w:hAnsi="宋体"/>
          <w:sz w:val="43"/>
          <w:szCs w:val="43"/>
          <w:shd w:fill="FFFFFF"/>
        </w:rPr>
        <w:t>年政府信息公开工作年度报告</w:t>
      </w:r>
    </w:p>
    <w:p>
      <w:pPr>
        <w:shd w:fill="FFFFFF"/>
        <w:pStyle w:val=""/>
        <w:jc w:val="center"/>
        <w:ind w:left="0"/>
        <w:ind w:right="105"/>
        <w:ind w:firstLine="0"/>
        <w:spacing w:before="75" w:after="0" w:line="555" w:lineRule="atLeast"/>
      </w:pPr>
      <w:r>
        <w:rPr>
          <w:color w:val="222222"/>
          <w:rFonts w:ascii="仿宋" w:hAnsi="仿宋"/>
          <w:sz w:val="31"/>
          <w:szCs w:val="31"/>
          <w:shd w:fill="FFFFFF"/>
        </w:rPr>
        <w:t> </w:t>
      </w:r>
    </w:p>
    <w:p>
      <w:pPr>
        <w:shd w:fill="FFFFFF"/>
        <w:pStyle w:val=""/>
        <w:ind w:left="0"/>
        <w:ind w:right="105"/>
        <w:ind w:firstLine="615"/>
        <w:spacing w:before="75" w:after="0" w:line="555" w:lineRule="atLeast"/>
      </w:pPr>
      <w:r>
        <w:rPr>
          <w:color w:val="222222"/>
          <w:rFonts w:ascii="仿宋" w:hAnsi="仿宋"/>
          <w:sz w:val="31"/>
          <w:szCs w:val="31"/>
          <w:shd w:fill="FFFFFF"/>
        </w:rPr>
        <w:t>本年度报告是魏县经济开发区根据《中华人民共和国政府信息公开条例》编制，包括政府信息公开总体情况，主动公开政府信息情况，收到和处理政府信息公开申请情况，存在的问题及改进情况。现报告如下：</w:t>
      </w:r>
    </w:p>
    <w:p>
      <w:pPr>
        <w:shd w:fill="FFFFFF"/>
        <w:pStyle w:val=""/>
        <w:ind w:left="0"/>
        <w:ind w:right="105"/>
        <w:ind w:firstLine="645"/>
        <w:spacing w:before="75" w:after="0" w:line="555" w:lineRule="atLeast"/>
      </w:pPr>
      <w:r>
        <w:rPr>
          <w:color w:val="222222"/>
          <w:rFonts w:ascii="CESI黑体-GB2312" w:hAnsi="CESI黑体-GB2312"/>
          <w:sz w:val="31"/>
          <w:szCs w:val="31"/>
          <w:shd w:fill="FFFFFF"/>
        </w:rPr>
        <w:t>一、总体情况</w:t>
      </w:r>
    </w:p>
    <w:p>
      <w:pPr>
        <w:pStyle w:val=""/>
        <w:jc w:val="both"/>
        <w:ind w:left="0"/>
        <w:ind w:right="0"/>
        <w:ind w:firstLine="420"/>
        <w:spacing w:before="75" w:after="75" w:line="555" w:lineRule="atLeast"/>
      </w:pPr>
      <w:r>
        <w:rPr>
          <w:color w:val="222222"/>
          <w:rFonts w:ascii="仿宋" w:hAnsi="仿宋"/>
          <w:sz w:val="31"/>
          <w:szCs w:val="31"/>
        </w:rPr>
        <w:t>202</w:t>
      </w:r>
      <w:r>
        <w:rPr>
          <w:color w:val="222222"/>
          <w:rFonts w:ascii="仿宋" w:hAnsi="仿宋"/>
          <w:sz w:val="31"/>
          <w:szCs w:val="31"/>
        </w:rPr>
        <w:t>4</w:t>
      </w:r>
      <w:r>
        <w:rPr>
          <w:color w:val="222222"/>
          <w:rFonts w:ascii="仿宋" w:hAnsi="仿宋"/>
          <w:sz w:val="31"/>
          <w:szCs w:val="31"/>
        </w:rPr>
        <w:t>年度，魏县经济开发区根据《</w:t>
      </w:r>
      <w:r>
        <w:rPr>
          <w:color w:val="222222"/>
          <w:rFonts w:ascii="仿宋" w:hAnsi="仿宋"/>
          <w:sz w:val="31"/>
          <w:szCs w:val="31"/>
          <w:shd w:fill="FFFFFF"/>
        </w:rPr>
        <w:t>中华人民共和国政府信息公开条例</w:t>
      </w:r>
      <w:r>
        <w:rPr>
          <w:color w:val="222222"/>
          <w:rFonts w:ascii="仿宋" w:hAnsi="仿宋"/>
          <w:sz w:val="31"/>
          <w:szCs w:val="31"/>
        </w:rPr>
        <w:t>》及政府信息公开有关文件要求，将编制、公布及更新《政府信息公开目录》和《政府信息公开指南》作为重点工作来抓，进一步明确政府信息公开工作指导思想及基本原则，认真修正、更新《政府信息公开指南》和《政府信息公开目录》，全面梳理各类信息，规范化、系统化政府信息公开内容并及时公开发布。加强组织领导，加大投入力度，健全工作机制，深化电子政务建设,完善信息管理，突出政务公开重点，规范政务公开内容，提高政务公开水平，进一步巩固202</w:t>
      </w:r>
      <w:r>
        <w:rPr>
          <w:color w:val="222222"/>
          <w:rFonts w:ascii="仿宋" w:hAnsi="仿宋"/>
          <w:sz w:val="31"/>
          <w:szCs w:val="31"/>
        </w:rPr>
        <w:t>4</w:t>
      </w:r>
      <w:r>
        <w:rPr>
          <w:color w:val="222222"/>
          <w:rFonts w:ascii="仿宋" w:hAnsi="仿宋"/>
          <w:sz w:val="31"/>
          <w:szCs w:val="31"/>
        </w:rPr>
        <w:t>年政府信息公开工作成果。</w:t>
      </w:r>
      <w:r>
        <w:rPr>
          <w:color w:val="222222"/>
          <w:rFonts w:ascii="仿宋" w:hAnsi="仿宋"/>
          <w:sz w:val="31"/>
          <w:szCs w:val="31"/>
          <w:shd w:fill="FFFFFF"/>
        </w:rPr>
        <w:t>加强保障政务新媒体信息发布工作。继续把政务新媒体作为政务公开的重要平台，进一步完善政务新媒体信息公开、政民互动、政务服务等功能，做好重点政务信息推送，强化网络安全责任，确保政务新媒体安全可靠。</w:t>
      </w:r>
    </w:p>
    <w:p>
      <w:pPr>
        <w:shd w:fill="FFFFFF"/>
        <w:pStyle w:val=""/>
        <w:ind w:left="0"/>
        <w:ind w:right="105"/>
        <w:ind w:firstLine="645"/>
        <w:spacing w:before="75" w:after="0" w:line="555" w:lineRule="atLeast"/>
      </w:pPr>
      <w:r>
        <w:rPr>
          <w:rStyle w:val=""/>
          <w:color w:val="222222"/>
          <w:rFonts w:ascii="黑体" w:hAnsi="宋体"/>
          <w:sz w:val="31"/>
          <w:szCs w:val="31"/>
          <w:shd w:fill="FFFFFF"/>
        </w:rPr>
        <w:t> </w:t>
      </w:r>
      <w:r>
        <w:rPr>
          <w:rStyle w:val=""/>
          <w:color w:val="222222"/>
          <w:rFonts w:ascii="黑体" w:hAnsi="宋体"/>
          <w:sz w:val="31"/>
          <w:szCs w:val="31"/>
          <w:shd w:fill="FFFFFF"/>
        </w:rPr>
        <w:t>二、主动公开政府信息情况</w:t>
      </w:r>
    </w:p>
    <w:tbl>
      <w:tblPr>
        <w:tblBorders>
          <w:top w:val="nil" w:sz="2" w:color="000000" w:space="0"/>
          <w:bottom w:val="nil" w:sz="2" w:color="000000" w:space="0"/>
          <w:left w:val="nil" w:sz="2" w:color="000000" w:space="0"/>
          <w:right w:val="nil" w:sz="2" w:color="000000" w:space="0"/>
          <w:insideH w:val="nil" w:sz="2" w:color="000000" w:space="0"/>
          <w:insideV w:val="nil" w:sz="2" w:color="000000" w:space="0"/>
        </w:tblBorders>
        <w:tblInd w:w="-60" w:type="dxa"/>
        <w:tblStyle w:val="普通表格"/>
        <w:tblLook w:val="1E0"/>
      </w:tblPr>
      <w:tblGrid>
        <w:gridCol w:w="2670"/>
        <w:gridCol w:w="2220"/>
        <w:gridCol w:w="2220"/>
        <w:gridCol w:w="2250"/>
      </w:tblGrid>
      <w:tr>
        <w:trPr>
          <w:trHeight w:val="345" w:hRule="atLeast"/>
        </w:trPr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shd w:fill="C6D9F1"/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第二十条第（一）项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信息内容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本年制发件数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本年废止件数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现行有效件数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规章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Calibri" w:hAnsi="Calibri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行政规范性文件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Calibri" w:hAnsi="Calibri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shd w:fill="C6D9F1"/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第二十条第（五）项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信息内容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本年处理决定数量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both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行政许可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Calibri" w:hAnsi="Calibri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shd w:fill="C6D9F1"/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第二十条第（六）项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信息内容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本年处理决定数量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行政处罚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0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行政强制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0</w:t>
            </w:r>
          </w:p>
        </w:tc>
      </w:tr>
      <w:tr>
        <w:trPr>
          <w:trHeight w:val="345" w:hRule="atLeast"/>
        </w:trPr>
        <w:tc>
          <w:tcPr>
            <w:gridSpan w:val="4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shd w:fill="C6D9F1"/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第二十条第（八）项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信息内容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本年收费金额（单位：万元）</w:t>
            </w:r>
          </w:p>
        </w:tc>
      </w:tr>
      <w:tr>
        <w:trPr>
          <w:trHeight w:val="34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行政事业性收费</w:t>
            </w:r>
          </w:p>
        </w:tc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0</w:t>
            </w:r>
          </w:p>
        </w:tc>
      </w:tr>
    </w:tbl>
    <w:p>
      <w:pPr>
        <w:pStyle w:val=""/>
        <w:ind w:left="0"/>
        <w:ind w:right="0"/>
        <w:ind w:firstLine="0"/>
        <w:spacing w:before="75" w:after="75"/>
      </w:pPr>
      <w:r>
        <w:rPr>
          <w:rFonts w:ascii="Calibri" w:hAnsi="Calibri"/>
          <w:sz w:val="21"/>
          <w:szCs w:val="21"/>
        </w:rPr>
        <w:t> </w:t>
      </w:r>
    </w:p>
    <w:p>
      <w:pPr>
        <w:pStyle w:val=""/>
        <w:jc w:val="both"/>
        <w:ind w:left="0"/>
        <w:ind w:right="0"/>
        <w:ind w:firstLine="645"/>
        <w:spacing w:before="0" w:after="0" w:line="600" w:lineRule="atLeast"/>
      </w:pPr>
      <w:r>
        <w:rPr>
          <w:rStyle w:val=""/>
          <w:rFonts w:ascii="黑体" w:hAnsi="宋体"/>
          <w:sz w:val="31"/>
          <w:szCs w:val="31"/>
        </w:rPr>
        <w:t>三、收到和处理政府信息公开申请情况</w:t>
      </w:r>
    </w:p>
    <w:tbl>
      <w:tblPr>
        <w:tblBorders>
          <w:top w:val="nil" w:sz="2" w:color="000000" w:space="0"/>
          <w:bottom w:val="nil" w:sz="2" w:color="000000" w:space="0"/>
          <w:left w:val="nil" w:sz="2" w:color="000000" w:space="0"/>
          <w:right w:val="nil" w:sz="2" w:color="000000" w:space="0"/>
          <w:insideH w:val="nil" w:sz="2" w:color="000000" w:space="0"/>
          <w:insideV w:val="nil" w:sz="2" w:color="000000" w:space="0"/>
        </w:tblBorders>
        <w:tblInd w:w="-105" w:type="dxa"/>
        <w:tblStyle w:val="普通表格"/>
        <w:tblLook w:val="1E0"/>
      </w:tblPr>
      <w:tblGrid>
        <w:gridCol w:w="734"/>
        <w:gridCol w:w="899"/>
        <w:gridCol w:w="3068"/>
        <w:gridCol w:w="659"/>
        <w:gridCol w:w="659"/>
        <w:gridCol w:w="659"/>
        <w:gridCol w:w="659"/>
        <w:gridCol w:w="659"/>
        <w:gridCol w:w="674"/>
        <w:gridCol w:w="690"/>
      </w:tblGrid>
      <w:tr>
        <w:trPr>
          <w:trHeight w:val="630" w:hRule="atLeast"/>
        </w:trPr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gridSpan w:val="7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申请人情况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gridSpan w:val="3"/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自然人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法人或其他组织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总计</w:t>
            </w:r>
          </w:p>
        </w:tc>
      </w:tr>
      <w:tr>
        <w:trPr>
          <w:trHeight w:val="126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gridSpan w:val="3"/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商业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企业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科研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机构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社会公益组织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法律服务机构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其他</w:t>
            </w:r>
          </w:p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</w:tr>
      <w:tr>
        <w:trPr>
          <w:trHeight w:val="630" w:hRule="atLeast"/>
        </w:trPr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一、本年新收政府信息公开申请数量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Calibri" w:hAnsi="Calibri"/>
                <w:sz w:val="19"/>
                <w:szCs w:val="19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4"/>
                <w:szCs w:val="24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4"/>
                <w:szCs w:val="24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4"/>
                <w:szCs w:val="24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4"/>
                <w:szCs w:val="24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4"/>
                <w:szCs w:val="24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4"/>
                <w:szCs w:val="24"/>
              </w:rPr>
              <w:t>0</w:t>
            </w:r>
          </w:p>
        </w:tc>
      </w:tr>
      <w:tr>
        <w:trPr>
          <w:trHeight w:val="630" w:hRule="atLeast"/>
        </w:trPr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二、上年结转政府信息公开申请数量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三、本年度办理结果</w:t>
            </w:r>
          </w:p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（一）予以公开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126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（三）不予公开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1.属于国家秘密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2.其他法律行政法规禁止公开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3.危及“三安全一稳定”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4.保护第三方合法权益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5.属于三类内部事务信息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6.属于四类过程性信息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7.属于行政执法案卷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8.属于行政查询事项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（四）无法提供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1.本机关不掌握相关政府信息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2.没有现成信息需要另行制作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3.补正后申请内容仍不明确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（五）不予处理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1.信访举报投诉类申请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2.重复申请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3.要求提供公开出版物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top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4.无正当理由大量反复申请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126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126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（六）其他处理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1875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3.其他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30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gridSpan w:val="2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（七）总计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  <w:tr>
        <w:trPr>
          <w:trHeight w:val="645" w:hRule="atLeast"/>
        </w:trPr>
        <w:tc>
          <w:tcPr>
            <w:gridSpan w:val="3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19"/>
                <w:szCs w:val="19"/>
              </w:rPr>
              <w:t>四、结转下年度继续办理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微软雅黑" w:hAnsi="微软雅黑"/>
                <w:sz w:val="21"/>
                <w:szCs w:val="21"/>
              </w:rPr>
              <w:t>0</w:t>
            </w:r>
          </w:p>
        </w:tc>
      </w:tr>
    </w:tbl>
    <w:p>
      <w:pPr>
        <w:shd w:fill="FFFFFF"/>
        <w:pStyle w:val=""/>
        <w:jc w:val="both"/>
        <w:ind w:left="0"/>
        <w:ind w:right="0"/>
        <w:ind w:firstLine="0"/>
        <w:spacing w:before="0" w:after="0" w:line="600" w:lineRule="atLeast"/>
      </w:pPr>
      <w:r>
        <w:rPr>
          <w:color w:val="333333"/>
          <w:rFonts w:ascii="微软雅黑" w:hAnsi="微软雅黑"/>
          <w:sz w:val="24"/>
          <w:szCs w:val="24"/>
          <w:shd w:fill="FFFFFF"/>
        </w:rPr>
        <w:t> </w:t>
      </w:r>
    </w:p>
    <w:p>
      <w:pPr>
        <w:pStyle w:val=""/>
        <w:jc w:val="both"/>
        <w:ind w:left="0"/>
        <w:ind w:right="0"/>
        <w:ind w:firstLine="645"/>
        <w:spacing w:before="0" w:after="0" w:line="600" w:lineRule="atLeast"/>
      </w:pPr>
      <w:r>
        <w:rPr>
          <w:rFonts w:ascii="黑体" w:hAnsi="宋体"/>
          <w:sz w:val="31"/>
          <w:szCs w:val="31"/>
        </w:rPr>
        <w:t>四、</w:t>
      </w:r>
      <w:r>
        <w:rPr>
          <w:rStyle w:val=""/>
          <w:rFonts w:ascii="微软雅黑" w:hAnsi="微软雅黑"/>
          <w:sz w:val="31"/>
          <w:szCs w:val="31"/>
        </w:rPr>
        <w:t>政府信息公开行政复议、行政诉讼情况</w:t>
      </w:r>
    </w:p>
    <w:tbl>
      <w:tblPr>
        <w:tblBorders>
          <w:top w:val="nil" w:sz="2" w:color="000000" w:space="0"/>
          <w:bottom w:val="nil" w:sz="2" w:color="000000" w:space="0"/>
          <w:left w:val="nil" w:sz="2" w:color="000000" w:space="0"/>
          <w:right w:val="nil" w:sz="2" w:color="000000" w:space="0"/>
          <w:insideH w:val="nil" w:sz="2" w:color="000000" w:space="0"/>
          <w:insideV w:val="nil" w:sz="2" w:color="000000" w:space="0"/>
        </w:tblBorders>
        <w:tblInd w:w="-105" w:type="dxa"/>
        <w:tblStyle w:val="普通表格"/>
        <w:tblLook w:val="1E0"/>
      </w:tblPr>
      <w:tblGrid>
        <w:gridCol w:w="644"/>
        <w:gridCol w:w="644"/>
        <w:gridCol w:w="644"/>
        <w:gridCol w:w="644"/>
        <w:gridCol w:w="674"/>
        <w:gridCol w:w="644"/>
        <w:gridCol w:w="644"/>
        <w:gridCol w:w="644"/>
        <w:gridCol w:w="644"/>
        <w:gridCol w:w="674"/>
        <w:gridCol w:w="644"/>
        <w:gridCol w:w="644"/>
        <w:gridCol w:w="644"/>
        <w:gridCol w:w="644"/>
        <w:gridCol w:w="674"/>
      </w:tblGrid>
      <w:tr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行政复议</w:t>
            </w:r>
          </w:p>
        </w:tc>
        <w:tc>
          <w:tcPr>
            <w:gridSpan w:val="10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行政诉讼</w:t>
            </w:r>
          </w:p>
        </w:tc>
      </w:tr>
      <w:t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结果维持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结果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纠正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其他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结果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尚未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审结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vMerge w:val="restart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总计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未经复议直接起诉</w:t>
            </w:r>
          </w:p>
        </w:tc>
        <w:tc>
          <w:tcPr>
            <w:gridSpan w:val="5"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复议后起诉</w:t>
            </w:r>
          </w:p>
        </w:tc>
      </w:tr>
      <w:tr>
        <w:trPr>
          <w:trHeight w:val="1095" w:hRule="atLeast"/>
        </w:trPr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vMerge/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</w:tcPr>
          <w:p/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结果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维持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结果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纠正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其他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结果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尚未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审结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总计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结果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维持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结果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纠正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其他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结果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尚未</w:t>
            </w:r>
          </w:p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审结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19"/>
                <w:szCs w:val="19"/>
              </w:rPr>
              <w:t>总计</w:t>
            </w:r>
          </w:p>
        </w:tc>
      </w:tr>
      <w:tr>
        <w:trPr>
          <w:trHeight w:val="675" w:hRule="atLeast"/>
        </w:trPr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  <w:tc>
          <w:tcPr>
            <w:tcBorders>
              <w:top w:val="single" w:sz="6" w:color="000000" w:space="0"/>
              <w:bottom w:val="single" w:sz="6" w:color="000000" w:space="0"/>
              <w:left w:val="single" w:sz="6" w:color="000000" w:space="0"/>
              <w:right w:val="single" w:sz="6" w:color="000000" w:space="0"/>
            </w:tcBorders>
            <w:vAlign w:val="center"/>
            <w:tcW w:w="0" w:type="nil"/>
          </w:tcPr>
          <w:p>
            <w:pPr>
              <w:pStyle w:val=""/>
              <w:jc w:val="center"/>
              <w:ind w:left="0"/>
              <w:ind w:right="0"/>
              <w:spacing w:before="0" w:after="0" w:line="600" w:lineRule="atLeast"/>
            </w:pPr>
            <w:r>
              <w:rPr>
                <w:rFonts w:ascii="黑体" w:hAnsi="宋体"/>
                <w:sz w:val="21"/>
                <w:szCs w:val="21"/>
              </w:rPr>
              <w:t>0</w:t>
            </w:r>
          </w:p>
        </w:tc>
      </w:tr>
    </w:tbl>
    <w:p>
      <w:pPr>
        <w:shd w:fill="FFFFFF"/>
        <w:pStyle w:val=""/>
        <w:jc w:val="both"/>
        <w:ind w:left="0"/>
        <w:ind w:right="0"/>
        <w:ind w:firstLine="0"/>
        <w:spacing w:before="0" w:after="0" w:line="600" w:lineRule="atLeast"/>
      </w:pPr>
      <w:r>
        <w:rPr>
          <w:sz w:val="24"/>
          <w:szCs w:val="24"/>
          <w:shd w:fill="FFFFFF"/>
        </w:rPr>
        <w:t> </w:t>
      </w:r>
    </w:p>
    <w:p>
      <w:pPr>
        <w:pStyle w:val=""/>
        <w:jc w:val="both"/>
        <w:ind w:left="0"/>
        <w:ind w:right="0"/>
        <w:ind w:firstLine="420"/>
        <w:spacing w:before="0" w:after="0" w:line="600" w:lineRule="atLeast"/>
      </w:pPr>
      <w:r>
        <w:rPr>
          <w:rFonts w:ascii="黑体" w:hAnsi="宋体"/>
          <w:sz w:val="31"/>
          <w:szCs w:val="31"/>
        </w:rPr>
        <w:t>五、</w:t>
      </w:r>
      <w:r>
        <w:rPr>
          <w:rStyle w:val=""/>
          <w:rFonts w:ascii="黑体" w:hAnsi="宋体"/>
          <w:sz w:val="31"/>
          <w:szCs w:val="31"/>
        </w:rPr>
        <w:t>存在的主要问题及改进情况</w:t>
      </w:r>
    </w:p>
    <w:p>
      <w:pPr>
        <w:shd w:fill="FFFFFF"/>
        <w:pStyle w:val=""/>
        <w:ind w:left="0"/>
        <w:ind w:right="0"/>
        <w:ind w:firstLine="645"/>
        <w:spacing w:before="75" w:after="75" w:line="480" w:lineRule="atLeast"/>
      </w:pPr>
      <w:r>
        <w:rPr>
          <w:color w:val="222222"/>
          <w:rFonts w:ascii="仿宋" w:hAnsi="仿宋"/>
          <w:sz w:val="31"/>
          <w:szCs w:val="31"/>
          <w:shd w:fill="FFFFFF"/>
        </w:rPr>
        <w:t>202</w:t>
      </w:r>
      <w:r>
        <w:rPr>
          <w:color w:val="222222"/>
          <w:rFonts w:ascii="仿宋" w:hAnsi="仿宋"/>
          <w:sz w:val="31"/>
          <w:szCs w:val="31"/>
          <w:shd w:fill="FFFFFF"/>
        </w:rPr>
        <w:t>4</w:t>
      </w:r>
      <w:r>
        <w:rPr>
          <w:color w:val="222222"/>
          <w:rFonts w:ascii="仿宋" w:hAnsi="仿宋"/>
          <w:sz w:val="31"/>
          <w:szCs w:val="31"/>
          <w:shd w:fill="FFFFFF"/>
        </w:rPr>
        <w:t>年在政府信息工作进行总结梳理</w:t>
      </w:r>
      <w:r>
        <w:rPr>
          <w:rFonts w:ascii="仿宋" w:hAnsi="仿宋"/>
          <w:sz w:val="31"/>
          <w:szCs w:val="31"/>
          <w:shd w:fill="FFFFFF"/>
        </w:rPr>
        <w:t>中取得了一定成绩，但是还是存在了一些问题：</w:t>
      </w:r>
      <w:r>
        <w:rPr>
          <w:color w:val="222222"/>
          <w:rFonts w:ascii="仿宋" w:hAnsi="仿宋"/>
          <w:sz w:val="31"/>
          <w:szCs w:val="31"/>
          <w:shd w:fill="FFFFFF"/>
        </w:rPr>
        <w:t>如政务信息公开的时效性有待进一步提高，政务公开的范围和内容需要更充实丰富。</w:t>
      </w:r>
    </w:p>
    <w:p>
      <w:pPr>
        <w:shd w:fill="FFFFFF"/>
        <w:pStyle w:val=""/>
        <w:ind w:left="0"/>
        <w:ind w:right="0"/>
        <w:ind w:firstLine="645"/>
        <w:spacing w:before="75" w:after="75" w:line="480" w:lineRule="atLeast"/>
      </w:pPr>
      <w:r>
        <w:rPr>
          <w:color w:val="222222"/>
          <w:rFonts w:ascii="仿宋" w:hAnsi="仿宋"/>
          <w:sz w:val="31"/>
          <w:szCs w:val="31"/>
          <w:shd w:fill="FFFFFF"/>
        </w:rPr>
        <w:t>202</w:t>
      </w:r>
      <w:r>
        <w:rPr>
          <w:color w:val="222222"/>
          <w:rFonts w:ascii="仿宋" w:hAnsi="仿宋"/>
          <w:sz w:val="31"/>
          <w:szCs w:val="31"/>
          <w:shd w:fill="FFFFFF"/>
        </w:rPr>
        <w:t>5</w:t>
      </w:r>
      <w:r>
        <w:rPr>
          <w:color w:val="222222"/>
          <w:rFonts w:ascii="仿宋" w:hAnsi="仿宋"/>
          <w:sz w:val="31"/>
          <w:szCs w:val="31"/>
          <w:shd w:fill="FFFFFF"/>
        </w:rPr>
        <w:t>年将按照政府信息公开的相关要求，从两方面重点落实政府信息公开工作，一是加强对信息发布审核力度，二是将进一步加强政府信息公开工作专业性，加大业务培训频率，提升工作人员业务能力，在信息发布的内容质量、时效性、专业性提升一个新的台阶。</w:t>
      </w:r>
    </w:p>
    <w:p>
      <w:pPr>
        <w:pStyle w:val=""/>
        <w:jc w:val="both"/>
        <w:ind w:left="0"/>
        <w:ind w:right="0"/>
        <w:ind w:firstLine="645"/>
        <w:spacing w:before="0" w:after="0" w:line="600" w:lineRule="atLeast"/>
      </w:pPr>
      <w:r>
        <w:rPr>
          <w:rStyle w:val=""/>
          <w:rFonts w:ascii="宋体" w:hAnsi="宋体"/>
          <w:sz w:val="31"/>
          <w:szCs w:val="31"/>
        </w:rPr>
        <w:t>六、其他需要报告的事项</w:t>
      </w:r>
    </w:p>
    <w:p>
      <w:pPr>
        <w:shd w:fill="FFFFFF"/>
        <w:pStyle w:val=""/>
        <w:ind w:left="0"/>
        <w:ind w:right="0"/>
        <w:ind w:firstLine="480"/>
        <w:spacing w:before="75" w:after="75"/>
        <w:rPr>
          <w:rFonts w:ascii="Calibri" w:hAnsi="Calibri"/>
          <w:sz w:val="24"/>
          <w:szCs w:val="24"/>
        </w:rPr>
      </w:pPr>
      <w:r>
        <w:rPr>
          <w:color w:val="222222"/>
          <w:rFonts w:ascii="仿宋" w:hAnsi="仿宋"/>
          <w:sz w:val="31"/>
          <w:szCs w:val="31"/>
          <w:shd w:fill="FFFFFF"/>
        </w:rPr>
        <w:t>  依据《政府信息公开信息处理费管理办法》规定，本年度未收取政府信息处理费。 </w:t>
      </w:r>
    </w:p>
    <w:p>
      <w:pPr>
        <w:pStyle w:val=""/>
        <w:ind w:left="0"/>
        <w:ind w:right="0"/>
        <w:ind w:firstLine="1275"/>
        <w:spacing w:before="0" w:after="0" w:line="600" w:lineRule="atLeast"/>
      </w:pPr>
      <w:r>
        <w:rPr>
          <w:rFonts w:ascii="仿宋" w:hAnsi="仿宋"/>
          <w:sz w:val="31"/>
          <w:szCs w:val="31"/>
        </w:rPr>
        <w:t> </w:t>
      </w:r>
    </w:p>
    <w:p>
      <w:pPr>
        <w:pStyle w:val=""/>
        <w:ind w:left="0"/>
        <w:ind w:right="0"/>
        <w:ind w:firstLine="1275"/>
        <w:spacing w:before="0" w:after="0" w:line="600" w:lineRule="atLeast"/>
      </w:pPr>
      <w:r>
        <w:rPr>
          <w:rFonts w:ascii="仿宋" w:hAnsi="仿宋"/>
          <w:sz w:val="31"/>
          <w:szCs w:val="31"/>
        </w:rPr>
        <w:t> </w:t>
      </w:r>
    </w:p>
    <w:p>
      <w:pPr>
        <w:pStyle w:val=""/>
        <w:jc w:val="right"/>
        <w:ind w:left="0"/>
        <w:ind w:right="0"/>
        <w:ind w:firstLine="0"/>
        <w:spacing w:before="0" w:after="0" w:line="600" w:lineRule="atLeast"/>
      </w:pPr>
      <w:r>
        <w:rPr>
          <w:rFonts w:ascii="仿宋" w:hAnsi="仿宋"/>
          <w:sz w:val="31"/>
          <w:szCs w:val="31"/>
        </w:rPr>
        <w:t>魏县经济开发区</w:t>
      </w:r>
    </w:p>
    <w:p>
      <w:pPr>
        <w:pStyle w:val=""/>
        <w:jc w:val="right"/>
        <w:ind w:left="0"/>
        <w:ind w:right="0"/>
        <w:ind w:firstLine="0"/>
        <w:spacing w:before="0" w:after="0" w:line="600" w:lineRule="atLeast"/>
      </w:pPr>
      <w:r>
        <w:rPr>
          <w:rFonts w:ascii="仿宋" w:hAnsi="仿宋"/>
          <w:sz w:val="31"/>
          <w:szCs w:val="31"/>
        </w:rPr>
        <w:t>202</w:t>
      </w:r>
      <w:r>
        <w:rPr>
          <w:rFonts w:ascii="仿宋" w:hAnsi="仿宋"/>
          <w:sz w:val="31"/>
          <w:szCs w:val="31"/>
        </w:rPr>
        <w:t>5</w:t>
      </w:r>
      <w:r>
        <w:rPr>
          <w:rFonts w:ascii="仿宋" w:hAnsi="仿宋"/>
          <w:sz w:val="31"/>
          <w:szCs w:val="31"/>
        </w:rPr>
        <w:t>年1月1</w:t>
      </w:r>
      <w:r>
        <w:rPr>
          <w:rFonts w:ascii="仿宋" w:hAnsi="仿宋"/>
          <w:sz w:val="31"/>
          <w:szCs w:val="31"/>
        </w:rPr>
        <w:t>0</w:t>
      </w:r>
      <w:r>
        <w:rPr>
          <w:rFonts w:ascii="仿宋" w:hAnsi="仿宋"/>
          <w:sz w:val="31"/>
          <w:szCs w:val="31"/>
        </w:rPr>
        <w:t>日</w:t>
      </w:r>
    </w:p>
    <w:p>
      <w:pPr>
        <w:pStyle w:val=""/>
        <w:ind w:left="0"/>
        <w:ind w:right="0"/>
        <w:spacing w:before="75" w:after="75" w:line="240" w:lineRule="atLeast"/>
      </w:pPr>
    </w:p>
    <w:p>
      <w:pPr>
        <w:pStyle w:val=""/>
        <w:ind w:left="0"/>
        <w:ind w:right="0"/>
        <w:spacing w:before="75" w:after="75" w:line="240" w:lineRule="atLeast"/>
      </w:pPr>
    </w:p>
    <w:p>
      <w:pPr>
        <w:pStyle w:val=""/>
      </w:pPr>
    </w:p>
    <w:sectPr>
      <w:pgSz w:w="11906" w:h="16838"/>
      <w:pgMar w:left="1800" w:right="180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宋体"/>
  <w:font w:name="Wingdings"/>
  <w:font w:name="Calibri"/>
  <w:font w:name="仿宋"/>
  <w:font w:name="CESI黑体-GB2312"/>
  <w:font w:name="黑体"/>
  <w:font w:name="微软雅黑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>
        <w:rFonts w:ascii="Wingdings" w:hAnsi="Wingdings"/>
      </w:rPr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正文"/>
    <w:qFormat/>
    <w:pPr>
      <w:jc w:val="both"/>
    </w:pPr>
    <w:rPr>
      <w:rFonts w:ascii="Calibri" w:hAnsi="Calibri"/>
      <w:sz w:val="21"/>
      <w:szCs w:val="24"/>
    </w:rPr>
  </w:style>
  <w:style w:type="character" w:styleId="">
    <w:name w:val="默认段落字体"/>
    <w:qFormat/>
  </w:style>
  <w:style w:type="table" w:styleId="">
    <w:name w:val="普通表格"/>
    <w:qFormat/>
    <w:pPr/>
    <w:tblPr>
      <w:tblStyle w:val="普通表格"/>
      <w:tblLook w:val="1E0"/>
    </w:tblPr>
  </w:style>
  <w:style w:type="character" w:styleId="">
    <w:name w:val="要点"/>
    <w:qFormat/>
    <w:basedOn w:val="默认段落字体"/>
    <w:rPr>
      <w:b/>
    </w:rPr>
  </w:style>
  <w:style w:type="paragraph" w:styleId="">
    <w:name w:val="普通(网站)"/>
    <w:qFormat/>
    <w:basedOn w:val="正文"/>
    <w:pPr>
      <w:jc w:val="left"/>
      <w:ind w:left="0"/>
      <w:ind w:right="0"/>
      <w:spacing w:before="0" w:after="0"/>
    </w:pPr>
    <w:rPr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